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FF8" w:rsidRDefault="00617FF8" w:rsidP="00617FF8">
      <w:pPr>
        <w:spacing w:after="0" w:line="360" w:lineRule="auto"/>
        <w:jc w:val="center"/>
        <w:rPr>
          <w:rFonts w:ascii="Times New Roman" w:hAnsi="Times New Roman" w:cs="Times New Roman"/>
          <w:b/>
          <w:sz w:val="24"/>
          <w:szCs w:val="24"/>
        </w:rPr>
      </w:pPr>
      <w:r w:rsidRPr="00617FF8">
        <w:rPr>
          <w:rFonts w:ascii="Times New Roman" w:hAnsi="Times New Roman" w:cs="Times New Roman"/>
          <w:b/>
          <w:sz w:val="24"/>
          <w:szCs w:val="24"/>
        </w:rPr>
        <w:t>PREVALENCE</w:t>
      </w:r>
      <w:r>
        <w:rPr>
          <w:rFonts w:ascii="Times New Roman" w:hAnsi="Times New Roman" w:cs="Times New Roman"/>
          <w:b/>
          <w:sz w:val="24"/>
          <w:szCs w:val="24"/>
        </w:rPr>
        <w:t xml:space="preserve"> OF CRYPTOSPORIDIOSIS AND </w:t>
      </w:r>
      <w:r>
        <w:rPr>
          <w:rFonts w:ascii="Times New Roman" w:hAnsi="Times New Roman" w:cs="Times New Roman"/>
          <w:b/>
          <w:i/>
          <w:sz w:val="24"/>
          <w:szCs w:val="24"/>
        </w:rPr>
        <w:t>Helicobacter pylori</w:t>
      </w:r>
      <w:r w:rsidR="00A93B42">
        <w:rPr>
          <w:rFonts w:ascii="Times New Roman" w:hAnsi="Times New Roman" w:cs="Times New Roman"/>
          <w:b/>
          <w:sz w:val="24"/>
          <w:szCs w:val="24"/>
        </w:rPr>
        <w:t xml:space="preserve"> INFECTION</w:t>
      </w:r>
      <w:r>
        <w:rPr>
          <w:rFonts w:ascii="Times New Roman" w:hAnsi="Times New Roman" w:cs="Times New Roman"/>
          <w:b/>
          <w:sz w:val="24"/>
          <w:szCs w:val="24"/>
        </w:rPr>
        <w:t xml:space="preserve"> AMONG HUMAN IMMUNODEFICIENCY VIRUS POSITIVE AND NEGETIVE PATIENTS</w:t>
      </w:r>
      <w:r w:rsidR="00A93B42">
        <w:rPr>
          <w:rFonts w:ascii="Times New Roman" w:hAnsi="Times New Roman" w:cs="Times New Roman"/>
          <w:b/>
          <w:sz w:val="24"/>
          <w:szCs w:val="24"/>
        </w:rPr>
        <w:t xml:space="preserve"> BASED ON SOME SOCIO-DEMOGRAPHIC VARIABLES</w:t>
      </w:r>
      <w:r>
        <w:rPr>
          <w:rFonts w:ascii="Times New Roman" w:hAnsi="Times New Roman" w:cs="Times New Roman"/>
          <w:b/>
          <w:sz w:val="24"/>
          <w:szCs w:val="24"/>
        </w:rPr>
        <w:t xml:space="preserve"> IN ADAMAWA STATE, NIGERIA</w:t>
      </w:r>
    </w:p>
    <w:p w:rsidR="00617FF8" w:rsidRDefault="00617FF8" w:rsidP="00617FF8">
      <w:pPr>
        <w:spacing w:after="0" w:line="360" w:lineRule="auto"/>
        <w:jc w:val="center"/>
        <w:rPr>
          <w:rFonts w:ascii="Times New Roman" w:hAnsi="Times New Roman" w:cs="Times New Roman"/>
          <w:b/>
          <w:sz w:val="24"/>
          <w:szCs w:val="24"/>
        </w:rPr>
      </w:pPr>
    </w:p>
    <w:p w:rsidR="00250079" w:rsidRDefault="005F2A8F" w:rsidP="005F2A8F">
      <w:pPr>
        <w:rPr>
          <w:rFonts w:ascii="Times New Roman" w:hAnsi="Times New Roman" w:cs="Times New Roman"/>
          <w:b/>
          <w:sz w:val="24"/>
          <w:szCs w:val="24"/>
        </w:rPr>
      </w:pPr>
      <w:r>
        <w:t xml:space="preserve">          </w:t>
      </w:r>
      <w:r w:rsidRPr="005F2A8F">
        <w:rPr>
          <w:rFonts w:ascii="Times New Roman" w:hAnsi="Times New Roman" w:cs="Times New Roman"/>
          <w:b/>
          <w:sz w:val="24"/>
          <w:szCs w:val="24"/>
        </w:rPr>
        <w:t xml:space="preserve"> </w:t>
      </w:r>
      <w:r w:rsidRPr="00FD066B">
        <w:rPr>
          <w:rFonts w:ascii="Times New Roman" w:hAnsi="Times New Roman" w:cs="Times New Roman"/>
          <w:b/>
          <w:sz w:val="24"/>
          <w:szCs w:val="24"/>
        </w:rPr>
        <w:t>Authors:</w:t>
      </w:r>
      <w:r w:rsidR="00250079">
        <w:rPr>
          <w:rFonts w:ascii="Times New Roman" w:hAnsi="Times New Roman" w:cs="Times New Roman"/>
          <w:b/>
          <w:sz w:val="24"/>
          <w:szCs w:val="24"/>
        </w:rPr>
        <w:t xml:space="preserve"> Prof.</w:t>
      </w:r>
      <w:r>
        <w:rPr>
          <w:rFonts w:ascii="Times New Roman" w:hAnsi="Times New Roman" w:cs="Times New Roman"/>
          <w:b/>
          <w:sz w:val="24"/>
          <w:szCs w:val="24"/>
        </w:rPr>
        <w:t xml:space="preserve"> Muhammad Abdul Q</w:t>
      </w:r>
      <w:r w:rsidR="00250079">
        <w:rPr>
          <w:rFonts w:ascii="Times New Roman" w:hAnsi="Times New Roman" w:cs="Times New Roman"/>
          <w:b/>
          <w:sz w:val="24"/>
          <w:szCs w:val="24"/>
        </w:rPr>
        <w:t>adeer, Prof. Micah Saleh Pukuma,</w:t>
      </w:r>
      <w:r>
        <w:rPr>
          <w:rFonts w:ascii="Times New Roman" w:hAnsi="Times New Roman" w:cs="Times New Roman"/>
          <w:b/>
          <w:sz w:val="24"/>
          <w:szCs w:val="24"/>
        </w:rPr>
        <w:t xml:space="preserve"> Innocent</w:t>
      </w:r>
    </w:p>
    <w:p w:rsidR="005F2A8F" w:rsidRDefault="00250079" w:rsidP="005F2A8F">
      <w:pPr>
        <w:rPr>
          <w:rFonts w:ascii="Times New Roman" w:hAnsi="Times New Roman" w:cs="Times New Roman"/>
          <w:b/>
          <w:sz w:val="24"/>
          <w:szCs w:val="24"/>
        </w:rPr>
      </w:pPr>
      <w:r>
        <w:rPr>
          <w:rFonts w:ascii="Times New Roman" w:hAnsi="Times New Roman" w:cs="Times New Roman"/>
          <w:b/>
          <w:sz w:val="24"/>
          <w:szCs w:val="24"/>
        </w:rPr>
        <w:t xml:space="preserve">                        </w:t>
      </w:r>
      <w:r w:rsidR="005F2A8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F2A8F">
        <w:rPr>
          <w:rFonts w:ascii="Times New Roman" w:hAnsi="Times New Roman" w:cs="Times New Roman"/>
          <w:b/>
          <w:sz w:val="24"/>
          <w:szCs w:val="24"/>
        </w:rPr>
        <w:t>Asika</w:t>
      </w:r>
      <w:r>
        <w:rPr>
          <w:rFonts w:ascii="Times New Roman" w:hAnsi="Times New Roman" w:cs="Times New Roman"/>
          <w:b/>
          <w:sz w:val="24"/>
          <w:szCs w:val="24"/>
        </w:rPr>
        <w:t xml:space="preserve"> Aminu, </w:t>
      </w:r>
      <w:r w:rsidR="005F2A8F">
        <w:rPr>
          <w:rFonts w:ascii="Times New Roman" w:hAnsi="Times New Roman" w:cs="Times New Roman"/>
          <w:b/>
          <w:sz w:val="24"/>
          <w:szCs w:val="24"/>
        </w:rPr>
        <w:t>Kefas Hellamada Kwala</w:t>
      </w:r>
    </w:p>
    <w:p w:rsidR="005F2A8F" w:rsidRPr="00FD066B" w:rsidRDefault="005F2A8F" w:rsidP="005F2A8F">
      <w:pPr>
        <w:rPr>
          <w:rFonts w:ascii="Times New Roman" w:hAnsi="Times New Roman" w:cs="Times New Roman"/>
          <w:b/>
          <w:sz w:val="24"/>
          <w:szCs w:val="24"/>
        </w:rPr>
      </w:pPr>
      <w:r>
        <w:t xml:space="preserve">               Department of Zoology, Modibbo Adama University Yola, Adamawa State, Nigeria</w:t>
      </w:r>
      <w:r w:rsidR="000E1D8B">
        <w:t>.</w:t>
      </w:r>
    </w:p>
    <w:p w:rsidR="00EE4415" w:rsidRPr="00FE25A5" w:rsidRDefault="00EE4415">
      <w:pPr>
        <w:rPr>
          <w:rFonts w:ascii="Times New Roman" w:hAnsi="Times New Roman" w:cs="Times New Roman"/>
          <w:b/>
        </w:rPr>
      </w:pPr>
    </w:p>
    <w:p w:rsidR="002A6CF7" w:rsidRDefault="002A6CF7"/>
    <w:p w:rsidR="00455A65" w:rsidRDefault="002A6CF7" w:rsidP="00214D22">
      <w:pPr>
        <w:pStyle w:val="ListParagraph"/>
        <w:autoSpaceDE w:val="0"/>
        <w:autoSpaceDN w:val="0"/>
        <w:adjustRightInd w:val="0"/>
        <w:spacing w:after="0" w:line="360" w:lineRule="auto"/>
        <w:ind w:left="714"/>
        <w:jc w:val="both"/>
        <w:rPr>
          <w:rFonts w:ascii="Times New Roman" w:hAnsi="Times New Roman" w:cs="Times New Roman"/>
          <w:sz w:val="24"/>
          <w:szCs w:val="24"/>
        </w:rPr>
      </w:pPr>
      <w:r w:rsidRPr="00CB14A6">
        <w:rPr>
          <w:rFonts w:ascii="Times New Roman" w:hAnsi="Times New Roman" w:cs="Times New Roman"/>
          <w:b/>
          <w:sz w:val="28"/>
          <w:szCs w:val="28"/>
        </w:rPr>
        <w:t>Abstract</w:t>
      </w:r>
      <w:r w:rsidR="00CB14A6" w:rsidRPr="00CB14A6">
        <w:rPr>
          <w:rFonts w:ascii="Times New Roman" w:hAnsi="Times New Roman" w:cs="Times New Roman"/>
          <w:b/>
          <w:sz w:val="28"/>
          <w:szCs w:val="28"/>
        </w:rPr>
        <w:t>:</w:t>
      </w:r>
      <w:r w:rsidR="00AA4746" w:rsidRPr="00AA4746">
        <w:rPr>
          <w:rFonts w:ascii="Times New Roman" w:eastAsia="TimesNewRomanPSMT" w:hAnsi="Times New Roman" w:cs="Times New Roman"/>
          <w:sz w:val="24"/>
          <w:szCs w:val="24"/>
        </w:rPr>
        <w:t xml:space="preserve"> </w:t>
      </w:r>
      <w:r w:rsidR="00AA4746" w:rsidRPr="00DC2434">
        <w:rPr>
          <w:rFonts w:ascii="Times New Roman" w:eastAsia="TimesNewRomanPSMT" w:hAnsi="Times New Roman" w:cs="Times New Roman"/>
          <w:sz w:val="24"/>
          <w:szCs w:val="24"/>
        </w:rPr>
        <w:t>Cryptosporidiosis is a</w:t>
      </w:r>
      <w:r w:rsidR="00324443" w:rsidRPr="00DC2434">
        <w:rPr>
          <w:rFonts w:ascii="Times New Roman" w:eastAsia="TimesNewRomanPSMT" w:hAnsi="Times New Roman" w:cs="Times New Roman"/>
          <w:sz w:val="24"/>
          <w:szCs w:val="24"/>
        </w:rPr>
        <w:t xml:space="preserve">n infectious disease of the intestine caused by a microscopic parasites called cryptosporidium. Many species of cryptosporidium infect animals as well as humans leading to watery </w:t>
      </w:r>
      <w:r w:rsidR="00B56205" w:rsidRPr="00DC2434">
        <w:rPr>
          <w:rFonts w:ascii="Times New Roman" w:eastAsia="TimesNewRomanPSMT" w:hAnsi="Times New Roman" w:cs="Times New Roman"/>
          <w:sz w:val="24"/>
          <w:szCs w:val="24"/>
        </w:rPr>
        <w:t>diarrhea. It is</w:t>
      </w:r>
      <w:r w:rsidR="00AA4746" w:rsidRPr="00DC2434">
        <w:rPr>
          <w:rFonts w:ascii="Times New Roman" w:eastAsia="TimesNewRomanPSMT" w:hAnsi="Times New Roman" w:cs="Times New Roman"/>
          <w:sz w:val="24"/>
          <w:szCs w:val="24"/>
        </w:rPr>
        <w:t xml:space="preserve"> public health problem affecting a wide range of vertebrates</w:t>
      </w:r>
      <w:r w:rsidR="00B56205" w:rsidRPr="00DC2434">
        <w:rPr>
          <w:rFonts w:ascii="Times New Roman" w:eastAsia="TimesNewRomanPSMT" w:hAnsi="Times New Roman" w:cs="Times New Roman"/>
          <w:sz w:val="24"/>
          <w:szCs w:val="24"/>
        </w:rPr>
        <w:t xml:space="preserve">. </w:t>
      </w:r>
      <w:r w:rsidR="00B56205" w:rsidRPr="00034965">
        <w:rPr>
          <w:rFonts w:ascii="Times New Roman" w:eastAsia="TimesNewRomanPSMT" w:hAnsi="Times New Roman" w:cs="Times New Roman"/>
          <w:i/>
          <w:sz w:val="24"/>
          <w:szCs w:val="24"/>
        </w:rPr>
        <w:t>Helicobacter pylori</w:t>
      </w:r>
      <w:r w:rsidR="00B56205" w:rsidRPr="00DC2434">
        <w:rPr>
          <w:rFonts w:ascii="Times New Roman" w:eastAsia="TimesNewRomanPSMT" w:hAnsi="Times New Roman" w:cs="Times New Roman"/>
          <w:sz w:val="24"/>
          <w:szCs w:val="24"/>
        </w:rPr>
        <w:t xml:space="preserve"> infection is a bacterial infection of the stomach caused by </w:t>
      </w:r>
      <w:r w:rsidR="00034965">
        <w:rPr>
          <w:rFonts w:ascii="Times New Roman" w:eastAsia="TimesNewRomanPSMT" w:hAnsi="Times New Roman" w:cs="Times New Roman"/>
          <w:i/>
          <w:sz w:val="24"/>
          <w:szCs w:val="24"/>
        </w:rPr>
        <w:t xml:space="preserve">Helicobacter pylori </w:t>
      </w:r>
      <w:r w:rsidR="00034965" w:rsidRPr="00034965">
        <w:rPr>
          <w:rFonts w:ascii="Times New Roman" w:eastAsia="TimesNewRomanPSMT" w:hAnsi="Times New Roman" w:cs="Times New Roman"/>
          <w:sz w:val="24"/>
          <w:szCs w:val="24"/>
        </w:rPr>
        <w:t>which</w:t>
      </w:r>
      <w:r w:rsidR="00B56205" w:rsidRPr="00DC2434">
        <w:rPr>
          <w:rFonts w:ascii="Times New Roman" w:eastAsia="TimesNewRomanPSMT" w:hAnsi="Times New Roman" w:cs="Times New Roman"/>
          <w:sz w:val="24"/>
          <w:szCs w:val="24"/>
        </w:rPr>
        <w:t xml:space="preserve"> can damage the stomach lining leading to </w:t>
      </w:r>
      <w:r w:rsidR="00307E82" w:rsidRPr="00DC2434">
        <w:rPr>
          <w:rFonts w:ascii="Times New Roman" w:eastAsia="TimesNewRomanPSMT" w:hAnsi="Times New Roman" w:cs="Times New Roman"/>
          <w:sz w:val="24"/>
          <w:szCs w:val="24"/>
        </w:rPr>
        <w:t xml:space="preserve">ulcer. Despite the ubiquitous nature of Cryptosporidiosis and </w:t>
      </w:r>
      <w:r w:rsidR="00E740A4" w:rsidRPr="00DC2434">
        <w:rPr>
          <w:rFonts w:ascii="Times New Roman" w:eastAsia="TimesNewRomanPSMT" w:hAnsi="Times New Roman" w:cs="Times New Roman"/>
          <w:i/>
          <w:sz w:val="24"/>
          <w:szCs w:val="24"/>
        </w:rPr>
        <w:t xml:space="preserve">Helicobacter pylori </w:t>
      </w:r>
      <w:r w:rsidR="00E740A4" w:rsidRPr="00DC2434">
        <w:rPr>
          <w:rFonts w:ascii="Times New Roman" w:eastAsia="TimesNewRomanPSMT" w:hAnsi="Times New Roman" w:cs="Times New Roman"/>
          <w:sz w:val="24"/>
          <w:szCs w:val="24"/>
        </w:rPr>
        <w:t xml:space="preserve">infection, </w:t>
      </w:r>
      <w:r w:rsidR="00307E82" w:rsidRPr="00DC2434">
        <w:rPr>
          <w:rFonts w:ascii="Times New Roman" w:eastAsia="TimesNewRomanPSMT" w:hAnsi="Times New Roman" w:cs="Times New Roman"/>
          <w:sz w:val="24"/>
          <w:szCs w:val="24"/>
        </w:rPr>
        <w:t xml:space="preserve">sufficient information has not been paid to it. Therefore, accurate and prompt data is needed for management, treatment and eradication of the diseases. </w:t>
      </w:r>
      <w:r w:rsidR="00393C70" w:rsidRPr="00DC2434">
        <w:rPr>
          <w:rFonts w:ascii="Times New Roman" w:eastAsia="TimesNewRomanPSMT" w:hAnsi="Times New Roman" w:cs="Times New Roman"/>
          <w:sz w:val="24"/>
          <w:szCs w:val="24"/>
        </w:rPr>
        <w:t xml:space="preserve">The aim of this study was to determine the prevalence of </w:t>
      </w:r>
      <w:r w:rsidR="00455A65" w:rsidRPr="00DC2434">
        <w:rPr>
          <w:rFonts w:ascii="Times New Roman" w:hAnsi="Times New Roman" w:cs="Times New Roman"/>
          <w:sz w:val="24"/>
          <w:szCs w:val="24"/>
        </w:rPr>
        <w:t xml:space="preserve">Cryptosporidiosis and </w:t>
      </w:r>
      <w:r w:rsidR="00455A65" w:rsidRPr="00DC2434">
        <w:rPr>
          <w:rFonts w:ascii="Times New Roman" w:hAnsi="Times New Roman" w:cs="Times New Roman"/>
          <w:i/>
          <w:sz w:val="24"/>
          <w:szCs w:val="24"/>
        </w:rPr>
        <w:t>H. pylori</w:t>
      </w:r>
      <w:r w:rsidR="00455A65" w:rsidRPr="00DC2434">
        <w:rPr>
          <w:rFonts w:ascii="Times New Roman" w:hAnsi="Times New Roman" w:cs="Times New Roman"/>
          <w:sz w:val="24"/>
          <w:szCs w:val="24"/>
        </w:rPr>
        <w:t xml:space="preserve"> i</w:t>
      </w:r>
      <w:r w:rsidR="00534674" w:rsidRPr="00DC2434">
        <w:rPr>
          <w:rFonts w:ascii="Times New Roman" w:hAnsi="Times New Roman" w:cs="Times New Roman"/>
          <w:sz w:val="24"/>
          <w:szCs w:val="24"/>
        </w:rPr>
        <w:t xml:space="preserve">nfection </w:t>
      </w:r>
      <w:r w:rsidR="00455A65" w:rsidRPr="00DC2434">
        <w:rPr>
          <w:rFonts w:ascii="Times New Roman" w:hAnsi="Times New Roman" w:cs="Times New Roman"/>
          <w:sz w:val="24"/>
          <w:szCs w:val="24"/>
        </w:rPr>
        <w:t>among HIV/AIDS positive and negative patients</w:t>
      </w:r>
      <w:r w:rsidR="00534674" w:rsidRPr="00DC2434">
        <w:rPr>
          <w:rFonts w:ascii="Times New Roman" w:hAnsi="Times New Roman" w:cs="Times New Roman"/>
          <w:sz w:val="24"/>
          <w:szCs w:val="24"/>
        </w:rPr>
        <w:t xml:space="preserve"> based on gender, age and study area in</w:t>
      </w:r>
      <w:r w:rsidR="00455A65" w:rsidRPr="00DC2434">
        <w:rPr>
          <w:rFonts w:ascii="Times New Roman" w:hAnsi="Times New Roman" w:cs="Times New Roman"/>
          <w:sz w:val="24"/>
          <w:szCs w:val="24"/>
        </w:rPr>
        <w:t xml:space="preserve"> Adamawa state.</w:t>
      </w:r>
      <w:r w:rsidR="00F21478" w:rsidRPr="00DC2434">
        <w:rPr>
          <w:rFonts w:ascii="Times New Roman" w:eastAsia="Times New Roman" w:hAnsi="Times New Roman" w:cs="Times New Roman"/>
          <w:sz w:val="24"/>
          <w:szCs w:val="24"/>
        </w:rPr>
        <w:t xml:space="preserve"> A cross-sectional hospital-based design was adopted for the study. Stool samples were collected from participants</w:t>
      </w:r>
      <w:r w:rsidR="00871AD7" w:rsidRPr="00DC2434">
        <w:rPr>
          <w:rFonts w:ascii="Times New Roman" w:eastAsia="Times New Roman" w:hAnsi="Times New Roman" w:cs="Times New Roman"/>
          <w:sz w:val="24"/>
          <w:szCs w:val="24"/>
        </w:rPr>
        <w:t xml:space="preserve"> that consented</w:t>
      </w:r>
      <w:r w:rsidR="00F21478" w:rsidRPr="00DC2434">
        <w:rPr>
          <w:rFonts w:ascii="Times New Roman" w:eastAsia="Times New Roman" w:hAnsi="Times New Roman" w:cs="Times New Roman"/>
          <w:sz w:val="24"/>
          <w:szCs w:val="24"/>
        </w:rPr>
        <w:t xml:space="preserve"> and analyzed using standard parasitological and microbiological techniques for the detection of Cryptosporidium oocysts and </w:t>
      </w:r>
      <w:r w:rsidR="00F21478" w:rsidRPr="00DC2434">
        <w:rPr>
          <w:rFonts w:ascii="Times New Roman" w:eastAsia="Times New Roman" w:hAnsi="Times New Roman" w:cs="Times New Roman"/>
          <w:i/>
          <w:iCs/>
          <w:sz w:val="24"/>
          <w:szCs w:val="24"/>
        </w:rPr>
        <w:t>H. pylori</w:t>
      </w:r>
      <w:r w:rsidR="00073E3E" w:rsidRPr="00DC2434">
        <w:rPr>
          <w:rFonts w:ascii="Times New Roman" w:eastAsia="Times New Roman" w:hAnsi="Times New Roman" w:cs="Times New Roman"/>
          <w:sz w:val="24"/>
          <w:szCs w:val="24"/>
        </w:rPr>
        <w:t xml:space="preserve">. </w:t>
      </w:r>
      <w:r w:rsidR="005D1C19" w:rsidRPr="00DC2434">
        <w:rPr>
          <w:rFonts w:ascii="Times New Roman" w:eastAsia="Times New Roman" w:hAnsi="Times New Roman" w:cs="Times New Roman"/>
          <w:sz w:val="24"/>
          <w:szCs w:val="24"/>
        </w:rPr>
        <w:t>Relevant data</w:t>
      </w:r>
      <w:r w:rsidR="00F21478" w:rsidRPr="00DC2434">
        <w:rPr>
          <w:rFonts w:ascii="Times New Roman" w:eastAsia="Times New Roman" w:hAnsi="Times New Roman" w:cs="Times New Roman"/>
          <w:sz w:val="24"/>
          <w:szCs w:val="24"/>
        </w:rPr>
        <w:t xml:space="preserve"> were obtained using structured </w:t>
      </w:r>
      <w:r w:rsidR="00B15869" w:rsidRPr="00DC2434">
        <w:rPr>
          <w:rFonts w:ascii="Times New Roman" w:eastAsia="Times New Roman" w:hAnsi="Times New Roman" w:cs="Times New Roman"/>
          <w:sz w:val="24"/>
          <w:szCs w:val="24"/>
        </w:rPr>
        <w:t>questionnaires.</w:t>
      </w:r>
      <w:r w:rsidR="00F21478" w:rsidRPr="00DC2434">
        <w:rPr>
          <w:rFonts w:ascii="Times New Roman" w:eastAsia="Times New Roman" w:hAnsi="Times New Roman" w:cs="Times New Roman"/>
          <w:sz w:val="24"/>
          <w:szCs w:val="24"/>
        </w:rPr>
        <w:t xml:space="preserve"> Data generated were analyz</w:t>
      </w:r>
      <w:r w:rsidR="00FC6339" w:rsidRPr="00DC2434">
        <w:rPr>
          <w:rFonts w:ascii="Times New Roman" w:eastAsia="Times New Roman" w:hAnsi="Times New Roman" w:cs="Times New Roman"/>
          <w:sz w:val="24"/>
          <w:szCs w:val="24"/>
        </w:rPr>
        <w:t>ed using descriptive statistics. The findings revealed that a</w:t>
      </w:r>
      <w:r w:rsidR="00743666" w:rsidRPr="00DC2434">
        <w:rPr>
          <w:rFonts w:ascii="Times New Roman" w:eastAsia="Times New Roman" w:hAnsi="Times New Roman" w:cs="Times New Roman"/>
          <w:sz w:val="24"/>
          <w:szCs w:val="24"/>
        </w:rPr>
        <w:t>mong HIV-positive participants, a total of 50 individuals were infected with Cryptosporidiosis, comprising 31 males (15.4%) and 19 females (9.9%).</w:t>
      </w:r>
      <w:r w:rsidR="00F21478" w:rsidRPr="00DC2434">
        <w:rPr>
          <w:rFonts w:ascii="Times New Roman" w:eastAsia="Times New Roman" w:hAnsi="Times New Roman" w:cs="Times New Roman"/>
          <w:sz w:val="24"/>
          <w:szCs w:val="24"/>
        </w:rPr>
        <w:t xml:space="preserve"> </w:t>
      </w:r>
      <w:r w:rsidR="00AE2B28" w:rsidRPr="00DC2434">
        <w:rPr>
          <w:rFonts w:ascii="Times New Roman" w:eastAsia="Times New Roman" w:hAnsi="Times New Roman" w:cs="Times New Roman"/>
          <w:sz w:val="24"/>
          <w:szCs w:val="24"/>
        </w:rPr>
        <w:t xml:space="preserve">The highest number of infections among HIV-positive males was recorded in the 25–34 years age group with 9 cases (17.3%), followed by the 35–44 years age group with 8 cases (16.7%). Among HIV-positive females, the highest prevalence was also observed in the 25–34 years age group with 7 cases (14.0%). </w:t>
      </w:r>
      <w:r w:rsidR="00572330" w:rsidRPr="00DC2434">
        <w:rPr>
          <w:rFonts w:ascii="Times New Roman" w:eastAsia="Times New Roman" w:hAnsi="Times New Roman" w:cs="Times New Roman"/>
          <w:sz w:val="24"/>
          <w:szCs w:val="24"/>
        </w:rPr>
        <w:t xml:space="preserve">The chi-square test </w:t>
      </w:r>
      <w:r w:rsidR="00572330" w:rsidRPr="00DC2434">
        <w:rPr>
          <w:rFonts w:ascii="Times New Roman" w:eastAsia="Times New Roman" w:hAnsi="Times New Roman" w:cs="Times New Roman"/>
          <w:sz w:val="24"/>
          <w:szCs w:val="24"/>
        </w:rPr>
        <w:lastRenderedPageBreak/>
        <w:t xml:space="preserve">showed no statistically significant association between sex and Cryptosporidiosis infection among HIV-negative participants (χ² = 0.305, </w:t>
      </w:r>
      <w:proofErr w:type="gramStart"/>
      <w:r w:rsidR="00572330" w:rsidRPr="00DC2434">
        <w:rPr>
          <w:rFonts w:ascii="Times New Roman" w:eastAsia="Times New Roman" w:hAnsi="Times New Roman" w:cs="Times New Roman"/>
          <w:sz w:val="24"/>
          <w:szCs w:val="24"/>
        </w:rPr>
        <w:t>df</w:t>
      </w:r>
      <w:proofErr w:type="gramEnd"/>
      <w:r w:rsidR="00572330" w:rsidRPr="00DC2434">
        <w:rPr>
          <w:rFonts w:ascii="Times New Roman" w:eastAsia="Times New Roman" w:hAnsi="Times New Roman" w:cs="Times New Roman"/>
          <w:sz w:val="24"/>
          <w:szCs w:val="24"/>
        </w:rPr>
        <w:t xml:space="preserve"> = 1, p = 0.581). Similarly, no statistically significant association was observed among HIV-positive participants (χ² = 1.780, </w:t>
      </w:r>
      <w:proofErr w:type="gramStart"/>
      <w:r w:rsidR="00572330" w:rsidRPr="00DC2434">
        <w:rPr>
          <w:rFonts w:ascii="Times New Roman" w:eastAsia="Times New Roman" w:hAnsi="Times New Roman" w:cs="Times New Roman"/>
          <w:sz w:val="24"/>
          <w:szCs w:val="24"/>
        </w:rPr>
        <w:t>df</w:t>
      </w:r>
      <w:proofErr w:type="gramEnd"/>
      <w:r w:rsidR="00572330" w:rsidRPr="00DC2434">
        <w:rPr>
          <w:rFonts w:ascii="Times New Roman" w:eastAsia="Times New Roman" w:hAnsi="Times New Roman" w:cs="Times New Roman"/>
          <w:sz w:val="24"/>
          <w:szCs w:val="24"/>
        </w:rPr>
        <w:t xml:space="preserve"> = 1, p = 0.182). This indicates that the observed differences in Cryptosporidiosis prevalence across age and sex groups were not statistically significant.</w:t>
      </w:r>
      <w:r w:rsidR="00C81E1E" w:rsidRPr="00DC2434">
        <w:rPr>
          <w:rFonts w:ascii="Times New Roman" w:eastAsia="Times New Roman" w:hAnsi="Times New Roman" w:cs="Times New Roman"/>
          <w:sz w:val="24"/>
          <w:szCs w:val="24"/>
        </w:rPr>
        <w:t xml:space="preserve"> The chi-square analysis showed no statistically significant association between sex and </w:t>
      </w:r>
      <w:r w:rsidR="00C81E1E" w:rsidRPr="00DC2434">
        <w:rPr>
          <w:rFonts w:ascii="Times New Roman" w:eastAsia="Times New Roman" w:hAnsi="Times New Roman" w:cs="Times New Roman"/>
          <w:i/>
          <w:iCs/>
          <w:sz w:val="24"/>
          <w:szCs w:val="24"/>
        </w:rPr>
        <w:t>H. pylori</w:t>
      </w:r>
      <w:r w:rsidR="00C81E1E" w:rsidRPr="00DC2434">
        <w:rPr>
          <w:rFonts w:ascii="Times New Roman" w:eastAsia="Times New Roman" w:hAnsi="Times New Roman" w:cs="Times New Roman"/>
          <w:sz w:val="24"/>
          <w:szCs w:val="24"/>
        </w:rPr>
        <w:t xml:space="preserve"> infection among HIV-negative participants (χ² = 0.551, </w:t>
      </w:r>
      <w:proofErr w:type="gramStart"/>
      <w:r w:rsidR="00C81E1E" w:rsidRPr="00DC2434">
        <w:rPr>
          <w:rFonts w:ascii="Times New Roman" w:eastAsia="Times New Roman" w:hAnsi="Times New Roman" w:cs="Times New Roman"/>
          <w:sz w:val="24"/>
          <w:szCs w:val="24"/>
        </w:rPr>
        <w:t>df</w:t>
      </w:r>
      <w:proofErr w:type="gramEnd"/>
      <w:r w:rsidR="00C81E1E" w:rsidRPr="00DC2434">
        <w:rPr>
          <w:rFonts w:ascii="Times New Roman" w:eastAsia="Times New Roman" w:hAnsi="Times New Roman" w:cs="Times New Roman"/>
          <w:sz w:val="24"/>
          <w:szCs w:val="24"/>
        </w:rPr>
        <w:t xml:space="preserve"> = 1, p = 0.458). Similarly, no statistically significant association was observed among HIV-positive participants (χ² = 0.987, </w:t>
      </w:r>
      <w:proofErr w:type="gramStart"/>
      <w:r w:rsidR="00C81E1E" w:rsidRPr="00DC2434">
        <w:rPr>
          <w:rFonts w:ascii="Times New Roman" w:eastAsia="Times New Roman" w:hAnsi="Times New Roman" w:cs="Times New Roman"/>
          <w:sz w:val="24"/>
          <w:szCs w:val="24"/>
        </w:rPr>
        <w:t>df</w:t>
      </w:r>
      <w:proofErr w:type="gramEnd"/>
      <w:r w:rsidR="00C81E1E" w:rsidRPr="00DC2434">
        <w:rPr>
          <w:rFonts w:ascii="Times New Roman" w:eastAsia="Times New Roman" w:hAnsi="Times New Roman" w:cs="Times New Roman"/>
          <w:sz w:val="24"/>
          <w:szCs w:val="24"/>
        </w:rPr>
        <w:t xml:space="preserve"> = 1, p = 0.321). This indicates that the observed variations in </w:t>
      </w:r>
      <w:r w:rsidR="00C81E1E" w:rsidRPr="00DC2434">
        <w:rPr>
          <w:rFonts w:ascii="Times New Roman" w:eastAsia="Times New Roman" w:hAnsi="Times New Roman" w:cs="Times New Roman"/>
          <w:i/>
          <w:iCs/>
          <w:sz w:val="24"/>
          <w:szCs w:val="24"/>
        </w:rPr>
        <w:t>H. pylori</w:t>
      </w:r>
      <w:r w:rsidR="00C81E1E" w:rsidRPr="00DC2434">
        <w:rPr>
          <w:rFonts w:ascii="Times New Roman" w:eastAsia="Times New Roman" w:hAnsi="Times New Roman" w:cs="Times New Roman"/>
          <w:sz w:val="24"/>
          <w:szCs w:val="24"/>
        </w:rPr>
        <w:t xml:space="preserve"> prevalence across age and sex groups were not statistically significant</w:t>
      </w:r>
      <w:r w:rsidR="00176F78" w:rsidRPr="00DC2434">
        <w:rPr>
          <w:rFonts w:ascii="Times New Roman" w:eastAsia="Times New Roman" w:hAnsi="Times New Roman" w:cs="Times New Roman"/>
          <w:sz w:val="24"/>
          <w:szCs w:val="24"/>
        </w:rPr>
        <w:t>.</w:t>
      </w:r>
      <w:r w:rsidR="008D0774" w:rsidRPr="00DC2434">
        <w:rPr>
          <w:rFonts w:ascii="Times New Roman" w:eastAsia="Times New Roman" w:hAnsi="Times New Roman" w:cs="Times New Roman"/>
          <w:sz w:val="24"/>
          <w:szCs w:val="24"/>
        </w:rPr>
        <w:t xml:space="preserve"> Although variations in prevalence were observed across health facilities</w:t>
      </w:r>
      <w:r w:rsidR="00DE456C" w:rsidRPr="00DC2434">
        <w:rPr>
          <w:rFonts w:ascii="Times New Roman" w:eastAsia="Times New Roman" w:hAnsi="Times New Roman" w:cs="Times New Roman"/>
          <w:sz w:val="24"/>
          <w:szCs w:val="24"/>
        </w:rPr>
        <w:t xml:space="preserve"> (study areas)</w:t>
      </w:r>
      <w:r w:rsidR="008D0774" w:rsidRPr="00DC2434">
        <w:rPr>
          <w:rFonts w:ascii="Times New Roman" w:eastAsia="Times New Roman" w:hAnsi="Times New Roman" w:cs="Times New Roman"/>
          <w:sz w:val="24"/>
          <w:szCs w:val="24"/>
        </w:rPr>
        <w:t>, age groups, sex categories, most of these variations were not statistically significant. This suggests that exposure to intestinal pathogens may be widespread in the study area</w:t>
      </w:r>
      <w:r w:rsidR="00DC2434" w:rsidRPr="00DC2434">
        <w:rPr>
          <w:rFonts w:ascii="Times New Roman" w:eastAsia="Times New Roman" w:hAnsi="Times New Roman" w:cs="Times New Roman"/>
          <w:sz w:val="24"/>
          <w:szCs w:val="24"/>
        </w:rPr>
        <w:t>s</w:t>
      </w:r>
      <w:r w:rsidR="008D0774" w:rsidRPr="00DC2434">
        <w:rPr>
          <w:rFonts w:ascii="Times New Roman" w:eastAsia="Times New Roman" w:hAnsi="Times New Roman" w:cs="Times New Roman"/>
          <w:sz w:val="24"/>
          <w:szCs w:val="24"/>
        </w:rPr>
        <w:t xml:space="preserve"> and not confined to specific demographic subgroups.</w:t>
      </w:r>
      <w:r w:rsidR="00497060" w:rsidRPr="00DC2434">
        <w:rPr>
          <w:rFonts w:ascii="Times New Roman" w:eastAsia="Times New Roman" w:hAnsi="Times New Roman" w:cs="Times New Roman"/>
          <w:sz w:val="24"/>
          <w:szCs w:val="24"/>
        </w:rPr>
        <w:t xml:space="preserve"> Higher prevalence of infections was observed among HIV-positive participants compared to HIV-negative participants. Variations were observed across health facilities</w:t>
      </w:r>
      <w:r w:rsidR="00B15869" w:rsidRPr="00DC2434">
        <w:rPr>
          <w:rFonts w:ascii="Times New Roman" w:eastAsia="Times New Roman" w:hAnsi="Times New Roman" w:cs="Times New Roman"/>
          <w:sz w:val="24"/>
          <w:szCs w:val="24"/>
        </w:rPr>
        <w:t>,</w:t>
      </w:r>
      <w:r w:rsidR="00497060" w:rsidRPr="00DC2434">
        <w:rPr>
          <w:rFonts w:ascii="Times New Roman" w:eastAsia="Times New Roman" w:hAnsi="Times New Roman" w:cs="Times New Roman"/>
          <w:sz w:val="24"/>
          <w:szCs w:val="24"/>
        </w:rPr>
        <w:t xml:space="preserve"> however, most of these differences were not statistically significant</w:t>
      </w:r>
      <w:r w:rsidR="00497060">
        <w:rPr>
          <w:rFonts w:ascii="Times New Roman" w:eastAsia="Times New Roman" w:hAnsi="Times New Roman" w:cs="Times New Roman"/>
          <w:sz w:val="24"/>
          <w:szCs w:val="24"/>
        </w:rPr>
        <w:t>.</w:t>
      </w:r>
    </w:p>
    <w:p w:rsidR="00CA5AA0" w:rsidRDefault="00CA5AA0" w:rsidP="00A26BC7">
      <w:pPr>
        <w:spacing w:after="0" w:line="360" w:lineRule="auto"/>
        <w:ind w:firstLine="720"/>
        <w:jc w:val="both"/>
        <w:rPr>
          <w:rFonts w:ascii="Times New Roman" w:eastAsia="TimesNewRomanPSMT" w:hAnsi="Times New Roman" w:cs="Times New Roman"/>
          <w:sz w:val="24"/>
          <w:szCs w:val="24"/>
        </w:rPr>
      </w:pPr>
    </w:p>
    <w:p w:rsidR="00CD48AF" w:rsidRDefault="00CD48AF" w:rsidP="00A26BC7">
      <w:pPr>
        <w:spacing w:after="0" w:line="360" w:lineRule="auto"/>
        <w:ind w:firstLine="720"/>
        <w:jc w:val="both"/>
        <w:rPr>
          <w:rFonts w:ascii="Times New Roman" w:eastAsia="TimesNewRomanPSMT" w:hAnsi="Times New Roman" w:cs="Times New Roman"/>
          <w:sz w:val="24"/>
          <w:szCs w:val="24"/>
        </w:rPr>
      </w:pPr>
    </w:p>
    <w:p w:rsidR="00D7229D" w:rsidRDefault="0036758F" w:rsidP="00D7229D">
      <w:pPr>
        <w:spacing w:after="0" w:line="360" w:lineRule="auto"/>
        <w:jc w:val="both"/>
        <w:rPr>
          <w:rFonts w:ascii="Times New Roman" w:hAnsi="Times New Roman" w:cs="Times New Roman"/>
          <w:i/>
          <w:sz w:val="24"/>
          <w:szCs w:val="24"/>
        </w:rPr>
      </w:pPr>
      <w:r>
        <w:rPr>
          <w:rFonts w:ascii="Times New Roman" w:eastAsia="TimesNewRomanPSMT" w:hAnsi="Times New Roman" w:cs="Times New Roman"/>
          <w:b/>
          <w:sz w:val="24"/>
          <w:szCs w:val="24"/>
        </w:rPr>
        <w:t xml:space="preserve">        </w:t>
      </w:r>
      <w:r w:rsidR="00CA5AA0" w:rsidRPr="00CA5AA0">
        <w:rPr>
          <w:rFonts w:ascii="Times New Roman" w:eastAsia="TimesNewRomanPSMT" w:hAnsi="Times New Roman" w:cs="Times New Roman"/>
          <w:b/>
          <w:sz w:val="24"/>
          <w:szCs w:val="24"/>
        </w:rPr>
        <w:t>Key words</w:t>
      </w:r>
      <w:r w:rsidR="00CA5AA0">
        <w:rPr>
          <w:rFonts w:ascii="Times New Roman" w:eastAsia="TimesNewRomanPSMT" w:hAnsi="Times New Roman" w:cs="Times New Roman"/>
          <w:b/>
          <w:sz w:val="24"/>
          <w:szCs w:val="24"/>
        </w:rPr>
        <w:t>:</w:t>
      </w:r>
      <w:r w:rsidR="00144853">
        <w:rPr>
          <w:rFonts w:ascii="Times New Roman" w:eastAsia="TimesNewRomanPSMT" w:hAnsi="Times New Roman" w:cs="Times New Roman"/>
          <w:b/>
          <w:sz w:val="24"/>
          <w:szCs w:val="24"/>
        </w:rPr>
        <w:t xml:space="preserve"> </w:t>
      </w:r>
      <w:r w:rsidR="00DF074E" w:rsidRPr="007E765F">
        <w:rPr>
          <w:rFonts w:ascii="Times New Roman" w:hAnsi="Times New Roman" w:cs="Times New Roman"/>
          <w:sz w:val="24"/>
          <w:szCs w:val="24"/>
        </w:rPr>
        <w:t xml:space="preserve">Prevalence, </w:t>
      </w:r>
      <w:r w:rsidR="00D7229D">
        <w:rPr>
          <w:rFonts w:ascii="Times New Roman" w:hAnsi="Times New Roman" w:cs="Times New Roman"/>
          <w:sz w:val="24"/>
          <w:szCs w:val="24"/>
        </w:rPr>
        <w:t xml:space="preserve">Human </w:t>
      </w:r>
      <w:r w:rsidR="00D7229D" w:rsidRPr="007E765F">
        <w:rPr>
          <w:rFonts w:ascii="Times New Roman" w:hAnsi="Times New Roman" w:cs="Times New Roman"/>
          <w:sz w:val="24"/>
          <w:szCs w:val="24"/>
        </w:rPr>
        <w:t>Immunodefici</w:t>
      </w:r>
      <w:r w:rsidR="00D7229D">
        <w:rPr>
          <w:rFonts w:ascii="Times New Roman" w:hAnsi="Times New Roman" w:cs="Times New Roman"/>
          <w:sz w:val="24"/>
          <w:szCs w:val="24"/>
        </w:rPr>
        <w:t xml:space="preserve">ency </w:t>
      </w:r>
      <w:r w:rsidR="00D7229D" w:rsidRPr="007E765F">
        <w:rPr>
          <w:rFonts w:ascii="Times New Roman" w:hAnsi="Times New Roman" w:cs="Times New Roman"/>
          <w:sz w:val="24"/>
          <w:szCs w:val="24"/>
        </w:rPr>
        <w:t>Virus,</w:t>
      </w:r>
      <w:r w:rsidR="00D7229D">
        <w:rPr>
          <w:rFonts w:ascii="Times New Roman" w:hAnsi="Times New Roman" w:cs="Times New Roman"/>
          <w:sz w:val="24"/>
          <w:szCs w:val="24"/>
        </w:rPr>
        <w:t xml:space="preserve"> </w:t>
      </w:r>
      <w:r w:rsidR="00DF074E" w:rsidRPr="007E765F">
        <w:rPr>
          <w:rFonts w:ascii="Times New Roman" w:hAnsi="Times New Roman" w:cs="Times New Roman"/>
          <w:sz w:val="24"/>
          <w:szCs w:val="24"/>
        </w:rPr>
        <w:t>Cryptosporidiosis,</w:t>
      </w:r>
      <w:r w:rsidR="00B3649E" w:rsidRPr="007E765F">
        <w:rPr>
          <w:rFonts w:ascii="Times New Roman" w:hAnsi="Times New Roman" w:cs="Times New Roman"/>
          <w:sz w:val="24"/>
          <w:szCs w:val="24"/>
        </w:rPr>
        <w:t xml:space="preserve"> </w:t>
      </w:r>
      <w:r w:rsidR="00B3649E" w:rsidRPr="007E765F">
        <w:rPr>
          <w:rFonts w:ascii="Times New Roman" w:hAnsi="Times New Roman" w:cs="Times New Roman"/>
          <w:i/>
          <w:sz w:val="24"/>
          <w:szCs w:val="24"/>
        </w:rPr>
        <w:t xml:space="preserve">Helicobacter </w:t>
      </w:r>
      <w:r w:rsidR="00D7229D">
        <w:rPr>
          <w:rFonts w:ascii="Times New Roman" w:hAnsi="Times New Roman" w:cs="Times New Roman"/>
          <w:i/>
          <w:sz w:val="24"/>
          <w:szCs w:val="24"/>
        </w:rPr>
        <w:t xml:space="preserve">      </w:t>
      </w:r>
    </w:p>
    <w:p w:rsidR="00A26BC7" w:rsidRDefault="00D7229D" w:rsidP="00163BF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B3649E" w:rsidRPr="007E765F">
        <w:rPr>
          <w:rFonts w:ascii="Times New Roman" w:hAnsi="Times New Roman" w:cs="Times New Roman"/>
          <w:i/>
          <w:sz w:val="24"/>
          <w:szCs w:val="24"/>
        </w:rPr>
        <w:t>Pylori</w:t>
      </w:r>
      <w:r w:rsidR="00DF074E" w:rsidRPr="007E765F">
        <w:rPr>
          <w:rFonts w:ascii="Times New Roman" w:hAnsi="Times New Roman" w:cs="Times New Roman"/>
          <w:sz w:val="24"/>
          <w:szCs w:val="24"/>
        </w:rPr>
        <w:t>,</w:t>
      </w:r>
      <w:r w:rsidRPr="007E765F">
        <w:rPr>
          <w:rFonts w:ascii="Times New Roman" w:hAnsi="Times New Roman" w:cs="Times New Roman"/>
          <w:sz w:val="24"/>
          <w:szCs w:val="24"/>
        </w:rPr>
        <w:t xml:space="preserve"> Patients</w:t>
      </w:r>
      <w:r>
        <w:rPr>
          <w:rFonts w:ascii="Times New Roman" w:hAnsi="Times New Roman" w:cs="Times New Roman"/>
          <w:sz w:val="24"/>
          <w:szCs w:val="24"/>
        </w:rPr>
        <w:t>,</w:t>
      </w:r>
      <w:r w:rsidR="00163BFB">
        <w:rPr>
          <w:rFonts w:ascii="Times New Roman" w:hAnsi="Times New Roman" w:cs="Times New Roman"/>
          <w:sz w:val="24"/>
          <w:szCs w:val="24"/>
        </w:rPr>
        <w:t xml:space="preserve"> Sociodemographic</w:t>
      </w:r>
      <w:r>
        <w:rPr>
          <w:rFonts w:ascii="Times New Roman" w:hAnsi="Times New Roman" w:cs="Times New Roman"/>
          <w:sz w:val="24"/>
          <w:szCs w:val="24"/>
        </w:rPr>
        <w:t xml:space="preserve"> variables.</w:t>
      </w:r>
    </w:p>
    <w:p w:rsidR="00163BFB" w:rsidRPr="00163BFB" w:rsidRDefault="00163BFB" w:rsidP="00163BFB">
      <w:pPr>
        <w:spacing w:after="0" w:line="360" w:lineRule="auto"/>
        <w:jc w:val="both"/>
        <w:rPr>
          <w:rFonts w:ascii="Times New Roman" w:hAnsi="Times New Roman" w:cs="Times New Roman"/>
          <w:sz w:val="24"/>
          <w:szCs w:val="24"/>
        </w:rPr>
      </w:pPr>
    </w:p>
    <w:p w:rsidR="00A26BC7" w:rsidRPr="0037022C" w:rsidRDefault="0037022C" w:rsidP="0037022C">
      <w:pPr>
        <w:rPr>
          <w:rFonts w:ascii="Times New Roman" w:hAnsi="Times New Roman" w:cs="Times New Roman"/>
          <w:b/>
          <w:sz w:val="28"/>
          <w:szCs w:val="28"/>
        </w:rPr>
      </w:pPr>
      <w:r>
        <w:rPr>
          <w:rFonts w:ascii="Times New Roman" w:eastAsia="TimesNewRomanPSMT" w:hAnsi="Times New Roman" w:cs="Times New Roman"/>
          <w:b/>
          <w:sz w:val="24"/>
          <w:szCs w:val="24"/>
        </w:rPr>
        <w:t>1.</w:t>
      </w:r>
      <w:r w:rsidRPr="0037022C">
        <w:rPr>
          <w:rFonts w:ascii="Times New Roman" w:eastAsia="TimesNewRomanPSMT" w:hAnsi="Times New Roman" w:cs="Times New Roman"/>
          <w:b/>
          <w:sz w:val="24"/>
          <w:szCs w:val="24"/>
        </w:rPr>
        <w:t>0</w:t>
      </w:r>
      <w:r>
        <w:rPr>
          <w:rFonts w:ascii="Times New Roman" w:eastAsia="TimesNewRomanPSMT" w:hAnsi="Times New Roman" w:cs="Times New Roman"/>
          <w:b/>
          <w:sz w:val="24"/>
          <w:szCs w:val="24"/>
        </w:rPr>
        <w:t xml:space="preserve">  </w:t>
      </w:r>
      <w:r w:rsidRPr="0037022C">
        <w:rPr>
          <w:rFonts w:ascii="Times New Roman" w:eastAsia="TimesNewRomanPSMT" w:hAnsi="Times New Roman" w:cs="Times New Roman"/>
          <w:b/>
          <w:sz w:val="24"/>
          <w:szCs w:val="24"/>
        </w:rPr>
        <w:t xml:space="preserve"> </w:t>
      </w:r>
      <w:r w:rsidR="00A26BC7" w:rsidRPr="0037022C">
        <w:rPr>
          <w:rFonts w:ascii="Times New Roman" w:eastAsia="TimesNewRomanPSMT" w:hAnsi="Times New Roman" w:cs="Times New Roman"/>
          <w:b/>
          <w:sz w:val="24"/>
          <w:szCs w:val="24"/>
        </w:rPr>
        <w:t>Introduction</w:t>
      </w:r>
      <w:bookmarkStart w:id="0" w:name="_GoBack"/>
      <w:bookmarkEnd w:id="0"/>
    </w:p>
    <w:p w:rsidR="00A26BC7" w:rsidRPr="00A26BC7" w:rsidRDefault="00DA0789" w:rsidP="00A26BC7">
      <w:pPr>
        <w:pStyle w:val="ListParagraph"/>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26BC7" w:rsidRPr="00A26BC7">
        <w:rPr>
          <w:rFonts w:ascii="Times New Roman" w:eastAsia="Times New Roman" w:hAnsi="Times New Roman" w:cs="Times New Roman"/>
          <w:bCs/>
          <w:sz w:val="24"/>
          <w:szCs w:val="24"/>
        </w:rPr>
        <w:t xml:space="preserve">Human Immunodeficiency Virus [HIV] remains a </w:t>
      </w:r>
      <w:r w:rsidR="00F52B6B">
        <w:rPr>
          <w:rFonts w:ascii="Times New Roman" w:eastAsia="Times New Roman" w:hAnsi="Times New Roman" w:cs="Times New Roman"/>
          <w:bCs/>
          <w:sz w:val="24"/>
          <w:szCs w:val="24"/>
        </w:rPr>
        <w:t>ma</w:t>
      </w:r>
      <w:r w:rsidR="006567DC">
        <w:rPr>
          <w:rFonts w:ascii="Times New Roman" w:eastAsia="Times New Roman" w:hAnsi="Times New Roman" w:cs="Times New Roman"/>
          <w:bCs/>
          <w:sz w:val="24"/>
          <w:szCs w:val="24"/>
        </w:rPr>
        <w:t>jor global public health issue</w:t>
      </w:r>
      <w:r w:rsidR="00A26BC7" w:rsidRPr="00A26BC7">
        <w:rPr>
          <w:rFonts w:ascii="Times New Roman" w:eastAsia="Times New Roman" w:hAnsi="Times New Roman" w:cs="Times New Roman"/>
          <w:bCs/>
          <w:sz w:val="24"/>
          <w:szCs w:val="24"/>
        </w:rPr>
        <w:t>, having claimed 40.4 million (32.9–51.3 million) lives so far with ongoing transmission in all countries globally; with some count</w:t>
      </w:r>
      <w:r w:rsidR="00F52B6B">
        <w:rPr>
          <w:rFonts w:ascii="Times New Roman" w:eastAsia="Times New Roman" w:hAnsi="Times New Roman" w:cs="Times New Roman"/>
          <w:bCs/>
          <w:sz w:val="24"/>
          <w:szCs w:val="24"/>
        </w:rPr>
        <w:t>ries reporting increasing patterns</w:t>
      </w:r>
      <w:r w:rsidR="00A26BC7" w:rsidRPr="00A26BC7">
        <w:rPr>
          <w:rFonts w:ascii="Times New Roman" w:eastAsia="Times New Roman" w:hAnsi="Times New Roman" w:cs="Times New Roman"/>
          <w:bCs/>
          <w:sz w:val="24"/>
          <w:szCs w:val="24"/>
        </w:rPr>
        <w:t xml:space="preserve"> in new infections when</w:t>
      </w:r>
      <w:r w:rsidR="00C84823">
        <w:rPr>
          <w:rFonts w:ascii="Times New Roman" w:eastAsia="Times New Roman" w:hAnsi="Times New Roman" w:cs="Times New Roman"/>
          <w:bCs/>
          <w:sz w:val="24"/>
          <w:szCs w:val="24"/>
        </w:rPr>
        <w:t xml:space="preserve"> previously on the decline (1</w:t>
      </w:r>
      <w:r w:rsidR="00A26BC7" w:rsidRPr="00A26BC7">
        <w:rPr>
          <w:rFonts w:ascii="Times New Roman" w:eastAsia="Times New Roman" w:hAnsi="Times New Roman" w:cs="Times New Roman"/>
          <w:bCs/>
          <w:sz w:val="24"/>
          <w:szCs w:val="24"/>
        </w:rPr>
        <w:t>). There were an estimated 39.0 million (33.1–45.7 million) people living with HIV at the end of 2022, two thirds of whom (25.6 million) are in the WHO African Region. In 2022, 630 00</w:t>
      </w:r>
      <w:r w:rsidR="00FA2CC0">
        <w:rPr>
          <w:rFonts w:ascii="Times New Roman" w:eastAsia="Times New Roman" w:hAnsi="Times New Roman" w:cs="Times New Roman"/>
          <w:bCs/>
          <w:sz w:val="24"/>
          <w:szCs w:val="24"/>
        </w:rPr>
        <w:t xml:space="preserve">0 (480 000–880 000) people died </w:t>
      </w:r>
      <w:r w:rsidR="00A26BC7" w:rsidRPr="00A26BC7">
        <w:rPr>
          <w:rFonts w:ascii="Times New Roman" w:eastAsia="Times New Roman" w:hAnsi="Times New Roman" w:cs="Times New Roman"/>
          <w:bCs/>
          <w:sz w:val="24"/>
          <w:szCs w:val="24"/>
        </w:rPr>
        <w:t>from HIV-related causes and 1.3 million (1.0–1.7 million) people acquired HIV.</w:t>
      </w:r>
    </w:p>
    <w:p w:rsidR="00A26BC7" w:rsidRPr="00A26BC7" w:rsidRDefault="00DA0789" w:rsidP="00A26BC7">
      <w:pPr>
        <w:pStyle w:val="ListParagraph"/>
        <w:autoSpaceDE w:val="0"/>
        <w:autoSpaceDN w:val="0"/>
        <w:adjustRightInd w:val="0"/>
        <w:spacing w:after="0" w:line="36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w:t>
      </w:r>
      <w:r w:rsidR="00A26BC7" w:rsidRPr="00A26BC7">
        <w:rPr>
          <w:rFonts w:ascii="Times New Roman" w:hAnsi="Times New Roman" w:cs="Times New Roman"/>
          <w:sz w:val="24"/>
          <w:szCs w:val="24"/>
        </w:rPr>
        <w:t>It is estimated that 1.8million Nigerians are living with HIV (National AIDS and STDs</w:t>
      </w:r>
      <w:r w:rsidR="00B61B0F">
        <w:rPr>
          <w:rFonts w:ascii="Times New Roman" w:hAnsi="Times New Roman" w:cs="Times New Roman"/>
          <w:sz w:val="24"/>
          <w:szCs w:val="24"/>
        </w:rPr>
        <w:t xml:space="preserve"> Control Programme (2</w:t>
      </w:r>
      <w:r w:rsidR="00A26BC7" w:rsidRPr="00A26BC7">
        <w:rPr>
          <w:rFonts w:ascii="Times New Roman" w:hAnsi="Times New Roman" w:cs="Times New Roman"/>
          <w:sz w:val="24"/>
          <w:szCs w:val="24"/>
        </w:rPr>
        <w:t xml:space="preserve">). </w:t>
      </w:r>
      <w:r w:rsidR="00A26BC7" w:rsidRPr="00A26BC7">
        <w:rPr>
          <w:rFonts w:ascii="Times New Roman" w:eastAsia="Times New Roman" w:hAnsi="Times New Roman" w:cs="Times New Roman"/>
          <w:bCs/>
          <w:sz w:val="24"/>
          <w:szCs w:val="24"/>
        </w:rPr>
        <w:t>There is no cure for HIV infec</w:t>
      </w:r>
      <w:r w:rsidR="00DB4E26">
        <w:rPr>
          <w:rFonts w:ascii="Times New Roman" w:eastAsia="Times New Roman" w:hAnsi="Times New Roman" w:cs="Times New Roman"/>
          <w:bCs/>
          <w:sz w:val="24"/>
          <w:szCs w:val="24"/>
        </w:rPr>
        <w:t xml:space="preserve">tion. However, with access to </w:t>
      </w:r>
      <w:r w:rsidR="00DB4E26">
        <w:rPr>
          <w:rFonts w:ascii="Times New Roman" w:eastAsia="Times New Roman" w:hAnsi="Times New Roman" w:cs="Times New Roman"/>
          <w:bCs/>
          <w:sz w:val="24"/>
          <w:szCs w:val="24"/>
        </w:rPr>
        <w:lastRenderedPageBreak/>
        <w:t>e</w:t>
      </w:r>
      <w:r w:rsidR="00A26BC7" w:rsidRPr="00A26BC7">
        <w:rPr>
          <w:rFonts w:ascii="Times New Roman" w:eastAsia="Times New Roman" w:hAnsi="Times New Roman" w:cs="Times New Roman"/>
          <w:bCs/>
          <w:sz w:val="24"/>
          <w:szCs w:val="24"/>
        </w:rPr>
        <w:t>ffective HIV prevention, diagnosis, treatment and c</w:t>
      </w:r>
      <w:r w:rsidR="00F52B6B">
        <w:rPr>
          <w:rFonts w:ascii="Times New Roman" w:eastAsia="Times New Roman" w:hAnsi="Times New Roman" w:cs="Times New Roman"/>
          <w:bCs/>
          <w:sz w:val="24"/>
          <w:szCs w:val="24"/>
        </w:rPr>
        <w:t>are, including for immune-related</w:t>
      </w:r>
      <w:r w:rsidR="00A26BC7" w:rsidRPr="00A26BC7">
        <w:rPr>
          <w:rFonts w:ascii="Times New Roman" w:eastAsia="Times New Roman" w:hAnsi="Times New Roman" w:cs="Times New Roman"/>
          <w:bCs/>
          <w:sz w:val="24"/>
          <w:szCs w:val="24"/>
        </w:rPr>
        <w:t xml:space="preserve"> infections, HIV i</w:t>
      </w:r>
      <w:r w:rsidR="00FB72FF">
        <w:rPr>
          <w:rFonts w:ascii="Times New Roman" w:eastAsia="Times New Roman" w:hAnsi="Times New Roman" w:cs="Times New Roman"/>
          <w:bCs/>
          <w:sz w:val="24"/>
          <w:szCs w:val="24"/>
        </w:rPr>
        <w:t>nfection has become a controllable</w:t>
      </w:r>
      <w:r w:rsidR="00A26BC7" w:rsidRPr="00A26BC7">
        <w:rPr>
          <w:rFonts w:ascii="Times New Roman" w:eastAsia="Times New Roman" w:hAnsi="Times New Roman" w:cs="Times New Roman"/>
          <w:bCs/>
          <w:sz w:val="24"/>
          <w:szCs w:val="24"/>
        </w:rPr>
        <w:t xml:space="preserve"> chronic health condition, enabling people living with HIV to leave </w:t>
      </w:r>
      <w:r w:rsidR="00F52B6B">
        <w:rPr>
          <w:rFonts w:ascii="Times New Roman" w:eastAsia="Times New Roman" w:hAnsi="Times New Roman" w:cs="Times New Roman"/>
          <w:bCs/>
          <w:sz w:val="24"/>
          <w:szCs w:val="24"/>
        </w:rPr>
        <w:t>long and sound</w:t>
      </w:r>
      <w:r w:rsidR="00FB72FF">
        <w:rPr>
          <w:rFonts w:ascii="Times New Roman" w:eastAsia="Times New Roman" w:hAnsi="Times New Roman" w:cs="Times New Roman"/>
          <w:bCs/>
          <w:sz w:val="24"/>
          <w:szCs w:val="24"/>
        </w:rPr>
        <w:t xml:space="preserve"> live (1</w:t>
      </w:r>
      <w:r w:rsidR="00A26BC7" w:rsidRPr="00A26BC7">
        <w:rPr>
          <w:rFonts w:ascii="Times New Roman" w:eastAsia="Times New Roman" w:hAnsi="Times New Roman" w:cs="Times New Roman"/>
          <w:bCs/>
          <w:sz w:val="24"/>
          <w:szCs w:val="24"/>
        </w:rPr>
        <w:t>).</w:t>
      </w:r>
    </w:p>
    <w:p w:rsidR="006567DC" w:rsidRDefault="00DA0789" w:rsidP="006567DC">
      <w:pPr>
        <w:pStyle w:val="ListParagraph"/>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hAnsi="Times New Roman" w:cs="Times New Roman"/>
          <w:i/>
          <w:iCs/>
        </w:rPr>
        <w:t xml:space="preserve">             </w:t>
      </w:r>
      <w:r w:rsidR="00B174E5">
        <w:rPr>
          <w:rFonts w:ascii="Times New Roman" w:hAnsi="Times New Roman" w:cs="Times New Roman"/>
          <w:i/>
          <w:iCs/>
        </w:rPr>
        <w:t xml:space="preserve">Cryptosporidium </w:t>
      </w:r>
      <w:r w:rsidR="00B174E5">
        <w:rPr>
          <w:rFonts w:ascii="Times New Roman" w:hAnsi="Times New Roman" w:cs="Times New Roman"/>
        </w:rPr>
        <w:t xml:space="preserve">is a microscopic </w:t>
      </w:r>
      <w:r w:rsidR="00A26BC7">
        <w:rPr>
          <w:rFonts w:ascii="Times New Roman" w:hAnsi="Times New Roman" w:cs="Times New Roman"/>
        </w:rPr>
        <w:t xml:space="preserve">parasite that causes the diarrheal disease cryptosporidiosis. Both the parasite and the disease are commonly known as "Crypto."  There are many species of </w:t>
      </w:r>
      <w:r w:rsidR="00A26BC7">
        <w:rPr>
          <w:rFonts w:ascii="Times New Roman" w:hAnsi="Times New Roman" w:cs="Times New Roman"/>
          <w:i/>
          <w:iCs/>
        </w:rPr>
        <w:t xml:space="preserve">Cryptosporidium </w:t>
      </w:r>
      <w:r w:rsidR="00A26BC7">
        <w:rPr>
          <w:rFonts w:ascii="Times New Roman" w:hAnsi="Times New Roman" w:cs="Times New Roman"/>
        </w:rPr>
        <w:t xml:space="preserve">that infect animals, some of which also infect humans. </w:t>
      </w:r>
      <w:r w:rsidR="00A26BC7">
        <w:rPr>
          <w:rFonts w:ascii="Times New Roman" w:hAnsi="Times New Roman" w:cs="Times New Roman"/>
          <w:i/>
          <w:iCs/>
        </w:rPr>
        <w:t xml:space="preserve">Cryptosporidium </w:t>
      </w:r>
      <w:proofErr w:type="spellStart"/>
      <w:r w:rsidR="00A26BC7">
        <w:rPr>
          <w:rFonts w:ascii="Times New Roman" w:hAnsi="Times New Roman" w:cs="Times New Roman"/>
          <w:i/>
          <w:iCs/>
        </w:rPr>
        <w:t>parvum</w:t>
      </w:r>
      <w:proofErr w:type="spellEnd"/>
      <w:r w:rsidR="00A26BC7">
        <w:rPr>
          <w:rFonts w:ascii="Times New Roman" w:hAnsi="Times New Roman" w:cs="Times New Roman"/>
          <w:i/>
          <w:iCs/>
        </w:rPr>
        <w:t xml:space="preserve"> </w:t>
      </w:r>
      <w:r w:rsidR="00A26BC7">
        <w:rPr>
          <w:rFonts w:ascii="Times New Roman" w:hAnsi="Times New Roman" w:cs="Times New Roman"/>
        </w:rPr>
        <w:t xml:space="preserve">and </w:t>
      </w:r>
      <w:r w:rsidR="00A26BC7">
        <w:rPr>
          <w:rFonts w:ascii="Times New Roman" w:hAnsi="Times New Roman" w:cs="Times New Roman"/>
          <w:i/>
          <w:iCs/>
        </w:rPr>
        <w:t xml:space="preserve">Cryptosporidium </w:t>
      </w:r>
      <w:proofErr w:type="spellStart"/>
      <w:r w:rsidR="00A26BC7">
        <w:rPr>
          <w:rFonts w:ascii="Times New Roman" w:hAnsi="Times New Roman" w:cs="Times New Roman"/>
          <w:i/>
          <w:iCs/>
        </w:rPr>
        <w:t>hominis</w:t>
      </w:r>
      <w:proofErr w:type="spellEnd"/>
      <w:r w:rsidR="00A26BC7">
        <w:rPr>
          <w:rFonts w:ascii="Times New Roman" w:hAnsi="Times New Roman" w:cs="Times New Roman"/>
          <w:i/>
          <w:iCs/>
        </w:rPr>
        <w:t xml:space="preserve"> </w:t>
      </w:r>
      <w:r w:rsidR="00A26BC7">
        <w:rPr>
          <w:rFonts w:ascii="Times New Roman" w:hAnsi="Times New Roman" w:cs="Times New Roman"/>
        </w:rPr>
        <w:t>are the two species which most commonly infe</w:t>
      </w:r>
      <w:r w:rsidR="00B61B0F">
        <w:rPr>
          <w:rFonts w:ascii="Times New Roman" w:hAnsi="Times New Roman" w:cs="Times New Roman"/>
        </w:rPr>
        <w:t>ct humans (3</w:t>
      </w:r>
      <w:r w:rsidR="00A26BC7">
        <w:rPr>
          <w:rFonts w:ascii="Times New Roman" w:hAnsi="Times New Roman" w:cs="Times New Roman"/>
        </w:rPr>
        <w:t>). The parasite is protected by an outer</w:t>
      </w:r>
      <w:r w:rsidR="00FB72FF">
        <w:rPr>
          <w:rFonts w:ascii="Times New Roman" w:hAnsi="Times New Roman" w:cs="Times New Roman"/>
        </w:rPr>
        <w:t xml:space="preserve"> shell that allows it to persist</w:t>
      </w:r>
      <w:r w:rsidR="00A26BC7">
        <w:rPr>
          <w:rFonts w:ascii="Times New Roman" w:hAnsi="Times New Roman" w:cs="Times New Roman"/>
        </w:rPr>
        <w:t xml:space="preserve"> outside the body for long periods of time an</w:t>
      </w:r>
      <w:r w:rsidR="00FB72FF">
        <w:rPr>
          <w:rFonts w:ascii="Times New Roman" w:hAnsi="Times New Roman" w:cs="Times New Roman"/>
        </w:rPr>
        <w:t>d makes it very resistant</w:t>
      </w:r>
      <w:r w:rsidR="00A26BC7">
        <w:rPr>
          <w:rFonts w:ascii="Times New Roman" w:hAnsi="Times New Roman" w:cs="Times New Roman"/>
        </w:rPr>
        <w:t xml:space="preserve"> to chlorine disinfection.</w:t>
      </w:r>
      <w:r w:rsidR="006567DC" w:rsidRPr="006567DC">
        <w:rPr>
          <w:rFonts w:ascii="Times New Roman" w:eastAsia="TimesNewRomanPSMT" w:hAnsi="Times New Roman" w:cs="Times New Roman"/>
          <w:sz w:val="24"/>
          <w:szCs w:val="24"/>
        </w:rPr>
        <w:t xml:space="preserve"> </w:t>
      </w:r>
    </w:p>
    <w:p w:rsidR="006567DC" w:rsidRPr="00A26BC7" w:rsidRDefault="006567DC" w:rsidP="006567DC">
      <w:pPr>
        <w:pStyle w:val="ListParagraph"/>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hAnsi="Times New Roman" w:cs="Times New Roman"/>
          <w:i/>
          <w:iCs/>
        </w:rPr>
        <w:t xml:space="preserve">               </w:t>
      </w:r>
      <w:r w:rsidRPr="00A26BC7">
        <w:rPr>
          <w:rFonts w:ascii="Times New Roman" w:eastAsia="TimesNewRomanPSMT" w:hAnsi="Times New Roman" w:cs="Times New Roman"/>
          <w:sz w:val="24"/>
          <w:szCs w:val="24"/>
        </w:rPr>
        <w:t>Cryptosporid</w:t>
      </w:r>
      <w:r>
        <w:rPr>
          <w:rFonts w:ascii="Times New Roman" w:eastAsia="TimesNewRomanPSMT" w:hAnsi="Times New Roman" w:cs="Times New Roman"/>
          <w:sz w:val="24"/>
          <w:szCs w:val="24"/>
        </w:rPr>
        <w:t>iosis is a public health issue</w:t>
      </w:r>
      <w:r w:rsidRPr="00A26BC7">
        <w:rPr>
          <w:rFonts w:ascii="Times New Roman" w:eastAsia="TimesNewRomanPSMT" w:hAnsi="Times New Roman" w:cs="Times New Roman"/>
          <w:sz w:val="24"/>
          <w:szCs w:val="24"/>
        </w:rPr>
        <w:t xml:space="preserve"> affecting a wide range of vertebrates both domestic animals and </w:t>
      </w:r>
      <w:r>
        <w:rPr>
          <w:rFonts w:ascii="Times New Roman" w:eastAsia="TimesNewRomanPSMT" w:hAnsi="Times New Roman" w:cs="Times New Roman"/>
          <w:sz w:val="24"/>
          <w:szCs w:val="24"/>
        </w:rPr>
        <w:t>humans causing potentially mortal</w:t>
      </w:r>
      <w:r w:rsidRPr="00A26BC7">
        <w:rPr>
          <w:rFonts w:ascii="Times New Roman" w:eastAsia="TimesNewRomanPSMT" w:hAnsi="Times New Roman" w:cs="Times New Roman"/>
          <w:sz w:val="24"/>
          <w:szCs w:val="24"/>
        </w:rPr>
        <w:t xml:space="preserve"> diarrhea in AIDS, it extends from isolated events to epidemic proportions. Opportunistic infection with </w:t>
      </w:r>
      <w:r w:rsidRPr="00A26BC7">
        <w:rPr>
          <w:rFonts w:ascii="Times New Roman" w:eastAsia="TimesNewRomanPSMT" w:hAnsi="Times New Roman" w:cs="Times New Roman"/>
          <w:i/>
          <w:sz w:val="24"/>
          <w:szCs w:val="24"/>
        </w:rPr>
        <w:t>Cryptosporidium</w:t>
      </w:r>
      <w:r w:rsidRPr="00A26BC7">
        <w:rPr>
          <w:rFonts w:ascii="Times New Roman" w:eastAsia="TimesNewRomanPSMT" w:hAnsi="Times New Roman" w:cs="Times New Roman"/>
          <w:sz w:val="24"/>
          <w:szCs w:val="24"/>
        </w:rPr>
        <w:t xml:space="preserve"> species may result in enteric </w:t>
      </w:r>
      <w:r w:rsidR="004551C0">
        <w:rPr>
          <w:rFonts w:ascii="Times New Roman" w:eastAsia="TimesNewRomanPSMT" w:hAnsi="Times New Roman" w:cs="Times New Roman"/>
          <w:sz w:val="24"/>
          <w:szCs w:val="24"/>
        </w:rPr>
        <w:t>disorders and other draining</w:t>
      </w:r>
      <w:r w:rsidRPr="00A26BC7">
        <w:rPr>
          <w:rFonts w:ascii="Times New Roman" w:eastAsia="TimesNewRomanPSMT" w:hAnsi="Times New Roman" w:cs="Times New Roman"/>
          <w:sz w:val="24"/>
          <w:szCs w:val="24"/>
        </w:rPr>
        <w:t xml:space="preserve"> conditions culminating in high morbidity and mortality rates. </w:t>
      </w:r>
      <w:r w:rsidRPr="00A26BC7">
        <w:rPr>
          <w:rFonts w:ascii="Times New Roman" w:eastAsia="TimesNewRomanPSMT" w:hAnsi="Times New Roman" w:cs="Times New Roman"/>
          <w:i/>
          <w:sz w:val="24"/>
          <w:szCs w:val="24"/>
        </w:rPr>
        <w:t>Cryptosporidium</w:t>
      </w:r>
      <w:r w:rsidRPr="00A26BC7">
        <w:rPr>
          <w:rFonts w:ascii="Times New Roman" w:eastAsia="TimesNewRomanPSMT" w:hAnsi="Times New Roman" w:cs="Times New Roman"/>
          <w:sz w:val="24"/>
          <w:szCs w:val="24"/>
        </w:rPr>
        <w:t xml:space="preserve"> species is currently a majo</w:t>
      </w:r>
      <w:r>
        <w:rPr>
          <w:rFonts w:ascii="Times New Roman" w:eastAsia="TimesNewRomanPSMT" w:hAnsi="Times New Roman" w:cs="Times New Roman"/>
          <w:sz w:val="24"/>
          <w:szCs w:val="24"/>
        </w:rPr>
        <w:t xml:space="preserve">r </w:t>
      </w:r>
      <w:r w:rsidR="007D6278">
        <w:rPr>
          <w:rFonts w:ascii="Times New Roman" w:eastAsia="TimesNewRomanPSMT" w:hAnsi="Times New Roman" w:cs="Times New Roman"/>
          <w:sz w:val="24"/>
          <w:szCs w:val="24"/>
        </w:rPr>
        <w:t>cause of water borne incidents</w:t>
      </w:r>
      <w:r w:rsidRPr="00A26BC7">
        <w:rPr>
          <w:rFonts w:ascii="Times New Roman" w:eastAsia="TimesNewRomanPSMT" w:hAnsi="Times New Roman" w:cs="Times New Roman"/>
          <w:sz w:val="24"/>
          <w:szCs w:val="24"/>
        </w:rPr>
        <w:t xml:space="preserve"> worldwide reported in 239</w:t>
      </w:r>
      <w:r w:rsidRPr="00A26BC7">
        <w:rPr>
          <w:rFonts w:ascii="Times New Roman" w:eastAsia="TimesNewRomanPSMT" w:hAnsi="Times New Roman" w:cs="Times New Roman"/>
          <w:color w:val="FF0000"/>
          <w:sz w:val="24"/>
          <w:szCs w:val="24"/>
        </w:rPr>
        <w:t xml:space="preserve"> </w:t>
      </w:r>
      <w:r w:rsidRPr="00A26BC7">
        <w:rPr>
          <w:rFonts w:ascii="Times New Roman" w:eastAsia="TimesNewRomanPSMT" w:hAnsi="Times New Roman" w:cs="Times New Roman"/>
          <w:sz w:val="24"/>
          <w:szCs w:val="24"/>
        </w:rPr>
        <w:t xml:space="preserve">waterborne outbreaks </w:t>
      </w:r>
      <w:r w:rsidR="004551C0">
        <w:rPr>
          <w:rFonts w:ascii="Times New Roman" w:eastAsia="TimesNewRomanPSMT" w:hAnsi="Times New Roman" w:cs="Times New Roman"/>
          <w:sz w:val="24"/>
          <w:szCs w:val="24"/>
        </w:rPr>
        <w:t>between 2011 and 2016 (4</w:t>
      </w:r>
      <w:r w:rsidRPr="00A26BC7">
        <w:rPr>
          <w:rFonts w:ascii="Times New Roman" w:eastAsia="TimesNewRomanPSMT" w:hAnsi="Times New Roman" w:cs="Times New Roman"/>
          <w:sz w:val="24"/>
          <w:szCs w:val="24"/>
        </w:rPr>
        <w:t xml:space="preserve">). </w:t>
      </w:r>
    </w:p>
    <w:p w:rsidR="006567DC" w:rsidRDefault="002525FD" w:rsidP="006567DC">
      <w:pPr>
        <w:pStyle w:val="Default"/>
        <w:spacing w:line="360" w:lineRule="auto"/>
        <w:ind w:left="720"/>
        <w:jc w:val="both"/>
        <w:rPr>
          <w:rFonts w:ascii="Times New Roman" w:hAnsi="Times New Roman" w:cs="Times New Roman"/>
        </w:rPr>
      </w:pPr>
      <w:r>
        <w:rPr>
          <w:rFonts w:ascii="Times New Roman" w:hAnsi="Times New Roman" w:cs="Times New Roman"/>
        </w:rPr>
        <w:t xml:space="preserve">               </w:t>
      </w:r>
      <w:r w:rsidR="006567DC">
        <w:rPr>
          <w:rFonts w:ascii="Times New Roman" w:hAnsi="Times New Roman" w:cs="Times New Roman"/>
        </w:rPr>
        <w:t>The most common symptom of Cryptosporidiosis</w:t>
      </w:r>
      <w:r w:rsidR="00A627C2">
        <w:rPr>
          <w:rFonts w:ascii="Times New Roman" w:hAnsi="Times New Roman" w:cs="Times New Roman"/>
        </w:rPr>
        <w:t xml:space="preserve"> is diarrhea that may be copious</w:t>
      </w:r>
      <w:r w:rsidR="006567DC">
        <w:rPr>
          <w:rFonts w:ascii="Times New Roman" w:hAnsi="Times New Roman" w:cs="Times New Roman"/>
        </w:rPr>
        <w:t xml:space="preserve"> and watery associated with abdominal pain and cramping, nausea, vomiting, fever, headache and loss of ap</w:t>
      </w:r>
      <w:r w:rsidR="00A627C2">
        <w:rPr>
          <w:rFonts w:ascii="Times New Roman" w:hAnsi="Times New Roman" w:cs="Times New Roman"/>
        </w:rPr>
        <w:t>petite may also occur (3</w:t>
      </w:r>
      <w:r w:rsidR="006567DC">
        <w:rPr>
          <w:rFonts w:ascii="Times New Roman" w:hAnsi="Times New Roman" w:cs="Times New Roman"/>
        </w:rPr>
        <w:t>). Symptoms can come and go for up to 30 days, but usually subside in 1 to 2 weeks in most healthy people. People with weakened immune systems may be at higher risk for acquir</w:t>
      </w:r>
      <w:r w:rsidR="00A467C4">
        <w:rPr>
          <w:rFonts w:ascii="Times New Roman" w:hAnsi="Times New Roman" w:cs="Times New Roman"/>
        </w:rPr>
        <w:t>ing cryptosporidiosis (3</w:t>
      </w:r>
      <w:r w:rsidR="006567DC">
        <w:rPr>
          <w:rFonts w:ascii="Times New Roman" w:hAnsi="Times New Roman" w:cs="Times New Roman"/>
        </w:rPr>
        <w:t>). Immunodeficiency, especially in HIV infection, is associated with an inability to clear the parasite, and the disease ma</w:t>
      </w:r>
      <w:r w:rsidR="00A467C4">
        <w:rPr>
          <w:rFonts w:ascii="Times New Roman" w:hAnsi="Times New Roman" w:cs="Times New Roman"/>
        </w:rPr>
        <w:t>y have a prolonged and severe</w:t>
      </w:r>
      <w:r w:rsidR="006567DC">
        <w:rPr>
          <w:rFonts w:ascii="Times New Roman" w:hAnsi="Times New Roman" w:cs="Times New Roman"/>
        </w:rPr>
        <w:t xml:space="preserve"> clinical course, contributing to d</w:t>
      </w:r>
      <w:r w:rsidR="00A467C4">
        <w:rPr>
          <w:rFonts w:ascii="Times New Roman" w:hAnsi="Times New Roman" w:cs="Times New Roman"/>
        </w:rPr>
        <w:t>eath (3</w:t>
      </w:r>
      <w:r w:rsidR="006567DC">
        <w:rPr>
          <w:rFonts w:ascii="Times New Roman" w:hAnsi="Times New Roman" w:cs="Times New Roman"/>
        </w:rPr>
        <w:t>). Asymptomatic infections are possible and remain a source of</w:t>
      </w:r>
      <w:r w:rsidR="00A467C4">
        <w:rPr>
          <w:rFonts w:ascii="Times New Roman" w:hAnsi="Times New Roman" w:cs="Times New Roman"/>
        </w:rPr>
        <w:t xml:space="preserve"> infection for others (3</w:t>
      </w:r>
      <w:r w:rsidR="006567DC">
        <w:rPr>
          <w:rFonts w:ascii="Times New Roman" w:hAnsi="Times New Roman" w:cs="Times New Roman"/>
        </w:rPr>
        <w:t>).</w:t>
      </w:r>
    </w:p>
    <w:p w:rsidR="007A533F" w:rsidRPr="00DB4E26" w:rsidRDefault="007A533F" w:rsidP="007A533F">
      <w:pPr>
        <w:pStyle w:val="ListParagraph"/>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Despite the seemingly universal</w:t>
      </w:r>
      <w:r w:rsidRPr="00A26BC7">
        <w:rPr>
          <w:rFonts w:ascii="Times New Roman" w:eastAsia="TimesNewRomanPSMT" w:hAnsi="Times New Roman" w:cs="Times New Roman"/>
          <w:sz w:val="24"/>
          <w:szCs w:val="24"/>
        </w:rPr>
        <w:t xml:space="preserve"> nature of Cryptosporidiosis, sufficient attention has not been paid to it, prompting the WHO in 2004 to list it among globally “neglected di</w:t>
      </w:r>
      <w:r>
        <w:rPr>
          <w:rFonts w:ascii="Times New Roman" w:eastAsia="TimesNewRomanPSMT" w:hAnsi="Times New Roman" w:cs="Times New Roman"/>
          <w:sz w:val="24"/>
          <w:szCs w:val="24"/>
        </w:rPr>
        <w:t>seases” which have a common connection</w:t>
      </w:r>
      <w:r w:rsidRPr="00A26BC7">
        <w:rPr>
          <w:rFonts w:ascii="Times New Roman" w:eastAsia="TimesNewRomanPSMT" w:hAnsi="Times New Roman" w:cs="Times New Roman"/>
          <w:sz w:val="24"/>
          <w:szCs w:val="24"/>
        </w:rPr>
        <w:t xml:space="preserve"> with poverty in mo</w:t>
      </w:r>
      <w:r w:rsidR="00962A53">
        <w:rPr>
          <w:rFonts w:ascii="Times New Roman" w:eastAsia="TimesNewRomanPSMT" w:hAnsi="Times New Roman" w:cs="Times New Roman"/>
          <w:sz w:val="24"/>
          <w:szCs w:val="24"/>
        </w:rPr>
        <w:t>st developing countries (5). (6</w:t>
      </w:r>
      <w:r>
        <w:rPr>
          <w:rFonts w:ascii="Times New Roman" w:eastAsia="TimesNewRomanPSMT" w:hAnsi="Times New Roman" w:cs="Times New Roman"/>
          <w:sz w:val="24"/>
          <w:szCs w:val="24"/>
        </w:rPr>
        <w:t>)</w:t>
      </w:r>
      <w:r w:rsidRPr="00A26BC7">
        <w:rPr>
          <w:rFonts w:ascii="Times New Roman" w:eastAsia="TimesNewRomanPSMT" w:hAnsi="Times New Roman" w:cs="Times New Roman"/>
          <w:sz w:val="24"/>
          <w:szCs w:val="24"/>
        </w:rPr>
        <w:t xml:space="preserve"> </w:t>
      </w:r>
      <w:proofErr w:type="gramStart"/>
      <w:r w:rsidRPr="00A26BC7">
        <w:rPr>
          <w:rFonts w:ascii="Times New Roman" w:eastAsia="TimesNewRomanPSMT" w:hAnsi="Times New Roman" w:cs="Times New Roman"/>
          <w:sz w:val="24"/>
          <w:szCs w:val="24"/>
        </w:rPr>
        <w:t>reported</w:t>
      </w:r>
      <w:proofErr w:type="gramEnd"/>
      <w:r w:rsidRPr="00A26BC7">
        <w:rPr>
          <w:rFonts w:ascii="Times New Roman" w:eastAsia="TimesNewRomanPSMT" w:hAnsi="Times New Roman" w:cs="Times New Roman"/>
          <w:sz w:val="24"/>
          <w:szCs w:val="24"/>
        </w:rPr>
        <w:t xml:space="preserve"> prevalence of </w:t>
      </w:r>
      <w:r w:rsidRPr="00A26BC7">
        <w:rPr>
          <w:rFonts w:ascii="Times New Roman" w:eastAsia="TimesNewRomanPSMT" w:hAnsi="Times New Roman" w:cs="Times New Roman"/>
          <w:i/>
          <w:sz w:val="24"/>
          <w:szCs w:val="24"/>
        </w:rPr>
        <w:t>Cryptosporidium</w:t>
      </w:r>
      <w:r w:rsidRPr="00A26BC7">
        <w:rPr>
          <w:rFonts w:ascii="Times New Roman" w:eastAsia="TimesNewRomanPSMT" w:hAnsi="Times New Roman" w:cs="Times New Roman"/>
          <w:sz w:val="24"/>
          <w:szCs w:val="24"/>
        </w:rPr>
        <w:t xml:space="preserve"> infection among humans, cattle, sheep, goat, pigs, laboratory animals and birds in Nigeria to be 15.0%, 26.1%, 16.6%, 26.0%, 20.</w:t>
      </w:r>
      <w:r>
        <w:rPr>
          <w:rFonts w:ascii="Times New Roman" w:eastAsia="TimesNewRomanPSMT" w:hAnsi="Times New Roman" w:cs="Times New Roman"/>
          <w:sz w:val="24"/>
          <w:szCs w:val="24"/>
        </w:rPr>
        <w:t xml:space="preserve">1%, 9.0% and 7.2% respectively. </w:t>
      </w:r>
      <w:r w:rsidRPr="00A26BC7">
        <w:rPr>
          <w:rFonts w:ascii="Times New Roman" w:eastAsia="TimesNewRomanPSMT" w:hAnsi="Times New Roman" w:cs="Times New Roman"/>
          <w:sz w:val="24"/>
          <w:szCs w:val="24"/>
        </w:rPr>
        <w:t xml:space="preserve">The pooled prevalence of </w:t>
      </w:r>
      <w:r w:rsidRPr="00A26BC7">
        <w:rPr>
          <w:rFonts w:ascii="Times New Roman" w:eastAsia="TimesNewRomanPSMT" w:hAnsi="Times New Roman" w:cs="Times New Roman"/>
          <w:i/>
          <w:sz w:val="24"/>
          <w:szCs w:val="24"/>
        </w:rPr>
        <w:t>Cryptosporidium</w:t>
      </w:r>
      <w:r w:rsidRPr="00A26BC7">
        <w:rPr>
          <w:rFonts w:ascii="Times New Roman" w:eastAsia="TimesNewRomanPSMT" w:hAnsi="Times New Roman" w:cs="Times New Roman"/>
          <w:sz w:val="24"/>
          <w:szCs w:val="24"/>
        </w:rPr>
        <w:t xml:space="preserve"> species in </w:t>
      </w:r>
      <w:r w:rsidRPr="00A26BC7">
        <w:rPr>
          <w:rFonts w:ascii="Times New Roman" w:eastAsia="TimesNewRomanPSMT" w:hAnsi="Times New Roman" w:cs="Times New Roman"/>
          <w:sz w:val="24"/>
          <w:szCs w:val="24"/>
        </w:rPr>
        <w:lastRenderedPageBreak/>
        <w:t>diff</w:t>
      </w:r>
      <w:r>
        <w:rPr>
          <w:rFonts w:ascii="Times New Roman" w:eastAsia="TimesNewRomanPSMT" w:hAnsi="Times New Roman" w:cs="Times New Roman"/>
          <w:sz w:val="24"/>
          <w:szCs w:val="24"/>
        </w:rPr>
        <w:t xml:space="preserve">erent hosts were high and associated </w:t>
      </w:r>
      <w:r w:rsidRPr="00A26BC7">
        <w:rPr>
          <w:rFonts w:ascii="Times New Roman" w:eastAsia="TimesNewRomanPSMT" w:hAnsi="Times New Roman" w:cs="Times New Roman"/>
          <w:sz w:val="24"/>
          <w:szCs w:val="24"/>
        </w:rPr>
        <w:t>with several risk factors such as environmental contamination and animal contact.</w:t>
      </w:r>
    </w:p>
    <w:p w:rsidR="00F00BF2" w:rsidRDefault="00D64E5E" w:rsidP="00D64E5E">
      <w:pPr>
        <w:spacing w:after="0" w:line="360" w:lineRule="auto"/>
        <w:jc w:val="both"/>
        <w:rPr>
          <w:rFonts w:ascii="Times New Roman" w:hAnsi="Times New Roman" w:cs="Times New Roman"/>
          <w:color w:val="131413"/>
          <w:sz w:val="24"/>
          <w:szCs w:val="24"/>
        </w:rPr>
      </w:pPr>
      <w:r>
        <w:rPr>
          <w:rFonts w:ascii="Times New Roman" w:hAnsi="Times New Roman" w:cs="Times New Roman"/>
          <w:color w:val="000000"/>
          <w:sz w:val="24"/>
          <w:szCs w:val="24"/>
        </w:rPr>
        <w:t xml:space="preserve">                            </w:t>
      </w:r>
      <w:r w:rsidR="002525FD">
        <w:rPr>
          <w:rFonts w:ascii="Times New Roman" w:hAnsi="Times New Roman" w:cs="Times New Roman"/>
        </w:rPr>
        <w:t xml:space="preserve"> </w:t>
      </w:r>
      <w:r w:rsidR="00A26BC7" w:rsidRPr="002525FD">
        <w:rPr>
          <w:rFonts w:ascii="Times New Roman" w:hAnsi="Times New Roman" w:cs="Times New Roman"/>
          <w:i/>
          <w:color w:val="131413"/>
          <w:sz w:val="24"/>
          <w:szCs w:val="24"/>
        </w:rPr>
        <w:t>Helicobacter pylori</w:t>
      </w:r>
      <w:r w:rsidR="00A26BC7" w:rsidRPr="002525FD">
        <w:rPr>
          <w:rFonts w:ascii="Times New Roman" w:hAnsi="Times New Roman" w:cs="Times New Roman"/>
          <w:color w:val="131413"/>
          <w:sz w:val="24"/>
          <w:szCs w:val="24"/>
        </w:rPr>
        <w:t xml:space="preserve"> belongs to the family </w:t>
      </w:r>
      <w:proofErr w:type="spellStart"/>
      <w:r w:rsidR="00A26BC7" w:rsidRPr="002525FD">
        <w:rPr>
          <w:rFonts w:ascii="Times New Roman" w:hAnsi="Times New Roman" w:cs="Times New Roman"/>
          <w:color w:val="131413"/>
          <w:sz w:val="24"/>
          <w:szCs w:val="24"/>
        </w:rPr>
        <w:t>Helicobacteraceae</w:t>
      </w:r>
      <w:proofErr w:type="spellEnd"/>
      <w:r w:rsidR="00A26BC7" w:rsidRPr="002525FD">
        <w:rPr>
          <w:rFonts w:ascii="Times New Roman" w:hAnsi="Times New Roman" w:cs="Times New Roman"/>
          <w:color w:val="131413"/>
          <w:sz w:val="24"/>
          <w:szCs w:val="24"/>
        </w:rPr>
        <w:t xml:space="preserve">. It is a transmissible </w:t>
      </w:r>
      <w:r w:rsidR="00F00BF2">
        <w:rPr>
          <w:rFonts w:ascii="Times New Roman" w:hAnsi="Times New Roman" w:cs="Times New Roman"/>
          <w:color w:val="131413"/>
          <w:sz w:val="24"/>
          <w:szCs w:val="24"/>
        </w:rPr>
        <w:t xml:space="preserve">  </w:t>
      </w:r>
    </w:p>
    <w:p w:rsidR="00F00BF2" w:rsidRDefault="00A26BC7" w:rsidP="00F00BF2">
      <w:pPr>
        <w:spacing w:after="0" w:line="360" w:lineRule="auto"/>
        <w:ind w:firstLine="720"/>
        <w:jc w:val="both"/>
        <w:rPr>
          <w:rFonts w:ascii="Times New Roman" w:hAnsi="Times New Roman" w:cs="Times New Roman"/>
          <w:color w:val="131413"/>
          <w:sz w:val="24"/>
          <w:szCs w:val="24"/>
        </w:rPr>
      </w:pPr>
      <w:proofErr w:type="gramStart"/>
      <w:r w:rsidRPr="002525FD">
        <w:rPr>
          <w:rFonts w:ascii="Times New Roman" w:hAnsi="Times New Roman" w:cs="Times New Roman"/>
          <w:color w:val="131413"/>
          <w:sz w:val="24"/>
          <w:szCs w:val="24"/>
        </w:rPr>
        <w:t>and</w:t>
      </w:r>
      <w:proofErr w:type="gramEnd"/>
      <w:r w:rsidRPr="002525FD">
        <w:rPr>
          <w:rFonts w:ascii="Times New Roman" w:hAnsi="Times New Roman" w:cs="Times New Roman"/>
          <w:color w:val="131413"/>
          <w:sz w:val="24"/>
          <w:szCs w:val="24"/>
        </w:rPr>
        <w:t xml:space="preserve"> pathogenic gram-negative spiral shaped bacterium thought to be a contaminant of </w:t>
      </w:r>
    </w:p>
    <w:p w:rsidR="00F00BF2" w:rsidRDefault="008C6292" w:rsidP="00F00BF2">
      <w:pPr>
        <w:spacing w:after="0" w:line="360" w:lineRule="auto"/>
        <w:ind w:firstLine="720"/>
        <w:jc w:val="both"/>
        <w:rPr>
          <w:rFonts w:ascii="Times New Roman" w:hAnsi="Times New Roman" w:cs="Times New Roman"/>
          <w:color w:val="131413"/>
          <w:sz w:val="24"/>
          <w:szCs w:val="24"/>
        </w:rPr>
      </w:pPr>
      <w:proofErr w:type="gramStart"/>
      <w:r>
        <w:rPr>
          <w:rFonts w:ascii="Times New Roman" w:hAnsi="Times New Roman" w:cs="Times New Roman"/>
          <w:color w:val="131413"/>
          <w:sz w:val="24"/>
          <w:szCs w:val="24"/>
        </w:rPr>
        <w:t>digested</w:t>
      </w:r>
      <w:proofErr w:type="gramEnd"/>
      <w:r>
        <w:rPr>
          <w:rFonts w:ascii="Times New Roman" w:hAnsi="Times New Roman" w:cs="Times New Roman"/>
          <w:color w:val="131413"/>
          <w:sz w:val="24"/>
          <w:szCs w:val="24"/>
        </w:rPr>
        <w:t xml:space="preserve"> food as against</w:t>
      </w:r>
      <w:r w:rsidR="00A26BC7" w:rsidRPr="002525FD">
        <w:rPr>
          <w:rFonts w:ascii="Times New Roman" w:hAnsi="Times New Roman" w:cs="Times New Roman"/>
          <w:color w:val="131413"/>
          <w:sz w:val="24"/>
          <w:szCs w:val="24"/>
        </w:rPr>
        <w:t xml:space="preserve"> to being a true colonizer</w:t>
      </w:r>
      <w:r w:rsidR="004A4C0C" w:rsidRPr="002525FD">
        <w:rPr>
          <w:rFonts w:ascii="Times New Roman" w:hAnsi="Times New Roman" w:cs="Times New Roman"/>
          <w:color w:val="131413"/>
          <w:sz w:val="24"/>
          <w:szCs w:val="24"/>
        </w:rPr>
        <w:t xml:space="preserve"> of the gastric mucosa (7</w:t>
      </w:r>
      <w:r w:rsidR="00A26BC7" w:rsidRPr="002525FD">
        <w:rPr>
          <w:rFonts w:ascii="Times New Roman" w:hAnsi="Times New Roman" w:cs="Times New Roman"/>
          <w:color w:val="131413"/>
          <w:sz w:val="24"/>
          <w:szCs w:val="24"/>
        </w:rPr>
        <w:t xml:space="preserve">). It was first </w:t>
      </w:r>
    </w:p>
    <w:p w:rsidR="00F00BF2" w:rsidRDefault="00A26BC7" w:rsidP="00F00BF2">
      <w:pPr>
        <w:spacing w:after="0" w:line="360" w:lineRule="auto"/>
        <w:ind w:firstLine="720"/>
        <w:jc w:val="both"/>
        <w:rPr>
          <w:rFonts w:ascii="Times New Roman" w:hAnsi="Times New Roman" w:cs="Times New Roman"/>
          <w:color w:val="131413"/>
          <w:sz w:val="24"/>
          <w:szCs w:val="24"/>
        </w:rPr>
      </w:pPr>
      <w:proofErr w:type="gramStart"/>
      <w:r w:rsidRPr="002525FD">
        <w:rPr>
          <w:rFonts w:ascii="Times New Roman" w:hAnsi="Times New Roman" w:cs="Times New Roman"/>
          <w:color w:val="131413"/>
          <w:sz w:val="24"/>
          <w:szCs w:val="24"/>
        </w:rPr>
        <w:t>successfully</w:t>
      </w:r>
      <w:proofErr w:type="gramEnd"/>
      <w:r w:rsidRPr="002525FD">
        <w:rPr>
          <w:rFonts w:ascii="Times New Roman" w:hAnsi="Times New Roman" w:cs="Times New Roman"/>
          <w:color w:val="131413"/>
          <w:sz w:val="24"/>
          <w:szCs w:val="24"/>
        </w:rPr>
        <w:t xml:space="preserve"> isolated and discovered by Barry Marshall and Robin Warren in 1</w:t>
      </w:r>
      <w:r w:rsidR="00C9234D" w:rsidRPr="002525FD">
        <w:rPr>
          <w:rFonts w:ascii="Times New Roman" w:hAnsi="Times New Roman" w:cs="Times New Roman"/>
          <w:color w:val="131413"/>
          <w:sz w:val="24"/>
          <w:szCs w:val="24"/>
        </w:rPr>
        <w:t xml:space="preserve">980, for </w:t>
      </w:r>
    </w:p>
    <w:p w:rsidR="00D64E5E" w:rsidRDefault="00C9234D" w:rsidP="00D64E5E">
      <w:pPr>
        <w:spacing w:after="0" w:line="360" w:lineRule="auto"/>
        <w:ind w:firstLine="720"/>
        <w:jc w:val="both"/>
        <w:rPr>
          <w:rFonts w:ascii="Times New Roman" w:hAnsi="Times New Roman" w:cs="Times New Roman"/>
          <w:color w:val="131413"/>
          <w:sz w:val="24"/>
          <w:szCs w:val="24"/>
        </w:rPr>
      </w:pPr>
      <w:proofErr w:type="gramStart"/>
      <w:r w:rsidRPr="002525FD">
        <w:rPr>
          <w:rFonts w:ascii="Times New Roman" w:hAnsi="Times New Roman" w:cs="Times New Roman"/>
          <w:color w:val="131413"/>
          <w:sz w:val="24"/>
          <w:szCs w:val="24"/>
        </w:rPr>
        <w:t>which</w:t>
      </w:r>
      <w:proofErr w:type="gramEnd"/>
      <w:r w:rsidRPr="002525FD">
        <w:rPr>
          <w:rFonts w:ascii="Times New Roman" w:hAnsi="Times New Roman" w:cs="Times New Roman"/>
          <w:color w:val="131413"/>
          <w:sz w:val="24"/>
          <w:szCs w:val="24"/>
        </w:rPr>
        <w:t xml:space="preserve"> they were presented</w:t>
      </w:r>
      <w:r w:rsidR="00A26BC7" w:rsidRPr="002525FD">
        <w:rPr>
          <w:rFonts w:ascii="Times New Roman" w:hAnsi="Times New Roman" w:cs="Times New Roman"/>
          <w:color w:val="131413"/>
          <w:sz w:val="24"/>
          <w:szCs w:val="24"/>
        </w:rPr>
        <w:t xml:space="preserve"> the Nobel Prize in</w:t>
      </w:r>
      <w:r w:rsidR="0090568E" w:rsidRPr="002525FD">
        <w:rPr>
          <w:rFonts w:ascii="Times New Roman" w:hAnsi="Times New Roman" w:cs="Times New Roman"/>
          <w:color w:val="131413"/>
          <w:sz w:val="24"/>
          <w:szCs w:val="24"/>
        </w:rPr>
        <w:t xml:space="preserve"> 2005 (8</w:t>
      </w:r>
      <w:r w:rsidR="00A26BC7" w:rsidRPr="002525FD">
        <w:rPr>
          <w:rFonts w:ascii="Times New Roman" w:hAnsi="Times New Roman" w:cs="Times New Roman"/>
          <w:color w:val="131413"/>
          <w:sz w:val="24"/>
          <w:szCs w:val="24"/>
        </w:rPr>
        <w:t xml:space="preserve">). </w:t>
      </w:r>
      <w:r w:rsidR="00F00BF2">
        <w:rPr>
          <w:rFonts w:ascii="Times New Roman" w:hAnsi="Times New Roman" w:cs="Times New Roman"/>
          <w:i/>
          <w:color w:val="131413"/>
          <w:sz w:val="24"/>
          <w:szCs w:val="24"/>
        </w:rPr>
        <w:t>H. pylori</w:t>
      </w:r>
      <w:r w:rsidR="00D64E5E">
        <w:rPr>
          <w:rFonts w:ascii="Times New Roman" w:hAnsi="Times New Roman" w:cs="Times New Roman"/>
          <w:color w:val="131413"/>
          <w:sz w:val="24"/>
          <w:szCs w:val="24"/>
        </w:rPr>
        <w:t xml:space="preserve"> is the most common  </w:t>
      </w:r>
    </w:p>
    <w:p w:rsidR="00D64E5E" w:rsidRDefault="00F00BF2" w:rsidP="00D64E5E">
      <w:pPr>
        <w:spacing w:after="0" w:line="360" w:lineRule="auto"/>
        <w:ind w:firstLine="720"/>
        <w:jc w:val="both"/>
        <w:rPr>
          <w:rFonts w:ascii="Times New Roman" w:hAnsi="Times New Roman" w:cs="Times New Roman"/>
          <w:color w:val="131413"/>
          <w:sz w:val="24"/>
          <w:szCs w:val="24"/>
        </w:rPr>
      </w:pPr>
      <w:proofErr w:type="gramStart"/>
      <w:r>
        <w:rPr>
          <w:rFonts w:ascii="Times New Roman" w:hAnsi="Times New Roman" w:cs="Times New Roman"/>
          <w:color w:val="131413"/>
          <w:sz w:val="24"/>
          <w:szCs w:val="24"/>
        </w:rPr>
        <w:t>human</w:t>
      </w:r>
      <w:proofErr w:type="gramEnd"/>
      <w:r>
        <w:rPr>
          <w:rFonts w:ascii="Times New Roman" w:hAnsi="Times New Roman" w:cs="Times New Roman"/>
          <w:color w:val="131413"/>
          <w:sz w:val="24"/>
          <w:szCs w:val="24"/>
        </w:rPr>
        <w:t xml:space="preserve"> bacterial infection occurring in approximately 4.4 billion people, representing over </w:t>
      </w:r>
    </w:p>
    <w:p w:rsidR="00F00BF2" w:rsidRDefault="00F00BF2" w:rsidP="00D64E5E">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50% of t</w:t>
      </w:r>
      <w:r w:rsidR="00072499">
        <w:rPr>
          <w:rFonts w:ascii="Times New Roman" w:hAnsi="Times New Roman" w:cs="Times New Roman"/>
          <w:color w:val="131413"/>
          <w:sz w:val="24"/>
          <w:szCs w:val="24"/>
        </w:rPr>
        <w:t>he world population (9</w:t>
      </w:r>
      <w:r>
        <w:rPr>
          <w:rFonts w:ascii="Times New Roman" w:hAnsi="Times New Roman" w:cs="Times New Roman"/>
          <w:color w:val="131413"/>
          <w:sz w:val="24"/>
          <w:szCs w:val="24"/>
        </w:rPr>
        <w:t xml:space="preserve">). </w:t>
      </w:r>
    </w:p>
    <w:p w:rsidR="00F00BF2" w:rsidRDefault="00F00BF2" w:rsidP="00F00BF2">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            The World Health Organization (WHO) now considers it a class 1 carcinogen   </w:t>
      </w:r>
    </w:p>
    <w:p w:rsidR="0005129B" w:rsidRDefault="00F00BF2" w:rsidP="0005129B">
      <w:pPr>
        <w:spacing w:after="0" w:line="360" w:lineRule="auto"/>
        <w:ind w:firstLine="720"/>
        <w:jc w:val="both"/>
        <w:rPr>
          <w:rFonts w:ascii="Times New Roman" w:hAnsi="Times New Roman" w:cs="Times New Roman"/>
          <w:color w:val="131413"/>
          <w:sz w:val="24"/>
          <w:szCs w:val="24"/>
        </w:rPr>
      </w:pPr>
      <w:proofErr w:type="gramStart"/>
      <w:r>
        <w:rPr>
          <w:rFonts w:ascii="Times New Roman" w:hAnsi="Times New Roman" w:cs="Times New Roman"/>
          <w:color w:val="131413"/>
          <w:sz w:val="24"/>
          <w:szCs w:val="24"/>
        </w:rPr>
        <w:t>leading</w:t>
      </w:r>
      <w:proofErr w:type="gramEnd"/>
      <w:r>
        <w:rPr>
          <w:rFonts w:ascii="Times New Roman" w:hAnsi="Times New Roman" w:cs="Times New Roman"/>
          <w:color w:val="131413"/>
          <w:sz w:val="24"/>
          <w:szCs w:val="24"/>
        </w:rPr>
        <w:t xml:space="preserve"> to peptic ulcer disease</w:t>
      </w:r>
      <w:r w:rsidR="0005129B">
        <w:rPr>
          <w:rFonts w:ascii="Times New Roman" w:hAnsi="Times New Roman" w:cs="Times New Roman"/>
          <w:color w:val="131413"/>
          <w:sz w:val="24"/>
          <w:szCs w:val="24"/>
        </w:rPr>
        <w:t xml:space="preserve"> and gastric cancer (9</w:t>
      </w:r>
      <w:r>
        <w:rPr>
          <w:rFonts w:ascii="Times New Roman" w:hAnsi="Times New Roman" w:cs="Times New Roman"/>
          <w:color w:val="131413"/>
          <w:sz w:val="24"/>
          <w:szCs w:val="24"/>
        </w:rPr>
        <w:t xml:space="preserve">). </w:t>
      </w:r>
      <w:r>
        <w:rPr>
          <w:rFonts w:ascii="Times New Roman" w:hAnsi="Times New Roman" w:cs="Times New Roman"/>
          <w:i/>
          <w:color w:val="131413"/>
          <w:sz w:val="24"/>
          <w:szCs w:val="24"/>
        </w:rPr>
        <w:t xml:space="preserve">H. </w:t>
      </w:r>
      <w:r w:rsidR="0005129B">
        <w:rPr>
          <w:rFonts w:ascii="Times New Roman" w:hAnsi="Times New Roman" w:cs="Times New Roman"/>
          <w:i/>
          <w:color w:val="131413"/>
          <w:sz w:val="24"/>
          <w:szCs w:val="24"/>
        </w:rPr>
        <w:t>pylori</w:t>
      </w:r>
      <w:r w:rsidR="0005129B">
        <w:rPr>
          <w:rFonts w:ascii="Times New Roman" w:hAnsi="Times New Roman" w:cs="Times New Roman"/>
          <w:color w:val="131413"/>
          <w:sz w:val="24"/>
          <w:szCs w:val="24"/>
        </w:rPr>
        <w:t xml:space="preserve"> infection</w:t>
      </w:r>
      <w:r>
        <w:rPr>
          <w:rFonts w:ascii="Times New Roman" w:hAnsi="Times New Roman" w:cs="Times New Roman"/>
          <w:color w:val="131413"/>
          <w:sz w:val="24"/>
          <w:szCs w:val="24"/>
        </w:rPr>
        <w:t xml:space="preserve"> [HPI] rate is 30–</w:t>
      </w:r>
    </w:p>
    <w:p w:rsidR="0031777D" w:rsidRDefault="00F00BF2" w:rsidP="0031777D">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50% in developed and 85–95% i</w:t>
      </w:r>
      <w:r w:rsidR="0031777D">
        <w:rPr>
          <w:rFonts w:ascii="Times New Roman" w:hAnsi="Times New Roman" w:cs="Times New Roman"/>
          <w:color w:val="131413"/>
          <w:sz w:val="24"/>
          <w:szCs w:val="24"/>
        </w:rPr>
        <w:t>n developing countries (10</w:t>
      </w:r>
      <w:r>
        <w:rPr>
          <w:rFonts w:ascii="Times New Roman" w:hAnsi="Times New Roman" w:cs="Times New Roman"/>
          <w:color w:val="131413"/>
          <w:sz w:val="24"/>
          <w:szCs w:val="24"/>
        </w:rPr>
        <w:t xml:space="preserve">). More specifically, the </w:t>
      </w:r>
    </w:p>
    <w:p w:rsidR="0005129B" w:rsidRDefault="00F00BF2" w:rsidP="0031777D">
      <w:pPr>
        <w:spacing w:after="0" w:line="360" w:lineRule="auto"/>
        <w:ind w:firstLine="720"/>
        <w:jc w:val="both"/>
        <w:rPr>
          <w:rFonts w:ascii="Times New Roman" w:hAnsi="Times New Roman" w:cs="Times New Roman"/>
          <w:color w:val="131413"/>
          <w:sz w:val="24"/>
          <w:szCs w:val="24"/>
        </w:rPr>
      </w:pPr>
      <w:proofErr w:type="gramStart"/>
      <w:r>
        <w:rPr>
          <w:rFonts w:ascii="Times New Roman" w:hAnsi="Times New Roman" w:cs="Times New Roman"/>
          <w:color w:val="131413"/>
          <w:sz w:val="24"/>
          <w:szCs w:val="24"/>
        </w:rPr>
        <w:t>infection</w:t>
      </w:r>
      <w:proofErr w:type="gramEnd"/>
      <w:r>
        <w:rPr>
          <w:rFonts w:ascii="Times New Roman" w:hAnsi="Times New Roman" w:cs="Times New Roman"/>
          <w:color w:val="131413"/>
          <w:sz w:val="24"/>
          <w:szCs w:val="24"/>
        </w:rPr>
        <w:t xml:space="preserve"> rate is 30% in Western countries and 20–30% in North America. </w:t>
      </w:r>
    </w:p>
    <w:p w:rsidR="0005129B" w:rsidRDefault="00F00BF2" w:rsidP="0005129B">
      <w:pPr>
        <w:spacing w:after="0" w:line="360" w:lineRule="auto"/>
        <w:ind w:firstLine="720"/>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Infection rates are higher in Africans (25%), Asians (30%), </w:t>
      </w:r>
      <w:proofErr w:type="gramStart"/>
      <w:r>
        <w:rPr>
          <w:rFonts w:ascii="Times New Roman" w:hAnsi="Times New Roman" w:cs="Times New Roman"/>
          <w:color w:val="131413"/>
          <w:sz w:val="24"/>
          <w:szCs w:val="24"/>
        </w:rPr>
        <w:t xml:space="preserve">and </w:t>
      </w:r>
      <w:r w:rsidR="00B94D25">
        <w:rPr>
          <w:rFonts w:ascii="Times New Roman" w:hAnsi="Times New Roman" w:cs="Times New Roman"/>
          <w:color w:val="131413"/>
          <w:sz w:val="24"/>
          <w:szCs w:val="24"/>
        </w:rPr>
        <w:t xml:space="preserve"> </w:t>
      </w:r>
      <w:r>
        <w:rPr>
          <w:rFonts w:ascii="Times New Roman" w:hAnsi="Times New Roman" w:cs="Times New Roman"/>
          <w:color w:val="131413"/>
          <w:sz w:val="24"/>
          <w:szCs w:val="24"/>
        </w:rPr>
        <w:t>South</w:t>
      </w:r>
      <w:proofErr w:type="gramEnd"/>
      <w:r>
        <w:rPr>
          <w:rFonts w:ascii="Times New Roman" w:hAnsi="Times New Roman" w:cs="Times New Roman"/>
          <w:color w:val="131413"/>
          <w:sz w:val="24"/>
          <w:szCs w:val="24"/>
        </w:rPr>
        <w:t xml:space="preserve"> Americans (34%) </w:t>
      </w:r>
    </w:p>
    <w:p w:rsidR="00F00BF2" w:rsidRDefault="00F00BF2" w:rsidP="0005129B">
      <w:pPr>
        <w:spacing w:after="0" w:line="360" w:lineRule="auto"/>
        <w:ind w:firstLine="720"/>
        <w:jc w:val="both"/>
        <w:rPr>
          <w:rFonts w:ascii="Times New Roman" w:hAnsi="Times New Roman" w:cs="Times New Roman"/>
          <w:color w:val="131413"/>
          <w:sz w:val="24"/>
          <w:szCs w:val="24"/>
        </w:rPr>
      </w:pPr>
      <w:proofErr w:type="gramStart"/>
      <w:r>
        <w:rPr>
          <w:rFonts w:ascii="Times New Roman" w:hAnsi="Times New Roman" w:cs="Times New Roman"/>
          <w:color w:val="131413"/>
          <w:sz w:val="24"/>
          <w:szCs w:val="24"/>
        </w:rPr>
        <w:t>and</w:t>
      </w:r>
      <w:proofErr w:type="gramEnd"/>
      <w:r>
        <w:rPr>
          <w:rFonts w:ascii="Times New Roman" w:hAnsi="Times New Roman" w:cs="Times New Roman"/>
          <w:color w:val="131413"/>
          <w:sz w:val="24"/>
          <w:szCs w:val="24"/>
        </w:rPr>
        <w:t xml:space="preserve"> significantly lower in Caucasians (8%) who reside in Canada </w:t>
      </w:r>
      <w:r w:rsidR="0005129B">
        <w:rPr>
          <w:rFonts w:ascii="Times New Roman" w:hAnsi="Times New Roman" w:cs="Times New Roman"/>
          <w:color w:val="131413"/>
          <w:sz w:val="24"/>
          <w:szCs w:val="24"/>
        </w:rPr>
        <w:t xml:space="preserve"> </w:t>
      </w:r>
      <w:r w:rsidR="0031777D">
        <w:rPr>
          <w:rFonts w:ascii="Times New Roman" w:hAnsi="Times New Roman" w:cs="Times New Roman"/>
          <w:color w:val="131413"/>
          <w:sz w:val="24"/>
          <w:szCs w:val="24"/>
        </w:rPr>
        <w:t>(11</w:t>
      </w:r>
      <w:r w:rsidR="00B94D25">
        <w:rPr>
          <w:rFonts w:ascii="Times New Roman" w:hAnsi="Times New Roman" w:cs="Times New Roman"/>
          <w:color w:val="131413"/>
          <w:sz w:val="24"/>
          <w:szCs w:val="24"/>
        </w:rPr>
        <w:t>).</w:t>
      </w:r>
    </w:p>
    <w:p w:rsidR="00A26BC7" w:rsidRDefault="00B94D25" w:rsidP="00F00BF2">
      <w:pPr>
        <w:pStyle w:val="Default"/>
        <w:spacing w:line="360" w:lineRule="auto"/>
        <w:ind w:left="720"/>
        <w:jc w:val="both"/>
        <w:rPr>
          <w:rFonts w:ascii="Times New Roman" w:hAnsi="Times New Roman" w:cs="Times New Roman"/>
          <w:color w:val="131413"/>
        </w:rPr>
      </w:pPr>
      <w:r>
        <w:rPr>
          <w:rFonts w:ascii="Times New Roman" w:hAnsi="Times New Roman" w:cs="Times New Roman"/>
          <w:color w:val="131413"/>
        </w:rPr>
        <w:t xml:space="preserve">              </w:t>
      </w:r>
      <w:r w:rsidR="00F00BF2">
        <w:rPr>
          <w:rFonts w:ascii="Times New Roman" w:hAnsi="Times New Roman" w:cs="Times New Roman"/>
          <w:color w:val="131413"/>
        </w:rPr>
        <w:t xml:space="preserve">Factors Contributing to </w:t>
      </w:r>
      <w:r w:rsidR="00F00BF2">
        <w:rPr>
          <w:rFonts w:ascii="Times New Roman" w:hAnsi="Times New Roman" w:cs="Times New Roman"/>
          <w:i/>
          <w:color w:val="131413"/>
        </w:rPr>
        <w:t xml:space="preserve">H. pylori </w:t>
      </w:r>
      <w:r w:rsidR="00F00BF2">
        <w:rPr>
          <w:rFonts w:ascii="Times New Roman" w:hAnsi="Times New Roman" w:cs="Times New Roman"/>
          <w:color w:val="131413"/>
        </w:rPr>
        <w:t xml:space="preserve">infection. The exact mechanism of </w:t>
      </w:r>
      <w:r w:rsidR="00F00BF2">
        <w:rPr>
          <w:rFonts w:ascii="Times New Roman" w:hAnsi="Times New Roman" w:cs="Times New Roman"/>
          <w:i/>
          <w:color w:val="131413"/>
        </w:rPr>
        <w:t>H. pylori</w:t>
      </w:r>
      <w:r w:rsidR="00F00BF2">
        <w:rPr>
          <w:rFonts w:ascii="Times New Roman" w:hAnsi="Times New Roman" w:cs="Times New Roman"/>
          <w:color w:val="131413"/>
        </w:rPr>
        <w:t xml:space="preserve"> infection is currently unknown; however, socioeconomic and environmental factors are known to</w:t>
      </w:r>
      <w:r w:rsidR="0031777D">
        <w:rPr>
          <w:rFonts w:ascii="Times New Roman" w:hAnsi="Times New Roman" w:cs="Times New Roman"/>
          <w:color w:val="131413"/>
        </w:rPr>
        <w:t xml:space="preserve"> play an important role (12</w:t>
      </w:r>
      <w:r w:rsidR="00F00BF2">
        <w:rPr>
          <w:rFonts w:ascii="Times New Roman" w:hAnsi="Times New Roman" w:cs="Times New Roman"/>
          <w:color w:val="131413"/>
        </w:rPr>
        <w:t xml:space="preserve">). </w:t>
      </w:r>
      <w:r w:rsidR="00F00BF2">
        <w:rPr>
          <w:rFonts w:ascii="Times New Roman" w:hAnsi="Times New Roman" w:cs="Times New Roman"/>
          <w:i/>
          <w:color w:val="131413"/>
        </w:rPr>
        <w:t xml:space="preserve">H. pylori </w:t>
      </w:r>
      <w:r w:rsidR="00F00BF2">
        <w:rPr>
          <w:rFonts w:ascii="Times New Roman" w:hAnsi="Times New Roman" w:cs="Times New Roman"/>
          <w:color w:val="131413"/>
        </w:rPr>
        <w:t>infection occurs in early childhood and remains silent for years; only 30% of individuals develop observable s</w:t>
      </w:r>
      <w:r w:rsidR="0031777D">
        <w:rPr>
          <w:rFonts w:ascii="Times New Roman" w:hAnsi="Times New Roman" w:cs="Times New Roman"/>
          <w:color w:val="131413"/>
        </w:rPr>
        <w:t xml:space="preserve">igns and symptoms of </w:t>
      </w:r>
      <w:proofErr w:type="spellStart"/>
      <w:r w:rsidR="0031777D">
        <w:rPr>
          <w:rFonts w:ascii="Times New Roman" w:hAnsi="Times New Roman" w:cs="Times New Roman"/>
          <w:color w:val="131413"/>
        </w:rPr>
        <w:t>gastritis.</w:t>
      </w:r>
      <w:r w:rsidR="00F00BF2">
        <w:rPr>
          <w:rFonts w:ascii="Times New Roman" w:hAnsi="Times New Roman" w:cs="Times New Roman"/>
          <w:color w:val="131413"/>
        </w:rPr>
        <w:t>Transmission</w:t>
      </w:r>
      <w:proofErr w:type="spellEnd"/>
      <w:r w:rsidR="00F00BF2">
        <w:rPr>
          <w:rFonts w:ascii="Times New Roman" w:hAnsi="Times New Roman" w:cs="Times New Roman"/>
          <w:color w:val="131413"/>
        </w:rPr>
        <w:t xml:space="preserve"> occurs through oral-oral, fecal oral,</w:t>
      </w:r>
      <w:r w:rsidR="0031777D">
        <w:rPr>
          <w:rFonts w:ascii="Times New Roman" w:hAnsi="Times New Roman" w:cs="Times New Roman"/>
          <w:color w:val="131413"/>
        </w:rPr>
        <w:t xml:space="preserve"> and gastro-oral routes (13</w:t>
      </w:r>
      <w:r w:rsidR="00F00BF2">
        <w:rPr>
          <w:rFonts w:ascii="Times New Roman" w:hAnsi="Times New Roman" w:cs="Times New Roman"/>
          <w:color w:val="131413"/>
        </w:rPr>
        <w:t>).</w:t>
      </w:r>
    </w:p>
    <w:p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hAnsi="Times New Roman" w:cs="Times New Roman"/>
          <w:color w:val="000000"/>
          <w:sz w:val="24"/>
          <w:szCs w:val="24"/>
        </w:rPr>
        <w:t xml:space="preserve">                           </w:t>
      </w:r>
      <w:r w:rsidR="00A26BC7" w:rsidRPr="009C2291">
        <w:rPr>
          <w:rFonts w:ascii="Times New Roman" w:eastAsia="TimesNewRomanPSMT" w:hAnsi="Times New Roman" w:cs="Times New Roman"/>
          <w:i/>
          <w:sz w:val="24"/>
          <w:szCs w:val="24"/>
        </w:rPr>
        <w:t>Helicobacter pylori</w:t>
      </w:r>
      <w:r w:rsidR="00A26BC7" w:rsidRPr="009C2291">
        <w:rPr>
          <w:rFonts w:ascii="Times New Roman" w:eastAsia="TimesNewRomanPSMT" w:hAnsi="Times New Roman" w:cs="Times New Roman"/>
          <w:sz w:val="24"/>
          <w:szCs w:val="24"/>
        </w:rPr>
        <w:t xml:space="preserve"> infection (HPI) is ubiquitous with an estimated 50% of the </w:t>
      </w:r>
    </w:p>
    <w:p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sidR="00A26BC7" w:rsidRPr="009C2291">
        <w:rPr>
          <w:rFonts w:ascii="Times New Roman" w:eastAsia="TimesNewRomanPSMT" w:hAnsi="Times New Roman" w:cs="Times New Roman"/>
          <w:sz w:val="24"/>
          <w:szCs w:val="24"/>
        </w:rPr>
        <w:t>world</w:t>
      </w:r>
      <w:proofErr w:type="gramEnd"/>
      <w:r w:rsidR="00A26BC7" w:rsidRPr="009C2291">
        <w:rPr>
          <w:rFonts w:ascii="Times New Roman" w:eastAsia="TimesNewRomanPSMT" w:hAnsi="Times New Roman" w:cs="Times New Roman"/>
          <w:sz w:val="24"/>
          <w:szCs w:val="24"/>
        </w:rPr>
        <w:t xml:space="preserve"> population in</w:t>
      </w:r>
      <w:r w:rsidR="0031777D">
        <w:rPr>
          <w:rFonts w:ascii="Times New Roman" w:eastAsia="TimesNewRomanPSMT" w:hAnsi="Times New Roman" w:cs="Times New Roman"/>
          <w:sz w:val="24"/>
          <w:szCs w:val="24"/>
        </w:rPr>
        <w:t>fected (14</w:t>
      </w:r>
      <w:r w:rsidR="00DA0789" w:rsidRPr="009C2291">
        <w:rPr>
          <w:rFonts w:ascii="Times New Roman" w:eastAsia="TimesNewRomanPSMT" w:hAnsi="Times New Roman" w:cs="Times New Roman"/>
          <w:sz w:val="24"/>
          <w:szCs w:val="24"/>
        </w:rPr>
        <w:t>) the strain</w:t>
      </w:r>
      <w:r w:rsidR="00A26BC7" w:rsidRPr="009C2291">
        <w:rPr>
          <w:rFonts w:ascii="Times New Roman" w:eastAsia="TimesNewRomanPSMT" w:hAnsi="Times New Roman" w:cs="Times New Roman"/>
          <w:sz w:val="24"/>
          <w:szCs w:val="24"/>
        </w:rPr>
        <w:t xml:space="preserve"> of the infection in Africa is high with a reported </w:t>
      </w:r>
    </w:p>
    <w:p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sidR="00A26BC7" w:rsidRPr="009C2291">
        <w:rPr>
          <w:rFonts w:ascii="Times New Roman" w:eastAsia="TimesNewRomanPSMT" w:hAnsi="Times New Roman" w:cs="Times New Roman"/>
          <w:sz w:val="24"/>
          <w:szCs w:val="24"/>
        </w:rPr>
        <w:t>prevalence</w:t>
      </w:r>
      <w:proofErr w:type="gramEnd"/>
      <w:r w:rsidR="00A26BC7" w:rsidRPr="009C2291">
        <w:rPr>
          <w:rFonts w:ascii="Times New Roman" w:eastAsia="TimesNewRomanPSMT" w:hAnsi="Times New Roman" w:cs="Times New Roman"/>
          <w:sz w:val="24"/>
          <w:szCs w:val="24"/>
        </w:rPr>
        <w:t xml:space="preserve"> of</w:t>
      </w:r>
      <w:r w:rsidR="0031777D">
        <w:rPr>
          <w:rFonts w:ascii="Times New Roman" w:eastAsia="TimesNewRomanPSMT" w:hAnsi="Times New Roman" w:cs="Times New Roman"/>
          <w:sz w:val="24"/>
          <w:szCs w:val="24"/>
        </w:rPr>
        <w:t xml:space="preserve"> 70.1% (15</w:t>
      </w:r>
      <w:r w:rsidR="00A26BC7" w:rsidRPr="009C2291">
        <w:rPr>
          <w:rFonts w:ascii="Times New Roman" w:eastAsia="TimesNewRomanPSMT" w:hAnsi="Times New Roman" w:cs="Times New Roman"/>
          <w:sz w:val="24"/>
          <w:szCs w:val="24"/>
        </w:rPr>
        <w:t>). Recent studies reported by (</w:t>
      </w:r>
      <w:r w:rsidR="0031777D">
        <w:rPr>
          <w:rFonts w:ascii="Times New Roman" w:eastAsia="GaramondMTStd-Regular" w:hAnsi="Times New Roman" w:cs="Times New Roman"/>
          <w:sz w:val="24"/>
          <w:szCs w:val="24"/>
        </w:rPr>
        <w:t>16</w:t>
      </w:r>
      <w:r w:rsidR="00A26BC7" w:rsidRPr="009C2291">
        <w:rPr>
          <w:rFonts w:ascii="Times New Roman" w:eastAsia="TimesNewRomanPSMT" w:hAnsi="Times New Roman" w:cs="Times New Roman"/>
          <w:sz w:val="24"/>
          <w:szCs w:val="24"/>
        </w:rPr>
        <w:t xml:space="preserve">) showed that Nigeria has high </w:t>
      </w:r>
    </w:p>
    <w:p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sidR="00A26BC7" w:rsidRPr="009C2291">
        <w:rPr>
          <w:rFonts w:ascii="Times New Roman" w:eastAsia="TimesNewRomanPSMT" w:hAnsi="Times New Roman" w:cs="Times New Roman"/>
          <w:sz w:val="24"/>
          <w:szCs w:val="24"/>
        </w:rPr>
        <w:t>burden</w:t>
      </w:r>
      <w:proofErr w:type="gramEnd"/>
      <w:r w:rsidR="00A26BC7" w:rsidRPr="009C2291">
        <w:rPr>
          <w:rFonts w:ascii="Times New Roman" w:eastAsia="TimesNewRomanPSMT" w:hAnsi="Times New Roman" w:cs="Times New Roman"/>
          <w:sz w:val="24"/>
          <w:szCs w:val="24"/>
        </w:rPr>
        <w:t xml:space="preserve"> of </w:t>
      </w:r>
      <w:r w:rsidR="00A26BC7" w:rsidRPr="009C2291">
        <w:rPr>
          <w:rFonts w:ascii="Times New Roman" w:eastAsia="TimesNewRomanPSMT" w:hAnsi="Times New Roman" w:cs="Times New Roman"/>
          <w:i/>
          <w:sz w:val="24"/>
          <w:szCs w:val="24"/>
        </w:rPr>
        <w:t>H. Pylori</w:t>
      </w:r>
      <w:r w:rsidR="00A26BC7" w:rsidRPr="009C2291">
        <w:rPr>
          <w:rFonts w:ascii="Times New Roman" w:eastAsia="TimesNewRomanPSMT" w:hAnsi="Times New Roman" w:cs="Times New Roman"/>
          <w:sz w:val="24"/>
          <w:szCs w:val="24"/>
        </w:rPr>
        <w:t xml:space="preserve"> infection with the prevalence rate of 87.7% with Northern part of the </w:t>
      </w:r>
    </w:p>
    <w:p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sidR="00A26BC7" w:rsidRPr="009C2291">
        <w:rPr>
          <w:rFonts w:ascii="Times New Roman" w:eastAsia="TimesNewRomanPSMT" w:hAnsi="Times New Roman" w:cs="Times New Roman"/>
          <w:sz w:val="24"/>
          <w:szCs w:val="24"/>
        </w:rPr>
        <w:t>country</w:t>
      </w:r>
      <w:proofErr w:type="gramEnd"/>
      <w:r w:rsidR="00A26BC7" w:rsidRPr="009C2291">
        <w:rPr>
          <w:rFonts w:ascii="Times New Roman" w:eastAsia="TimesNewRomanPSMT" w:hAnsi="Times New Roman" w:cs="Times New Roman"/>
          <w:sz w:val="24"/>
          <w:szCs w:val="24"/>
        </w:rPr>
        <w:t xml:space="preserve"> having the highest prevalence compare to other regions of the coun</w:t>
      </w:r>
      <w:r w:rsidR="0092326D" w:rsidRPr="009C2291">
        <w:rPr>
          <w:rFonts w:ascii="Times New Roman" w:eastAsia="TimesNewRomanPSMT" w:hAnsi="Times New Roman" w:cs="Times New Roman"/>
          <w:sz w:val="24"/>
          <w:szCs w:val="24"/>
        </w:rPr>
        <w:t xml:space="preserve">try. Considering </w:t>
      </w:r>
    </w:p>
    <w:p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sidR="0092326D" w:rsidRPr="009C2291">
        <w:rPr>
          <w:rFonts w:ascii="Times New Roman" w:eastAsia="TimesNewRomanPSMT" w:hAnsi="Times New Roman" w:cs="Times New Roman"/>
          <w:sz w:val="24"/>
          <w:szCs w:val="24"/>
        </w:rPr>
        <w:t>the</w:t>
      </w:r>
      <w:proofErr w:type="gramEnd"/>
      <w:r w:rsidR="0092326D" w:rsidRPr="009C2291">
        <w:rPr>
          <w:rFonts w:ascii="Times New Roman" w:eastAsia="TimesNewRomanPSMT" w:hAnsi="Times New Roman" w:cs="Times New Roman"/>
          <w:sz w:val="24"/>
          <w:szCs w:val="24"/>
        </w:rPr>
        <w:t xml:space="preserve"> high load</w:t>
      </w:r>
      <w:r w:rsidR="00A26BC7" w:rsidRPr="009C2291">
        <w:rPr>
          <w:rFonts w:ascii="Times New Roman" w:eastAsia="TimesNewRomanPSMT" w:hAnsi="Times New Roman" w:cs="Times New Roman"/>
          <w:sz w:val="24"/>
          <w:szCs w:val="24"/>
        </w:rPr>
        <w:t xml:space="preserve"> of HPI in Africa and Nigeria with its associated pathological outcomes, </w:t>
      </w:r>
    </w:p>
    <w:p w:rsid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sidR="00A26BC7" w:rsidRPr="009C2291">
        <w:rPr>
          <w:rFonts w:ascii="Times New Roman" w:eastAsia="TimesNewRomanPSMT" w:hAnsi="Times New Roman" w:cs="Times New Roman"/>
          <w:sz w:val="24"/>
          <w:szCs w:val="24"/>
        </w:rPr>
        <w:t>accurate</w:t>
      </w:r>
      <w:proofErr w:type="gramEnd"/>
      <w:r w:rsidR="00A26BC7" w:rsidRPr="009C2291">
        <w:rPr>
          <w:rFonts w:ascii="Times New Roman" w:eastAsia="TimesNewRomanPSMT" w:hAnsi="Times New Roman" w:cs="Times New Roman"/>
          <w:sz w:val="24"/>
          <w:szCs w:val="24"/>
        </w:rPr>
        <w:t xml:space="preserve"> and prompt data is needed for management, treatment and eradication of the </w:t>
      </w:r>
    </w:p>
    <w:p w:rsidR="00A26BC7" w:rsidRPr="009C2291" w:rsidRDefault="009C2291" w:rsidP="009C2291">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A26BC7" w:rsidRPr="009C2291">
        <w:rPr>
          <w:rFonts w:ascii="Times New Roman" w:eastAsia="TimesNewRomanPSMT" w:hAnsi="Times New Roman" w:cs="Times New Roman"/>
          <w:sz w:val="24"/>
          <w:szCs w:val="24"/>
        </w:rPr>
        <w:t>diseases.</w:t>
      </w:r>
    </w:p>
    <w:p w:rsidR="00A26BC7" w:rsidRPr="00E410CD" w:rsidRDefault="00DA0789" w:rsidP="00E410CD">
      <w:pPr>
        <w:pStyle w:val="ListParagraph"/>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A26BC7" w:rsidRPr="00E410CD">
        <w:rPr>
          <w:rFonts w:ascii="Times New Roman" w:eastAsia="TimesNewRomanPSMT" w:hAnsi="Times New Roman" w:cs="Times New Roman"/>
          <w:sz w:val="24"/>
          <w:szCs w:val="24"/>
        </w:rPr>
        <w:t xml:space="preserve">Many works had been done on Cryptosporidiosis and </w:t>
      </w:r>
      <w:r w:rsidR="00A26BC7" w:rsidRPr="00E410CD">
        <w:rPr>
          <w:rFonts w:ascii="Times New Roman" w:eastAsia="TimesNewRomanPSMT" w:hAnsi="Times New Roman" w:cs="Times New Roman"/>
          <w:i/>
          <w:sz w:val="24"/>
          <w:szCs w:val="24"/>
        </w:rPr>
        <w:t>H. pylori</w:t>
      </w:r>
      <w:r w:rsidR="00A26BC7" w:rsidRPr="00E410CD">
        <w:rPr>
          <w:rFonts w:ascii="Times New Roman" w:eastAsia="TimesNewRomanPSMT" w:hAnsi="Times New Roman" w:cs="Times New Roman"/>
          <w:sz w:val="24"/>
          <w:szCs w:val="24"/>
        </w:rPr>
        <w:t xml:space="preserve"> infection but </w:t>
      </w:r>
      <w:r w:rsidR="001350B4" w:rsidRPr="00E410CD">
        <w:rPr>
          <w:rFonts w:ascii="Times New Roman" w:eastAsia="TimesNewRomanPSMT" w:hAnsi="Times New Roman" w:cs="Times New Roman"/>
          <w:sz w:val="24"/>
          <w:szCs w:val="24"/>
        </w:rPr>
        <w:t>information based on some sociodemographic variables such as gender, age and study area is lacking among the vulnerable population</w:t>
      </w:r>
      <w:r w:rsidR="00A26BC7" w:rsidRPr="00E410CD">
        <w:rPr>
          <w:rFonts w:ascii="Times New Roman" w:eastAsia="TimesNewRomanPSMT" w:hAnsi="Times New Roman" w:cs="Times New Roman"/>
          <w:sz w:val="24"/>
          <w:szCs w:val="24"/>
        </w:rPr>
        <w:t xml:space="preserve"> especially HIV/AIDS patients.</w:t>
      </w:r>
      <w:r w:rsidR="001350B4" w:rsidRPr="00E410CD">
        <w:rPr>
          <w:rFonts w:ascii="Times New Roman" w:eastAsia="TimesNewRomanPSMT" w:hAnsi="Times New Roman" w:cs="Times New Roman"/>
          <w:sz w:val="24"/>
          <w:szCs w:val="24"/>
        </w:rPr>
        <w:t xml:space="preserve"> </w:t>
      </w:r>
      <w:r w:rsidR="00A26BC7" w:rsidRPr="00E410CD">
        <w:rPr>
          <w:rFonts w:ascii="Times New Roman" w:eastAsia="TimesNewRomanPSMT" w:hAnsi="Times New Roman" w:cs="Times New Roman"/>
          <w:sz w:val="24"/>
          <w:szCs w:val="24"/>
        </w:rPr>
        <w:t xml:space="preserve">It is in view of </w:t>
      </w:r>
      <w:r w:rsidR="00A26BC7" w:rsidRPr="00E410CD">
        <w:rPr>
          <w:rFonts w:ascii="Times New Roman" w:eastAsia="TimesNewRomanPSMT" w:hAnsi="Times New Roman" w:cs="Times New Roman"/>
          <w:sz w:val="24"/>
          <w:szCs w:val="24"/>
        </w:rPr>
        <w:lastRenderedPageBreak/>
        <w:t xml:space="preserve">the above that the study sets </w:t>
      </w:r>
      <w:r w:rsidR="001350B4" w:rsidRPr="00E410CD">
        <w:rPr>
          <w:rFonts w:ascii="Times New Roman" w:eastAsia="TimesNewRomanPSMT" w:hAnsi="Times New Roman" w:cs="Times New Roman"/>
          <w:sz w:val="24"/>
          <w:szCs w:val="24"/>
        </w:rPr>
        <w:t xml:space="preserve">to investigate the prevalence </w:t>
      </w:r>
      <w:r w:rsidR="00A26BC7" w:rsidRPr="00E410CD">
        <w:rPr>
          <w:rFonts w:ascii="Times New Roman" w:eastAsia="TimesNewRomanPSMT" w:hAnsi="Times New Roman" w:cs="Times New Roman"/>
          <w:sz w:val="24"/>
          <w:szCs w:val="24"/>
        </w:rPr>
        <w:t xml:space="preserve">of </w:t>
      </w:r>
      <w:r w:rsidR="00A26BC7" w:rsidRPr="00E410CD">
        <w:rPr>
          <w:rFonts w:ascii="Times New Roman" w:eastAsia="TimesNewRomanPSMT" w:hAnsi="Times New Roman" w:cs="Times New Roman"/>
          <w:i/>
          <w:sz w:val="24"/>
          <w:szCs w:val="24"/>
        </w:rPr>
        <w:t>Cryptosporidium-</w:t>
      </w:r>
      <w:r w:rsidR="00A26BC7" w:rsidRPr="00E410CD">
        <w:rPr>
          <w:rFonts w:ascii="Times New Roman" w:eastAsia="TimesNewRomanPSMT" w:hAnsi="Times New Roman" w:cs="Times New Roman"/>
          <w:sz w:val="24"/>
          <w:szCs w:val="24"/>
        </w:rPr>
        <w:t>species</w:t>
      </w:r>
      <w:r w:rsidR="00A26BC7" w:rsidRPr="00E410CD">
        <w:rPr>
          <w:rFonts w:ascii="Times New Roman" w:eastAsia="TimesNewRomanPSMT" w:hAnsi="Times New Roman" w:cs="Times New Roman"/>
          <w:i/>
          <w:sz w:val="24"/>
          <w:szCs w:val="24"/>
        </w:rPr>
        <w:t xml:space="preserve"> </w:t>
      </w:r>
      <w:r w:rsidR="00A26BC7" w:rsidRPr="00E410CD">
        <w:rPr>
          <w:rFonts w:ascii="Times New Roman" w:eastAsia="TimesNewRomanPSMT" w:hAnsi="Times New Roman" w:cs="Times New Roman"/>
          <w:sz w:val="24"/>
          <w:szCs w:val="24"/>
        </w:rPr>
        <w:t xml:space="preserve">and </w:t>
      </w:r>
      <w:r w:rsidR="00A26BC7" w:rsidRPr="00E410CD">
        <w:rPr>
          <w:rFonts w:ascii="Times New Roman" w:eastAsia="TimesNewRomanPSMT" w:hAnsi="Times New Roman" w:cs="Times New Roman"/>
          <w:i/>
          <w:sz w:val="24"/>
          <w:szCs w:val="24"/>
        </w:rPr>
        <w:t>Helicobacter pylori</w:t>
      </w:r>
      <w:r w:rsidR="00A26BC7" w:rsidRPr="00E410CD">
        <w:rPr>
          <w:rFonts w:ascii="Times New Roman" w:eastAsia="TimesNewRomanPSMT" w:hAnsi="Times New Roman" w:cs="Times New Roman"/>
          <w:sz w:val="24"/>
          <w:szCs w:val="24"/>
        </w:rPr>
        <w:t xml:space="preserve"> among HIV/AIDS</w:t>
      </w:r>
      <w:r w:rsidR="00E06F79" w:rsidRPr="00E410CD">
        <w:rPr>
          <w:rFonts w:ascii="Times New Roman" w:eastAsia="TimesNewRomanPSMT" w:hAnsi="Times New Roman" w:cs="Times New Roman"/>
          <w:sz w:val="24"/>
          <w:szCs w:val="24"/>
        </w:rPr>
        <w:t xml:space="preserve"> positive and negative</w:t>
      </w:r>
      <w:r w:rsidR="00A26BC7" w:rsidRPr="00E410CD">
        <w:rPr>
          <w:rFonts w:ascii="Times New Roman" w:eastAsia="TimesNewRomanPSMT" w:hAnsi="Times New Roman" w:cs="Times New Roman"/>
          <w:sz w:val="24"/>
          <w:szCs w:val="24"/>
        </w:rPr>
        <w:t xml:space="preserve"> patients attending Specialist Hospital Yola, General Hospital Numan and General Hospital Mubi, Adamawa state. </w:t>
      </w:r>
    </w:p>
    <w:p w:rsidR="00CD48AF" w:rsidRDefault="00CD48AF" w:rsidP="00A26BC7">
      <w:pPr>
        <w:pStyle w:val="ListParagraph"/>
        <w:rPr>
          <w:rFonts w:ascii="Times New Roman" w:eastAsia="TimesNewRomanPSMT" w:hAnsi="Times New Roman" w:cs="Times New Roman"/>
          <w:sz w:val="24"/>
          <w:szCs w:val="24"/>
        </w:rPr>
      </w:pPr>
    </w:p>
    <w:p w:rsidR="00B174E5" w:rsidRDefault="00B174E5" w:rsidP="00B174E5">
      <w:pPr>
        <w:pStyle w:val="Heading1"/>
        <w:rPr>
          <w:rFonts w:ascii="Times New Roman" w:hAnsi="Times New Roman" w:cs="Times New Roman"/>
          <w:b/>
          <w:color w:val="auto"/>
          <w:sz w:val="22"/>
          <w:szCs w:val="22"/>
        </w:rPr>
      </w:pPr>
      <w:bookmarkStart w:id="1" w:name="_Toc32162152"/>
      <w:bookmarkStart w:id="2" w:name="_Toc32162260"/>
      <w:bookmarkStart w:id="3" w:name="_Toc32162374"/>
    </w:p>
    <w:p w:rsidR="00CD48AF" w:rsidRPr="00CD48AF" w:rsidRDefault="00B174E5" w:rsidP="00B174E5">
      <w:pPr>
        <w:pStyle w:val="Heading1"/>
        <w:rPr>
          <w:rFonts w:ascii="Times New Roman" w:hAnsi="Times New Roman" w:cs="Times New Roman"/>
          <w:b/>
          <w:color w:val="auto"/>
          <w:sz w:val="22"/>
          <w:szCs w:val="22"/>
        </w:rPr>
      </w:pPr>
      <w:r>
        <w:rPr>
          <w:rFonts w:ascii="Times New Roman" w:hAnsi="Times New Roman" w:cs="Times New Roman"/>
          <w:b/>
          <w:color w:val="auto"/>
          <w:sz w:val="22"/>
          <w:szCs w:val="22"/>
        </w:rPr>
        <w:t xml:space="preserve">     2.0   </w:t>
      </w:r>
      <w:r w:rsidR="00CD48AF" w:rsidRPr="00CD48AF">
        <w:rPr>
          <w:rFonts w:ascii="Times New Roman" w:hAnsi="Times New Roman" w:cs="Times New Roman"/>
          <w:b/>
          <w:color w:val="auto"/>
          <w:sz w:val="22"/>
          <w:szCs w:val="22"/>
        </w:rPr>
        <w:t>MATERIALS AND METHODS</w:t>
      </w:r>
      <w:bookmarkEnd w:id="1"/>
      <w:bookmarkEnd w:id="2"/>
      <w:bookmarkEnd w:id="3"/>
    </w:p>
    <w:p w:rsidR="00CD48AF" w:rsidRDefault="00CD48AF" w:rsidP="0091750A">
      <w:pPr>
        <w:pStyle w:val="ListParagraph"/>
        <w:jc w:val="both"/>
        <w:rPr>
          <w:rFonts w:ascii="Times New Roman" w:hAnsi="Times New Roman" w:cs="Times New Roman"/>
          <w:b/>
          <w:sz w:val="28"/>
          <w:szCs w:val="28"/>
        </w:rPr>
      </w:pPr>
    </w:p>
    <w:p w:rsidR="00707240" w:rsidRDefault="00B174E5" w:rsidP="0091750A">
      <w:pPr>
        <w:pStyle w:val="Heading2"/>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707240" w:rsidRPr="00590E43">
        <w:rPr>
          <w:rFonts w:ascii="Times New Roman" w:hAnsi="Times New Roman" w:cs="Times New Roman"/>
          <w:b/>
          <w:color w:val="auto"/>
          <w:sz w:val="24"/>
          <w:szCs w:val="24"/>
        </w:rPr>
        <w:t>2.1</w:t>
      </w:r>
      <w:r w:rsidR="00707240">
        <w:rPr>
          <w:rFonts w:ascii="Times New Roman" w:hAnsi="Times New Roman" w:cs="Times New Roman"/>
          <w:b/>
          <w:color w:val="auto"/>
          <w:sz w:val="24"/>
          <w:szCs w:val="24"/>
        </w:rPr>
        <w:t xml:space="preserve"> The Study Area</w:t>
      </w:r>
    </w:p>
    <w:p w:rsidR="00707240" w:rsidRDefault="00707240" w:rsidP="0091750A">
      <w:pPr>
        <w:pStyle w:val="ListParagraph"/>
        <w:spacing w:line="360" w:lineRule="auto"/>
        <w:jc w:val="both"/>
        <w:rPr>
          <w:rFonts w:ascii="Times New Roman" w:hAnsi="Times New Roman" w:cs="Times New Roman"/>
          <w:sz w:val="24"/>
          <w:szCs w:val="24"/>
        </w:rPr>
      </w:pPr>
      <w:r w:rsidRPr="00707240">
        <w:rPr>
          <w:rFonts w:ascii="Times New Roman" w:hAnsi="Times New Roman" w:cs="Times New Roman"/>
          <w:sz w:val="24"/>
          <w:szCs w:val="24"/>
        </w:rPr>
        <w:t>The study was conducted in Specialist Hospital</w:t>
      </w:r>
      <w:r w:rsidR="00B174E5">
        <w:rPr>
          <w:rFonts w:ascii="Times New Roman" w:hAnsi="Times New Roman" w:cs="Times New Roman"/>
          <w:sz w:val="24"/>
          <w:szCs w:val="24"/>
        </w:rPr>
        <w:t xml:space="preserve"> Yola</w:t>
      </w:r>
      <w:r w:rsidRPr="00707240">
        <w:rPr>
          <w:rFonts w:ascii="Times New Roman" w:hAnsi="Times New Roman" w:cs="Times New Roman"/>
          <w:sz w:val="24"/>
          <w:szCs w:val="24"/>
        </w:rPr>
        <w:t>, General Hospital Numan and General Hospital Mubi, in Yola North, Numan and Mubi South Local Government Areas respectively of Adamawa State. The Hospitals are carefull</w:t>
      </w:r>
      <w:r w:rsidR="0031777D">
        <w:rPr>
          <w:rFonts w:ascii="Times New Roman" w:hAnsi="Times New Roman" w:cs="Times New Roman"/>
          <w:sz w:val="24"/>
          <w:szCs w:val="24"/>
        </w:rPr>
        <w:t>y chosen to present the three (3</w:t>
      </w:r>
      <w:r w:rsidRPr="00707240">
        <w:rPr>
          <w:rFonts w:ascii="Times New Roman" w:hAnsi="Times New Roman" w:cs="Times New Roman"/>
          <w:sz w:val="24"/>
          <w:szCs w:val="24"/>
        </w:rPr>
        <w:t xml:space="preserve">) senatorial </w:t>
      </w:r>
      <w:r w:rsidR="00C936C0">
        <w:rPr>
          <w:rFonts w:ascii="Times New Roman" w:hAnsi="Times New Roman" w:cs="Times New Roman"/>
          <w:sz w:val="24"/>
          <w:szCs w:val="24"/>
        </w:rPr>
        <w:t>d</w:t>
      </w:r>
      <w:r w:rsidRPr="00707240">
        <w:rPr>
          <w:rFonts w:ascii="Times New Roman" w:hAnsi="Times New Roman" w:cs="Times New Roman"/>
          <w:sz w:val="24"/>
          <w:szCs w:val="24"/>
        </w:rPr>
        <w:t>istricts in the state. Specialist Hospital Yola, is where HIV/AIDS patients in the Central Senatorial District mostly assess their antiretroviral treatment and counselling while General Hospital Numan is where majority of HIV/AIDS patients from Southern Senatorial District get their antiretroviral treatment and General Hospital Mubi serve as center where HIV/AIDS patients from Northern Senatorial District get counselling and treatment.</w:t>
      </w:r>
    </w:p>
    <w:p w:rsidR="00C1736C" w:rsidRDefault="00C1736C" w:rsidP="00C1736C">
      <w:pPr>
        <w:spacing w:after="0" w:line="360" w:lineRule="auto"/>
        <w:jc w:val="both"/>
        <w:rPr>
          <w:noProof/>
        </w:rPr>
      </w:pPr>
      <w:r>
        <w:rPr>
          <w:rFonts w:ascii="Times New Roman" w:hAnsi="Times New Roman" w:cs="Times New Roman"/>
          <w:b/>
          <w:sz w:val="24"/>
          <w:szCs w:val="24"/>
        </w:rPr>
        <w:t>2.2</w:t>
      </w:r>
      <w:r>
        <w:rPr>
          <w:rFonts w:ascii="Times New Roman" w:hAnsi="Times New Roman" w:cs="Times New Roman"/>
          <w:b/>
          <w:sz w:val="24"/>
          <w:szCs w:val="24"/>
        </w:rPr>
        <w:tab/>
        <w:t>Ethical Considerations</w:t>
      </w:r>
      <w:r>
        <w:rPr>
          <w:noProof/>
        </w:rPr>
        <w:t xml:space="preserve"> </w:t>
      </w:r>
    </w:p>
    <w:p w:rsidR="00C1736C" w:rsidRDefault="00C1736C" w:rsidP="00C1736C">
      <w:pPr>
        <w:spacing w:after="0" w:line="360" w:lineRule="auto"/>
        <w:ind w:firstLine="720"/>
        <w:jc w:val="both"/>
        <w:rPr>
          <w:rFonts w:ascii="Times New Roman" w:hAnsi="Times New Roman" w:cs="Times New Roman"/>
          <w:sz w:val="24"/>
          <w:szCs w:val="24"/>
        </w:rPr>
      </w:pPr>
      <w:r w:rsidRPr="00E23265">
        <w:rPr>
          <w:rFonts w:ascii="Times New Roman" w:hAnsi="Times New Roman" w:cs="Times New Roman"/>
          <w:b/>
          <w:sz w:val="24"/>
          <w:szCs w:val="24"/>
        </w:rPr>
        <w:t>Before the c</w:t>
      </w:r>
      <w:r w:rsidR="00164F76">
        <w:rPr>
          <w:rFonts w:ascii="Times New Roman" w:hAnsi="Times New Roman" w:cs="Times New Roman"/>
          <w:b/>
          <w:sz w:val="24"/>
          <w:szCs w:val="24"/>
        </w:rPr>
        <w:t>ommencement of the study</w:t>
      </w:r>
      <w:r w:rsidRPr="00E23265">
        <w:rPr>
          <w:rFonts w:ascii="Times New Roman" w:hAnsi="Times New Roman" w:cs="Times New Roman"/>
          <w:b/>
          <w:sz w:val="24"/>
          <w:szCs w:val="24"/>
        </w:rPr>
        <w:t xml:space="preserve">, an introductory letter was obtained from </w:t>
      </w:r>
      <w:r>
        <w:rPr>
          <w:rFonts w:ascii="Times New Roman" w:hAnsi="Times New Roman" w:cs="Times New Roman"/>
          <w:sz w:val="24"/>
          <w:szCs w:val="24"/>
        </w:rPr>
        <w:t>the department of Zo</w:t>
      </w:r>
      <w:r w:rsidR="00B174E5">
        <w:rPr>
          <w:rFonts w:ascii="Times New Roman" w:hAnsi="Times New Roman" w:cs="Times New Roman"/>
          <w:sz w:val="24"/>
          <w:szCs w:val="24"/>
        </w:rPr>
        <w:t>ology, Modibbo Adama University</w:t>
      </w:r>
      <w:r>
        <w:rPr>
          <w:rFonts w:ascii="Times New Roman" w:hAnsi="Times New Roman" w:cs="Times New Roman"/>
          <w:sz w:val="24"/>
          <w:szCs w:val="24"/>
        </w:rPr>
        <w:t xml:space="preserve"> Yola to Adamawa State Ministry of Health ethic</w:t>
      </w:r>
      <w:r w:rsidR="00164F76">
        <w:rPr>
          <w:rFonts w:ascii="Times New Roman" w:hAnsi="Times New Roman" w:cs="Times New Roman"/>
          <w:sz w:val="24"/>
          <w:szCs w:val="24"/>
        </w:rPr>
        <w:t>al committee on health research, i</w:t>
      </w:r>
      <w:r>
        <w:rPr>
          <w:rFonts w:ascii="Times New Roman" w:hAnsi="Times New Roman" w:cs="Times New Roman"/>
          <w:sz w:val="24"/>
          <w:szCs w:val="24"/>
        </w:rPr>
        <w:t>ntroducing the researcher as a doctor of philosophy student who is seeking for permission to carry out the research in Specialist Ho</w:t>
      </w:r>
      <w:r w:rsidR="00B174E5">
        <w:rPr>
          <w:rFonts w:ascii="Times New Roman" w:hAnsi="Times New Roman" w:cs="Times New Roman"/>
          <w:sz w:val="24"/>
          <w:szCs w:val="24"/>
        </w:rPr>
        <w:t>spital</w:t>
      </w:r>
      <w:r>
        <w:rPr>
          <w:rFonts w:ascii="Times New Roman" w:hAnsi="Times New Roman" w:cs="Times New Roman"/>
          <w:sz w:val="24"/>
          <w:szCs w:val="24"/>
        </w:rPr>
        <w:t> Yola, General Hospital Numan and General Hospital Mubi. The management</w:t>
      </w:r>
      <w:r w:rsidR="00B174E5">
        <w:rPr>
          <w:rFonts w:ascii="Times New Roman" w:hAnsi="Times New Roman" w:cs="Times New Roman"/>
          <w:sz w:val="24"/>
          <w:szCs w:val="24"/>
        </w:rPr>
        <w:t xml:space="preserve"> of the respective Hospitals were</w:t>
      </w:r>
      <w:r>
        <w:rPr>
          <w:rFonts w:ascii="Times New Roman" w:hAnsi="Times New Roman" w:cs="Times New Roman"/>
          <w:sz w:val="24"/>
          <w:szCs w:val="24"/>
        </w:rPr>
        <w:t xml:space="preserve"> informed about the study and their permission was sort and obtain before conducting the research. A consent form was given to the volunteer participants before their participation in the study. This was done after explaining to them the objecti</w:t>
      </w:r>
      <w:r w:rsidR="00164F76">
        <w:rPr>
          <w:rFonts w:ascii="Times New Roman" w:hAnsi="Times New Roman" w:cs="Times New Roman"/>
          <w:sz w:val="24"/>
          <w:szCs w:val="24"/>
        </w:rPr>
        <w:t>ves and benefits of the study</w:t>
      </w:r>
      <w:r>
        <w:rPr>
          <w:rFonts w:ascii="Times New Roman" w:hAnsi="Times New Roman" w:cs="Times New Roman"/>
          <w:sz w:val="24"/>
          <w:szCs w:val="24"/>
        </w:rPr>
        <w:t>. HIV/AIDS positive and negative patients were enrolled i</w:t>
      </w:r>
      <w:r w:rsidR="00164F76">
        <w:rPr>
          <w:rFonts w:ascii="Times New Roman" w:hAnsi="Times New Roman" w:cs="Times New Roman"/>
          <w:sz w:val="24"/>
          <w:szCs w:val="24"/>
        </w:rPr>
        <w:t>n the study</w:t>
      </w:r>
      <w:r w:rsidR="004D6418">
        <w:rPr>
          <w:rFonts w:ascii="Times New Roman" w:hAnsi="Times New Roman" w:cs="Times New Roman"/>
          <w:sz w:val="24"/>
          <w:szCs w:val="24"/>
        </w:rPr>
        <w:t>. Participants were</w:t>
      </w:r>
      <w:r>
        <w:rPr>
          <w:rFonts w:ascii="Times New Roman" w:hAnsi="Times New Roman" w:cs="Times New Roman"/>
          <w:sz w:val="24"/>
          <w:szCs w:val="24"/>
        </w:rPr>
        <w:t xml:space="preserve"> given opportunity to ask questions and all the questions was answered by the researcher, confidentially and privacy was guarantee throughout the research work in the respective Hospitals. All participants were given a unique identification number which was used to identify them instead of their names.   </w:t>
      </w:r>
    </w:p>
    <w:p w:rsidR="00C1736C" w:rsidRDefault="00C113DB" w:rsidP="00C1736C">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2.3</w:t>
      </w:r>
      <w:r w:rsidR="00C1736C">
        <w:rPr>
          <w:rFonts w:ascii="Times New Roman" w:hAnsi="Times New Roman" w:cs="Times New Roman"/>
          <w:b/>
          <w:color w:val="auto"/>
          <w:sz w:val="24"/>
          <w:szCs w:val="24"/>
        </w:rPr>
        <w:tab/>
        <w:t>Questionnaire</w:t>
      </w:r>
    </w:p>
    <w:p w:rsidR="00D465A0" w:rsidRDefault="00C1736C" w:rsidP="00D465A0">
      <w:pPr>
        <w:jc w:val="both"/>
        <w:rPr>
          <w:rFonts w:ascii="Times New Roman" w:hAnsi="Times New Roman" w:cs="Times New Roman"/>
          <w:sz w:val="24"/>
          <w:szCs w:val="24"/>
        </w:rPr>
      </w:pPr>
      <w:r>
        <w:tab/>
      </w:r>
      <w:r>
        <w:rPr>
          <w:rFonts w:ascii="Times New Roman" w:hAnsi="Times New Roman" w:cs="Times New Roman"/>
          <w:sz w:val="24"/>
          <w:szCs w:val="24"/>
        </w:rPr>
        <w:t>Questionnaire was administered to all the participant in the study for data c</w:t>
      </w:r>
      <w:r w:rsidR="00164F76">
        <w:rPr>
          <w:rFonts w:ascii="Times New Roman" w:hAnsi="Times New Roman" w:cs="Times New Roman"/>
          <w:sz w:val="24"/>
          <w:szCs w:val="24"/>
        </w:rPr>
        <w:t>ollection. The questionnaire</w:t>
      </w:r>
      <w:r>
        <w:rPr>
          <w:rFonts w:ascii="Times New Roman" w:hAnsi="Times New Roman" w:cs="Times New Roman"/>
          <w:sz w:val="24"/>
          <w:szCs w:val="24"/>
        </w:rPr>
        <w:t xml:space="preserve"> contained </w:t>
      </w:r>
      <w:r w:rsidR="00164F76">
        <w:rPr>
          <w:rFonts w:ascii="Times New Roman" w:hAnsi="Times New Roman" w:cs="Times New Roman"/>
          <w:sz w:val="24"/>
          <w:szCs w:val="24"/>
        </w:rPr>
        <w:t>information</w:t>
      </w:r>
      <w:r>
        <w:rPr>
          <w:rFonts w:ascii="Times New Roman" w:hAnsi="Times New Roman" w:cs="Times New Roman"/>
          <w:sz w:val="24"/>
          <w:szCs w:val="24"/>
        </w:rPr>
        <w:t xml:space="preserve"> about the participant personal</w:t>
      </w:r>
      <w:r w:rsidR="00933401">
        <w:rPr>
          <w:rFonts w:ascii="Times New Roman" w:hAnsi="Times New Roman" w:cs="Times New Roman"/>
          <w:sz w:val="24"/>
          <w:szCs w:val="24"/>
        </w:rPr>
        <w:t xml:space="preserve"> data</w:t>
      </w:r>
      <w:r w:rsidR="00164F76">
        <w:rPr>
          <w:rFonts w:ascii="Times New Roman" w:hAnsi="Times New Roman" w:cs="Times New Roman"/>
          <w:sz w:val="24"/>
          <w:szCs w:val="24"/>
        </w:rPr>
        <w:t xml:space="preserve"> and some research questions.</w:t>
      </w:r>
    </w:p>
    <w:p w:rsidR="007759A2" w:rsidRDefault="007759A2" w:rsidP="007759A2">
      <w:pPr>
        <w:jc w:val="both"/>
        <w:rPr>
          <w:rFonts w:ascii="Times New Roman" w:hAnsi="Times New Roman" w:cs="Times New Roman"/>
          <w:sz w:val="24"/>
          <w:szCs w:val="24"/>
        </w:rPr>
      </w:pPr>
      <w:r>
        <w:rPr>
          <w:rFonts w:ascii="Times New Roman" w:hAnsi="Times New Roman" w:cs="Times New Roman"/>
          <w:sz w:val="24"/>
          <w:szCs w:val="24"/>
        </w:rPr>
        <w:t xml:space="preserve"> </w:t>
      </w:r>
    </w:p>
    <w:p w:rsidR="007759A2" w:rsidRDefault="00D465A0" w:rsidP="007759A2">
      <w:pPr>
        <w:rPr>
          <w:rFonts w:ascii="Times New Roman" w:hAnsi="Times New Roman" w:cs="Times New Roman"/>
          <w:b/>
          <w:sz w:val="24"/>
          <w:szCs w:val="24"/>
        </w:rPr>
      </w:pPr>
      <w:r>
        <w:rPr>
          <w:rFonts w:ascii="Times New Roman" w:hAnsi="Times New Roman" w:cs="Times New Roman"/>
          <w:b/>
          <w:sz w:val="24"/>
          <w:szCs w:val="24"/>
        </w:rPr>
        <w:t>2.4</w:t>
      </w:r>
      <w:r w:rsidR="007759A2">
        <w:rPr>
          <w:rFonts w:ascii="Times New Roman" w:hAnsi="Times New Roman" w:cs="Times New Roman"/>
          <w:b/>
          <w:sz w:val="24"/>
          <w:szCs w:val="24"/>
        </w:rPr>
        <w:t xml:space="preserve">    Sample Collection Site</w:t>
      </w:r>
    </w:p>
    <w:p w:rsidR="00C1736C" w:rsidRPr="00C1736C" w:rsidRDefault="006B02A5" w:rsidP="00C1736C">
      <w:pPr>
        <w:jc w:val="both"/>
        <w:rPr>
          <w:rFonts w:ascii="Times New Roman" w:hAnsi="Times New Roman" w:cs="Times New Roman"/>
          <w:sz w:val="24"/>
          <w:szCs w:val="24"/>
        </w:rPr>
      </w:pPr>
      <w:r>
        <w:rPr>
          <w:rFonts w:ascii="Times New Roman" w:hAnsi="Times New Roman" w:cs="Times New Roman"/>
          <w:sz w:val="24"/>
          <w:szCs w:val="24"/>
        </w:rPr>
        <w:t xml:space="preserve">         </w:t>
      </w:r>
      <w:r w:rsidR="007759A2">
        <w:rPr>
          <w:rFonts w:ascii="Times New Roman" w:hAnsi="Times New Roman" w:cs="Times New Roman"/>
          <w:sz w:val="24"/>
          <w:szCs w:val="24"/>
        </w:rPr>
        <w:t xml:space="preserve">The samples were collected in Specialist Hospital Yola, located at hospital road, Jimeta - Yola North Local Government Area, General Hospital Numan, located at </w:t>
      </w:r>
      <w:proofErr w:type="spellStart"/>
      <w:r w:rsidR="007759A2">
        <w:rPr>
          <w:rFonts w:ascii="Times New Roman" w:hAnsi="Times New Roman" w:cs="Times New Roman"/>
          <w:sz w:val="24"/>
          <w:szCs w:val="24"/>
        </w:rPr>
        <w:t>Sabon</w:t>
      </w:r>
      <w:proofErr w:type="spellEnd"/>
      <w:r w:rsidR="007759A2">
        <w:rPr>
          <w:rFonts w:ascii="Times New Roman" w:hAnsi="Times New Roman" w:cs="Times New Roman"/>
          <w:sz w:val="24"/>
          <w:szCs w:val="24"/>
        </w:rPr>
        <w:t xml:space="preserve"> </w:t>
      </w:r>
      <w:proofErr w:type="spellStart"/>
      <w:r w:rsidR="007759A2">
        <w:rPr>
          <w:rFonts w:ascii="Times New Roman" w:hAnsi="Times New Roman" w:cs="Times New Roman"/>
          <w:sz w:val="24"/>
          <w:szCs w:val="24"/>
        </w:rPr>
        <w:t>pegi</w:t>
      </w:r>
      <w:proofErr w:type="spellEnd"/>
      <w:r w:rsidR="007759A2">
        <w:rPr>
          <w:rFonts w:ascii="Times New Roman" w:hAnsi="Times New Roman" w:cs="Times New Roman"/>
          <w:sz w:val="24"/>
          <w:szCs w:val="24"/>
        </w:rPr>
        <w:t>, Numan Local Government Area and General Hospital Mubi, located at Ahmadu Bello way, Mubi South Local Government Area.</w:t>
      </w:r>
      <w:r w:rsidR="00A96C73">
        <w:rPr>
          <w:rFonts w:ascii="Times New Roman" w:hAnsi="Times New Roman" w:cs="Times New Roman"/>
          <w:sz w:val="24"/>
          <w:szCs w:val="24"/>
        </w:rPr>
        <w:t xml:space="preserve"> The sample collection took place around </w:t>
      </w:r>
      <w:r w:rsidR="007759A2">
        <w:rPr>
          <w:rFonts w:ascii="Times New Roman" w:hAnsi="Times New Roman" w:cs="Times New Roman"/>
          <w:sz w:val="24"/>
          <w:szCs w:val="24"/>
        </w:rPr>
        <w:t>November, 2024 to January, 2025.</w:t>
      </w:r>
    </w:p>
    <w:p w:rsidR="00427B85" w:rsidRDefault="00427B85" w:rsidP="00C113DB">
      <w:pPr>
        <w:pStyle w:val="Heading2"/>
        <w:jc w:val="both"/>
        <w:rPr>
          <w:rFonts w:ascii="Times New Roman" w:hAnsi="Times New Roman" w:cs="Times New Roman"/>
          <w:b/>
          <w:color w:val="auto"/>
          <w:sz w:val="24"/>
          <w:szCs w:val="24"/>
        </w:rPr>
      </w:pPr>
      <w:r>
        <w:rPr>
          <w:rFonts w:ascii="Times New Roman" w:hAnsi="Times New Roman" w:cs="Times New Roman"/>
          <w:sz w:val="24"/>
          <w:szCs w:val="24"/>
        </w:rPr>
        <w:t xml:space="preserve"> </w:t>
      </w:r>
      <w:r w:rsidR="00D465A0">
        <w:rPr>
          <w:rFonts w:ascii="Times New Roman" w:hAnsi="Times New Roman" w:cs="Times New Roman"/>
          <w:b/>
          <w:color w:val="000000" w:themeColor="text1"/>
          <w:sz w:val="24"/>
          <w:szCs w:val="24"/>
        </w:rPr>
        <w:t>2.5</w:t>
      </w:r>
      <w:r w:rsidR="00C113DB">
        <w:rPr>
          <w:rFonts w:ascii="Times New Roman" w:hAnsi="Times New Roman" w:cs="Times New Roman"/>
          <w:b/>
          <w:color w:val="000000" w:themeColor="text1"/>
          <w:sz w:val="24"/>
          <w:szCs w:val="24"/>
        </w:rPr>
        <w:t xml:space="preserve"> Study</w:t>
      </w:r>
      <w:r w:rsidRPr="00572071">
        <w:rPr>
          <w:rFonts w:ascii="Times New Roman" w:hAnsi="Times New Roman" w:cs="Times New Roman"/>
          <w:b/>
          <w:color w:val="000000" w:themeColor="text1"/>
          <w:sz w:val="24"/>
          <w:szCs w:val="24"/>
        </w:rPr>
        <w:t xml:space="preserve"> </w:t>
      </w:r>
      <w:r w:rsidRPr="00572071">
        <w:rPr>
          <w:rFonts w:ascii="Times New Roman" w:hAnsi="Times New Roman" w:cs="Times New Roman"/>
          <w:b/>
          <w:color w:val="auto"/>
          <w:sz w:val="24"/>
          <w:szCs w:val="24"/>
        </w:rPr>
        <w:t>Design</w:t>
      </w:r>
    </w:p>
    <w:p w:rsidR="006B02A5" w:rsidRDefault="006B02A5" w:rsidP="006B02A5">
      <w:pPr>
        <w:jc w:val="both"/>
        <w:rPr>
          <w:rFonts w:ascii="Times New Roman" w:hAnsi="Times New Roman" w:cs="Times New Roman"/>
          <w:sz w:val="24"/>
          <w:szCs w:val="24"/>
        </w:rPr>
      </w:pPr>
      <w:r>
        <w:rPr>
          <w:rFonts w:ascii="Times New Roman" w:hAnsi="Times New Roman" w:cs="Times New Roman"/>
          <w:sz w:val="24"/>
          <w:szCs w:val="24"/>
        </w:rPr>
        <w:t xml:space="preserve">           </w:t>
      </w:r>
      <w:r w:rsidR="00427B85">
        <w:rPr>
          <w:rFonts w:ascii="Times New Roman" w:hAnsi="Times New Roman" w:cs="Times New Roman"/>
          <w:sz w:val="24"/>
          <w:szCs w:val="24"/>
        </w:rPr>
        <w:t>This study was design to involved laboratory-based research. Stool samples of HIV/AIDS</w:t>
      </w:r>
      <w:r w:rsidR="00201C9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B02A5" w:rsidRDefault="006B02A5" w:rsidP="006B02A5">
      <w:pPr>
        <w:jc w:val="both"/>
        <w:rPr>
          <w:rFonts w:ascii="Times New Roman" w:hAnsi="Times New Roman" w:cs="Times New Roman"/>
          <w:sz w:val="24"/>
          <w:szCs w:val="24"/>
        </w:rPr>
      </w:pPr>
      <w:r>
        <w:rPr>
          <w:rFonts w:ascii="Times New Roman" w:hAnsi="Times New Roman" w:cs="Times New Roman"/>
          <w:sz w:val="24"/>
          <w:szCs w:val="24"/>
        </w:rPr>
        <w:t xml:space="preserve">     </w:t>
      </w:r>
      <w:r w:rsidR="00427B85">
        <w:rPr>
          <w:rFonts w:ascii="Times New Roman" w:hAnsi="Times New Roman" w:cs="Times New Roman"/>
          <w:sz w:val="24"/>
          <w:szCs w:val="24"/>
        </w:rPr>
        <w:t>positive and negative patients attending Specialist Hospital Yola, General Hospital Numan</w:t>
      </w:r>
      <w:r w:rsidR="00201C9A">
        <w:rPr>
          <w:rFonts w:ascii="Times New Roman" w:hAnsi="Times New Roman" w:cs="Times New Roman"/>
          <w:sz w:val="24"/>
          <w:szCs w:val="24"/>
        </w:rPr>
        <w:t xml:space="preserve"> </w:t>
      </w:r>
      <w:r w:rsidR="00427B85">
        <w:rPr>
          <w:rFonts w:ascii="Times New Roman" w:hAnsi="Times New Roman" w:cs="Times New Roman"/>
          <w:sz w:val="24"/>
          <w:szCs w:val="24"/>
        </w:rPr>
        <w:t xml:space="preserve">and </w:t>
      </w:r>
      <w:r>
        <w:rPr>
          <w:rFonts w:ascii="Times New Roman" w:hAnsi="Times New Roman" w:cs="Times New Roman"/>
          <w:sz w:val="24"/>
          <w:szCs w:val="24"/>
        </w:rPr>
        <w:t xml:space="preserve">  </w:t>
      </w:r>
    </w:p>
    <w:p w:rsidR="006B02A5" w:rsidRDefault="006B02A5" w:rsidP="006B02A5">
      <w:pPr>
        <w:jc w:val="both"/>
        <w:rPr>
          <w:rFonts w:ascii="Times New Roman" w:hAnsi="Times New Roman" w:cs="Times New Roman"/>
          <w:sz w:val="24"/>
          <w:szCs w:val="24"/>
        </w:rPr>
      </w:pPr>
      <w:r>
        <w:rPr>
          <w:rFonts w:ascii="Times New Roman" w:hAnsi="Times New Roman" w:cs="Times New Roman"/>
          <w:sz w:val="24"/>
          <w:szCs w:val="24"/>
        </w:rPr>
        <w:t xml:space="preserve">    </w:t>
      </w:r>
      <w:r w:rsidR="00427B85">
        <w:rPr>
          <w:rFonts w:ascii="Times New Roman" w:hAnsi="Times New Roman" w:cs="Times New Roman"/>
          <w:sz w:val="24"/>
          <w:szCs w:val="24"/>
        </w:rPr>
        <w:t xml:space="preserve">General Hospital Mubi. All the stool samples were examined in the laboratory departments of </w:t>
      </w:r>
      <w:r>
        <w:rPr>
          <w:rFonts w:ascii="Times New Roman" w:hAnsi="Times New Roman" w:cs="Times New Roman"/>
          <w:sz w:val="24"/>
          <w:szCs w:val="24"/>
        </w:rPr>
        <w:t xml:space="preserve"> </w:t>
      </w:r>
    </w:p>
    <w:p w:rsidR="00427B85" w:rsidRDefault="006B02A5" w:rsidP="006B02A5">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27B85">
        <w:rPr>
          <w:rFonts w:ascii="Times New Roman" w:hAnsi="Times New Roman" w:cs="Times New Roman"/>
          <w:sz w:val="24"/>
          <w:szCs w:val="24"/>
        </w:rPr>
        <w:t>all</w:t>
      </w:r>
      <w:proofErr w:type="gramEnd"/>
      <w:r w:rsidR="00427B85">
        <w:rPr>
          <w:rFonts w:ascii="Times New Roman" w:hAnsi="Times New Roman" w:cs="Times New Roman"/>
          <w:sz w:val="24"/>
          <w:szCs w:val="24"/>
        </w:rPr>
        <w:t xml:space="preserve"> the three respective Hospitals.</w:t>
      </w:r>
    </w:p>
    <w:p w:rsidR="006F6DEE" w:rsidRDefault="00C16BC3" w:rsidP="006F6DEE">
      <w:pPr>
        <w:pStyle w:val="Heading2"/>
        <w:rPr>
          <w:rFonts w:ascii="Times New Roman" w:hAnsi="Times New Roman" w:cs="Times New Roman"/>
          <w:b/>
          <w:color w:val="auto"/>
        </w:rPr>
      </w:pPr>
      <w:r>
        <w:rPr>
          <w:rFonts w:ascii="Times New Roman" w:hAnsi="Times New Roman" w:cs="Times New Roman"/>
          <w:sz w:val="24"/>
          <w:szCs w:val="24"/>
        </w:rPr>
        <w:t xml:space="preserve">   </w:t>
      </w:r>
      <w:r w:rsidR="00D465A0">
        <w:rPr>
          <w:rFonts w:ascii="Times New Roman" w:hAnsi="Times New Roman" w:cs="Times New Roman"/>
          <w:b/>
          <w:color w:val="000000" w:themeColor="text1"/>
          <w:sz w:val="24"/>
          <w:szCs w:val="24"/>
        </w:rPr>
        <w:t>2.6</w:t>
      </w:r>
      <w:r w:rsidR="00C113DB">
        <w:rPr>
          <w:rFonts w:ascii="Times New Roman" w:hAnsi="Times New Roman" w:cs="Times New Roman"/>
          <w:b/>
          <w:color w:val="000000" w:themeColor="text1"/>
          <w:sz w:val="24"/>
          <w:szCs w:val="24"/>
        </w:rPr>
        <w:t xml:space="preserve">   </w:t>
      </w:r>
      <w:r w:rsidR="0072255B" w:rsidRPr="005A3756">
        <w:rPr>
          <w:rFonts w:ascii="Times New Roman" w:hAnsi="Times New Roman" w:cs="Times New Roman"/>
          <w:b/>
          <w:color w:val="000000" w:themeColor="text1"/>
          <w:sz w:val="24"/>
          <w:szCs w:val="24"/>
        </w:rPr>
        <w:t>Sample</w:t>
      </w:r>
      <w:r w:rsidR="006F6DEE" w:rsidRPr="005A3756">
        <w:rPr>
          <w:rFonts w:ascii="Times New Roman" w:hAnsi="Times New Roman" w:cs="Times New Roman"/>
          <w:b/>
          <w:color w:val="000000" w:themeColor="text1"/>
        </w:rPr>
        <w:t xml:space="preserve"> </w:t>
      </w:r>
      <w:r w:rsidR="006F6DEE" w:rsidRPr="005A3756">
        <w:rPr>
          <w:rFonts w:ascii="Times New Roman" w:hAnsi="Times New Roman" w:cs="Times New Roman"/>
          <w:b/>
          <w:color w:val="auto"/>
        </w:rPr>
        <w:t>Size</w:t>
      </w:r>
      <w:r w:rsidR="006F6DEE" w:rsidRPr="005A3756">
        <w:rPr>
          <w:rFonts w:ascii="Times New Roman" w:hAnsi="Times New Roman" w:cs="Times New Roman"/>
          <w:b/>
          <w:color w:val="auto"/>
        </w:rPr>
        <w:tab/>
      </w:r>
    </w:p>
    <w:p w:rsidR="00590E43" w:rsidRDefault="006F6DEE"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total of seven hundred and </w:t>
      </w:r>
      <w:r w:rsidR="00754A27">
        <w:rPr>
          <w:rFonts w:ascii="Times New Roman" w:hAnsi="Times New Roman" w:cs="Times New Roman"/>
          <w:sz w:val="24"/>
          <w:szCs w:val="24"/>
        </w:rPr>
        <w:t>forty</w:t>
      </w:r>
      <w:r>
        <w:rPr>
          <w:rFonts w:ascii="Times New Roman" w:hAnsi="Times New Roman" w:cs="Times New Roman"/>
          <w:sz w:val="24"/>
          <w:szCs w:val="24"/>
        </w:rPr>
        <w:t xml:space="preserve"> six (746) stool samples of HIV/AIDS patients was </w:t>
      </w:r>
    </w:p>
    <w:p w:rsidR="00590E43" w:rsidRDefault="00590E43"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F6DEE">
        <w:rPr>
          <w:rFonts w:ascii="Times New Roman" w:hAnsi="Times New Roman" w:cs="Times New Roman"/>
          <w:sz w:val="24"/>
          <w:szCs w:val="24"/>
        </w:rPr>
        <w:t>used</w:t>
      </w:r>
      <w:proofErr w:type="gramEnd"/>
      <w:r w:rsidR="006F6DEE">
        <w:rPr>
          <w:rFonts w:ascii="Times New Roman" w:hAnsi="Times New Roman" w:cs="Times New Roman"/>
          <w:sz w:val="24"/>
          <w:szCs w:val="24"/>
        </w:rPr>
        <w:t xml:space="preserve"> for this study, using the formular n = Z</w:t>
      </w:r>
      <w:r w:rsidR="006F6DEE">
        <w:rPr>
          <w:rFonts w:ascii="Times New Roman" w:hAnsi="Times New Roman" w:cs="Times New Roman"/>
          <w:sz w:val="24"/>
          <w:szCs w:val="24"/>
          <w:vertAlign w:val="superscript"/>
        </w:rPr>
        <w:t>2</w:t>
      </w:r>
      <w:r w:rsidR="006F6DEE">
        <w:rPr>
          <w:rFonts w:ascii="Times New Roman" w:hAnsi="Times New Roman" w:cs="Times New Roman"/>
          <w:sz w:val="24"/>
          <w:szCs w:val="24"/>
        </w:rPr>
        <w:t>pq/d</w:t>
      </w:r>
      <w:r w:rsidR="006F6DEE">
        <w:rPr>
          <w:rFonts w:ascii="Times New Roman" w:hAnsi="Times New Roman" w:cs="Times New Roman"/>
          <w:sz w:val="24"/>
          <w:szCs w:val="24"/>
          <w:vertAlign w:val="superscript"/>
        </w:rPr>
        <w:t>2</w:t>
      </w:r>
      <w:r w:rsidR="008F54CB">
        <w:rPr>
          <w:rFonts w:ascii="Times New Roman" w:hAnsi="Times New Roman" w:cs="Times New Roman"/>
          <w:sz w:val="24"/>
          <w:szCs w:val="24"/>
        </w:rPr>
        <w:t xml:space="preserve"> as used (17</w:t>
      </w:r>
      <w:r w:rsidR="006F6DEE">
        <w:rPr>
          <w:rFonts w:ascii="Times New Roman" w:hAnsi="Times New Roman" w:cs="Times New Roman"/>
          <w:sz w:val="24"/>
          <w:szCs w:val="24"/>
        </w:rPr>
        <w:t>).</w:t>
      </w:r>
    </w:p>
    <w:p w:rsidR="006F6DEE" w:rsidRDefault="00590E43"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6DEE">
        <w:rPr>
          <w:rFonts w:ascii="Times New Roman" w:hAnsi="Times New Roman" w:cs="Times New Roman"/>
          <w:sz w:val="24"/>
          <w:szCs w:val="24"/>
        </w:rPr>
        <w:t>Where n = Desired sample size;</w:t>
      </w:r>
    </w:p>
    <w:p w:rsidR="006F6DEE" w:rsidRDefault="006F6DEE"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 = Standard normal deviation at the required confidence level of 95% (1.96);</w:t>
      </w:r>
    </w:p>
    <w:p w:rsidR="006F6DEE" w:rsidRDefault="006F6DEE"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 = Prevalence;</w:t>
      </w:r>
    </w:p>
    <w:p w:rsidR="006F6DEE" w:rsidRDefault="006F6DEE" w:rsidP="006F6D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 = 1 – P;</w:t>
      </w:r>
    </w:p>
    <w:p w:rsidR="006F6DEE" w:rsidRDefault="006F6DEE" w:rsidP="006F6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 = Desired absolute precision (0.05).</w:t>
      </w:r>
    </w:p>
    <w:p w:rsidR="006F6DEE" w:rsidRDefault="006F6DEE" w:rsidP="006F6DEE">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Using the prevalence of 38.2% of </w:t>
      </w:r>
      <w:r>
        <w:rPr>
          <w:rFonts w:ascii="Times New Roman" w:hAnsi="Times New Roman" w:cs="Times New Roman"/>
          <w:i/>
          <w:sz w:val="24"/>
          <w:szCs w:val="24"/>
        </w:rPr>
        <w:t>Cryptosporidium</w:t>
      </w:r>
      <w:r>
        <w:rPr>
          <w:rFonts w:ascii="Times New Roman" w:hAnsi="Times New Roman" w:cs="Times New Roman"/>
          <w:sz w:val="24"/>
          <w:szCs w:val="24"/>
        </w:rPr>
        <w:t xml:space="preserve"> species in HIV positive and negative patients attending Hong General Hospital and </w:t>
      </w:r>
      <w:proofErr w:type="spellStart"/>
      <w:r>
        <w:rPr>
          <w:rFonts w:ascii="Times New Roman" w:hAnsi="Times New Roman" w:cs="Times New Roman"/>
          <w:sz w:val="24"/>
          <w:szCs w:val="24"/>
        </w:rPr>
        <w:t>Michika</w:t>
      </w:r>
      <w:proofErr w:type="spellEnd"/>
      <w:r>
        <w:rPr>
          <w:rFonts w:ascii="Times New Roman" w:hAnsi="Times New Roman" w:cs="Times New Roman"/>
          <w:sz w:val="24"/>
          <w:szCs w:val="24"/>
        </w:rPr>
        <w:t xml:space="preserve"> General Hospital, </w:t>
      </w:r>
      <w:r w:rsidR="00706D73">
        <w:rPr>
          <w:rFonts w:ascii="Times New Roman" w:hAnsi="Times New Roman" w:cs="Times New Roman"/>
          <w:sz w:val="24"/>
          <w:szCs w:val="24"/>
        </w:rPr>
        <w:t>Adamawa State, Nigeria (</w:t>
      </w:r>
      <w:r w:rsidR="00C5517F">
        <w:rPr>
          <w:rFonts w:ascii="Times New Roman" w:hAnsi="Times New Roman" w:cs="Times New Roman"/>
          <w:sz w:val="24"/>
          <w:szCs w:val="24"/>
        </w:rPr>
        <w:t>18</w:t>
      </w:r>
      <w:r>
        <w:rPr>
          <w:rFonts w:ascii="Times New Roman" w:hAnsi="Times New Roman" w:cs="Times New Roman"/>
          <w:sz w:val="24"/>
          <w:szCs w:val="24"/>
        </w:rPr>
        <w:t>) n = (1.96)</w:t>
      </w:r>
      <w:r>
        <w:rPr>
          <w:rFonts w:ascii="Times New Roman" w:hAnsi="Times New Roman" w:cs="Times New Roman"/>
          <w:sz w:val="24"/>
          <w:szCs w:val="24"/>
          <w:vertAlign w:val="superscript"/>
        </w:rPr>
        <w:t xml:space="preserve">2 </w:t>
      </w:r>
      <w:r>
        <w:rPr>
          <w:rFonts w:ascii="Times New Roman" w:hAnsi="Times New Roman" w:cs="Times New Roman"/>
          <w:sz w:val="24"/>
          <w:szCs w:val="24"/>
        </w:rPr>
        <w:t>X 0.382 X 0.618)/(0.05)</w:t>
      </w:r>
      <w:r>
        <w:rPr>
          <w:rFonts w:ascii="Times New Roman" w:hAnsi="Times New Roman" w:cs="Times New Roman"/>
          <w:sz w:val="24"/>
          <w:szCs w:val="24"/>
          <w:vertAlign w:val="superscript"/>
        </w:rPr>
        <w:t>2</w:t>
      </w:r>
      <w:r>
        <w:rPr>
          <w:rFonts w:ascii="Times New Roman" w:hAnsi="Times New Roman" w:cs="Times New Roman"/>
          <w:sz w:val="24"/>
          <w:szCs w:val="24"/>
        </w:rPr>
        <w:t xml:space="preserve"> = 363</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prevalence of 46.8% of </w:t>
      </w:r>
      <w:r>
        <w:rPr>
          <w:rFonts w:ascii="Times New Roman" w:hAnsi="Times New Roman" w:cs="Times New Roman"/>
          <w:i/>
          <w:sz w:val="24"/>
          <w:szCs w:val="24"/>
        </w:rPr>
        <w:t xml:space="preserve">Helicobacter pylori </w:t>
      </w:r>
      <w:r>
        <w:rPr>
          <w:rFonts w:ascii="Times New Roman" w:hAnsi="Times New Roman" w:cs="Times New Roman"/>
          <w:sz w:val="24"/>
          <w:szCs w:val="24"/>
        </w:rPr>
        <w:t>infection among HIV-1 infected patients in Jos, North-Central, Nigeria (</w:t>
      </w:r>
      <w:r w:rsidR="00C5517F">
        <w:rPr>
          <w:rFonts w:ascii="Times New Roman" w:hAnsi="Times New Roman" w:cs="Times New Roman"/>
          <w:sz w:val="24"/>
          <w:szCs w:val="24"/>
        </w:rPr>
        <w:t>19</w:t>
      </w:r>
      <w:r>
        <w:rPr>
          <w:rFonts w:ascii="Times New Roman" w:hAnsi="Times New Roman" w:cs="Times New Roman"/>
          <w:sz w:val="24"/>
          <w:szCs w:val="24"/>
        </w:rPr>
        <w:t>)</w:t>
      </w:r>
    </w:p>
    <w:p w:rsidR="006F6DEE" w:rsidRDefault="006F6DEE" w:rsidP="006F6DEE">
      <w:pPr>
        <w:spacing w:line="360" w:lineRule="auto"/>
        <w:jc w:val="both"/>
        <w:rPr>
          <w:rFonts w:ascii="Times New Roman" w:hAnsi="Times New Roman" w:cs="Times New Roman"/>
          <w:sz w:val="24"/>
          <w:szCs w:val="24"/>
        </w:rPr>
      </w:pPr>
      <w:r>
        <w:rPr>
          <w:rFonts w:ascii="Times New Roman" w:hAnsi="Times New Roman" w:cs="Times New Roman"/>
          <w:sz w:val="24"/>
          <w:szCs w:val="24"/>
        </w:rPr>
        <w:tab/>
        <w:t>n = (1.96)</w:t>
      </w:r>
      <w:r>
        <w:rPr>
          <w:rFonts w:ascii="Times New Roman" w:hAnsi="Times New Roman" w:cs="Times New Roman"/>
          <w:sz w:val="24"/>
          <w:szCs w:val="24"/>
          <w:vertAlign w:val="superscript"/>
        </w:rPr>
        <w:t xml:space="preserve">2 </w:t>
      </w:r>
      <w:r>
        <w:rPr>
          <w:rFonts w:ascii="Times New Roman" w:hAnsi="Times New Roman" w:cs="Times New Roman"/>
          <w:sz w:val="24"/>
          <w:szCs w:val="24"/>
        </w:rPr>
        <w:t>X 0.468 X 0.532)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0.05)</w:t>
      </w:r>
      <w:r>
        <w:rPr>
          <w:rFonts w:ascii="Times New Roman" w:hAnsi="Times New Roman" w:cs="Times New Roman"/>
          <w:sz w:val="24"/>
          <w:szCs w:val="24"/>
          <w:vertAlign w:val="superscript"/>
        </w:rPr>
        <w:t>2</w:t>
      </w:r>
      <w:r>
        <w:rPr>
          <w:rFonts w:ascii="Times New Roman" w:hAnsi="Times New Roman" w:cs="Times New Roman"/>
          <w:sz w:val="24"/>
          <w:szCs w:val="24"/>
        </w:rPr>
        <w:t xml:space="preserve">  = 383</w:t>
      </w:r>
    </w:p>
    <w:p w:rsidR="006F6DEE" w:rsidRDefault="006F6DEE" w:rsidP="006F6DEE">
      <w:pPr>
        <w:spacing w:line="360" w:lineRule="auto"/>
        <w:jc w:val="both"/>
        <w:rPr>
          <w:rFonts w:ascii="Times New Roman" w:hAnsi="Times New Roman" w:cs="Times New Roman"/>
          <w:sz w:val="24"/>
          <w:szCs w:val="24"/>
        </w:rPr>
      </w:pPr>
      <w:r>
        <w:rPr>
          <w:rFonts w:ascii="Times New Roman" w:hAnsi="Times New Roman" w:cs="Times New Roman"/>
          <w:sz w:val="24"/>
          <w:szCs w:val="24"/>
        </w:rPr>
        <w:tab/>
        <w:t>Total Sample = 363+383 = 746</w:t>
      </w:r>
    </w:p>
    <w:p w:rsidR="002B38B1" w:rsidRDefault="00D465A0" w:rsidP="002B38B1">
      <w:pPr>
        <w:pStyle w:val="Heading2"/>
        <w:rPr>
          <w:rFonts w:ascii="Times New Roman" w:hAnsi="Times New Roman" w:cs="Times New Roman"/>
          <w:b/>
          <w:color w:val="auto"/>
          <w:sz w:val="24"/>
          <w:szCs w:val="24"/>
        </w:rPr>
      </w:pPr>
      <w:bookmarkStart w:id="4" w:name="_Toc32162158"/>
      <w:bookmarkStart w:id="5" w:name="_Toc32162266"/>
      <w:bookmarkStart w:id="6" w:name="_Toc32162380"/>
      <w:r>
        <w:rPr>
          <w:rFonts w:ascii="Times New Roman" w:hAnsi="Times New Roman" w:cs="Times New Roman"/>
          <w:b/>
          <w:color w:val="auto"/>
          <w:sz w:val="24"/>
          <w:szCs w:val="24"/>
        </w:rPr>
        <w:lastRenderedPageBreak/>
        <w:t>2.7</w:t>
      </w:r>
      <w:r w:rsidR="002B38B1">
        <w:rPr>
          <w:rFonts w:ascii="Times New Roman" w:hAnsi="Times New Roman" w:cs="Times New Roman"/>
          <w:b/>
          <w:color w:val="auto"/>
          <w:sz w:val="24"/>
          <w:szCs w:val="24"/>
        </w:rPr>
        <w:tab/>
        <w:t>Laboratory Investigations</w:t>
      </w:r>
      <w:bookmarkEnd w:id="4"/>
      <w:bookmarkEnd w:id="5"/>
      <w:bookmarkEnd w:id="6"/>
    </w:p>
    <w:p w:rsidR="002B38B1" w:rsidRPr="00CF1A8C" w:rsidRDefault="00D465A0" w:rsidP="002B38B1">
      <w:pPr>
        <w:pStyle w:val="Heading3"/>
        <w:rPr>
          <w:rFonts w:ascii="Times New Roman" w:hAnsi="Times New Roman" w:cs="Times New Roman"/>
          <w:color w:val="000000" w:themeColor="text1"/>
        </w:rPr>
      </w:pPr>
      <w:bookmarkStart w:id="7" w:name="_Toc32162161"/>
      <w:bookmarkStart w:id="8" w:name="_Toc32162269"/>
      <w:bookmarkStart w:id="9" w:name="_Toc32162383"/>
      <w:r>
        <w:rPr>
          <w:rFonts w:ascii="Times New Roman" w:hAnsi="Times New Roman" w:cs="Times New Roman"/>
          <w:b/>
          <w:color w:val="000000" w:themeColor="text1"/>
        </w:rPr>
        <w:t>2.7</w:t>
      </w:r>
      <w:r w:rsidR="00CF1A8C" w:rsidRPr="00AE18B1">
        <w:rPr>
          <w:rFonts w:ascii="Times New Roman" w:hAnsi="Times New Roman" w:cs="Times New Roman"/>
          <w:b/>
          <w:color w:val="000000" w:themeColor="text1"/>
        </w:rPr>
        <w:t>.1</w:t>
      </w:r>
      <w:r w:rsidR="002B38B1" w:rsidRPr="00CF1A8C">
        <w:rPr>
          <w:rFonts w:ascii="Times New Roman" w:hAnsi="Times New Roman" w:cs="Times New Roman"/>
          <w:color w:val="000000" w:themeColor="text1"/>
        </w:rPr>
        <w:tab/>
      </w:r>
      <w:r w:rsidR="002B38B1" w:rsidRPr="00CF1A8C">
        <w:rPr>
          <w:rFonts w:ascii="Times New Roman" w:hAnsi="Times New Roman" w:cs="Times New Roman"/>
          <w:b/>
          <w:color w:val="000000" w:themeColor="text1"/>
        </w:rPr>
        <w:t>Collection and Processing of Stool Samples</w:t>
      </w:r>
      <w:bookmarkEnd w:id="7"/>
      <w:bookmarkEnd w:id="8"/>
      <w:bookmarkEnd w:id="9"/>
    </w:p>
    <w:p w:rsidR="002B38B1" w:rsidRDefault="002B38B1" w:rsidP="002B38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Sterile universal stool containers were used to collect stool specimens from the study participants, noting their laboratory number, age and sex of each participant. The specimens were transferred to the laboratory for analysis.</w:t>
      </w:r>
    </w:p>
    <w:p w:rsidR="002B38B1" w:rsidRDefault="00D465A0" w:rsidP="002B38B1">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2.7</w:t>
      </w:r>
      <w:r w:rsidR="00CF1A8C" w:rsidRPr="00AE18B1">
        <w:rPr>
          <w:rFonts w:ascii="Times New Roman" w:hAnsi="Times New Roman" w:cs="Times New Roman"/>
          <w:b/>
          <w:i/>
          <w:sz w:val="24"/>
          <w:szCs w:val="24"/>
        </w:rPr>
        <w:t>.2</w:t>
      </w:r>
      <w:r w:rsidR="002B38B1" w:rsidRPr="00AE18B1">
        <w:rPr>
          <w:rFonts w:ascii="Times New Roman" w:hAnsi="Times New Roman" w:cs="Times New Roman"/>
          <w:i/>
          <w:sz w:val="24"/>
          <w:szCs w:val="24"/>
        </w:rPr>
        <w:tab/>
      </w:r>
      <w:r w:rsidR="002B38B1">
        <w:rPr>
          <w:rFonts w:ascii="Times New Roman" w:hAnsi="Times New Roman" w:cs="Times New Roman"/>
          <w:b/>
          <w:i/>
          <w:sz w:val="24"/>
          <w:szCs w:val="24"/>
        </w:rPr>
        <w:t>Macroscopic Examination of the stool samples</w:t>
      </w:r>
    </w:p>
    <w:p w:rsidR="002B38B1" w:rsidRDefault="002B38B1" w:rsidP="002B38B1">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The stool samples were examined macroscopically for colour,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 xml:space="preserve">, consistency, presence of mucus, blood and segments </w:t>
      </w:r>
      <w:r w:rsidR="00352A3D">
        <w:rPr>
          <w:rFonts w:ascii="Times New Roman" w:hAnsi="Times New Roman" w:cs="Times New Roman"/>
          <w:sz w:val="24"/>
          <w:szCs w:val="24"/>
        </w:rPr>
        <w:t>of intestinal parasites (</w:t>
      </w:r>
      <w:r w:rsidR="006339FA">
        <w:rPr>
          <w:rFonts w:ascii="Times New Roman" w:hAnsi="Times New Roman" w:cs="Times New Roman"/>
          <w:sz w:val="24"/>
          <w:szCs w:val="24"/>
        </w:rPr>
        <w:t>20</w:t>
      </w:r>
      <w:r>
        <w:rPr>
          <w:rFonts w:ascii="Times New Roman" w:hAnsi="Times New Roman" w:cs="Times New Roman"/>
          <w:sz w:val="24"/>
          <w:szCs w:val="24"/>
        </w:rPr>
        <w:t>).</w:t>
      </w:r>
    </w:p>
    <w:p w:rsidR="002B38B1" w:rsidRDefault="00D465A0" w:rsidP="002B38B1">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2.7</w:t>
      </w:r>
      <w:r w:rsidR="00A42342">
        <w:rPr>
          <w:rFonts w:ascii="Times New Roman" w:hAnsi="Times New Roman" w:cs="Times New Roman"/>
          <w:b/>
          <w:i/>
          <w:sz w:val="24"/>
          <w:szCs w:val="24"/>
        </w:rPr>
        <w:t>.3</w:t>
      </w:r>
      <w:r w:rsidR="002B38B1">
        <w:rPr>
          <w:rFonts w:ascii="Times New Roman" w:hAnsi="Times New Roman" w:cs="Times New Roman"/>
          <w:b/>
          <w:i/>
          <w:sz w:val="24"/>
          <w:szCs w:val="24"/>
        </w:rPr>
        <w:tab/>
        <w:t>Microscopic Examination of the faecal specimens</w:t>
      </w:r>
    </w:p>
    <w:p w:rsidR="002B38B1" w:rsidRDefault="00D465A0" w:rsidP="002B38B1">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2.7</w:t>
      </w:r>
      <w:r w:rsidR="00A42342">
        <w:rPr>
          <w:rFonts w:ascii="Times New Roman" w:hAnsi="Times New Roman" w:cs="Times New Roman"/>
          <w:b/>
          <w:i/>
          <w:sz w:val="24"/>
          <w:szCs w:val="24"/>
        </w:rPr>
        <w:t xml:space="preserve">.4        </w:t>
      </w:r>
      <w:r w:rsidR="002B38B1">
        <w:rPr>
          <w:rFonts w:ascii="Times New Roman" w:hAnsi="Times New Roman" w:cs="Times New Roman"/>
          <w:b/>
          <w:i/>
          <w:sz w:val="24"/>
          <w:szCs w:val="24"/>
        </w:rPr>
        <w:t xml:space="preserve"> Modified </w:t>
      </w:r>
      <w:proofErr w:type="spellStart"/>
      <w:r w:rsidR="002B38B1">
        <w:rPr>
          <w:rFonts w:ascii="Times New Roman" w:hAnsi="Times New Roman" w:cs="Times New Roman"/>
          <w:b/>
          <w:i/>
          <w:sz w:val="24"/>
          <w:szCs w:val="24"/>
        </w:rPr>
        <w:t>Ziehl-Neelsen</w:t>
      </w:r>
      <w:proofErr w:type="spellEnd"/>
      <w:r w:rsidR="002B38B1">
        <w:rPr>
          <w:rFonts w:ascii="Times New Roman" w:hAnsi="Times New Roman" w:cs="Times New Roman"/>
          <w:b/>
          <w:i/>
          <w:sz w:val="24"/>
          <w:szCs w:val="24"/>
        </w:rPr>
        <w:t xml:space="preserve"> Staining Technique </w:t>
      </w:r>
    </w:p>
    <w:p w:rsidR="002B38B1" w:rsidRDefault="002B38B1" w:rsidP="002B3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stool sample that was collected was processed using the modified Acid-fast technique for </w:t>
      </w:r>
      <w:r>
        <w:rPr>
          <w:rFonts w:ascii="Times New Roman" w:hAnsi="Times New Roman" w:cs="Times New Roman"/>
          <w:i/>
          <w:sz w:val="24"/>
          <w:szCs w:val="24"/>
        </w:rPr>
        <w:t xml:space="preserve">Cryptosporidium </w:t>
      </w:r>
      <w:r>
        <w:rPr>
          <w:rFonts w:ascii="Times New Roman" w:hAnsi="Times New Roman" w:cs="Times New Roman"/>
          <w:sz w:val="24"/>
          <w:szCs w:val="24"/>
        </w:rPr>
        <w:t xml:space="preserve">species as </w:t>
      </w:r>
      <w:r w:rsidR="006339FA">
        <w:rPr>
          <w:rFonts w:ascii="Times New Roman" w:hAnsi="Times New Roman" w:cs="Times New Roman"/>
          <w:sz w:val="24"/>
          <w:szCs w:val="24"/>
        </w:rPr>
        <w:t>described (21</w:t>
      </w:r>
      <w:r>
        <w:rPr>
          <w:rFonts w:ascii="Times New Roman" w:hAnsi="Times New Roman" w:cs="Times New Roman"/>
          <w:sz w:val="24"/>
          <w:szCs w:val="24"/>
        </w:rPr>
        <w:t>).</w:t>
      </w:r>
    </w:p>
    <w:p w:rsidR="002B38B1" w:rsidRDefault="002B38B1" w:rsidP="002B38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thin smear of faecal specimen was prepared on a clean grease free slide, and allow to air-dry. The dried smear was heat fix and keep on the staining rack; it was then be flooded with </w:t>
      </w:r>
      <w:proofErr w:type="spellStart"/>
      <w:r>
        <w:rPr>
          <w:rFonts w:ascii="Times New Roman" w:hAnsi="Times New Roman" w:cs="Times New Roman"/>
          <w:sz w:val="24"/>
          <w:szCs w:val="24"/>
        </w:rPr>
        <w:t>carbol-fuchsin</w:t>
      </w:r>
      <w:proofErr w:type="spellEnd"/>
      <w:r>
        <w:rPr>
          <w:rFonts w:ascii="Times New Roman" w:hAnsi="Times New Roman" w:cs="Times New Roman"/>
          <w:sz w:val="24"/>
          <w:szCs w:val="24"/>
        </w:rPr>
        <w:t xml:space="preserve">. The flooded slide was heated until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begin to rise, and then allow to stain for 9 minutes and then rinse with distilled water. The slide was decolorized with 5% aqueous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for 30 seconds and then </w:t>
      </w:r>
      <w:r>
        <w:rPr>
          <w:rFonts w:ascii="Times New Roman" w:hAnsi="Times New Roman"/>
          <w:sz w:val="24"/>
          <w:szCs w:val="24"/>
        </w:rPr>
        <w:t>r</w:t>
      </w:r>
      <w:r>
        <w:rPr>
          <w:rFonts w:ascii="Times New Roman" w:hAnsi="Times New Roman" w:cs="Times New Roman"/>
          <w:sz w:val="24"/>
          <w:szCs w:val="24"/>
        </w:rPr>
        <w:t xml:space="preserve">inse with distilled water. The stain slide was counter stain with methylene blue for one minute. And then rinse with distilled water, and allow to air-dry and then view microscopically using the 100x objective lens; </w:t>
      </w:r>
      <w:proofErr w:type="spellStart"/>
      <w:r>
        <w:rPr>
          <w:rFonts w:ascii="Times New Roman" w:hAnsi="Times New Roman" w:cs="Times New Roman"/>
          <w:sz w:val="24"/>
          <w:szCs w:val="24"/>
        </w:rPr>
        <w:t>Neelsen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Ziehl</w:t>
      </w:r>
      <w:proofErr w:type="spellEnd"/>
      <w:r>
        <w:rPr>
          <w:rFonts w:ascii="Times New Roman" w:hAnsi="Times New Roman" w:cs="Times New Roman"/>
          <w:sz w:val="24"/>
          <w:szCs w:val="24"/>
        </w:rPr>
        <w:t>, a</w:t>
      </w:r>
      <w:r w:rsidR="00797AB4">
        <w:rPr>
          <w:rFonts w:ascii="Times New Roman" w:hAnsi="Times New Roman" w:cs="Times New Roman"/>
          <w:sz w:val="24"/>
          <w:szCs w:val="24"/>
        </w:rPr>
        <w:t>s adopted (21</w:t>
      </w:r>
      <w:r>
        <w:rPr>
          <w:rFonts w:ascii="Times New Roman" w:hAnsi="Times New Roman" w:cs="Times New Roman"/>
          <w:sz w:val="24"/>
          <w:szCs w:val="24"/>
        </w:rPr>
        <w:t>).</w:t>
      </w:r>
    </w:p>
    <w:p w:rsidR="002B38B1" w:rsidRDefault="00D465A0" w:rsidP="002B38B1">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2B38B1">
        <w:rPr>
          <w:rFonts w:ascii="Times New Roman" w:hAnsi="Times New Roman" w:cs="Times New Roman"/>
          <w:b/>
          <w:sz w:val="24"/>
          <w:szCs w:val="24"/>
        </w:rPr>
        <w:t xml:space="preserve"> </w:t>
      </w:r>
      <w:r w:rsidR="002B38B1">
        <w:rPr>
          <w:rFonts w:ascii="Times New Roman" w:hAnsi="Times New Roman" w:cs="Times New Roman"/>
          <w:b/>
          <w:sz w:val="24"/>
          <w:szCs w:val="24"/>
        </w:rPr>
        <w:tab/>
      </w:r>
      <w:r w:rsidR="002B38B1">
        <w:rPr>
          <w:rFonts w:ascii="Times New Roman" w:hAnsi="Times New Roman" w:cs="Times New Roman"/>
          <w:b/>
          <w:i/>
          <w:sz w:val="24"/>
          <w:szCs w:val="24"/>
        </w:rPr>
        <w:t>Helicobacter pylori</w:t>
      </w:r>
      <w:r w:rsidR="002B38B1">
        <w:rPr>
          <w:rFonts w:ascii="Times New Roman" w:hAnsi="Times New Roman" w:cs="Times New Roman"/>
          <w:b/>
          <w:sz w:val="24"/>
          <w:szCs w:val="24"/>
        </w:rPr>
        <w:t xml:space="preserve"> Antigen Rapid Test </w:t>
      </w:r>
    </w:p>
    <w:p w:rsidR="002B38B1" w:rsidRDefault="002B38B1" w:rsidP="002B38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stool samples that was collected was analyze for </w:t>
      </w:r>
      <w:r>
        <w:rPr>
          <w:rFonts w:ascii="Times New Roman" w:hAnsi="Times New Roman" w:cs="Times New Roman"/>
          <w:i/>
          <w:sz w:val="24"/>
          <w:szCs w:val="24"/>
        </w:rPr>
        <w:t>Helicobacter pylori</w:t>
      </w:r>
      <w:r>
        <w:rPr>
          <w:rFonts w:ascii="Times New Roman" w:hAnsi="Times New Roman" w:cs="Times New Roman"/>
          <w:sz w:val="24"/>
          <w:szCs w:val="24"/>
        </w:rPr>
        <w:t xml:space="preserve"> using the Immunochromatography method as described (</w:t>
      </w:r>
      <w:r w:rsidR="00A5477F">
        <w:rPr>
          <w:rFonts w:ascii="Times New Roman" w:hAnsi="Times New Roman" w:cs="Times New Roman"/>
          <w:sz w:val="24"/>
          <w:szCs w:val="24"/>
        </w:rPr>
        <w:t>22</w:t>
      </w:r>
      <w:r>
        <w:rPr>
          <w:rFonts w:ascii="Times New Roman" w:hAnsi="Times New Roman" w:cs="Times New Roman"/>
          <w:sz w:val="24"/>
          <w:szCs w:val="24"/>
        </w:rPr>
        <w:t>).</w:t>
      </w:r>
    </w:p>
    <w:p w:rsidR="002B38B1" w:rsidRDefault="002B38B1" w:rsidP="002B38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container was open and the withdrawal stick was removed from </w:t>
      </w:r>
      <w:r w:rsidR="00706D73">
        <w:rPr>
          <w:rFonts w:ascii="Times New Roman" w:hAnsi="Times New Roman" w:cs="Times New Roman"/>
          <w:sz w:val="24"/>
          <w:szCs w:val="24"/>
        </w:rPr>
        <w:t>vial</w:t>
      </w:r>
      <w:r>
        <w:rPr>
          <w:rFonts w:ascii="Times New Roman" w:hAnsi="Times New Roman" w:cs="Times New Roman"/>
          <w:sz w:val="24"/>
          <w:szCs w:val="24"/>
        </w:rPr>
        <w:t xml:space="preserve"> and plunge into the sample in 3 different points to pick the sample and then return to the vial containing diluents and then screw the cap back to close it. The end of the cap was broken, freeing the dropper part and then 3 drops (100</w:t>
      </w:r>
      <m:oMath>
        <m:r>
          <w:rPr>
            <w:rFonts w:ascii="Cambria Math" w:hAnsi="Cambria Math" w:cs="Times New Roman"/>
            <w:sz w:val="24"/>
            <w:szCs w:val="24"/>
          </w:rPr>
          <m:t>μl</m:t>
        </m:r>
      </m:oMath>
      <w:r>
        <w:rPr>
          <w:rFonts w:ascii="Times New Roman" w:hAnsi="Times New Roman" w:cs="Times New Roman"/>
          <w:sz w:val="24"/>
          <w:szCs w:val="24"/>
        </w:rPr>
        <w:t>) of the diluted sample was dispense into the well (S) indicated on the cassette, the result was read after 10 minutes. Appearance of two distinct redlines indicates positive result, that is the control region (C) and Test region (T). A negative result is indicated by the appearance of only one red line, that is the control line (C) while invalid result is indicated by non-appearance of red lines or red control line fails to appear or red line appearing only on Test region indicating the operator error or re</w:t>
      </w:r>
      <w:r w:rsidR="00A5477F">
        <w:rPr>
          <w:rFonts w:ascii="Times New Roman" w:hAnsi="Times New Roman" w:cs="Times New Roman"/>
          <w:sz w:val="24"/>
          <w:szCs w:val="24"/>
        </w:rPr>
        <w:t>agent failure. (22</w:t>
      </w:r>
      <w:r>
        <w:rPr>
          <w:rFonts w:ascii="Times New Roman" w:hAnsi="Times New Roman" w:cs="Times New Roman"/>
          <w:sz w:val="24"/>
          <w:szCs w:val="24"/>
        </w:rPr>
        <w:t>).</w:t>
      </w:r>
    </w:p>
    <w:p w:rsidR="003A043E" w:rsidRPr="003072AC" w:rsidRDefault="00360076" w:rsidP="003072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2.9 </w:t>
      </w:r>
      <w:r w:rsidRPr="003072AC">
        <w:rPr>
          <w:rFonts w:ascii="Times New Roman" w:hAnsi="Times New Roman" w:cs="Times New Roman"/>
          <w:b/>
          <w:sz w:val="24"/>
          <w:szCs w:val="24"/>
        </w:rPr>
        <w:t>Data</w:t>
      </w:r>
      <w:r w:rsidR="003A043E" w:rsidRPr="003072AC">
        <w:rPr>
          <w:rFonts w:ascii="Times New Roman" w:hAnsi="Times New Roman" w:cs="Times New Roman"/>
          <w:b/>
          <w:sz w:val="24"/>
          <w:szCs w:val="24"/>
        </w:rPr>
        <w:t xml:space="preserve"> Analysis </w:t>
      </w:r>
    </w:p>
    <w:p w:rsidR="00773DDD" w:rsidRDefault="003A043E" w:rsidP="003A043E">
      <w:pPr>
        <w:rPr>
          <w:rFonts w:ascii="Times New Roman" w:hAnsi="Times New Roman" w:cs="Times New Roman"/>
          <w:sz w:val="24"/>
          <w:szCs w:val="24"/>
        </w:rPr>
      </w:pPr>
      <w:r>
        <w:rPr>
          <w:rFonts w:ascii="Times New Roman" w:hAnsi="Times New Roman" w:cs="Times New Roman"/>
          <w:sz w:val="24"/>
          <w:szCs w:val="24"/>
        </w:rPr>
        <w:t>Data collected was</w:t>
      </w:r>
      <w:r w:rsidR="00754A27">
        <w:rPr>
          <w:rFonts w:ascii="Times New Roman" w:hAnsi="Times New Roman" w:cs="Times New Roman"/>
          <w:sz w:val="24"/>
          <w:szCs w:val="24"/>
        </w:rPr>
        <w:t xml:space="preserve"> entered and</w:t>
      </w:r>
      <w:r>
        <w:rPr>
          <w:rFonts w:ascii="Times New Roman" w:hAnsi="Times New Roman" w:cs="Times New Roman"/>
          <w:sz w:val="24"/>
          <w:szCs w:val="24"/>
        </w:rPr>
        <w:t xml:space="preserve"> analyze using statistical package for social sciences (SPSS) version.</w:t>
      </w:r>
    </w:p>
    <w:p w:rsidR="00B37DC2" w:rsidRPr="00B37DC2" w:rsidRDefault="003A043E" w:rsidP="00B37DC2">
      <w:pPr>
        <w:pStyle w:val="ListParagraph"/>
        <w:numPr>
          <w:ilvl w:val="0"/>
          <w:numId w:val="3"/>
        </w:numPr>
        <w:spacing w:after="0" w:line="360" w:lineRule="auto"/>
        <w:jc w:val="both"/>
        <w:outlineLvl w:val="2"/>
        <w:rPr>
          <w:rFonts w:ascii="Times New Roman" w:eastAsia="Times New Roman" w:hAnsi="Times New Roman" w:cs="Times New Roman"/>
          <w:b/>
          <w:bCs/>
          <w:sz w:val="24"/>
          <w:szCs w:val="24"/>
        </w:rPr>
      </w:pPr>
      <w:r w:rsidRPr="00AE18B1">
        <w:rPr>
          <w:rFonts w:ascii="Times New Roman" w:eastAsia="Times New Roman" w:hAnsi="Times New Roman" w:cs="Times New Roman"/>
          <w:b/>
          <w:bCs/>
          <w:sz w:val="24"/>
          <w:szCs w:val="24"/>
        </w:rPr>
        <w:t>Results</w:t>
      </w:r>
    </w:p>
    <w:p w:rsidR="00D2094F" w:rsidRPr="00B37DC2" w:rsidRDefault="00D2094F" w:rsidP="00B37DC2">
      <w:pPr>
        <w:pStyle w:val="ListParagraph"/>
        <w:numPr>
          <w:ilvl w:val="1"/>
          <w:numId w:val="3"/>
        </w:numPr>
        <w:spacing w:after="0" w:line="360" w:lineRule="auto"/>
        <w:jc w:val="both"/>
        <w:outlineLvl w:val="2"/>
        <w:rPr>
          <w:rFonts w:ascii="Times New Roman" w:eastAsia="Times New Roman" w:hAnsi="Times New Roman" w:cs="Times New Roman"/>
          <w:b/>
          <w:bCs/>
          <w:sz w:val="24"/>
          <w:szCs w:val="24"/>
        </w:rPr>
      </w:pPr>
      <w:r w:rsidRPr="00B37DC2">
        <w:rPr>
          <w:rFonts w:ascii="Times New Roman" w:eastAsia="Times New Roman" w:hAnsi="Times New Roman" w:cs="Times New Roman"/>
          <w:b/>
          <w:bCs/>
          <w:sz w:val="24"/>
          <w:szCs w:val="24"/>
        </w:rPr>
        <w:t>Age and Sex Distribution of Cryptosporidiosis among HIV-Positive and HIV-Negative Participants</w:t>
      </w:r>
    </w:p>
    <w:p w:rsidR="00D2094F" w:rsidRPr="00D2094F" w:rsidRDefault="00D2094F" w:rsidP="00B37DC2">
      <w:pPr>
        <w:pStyle w:val="ListParagraph"/>
        <w:spacing w:after="0" w:line="360" w:lineRule="auto"/>
        <w:jc w:val="both"/>
        <w:rPr>
          <w:rFonts w:ascii="Times New Roman" w:eastAsia="Times New Roman" w:hAnsi="Times New Roman" w:cs="Times New Roman"/>
          <w:sz w:val="24"/>
          <w:szCs w:val="24"/>
        </w:rPr>
      </w:pPr>
      <w:r w:rsidRPr="00D2094F">
        <w:rPr>
          <w:rFonts w:ascii="Times New Roman" w:eastAsia="Times New Roman" w:hAnsi="Times New Roman" w:cs="Times New Roman"/>
          <w:sz w:val="24"/>
          <w:szCs w:val="24"/>
        </w:rPr>
        <w:t>The age and sex distribution of Cryptosporidiosis among HIV-positive and HIV-negative partic</w:t>
      </w:r>
      <w:r w:rsidR="00EF73F0">
        <w:rPr>
          <w:rFonts w:ascii="Times New Roman" w:eastAsia="Times New Roman" w:hAnsi="Times New Roman" w:cs="Times New Roman"/>
          <w:sz w:val="24"/>
          <w:szCs w:val="24"/>
        </w:rPr>
        <w:t>ipants is presented in Table 3.1.</w:t>
      </w:r>
      <w:r w:rsidRPr="00D2094F">
        <w:rPr>
          <w:rFonts w:ascii="Times New Roman" w:eastAsia="Times New Roman" w:hAnsi="Times New Roman" w:cs="Times New Roman"/>
          <w:sz w:val="24"/>
          <w:szCs w:val="24"/>
        </w:rPr>
        <w:t xml:space="preserve"> Among HIV-positive participants, a total of 50 individuals were infected with Cryptosporidiosis, comprising 31 males (15.4%) and 19 females (9.9%). The highest number of infections among HIV-positive males was recorded in the 25–34 years age group with 9 cases (17.3%), followed by the 35–44 years age group with 8 cases (16.7%). Among HIV-positive females, the highest prevalence was also observed in the 25–34 years age group with 7 cases (14.0%).</w:t>
      </w:r>
    </w:p>
    <w:p w:rsidR="00EF73F0" w:rsidRDefault="00B37DC2"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Among HIV-negative participants, a total of 21 cases of Cryptosporidiosis were recorded, </w:t>
      </w:r>
      <w:r w:rsidR="00EF73F0">
        <w:rPr>
          <w:rFonts w:ascii="Times New Roman" w:eastAsia="Times New Roman" w:hAnsi="Times New Roman" w:cs="Times New Roman"/>
          <w:sz w:val="24"/>
          <w:szCs w:val="24"/>
        </w:rPr>
        <w:t xml:space="preserve">  </w:t>
      </w:r>
    </w:p>
    <w:p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B37DC2">
        <w:rPr>
          <w:rFonts w:ascii="Times New Roman" w:eastAsia="Times New Roman" w:hAnsi="Times New Roman" w:cs="Times New Roman"/>
          <w:sz w:val="24"/>
          <w:szCs w:val="24"/>
        </w:rPr>
        <w:t>with</w:t>
      </w:r>
      <w:proofErr w:type="gramEnd"/>
      <w:r w:rsidR="00D2094F" w:rsidRPr="00B37DC2">
        <w:rPr>
          <w:rFonts w:ascii="Times New Roman" w:eastAsia="Times New Roman" w:hAnsi="Times New Roman" w:cs="Times New Roman"/>
          <w:sz w:val="24"/>
          <w:szCs w:val="24"/>
        </w:rPr>
        <w:t xml:space="preserve"> 12 males (6.6%) and 9 females (4.8%) infected. The highest number of infections </w:t>
      </w:r>
    </w:p>
    <w:p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B37DC2">
        <w:rPr>
          <w:rFonts w:ascii="Times New Roman" w:eastAsia="Times New Roman" w:hAnsi="Times New Roman" w:cs="Times New Roman"/>
          <w:sz w:val="24"/>
          <w:szCs w:val="24"/>
        </w:rPr>
        <w:t>among</w:t>
      </w:r>
      <w:proofErr w:type="gramEnd"/>
      <w:r w:rsidR="00D2094F" w:rsidRPr="00B37DC2">
        <w:rPr>
          <w:rFonts w:ascii="Times New Roman" w:eastAsia="Times New Roman" w:hAnsi="Times New Roman" w:cs="Times New Roman"/>
          <w:sz w:val="24"/>
          <w:szCs w:val="24"/>
        </w:rPr>
        <w:t xml:space="preserve"> HIV-negative males occurred in the 25–34 years age group with 4 cases (8.3%), </w:t>
      </w:r>
      <w:r>
        <w:rPr>
          <w:rFonts w:ascii="Times New Roman" w:eastAsia="Times New Roman" w:hAnsi="Times New Roman" w:cs="Times New Roman"/>
          <w:sz w:val="24"/>
          <w:szCs w:val="24"/>
        </w:rPr>
        <w:t xml:space="preserve"> </w:t>
      </w:r>
    </w:p>
    <w:p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B37DC2">
        <w:rPr>
          <w:rFonts w:ascii="Times New Roman" w:eastAsia="Times New Roman" w:hAnsi="Times New Roman" w:cs="Times New Roman"/>
          <w:sz w:val="24"/>
          <w:szCs w:val="24"/>
        </w:rPr>
        <w:t>while</w:t>
      </w:r>
      <w:proofErr w:type="gramEnd"/>
      <w:r w:rsidR="00D2094F" w:rsidRPr="00B37DC2">
        <w:rPr>
          <w:rFonts w:ascii="Times New Roman" w:eastAsia="Times New Roman" w:hAnsi="Times New Roman" w:cs="Times New Roman"/>
          <w:sz w:val="24"/>
          <w:szCs w:val="24"/>
        </w:rPr>
        <w:t xml:space="preserve"> HIV-negative females recorded the highest number of infections in the same age </w:t>
      </w:r>
      <w:r>
        <w:rPr>
          <w:rFonts w:ascii="Times New Roman" w:eastAsia="Times New Roman" w:hAnsi="Times New Roman" w:cs="Times New Roman"/>
          <w:sz w:val="24"/>
          <w:szCs w:val="24"/>
        </w:rPr>
        <w:t xml:space="preserve"> </w:t>
      </w:r>
    </w:p>
    <w:p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B37DC2">
        <w:rPr>
          <w:rFonts w:ascii="Times New Roman" w:eastAsia="Times New Roman" w:hAnsi="Times New Roman" w:cs="Times New Roman"/>
          <w:sz w:val="24"/>
          <w:szCs w:val="24"/>
        </w:rPr>
        <w:t>group</w:t>
      </w:r>
      <w:proofErr w:type="gramEnd"/>
      <w:r w:rsidR="00D2094F" w:rsidRPr="00B37DC2">
        <w:rPr>
          <w:rFonts w:ascii="Times New Roman" w:eastAsia="Times New Roman" w:hAnsi="Times New Roman" w:cs="Times New Roman"/>
          <w:sz w:val="24"/>
          <w:szCs w:val="24"/>
        </w:rPr>
        <w:t xml:space="preserve"> with 3 cases (6.5%). No cases of Cryptosporidiosis were recorded among HIV-</w:t>
      </w:r>
      <w:r>
        <w:rPr>
          <w:rFonts w:ascii="Times New Roman" w:eastAsia="Times New Roman" w:hAnsi="Times New Roman" w:cs="Times New Roman"/>
          <w:sz w:val="24"/>
          <w:szCs w:val="24"/>
        </w:rPr>
        <w:t xml:space="preserve">  </w:t>
      </w:r>
    </w:p>
    <w:p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B37DC2">
        <w:rPr>
          <w:rFonts w:ascii="Times New Roman" w:eastAsia="Times New Roman" w:hAnsi="Times New Roman" w:cs="Times New Roman"/>
          <w:sz w:val="24"/>
          <w:szCs w:val="24"/>
        </w:rPr>
        <w:t>negative</w:t>
      </w:r>
      <w:proofErr w:type="gramEnd"/>
      <w:r w:rsidR="00D2094F" w:rsidRPr="00B37DC2">
        <w:rPr>
          <w:rFonts w:ascii="Times New Roman" w:eastAsia="Times New Roman" w:hAnsi="Times New Roman" w:cs="Times New Roman"/>
          <w:sz w:val="24"/>
          <w:szCs w:val="24"/>
        </w:rPr>
        <w:t xml:space="preserve"> males and females aged above 55 years (0.0%).</w:t>
      </w:r>
      <w:r w:rsidR="00D2094F" w:rsidRPr="00B37DC2">
        <w:rPr>
          <w:rFonts w:ascii="Times New Roman" w:eastAsia="Times New Roman" w:hAnsi="Times New Roman" w:cs="Times New Roman"/>
        </w:rPr>
        <w:t xml:space="preserve"> </w:t>
      </w:r>
      <w:r w:rsidR="00D2094F" w:rsidRPr="00B37DC2">
        <w:rPr>
          <w:rFonts w:ascii="Times New Roman" w:eastAsia="Times New Roman" w:hAnsi="Times New Roman" w:cs="Times New Roman"/>
          <w:sz w:val="24"/>
          <w:szCs w:val="24"/>
        </w:rPr>
        <w:t xml:space="preserve">The chi-square test showed no </w:t>
      </w:r>
    </w:p>
    <w:p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B37DC2">
        <w:rPr>
          <w:rFonts w:ascii="Times New Roman" w:eastAsia="Times New Roman" w:hAnsi="Times New Roman" w:cs="Times New Roman"/>
          <w:sz w:val="24"/>
          <w:szCs w:val="24"/>
        </w:rPr>
        <w:t>statistically</w:t>
      </w:r>
      <w:proofErr w:type="gramEnd"/>
      <w:r w:rsidR="00D2094F" w:rsidRPr="00B37DC2">
        <w:rPr>
          <w:rFonts w:ascii="Times New Roman" w:eastAsia="Times New Roman" w:hAnsi="Times New Roman" w:cs="Times New Roman"/>
          <w:sz w:val="24"/>
          <w:szCs w:val="24"/>
        </w:rPr>
        <w:t xml:space="preserve"> significant association between sex and Cryptosporidiosis infection among </w:t>
      </w:r>
    </w:p>
    <w:p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HIV-negative participants (χ² = 0.305, </w:t>
      </w:r>
      <w:proofErr w:type="gramStart"/>
      <w:r w:rsidR="00D2094F" w:rsidRPr="00B37DC2">
        <w:rPr>
          <w:rFonts w:ascii="Times New Roman" w:eastAsia="Times New Roman" w:hAnsi="Times New Roman" w:cs="Times New Roman"/>
          <w:sz w:val="24"/>
          <w:szCs w:val="24"/>
        </w:rPr>
        <w:t>df</w:t>
      </w:r>
      <w:proofErr w:type="gramEnd"/>
      <w:r w:rsidR="00D2094F" w:rsidRPr="00B37DC2">
        <w:rPr>
          <w:rFonts w:ascii="Times New Roman" w:eastAsia="Times New Roman" w:hAnsi="Times New Roman" w:cs="Times New Roman"/>
          <w:sz w:val="24"/>
          <w:szCs w:val="24"/>
        </w:rPr>
        <w:t xml:space="preserve"> = 1, p = 0.581). Similarly, no statistically </w:t>
      </w:r>
    </w:p>
    <w:p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B37DC2">
        <w:rPr>
          <w:rFonts w:ascii="Times New Roman" w:eastAsia="Times New Roman" w:hAnsi="Times New Roman" w:cs="Times New Roman"/>
          <w:sz w:val="24"/>
          <w:szCs w:val="24"/>
        </w:rPr>
        <w:t>significant</w:t>
      </w:r>
      <w:proofErr w:type="gramEnd"/>
      <w:r w:rsidR="00D2094F" w:rsidRPr="00B37DC2">
        <w:rPr>
          <w:rFonts w:ascii="Times New Roman" w:eastAsia="Times New Roman" w:hAnsi="Times New Roman" w:cs="Times New Roman"/>
          <w:sz w:val="24"/>
          <w:szCs w:val="24"/>
        </w:rPr>
        <w:t xml:space="preserve"> association was observed among HIV-positive participants (χ² = 1.780, df = 1, </w:t>
      </w:r>
    </w:p>
    <w:p w:rsidR="00EF73F0"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B37DC2">
        <w:rPr>
          <w:rFonts w:ascii="Times New Roman" w:eastAsia="Times New Roman" w:hAnsi="Times New Roman" w:cs="Times New Roman"/>
          <w:sz w:val="24"/>
          <w:szCs w:val="24"/>
        </w:rPr>
        <w:t xml:space="preserve">p = 0.182). This indicates that the observed differences in Cryptosporidiosis prevalence </w:t>
      </w:r>
    </w:p>
    <w:p w:rsidR="00D2094F" w:rsidRPr="00B37DC2" w:rsidRDefault="00EF73F0" w:rsidP="00B37DC2">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B37DC2">
        <w:rPr>
          <w:rFonts w:ascii="Times New Roman" w:eastAsia="Times New Roman" w:hAnsi="Times New Roman" w:cs="Times New Roman"/>
          <w:sz w:val="24"/>
          <w:szCs w:val="24"/>
        </w:rPr>
        <w:t>across</w:t>
      </w:r>
      <w:proofErr w:type="gramEnd"/>
      <w:r w:rsidR="00D2094F" w:rsidRPr="00B37DC2">
        <w:rPr>
          <w:rFonts w:ascii="Times New Roman" w:eastAsia="Times New Roman" w:hAnsi="Times New Roman" w:cs="Times New Roman"/>
          <w:sz w:val="24"/>
          <w:szCs w:val="24"/>
        </w:rPr>
        <w:t xml:space="preserve"> age and sex groups were not statistically significant.</w:t>
      </w:r>
    </w:p>
    <w:p w:rsidR="00EF73F0" w:rsidRPr="00EF73F0" w:rsidRDefault="00D2094F" w:rsidP="00EF73F0">
      <w:pPr>
        <w:pStyle w:val="ListParagraph"/>
        <w:numPr>
          <w:ilvl w:val="1"/>
          <w:numId w:val="3"/>
        </w:numPr>
        <w:spacing w:after="0" w:line="360" w:lineRule="auto"/>
        <w:jc w:val="both"/>
        <w:outlineLvl w:val="2"/>
        <w:rPr>
          <w:rFonts w:ascii="Times New Roman" w:eastAsia="Times New Roman" w:hAnsi="Times New Roman" w:cs="Times New Roman"/>
          <w:b/>
          <w:bCs/>
          <w:sz w:val="24"/>
          <w:szCs w:val="24"/>
        </w:rPr>
      </w:pPr>
      <w:r w:rsidRPr="00EF73F0">
        <w:rPr>
          <w:rFonts w:ascii="Times New Roman" w:eastAsia="Times New Roman" w:hAnsi="Times New Roman" w:cs="Times New Roman"/>
          <w:b/>
          <w:bCs/>
          <w:sz w:val="24"/>
          <w:szCs w:val="24"/>
        </w:rPr>
        <w:t xml:space="preserve">Age and Sex Distribution of </w:t>
      </w:r>
      <w:r w:rsidRPr="00EF73F0">
        <w:rPr>
          <w:rFonts w:ascii="Times New Roman" w:eastAsia="Times New Roman" w:hAnsi="Times New Roman" w:cs="Times New Roman"/>
          <w:b/>
          <w:bCs/>
          <w:i/>
          <w:iCs/>
          <w:sz w:val="24"/>
          <w:szCs w:val="24"/>
        </w:rPr>
        <w:t>Helicobacter pylori</w:t>
      </w:r>
      <w:r w:rsidRPr="00EF73F0">
        <w:rPr>
          <w:rFonts w:ascii="Times New Roman" w:eastAsia="Times New Roman" w:hAnsi="Times New Roman" w:cs="Times New Roman"/>
          <w:b/>
          <w:bCs/>
          <w:sz w:val="24"/>
          <w:szCs w:val="24"/>
        </w:rPr>
        <w:t xml:space="preserve"> Infection among HIV-Positive </w:t>
      </w:r>
    </w:p>
    <w:p w:rsidR="00D2094F" w:rsidRPr="00EF73F0" w:rsidRDefault="00EF73F0" w:rsidP="00EF73F0">
      <w:pPr>
        <w:spacing w:after="0" w:line="360" w:lineRule="auto"/>
        <w:ind w:left="108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gramStart"/>
      <w:r w:rsidR="00D2094F" w:rsidRPr="00EF73F0">
        <w:rPr>
          <w:rFonts w:ascii="Times New Roman" w:eastAsia="Times New Roman" w:hAnsi="Times New Roman" w:cs="Times New Roman"/>
          <w:b/>
          <w:bCs/>
          <w:sz w:val="24"/>
          <w:szCs w:val="24"/>
        </w:rPr>
        <w:t>and</w:t>
      </w:r>
      <w:proofErr w:type="gramEnd"/>
      <w:r w:rsidR="00D2094F" w:rsidRPr="00EF73F0">
        <w:rPr>
          <w:rFonts w:ascii="Times New Roman" w:eastAsia="Times New Roman" w:hAnsi="Times New Roman" w:cs="Times New Roman"/>
          <w:b/>
          <w:bCs/>
          <w:sz w:val="24"/>
          <w:szCs w:val="24"/>
        </w:rPr>
        <w:t xml:space="preserve"> HIV-Negative Participants</w:t>
      </w:r>
    </w:p>
    <w:p w:rsidR="00EF73F0" w:rsidRDefault="00EF73F0" w:rsidP="00EF73F0">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EF73F0">
        <w:rPr>
          <w:rFonts w:ascii="Times New Roman" w:eastAsia="Times New Roman" w:hAnsi="Times New Roman" w:cs="Times New Roman"/>
          <w:sz w:val="24"/>
          <w:szCs w:val="24"/>
        </w:rPr>
        <w:t xml:space="preserve">The age and sex distribution of </w:t>
      </w:r>
      <w:r w:rsidR="00D2094F" w:rsidRPr="00EF73F0">
        <w:rPr>
          <w:rFonts w:ascii="Times New Roman" w:eastAsia="Times New Roman" w:hAnsi="Times New Roman" w:cs="Times New Roman"/>
          <w:i/>
          <w:iCs/>
          <w:sz w:val="24"/>
          <w:szCs w:val="24"/>
        </w:rPr>
        <w:t>Helicobacter pylori</w:t>
      </w:r>
      <w:r w:rsidR="00D2094F" w:rsidRPr="00EF73F0">
        <w:rPr>
          <w:rFonts w:ascii="Times New Roman" w:eastAsia="Times New Roman" w:hAnsi="Times New Roman" w:cs="Times New Roman"/>
          <w:sz w:val="24"/>
          <w:szCs w:val="24"/>
        </w:rPr>
        <w:t xml:space="preserve"> infection among HIV-positive and </w:t>
      </w:r>
    </w:p>
    <w:p w:rsidR="00D2094F" w:rsidRPr="00EF73F0" w:rsidRDefault="00EF73F0" w:rsidP="00EF73F0">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EF73F0">
        <w:rPr>
          <w:rFonts w:ascii="Times New Roman" w:eastAsia="Times New Roman" w:hAnsi="Times New Roman" w:cs="Times New Roman"/>
          <w:sz w:val="24"/>
          <w:szCs w:val="24"/>
        </w:rPr>
        <w:t>HIV-negative partic</w:t>
      </w:r>
      <w:r>
        <w:rPr>
          <w:rFonts w:ascii="Times New Roman" w:eastAsia="Times New Roman" w:hAnsi="Times New Roman" w:cs="Times New Roman"/>
          <w:sz w:val="24"/>
          <w:szCs w:val="24"/>
        </w:rPr>
        <w:t>ipants is presented in Table 3.2</w:t>
      </w:r>
      <w:r w:rsidR="00D2094F" w:rsidRPr="00EF73F0">
        <w:rPr>
          <w:rFonts w:ascii="Times New Roman" w:eastAsia="Times New Roman" w:hAnsi="Times New Roman" w:cs="Times New Roman"/>
          <w:sz w:val="24"/>
          <w:szCs w:val="24"/>
        </w:rPr>
        <w:t xml:space="preserve">. Among HIV-positive participants, a total of 63 individuals were infected with </w:t>
      </w:r>
      <w:r w:rsidR="00D2094F" w:rsidRPr="00EF73F0">
        <w:rPr>
          <w:rFonts w:ascii="Times New Roman" w:eastAsia="Times New Roman" w:hAnsi="Times New Roman" w:cs="Times New Roman"/>
          <w:i/>
          <w:iCs/>
          <w:sz w:val="24"/>
          <w:szCs w:val="24"/>
        </w:rPr>
        <w:t>H. pylori</w:t>
      </w:r>
      <w:r w:rsidR="00D2094F" w:rsidRPr="00EF73F0">
        <w:rPr>
          <w:rFonts w:ascii="Times New Roman" w:eastAsia="Times New Roman" w:hAnsi="Times New Roman" w:cs="Times New Roman"/>
          <w:sz w:val="24"/>
          <w:szCs w:val="24"/>
        </w:rPr>
        <w:t xml:space="preserve">, comprising 38 males (18.9%) and 25 females (13.0%). The highest number of infections among HIV-positive males was recorded in the 25–34 years age group with 11 cases (21.2%), followed by the 35–44 years age group with 10 </w:t>
      </w:r>
      <w:r w:rsidR="00D2094F" w:rsidRPr="00EF73F0">
        <w:rPr>
          <w:rFonts w:ascii="Times New Roman" w:eastAsia="Times New Roman" w:hAnsi="Times New Roman" w:cs="Times New Roman"/>
          <w:sz w:val="24"/>
          <w:szCs w:val="24"/>
        </w:rPr>
        <w:lastRenderedPageBreak/>
        <w:t>cases (20.8%). Among HIV-positive females, the highest prevalence was also observed in the 25–34 years age group with 9 cases (18.0%).</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 xml:space="preserve">Among HIV-negative participants, a total of 15 cases of </w:t>
      </w:r>
      <w:r w:rsidR="00D2094F" w:rsidRPr="00543FA3">
        <w:rPr>
          <w:rFonts w:ascii="Times New Roman" w:eastAsia="Times New Roman" w:hAnsi="Times New Roman" w:cs="Times New Roman"/>
          <w:i/>
          <w:iCs/>
          <w:sz w:val="24"/>
          <w:szCs w:val="24"/>
        </w:rPr>
        <w:t>H. pylori</w:t>
      </w:r>
      <w:r w:rsidR="00D2094F" w:rsidRPr="00543FA3">
        <w:rPr>
          <w:rFonts w:ascii="Times New Roman" w:eastAsia="Times New Roman" w:hAnsi="Times New Roman" w:cs="Times New Roman"/>
          <w:sz w:val="24"/>
          <w:szCs w:val="24"/>
        </w:rPr>
        <w:t xml:space="preserve"> infection were recorded, with </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9 males (5.6%) and 6 females (4.3%) infected. The highest number of infections among HIV-</w:t>
      </w:r>
      <w:r>
        <w:rPr>
          <w:rFonts w:ascii="Times New Roman" w:eastAsia="Times New Roman" w:hAnsi="Times New Roman" w:cs="Times New Roman"/>
          <w:sz w:val="24"/>
          <w:szCs w:val="24"/>
        </w:rPr>
        <w:t xml:space="preserve"> </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543FA3">
        <w:rPr>
          <w:rFonts w:ascii="Times New Roman" w:eastAsia="Times New Roman" w:hAnsi="Times New Roman" w:cs="Times New Roman"/>
          <w:sz w:val="24"/>
          <w:szCs w:val="24"/>
        </w:rPr>
        <w:t>negative</w:t>
      </w:r>
      <w:proofErr w:type="gramEnd"/>
      <w:r w:rsidR="00D2094F" w:rsidRPr="00543FA3">
        <w:rPr>
          <w:rFonts w:ascii="Times New Roman" w:eastAsia="Times New Roman" w:hAnsi="Times New Roman" w:cs="Times New Roman"/>
          <w:sz w:val="24"/>
          <w:szCs w:val="24"/>
        </w:rPr>
        <w:t xml:space="preserve"> males was recorded in the 45–54 years age group with 2 cases (6.7%), while HIV-</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543FA3">
        <w:rPr>
          <w:rFonts w:ascii="Times New Roman" w:eastAsia="Times New Roman" w:hAnsi="Times New Roman" w:cs="Times New Roman"/>
          <w:sz w:val="24"/>
          <w:szCs w:val="24"/>
        </w:rPr>
        <w:t>negative</w:t>
      </w:r>
      <w:proofErr w:type="gramEnd"/>
      <w:r w:rsidR="00D2094F" w:rsidRPr="00543FA3">
        <w:rPr>
          <w:rFonts w:ascii="Times New Roman" w:eastAsia="Times New Roman" w:hAnsi="Times New Roman" w:cs="Times New Roman"/>
          <w:sz w:val="24"/>
          <w:szCs w:val="24"/>
        </w:rPr>
        <w:t xml:space="preserve"> females recorded the highest prevalence in the 15–24 and 35–44 years age groups </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543FA3">
        <w:rPr>
          <w:rFonts w:ascii="Times New Roman" w:eastAsia="Times New Roman" w:hAnsi="Times New Roman" w:cs="Times New Roman"/>
          <w:sz w:val="24"/>
          <w:szCs w:val="24"/>
        </w:rPr>
        <w:t>with</w:t>
      </w:r>
      <w:proofErr w:type="gramEnd"/>
      <w:r w:rsidR="00D2094F" w:rsidRPr="00543FA3">
        <w:rPr>
          <w:rFonts w:ascii="Times New Roman" w:eastAsia="Times New Roman" w:hAnsi="Times New Roman" w:cs="Times New Roman"/>
          <w:sz w:val="24"/>
          <w:szCs w:val="24"/>
        </w:rPr>
        <w:t xml:space="preserve"> 2 cases each (6.3% and 4.4%, respectively). No </w:t>
      </w:r>
      <w:r w:rsidR="00D2094F" w:rsidRPr="00543FA3">
        <w:rPr>
          <w:rFonts w:ascii="Times New Roman" w:eastAsia="Times New Roman" w:hAnsi="Times New Roman" w:cs="Times New Roman"/>
          <w:i/>
          <w:iCs/>
          <w:sz w:val="24"/>
          <w:szCs w:val="24"/>
        </w:rPr>
        <w:t>H. pylori</w:t>
      </w:r>
      <w:r w:rsidR="00D2094F" w:rsidRPr="00543FA3">
        <w:rPr>
          <w:rFonts w:ascii="Times New Roman" w:eastAsia="Times New Roman" w:hAnsi="Times New Roman" w:cs="Times New Roman"/>
          <w:sz w:val="24"/>
          <w:szCs w:val="24"/>
        </w:rPr>
        <w:t xml:space="preserve"> infection was recorded among </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94F" w:rsidRPr="00543FA3">
        <w:rPr>
          <w:rFonts w:ascii="Times New Roman" w:eastAsia="Times New Roman" w:hAnsi="Times New Roman" w:cs="Times New Roman"/>
          <w:sz w:val="24"/>
          <w:szCs w:val="24"/>
        </w:rPr>
        <w:t>HIV-negative females aged above 55 years (0.0%).</w:t>
      </w:r>
      <w:r w:rsidR="00D2094F" w:rsidRPr="00543FA3">
        <w:rPr>
          <w:rFonts w:ascii="Times New Roman" w:eastAsia="Times New Roman" w:hAnsi="Times New Roman" w:cs="Times New Roman"/>
        </w:rPr>
        <w:t xml:space="preserve">  </w:t>
      </w:r>
      <w:r w:rsidR="00D2094F" w:rsidRPr="00543FA3">
        <w:rPr>
          <w:rFonts w:ascii="Times New Roman" w:eastAsia="Times New Roman" w:hAnsi="Times New Roman" w:cs="Times New Roman"/>
          <w:sz w:val="24"/>
          <w:szCs w:val="24"/>
        </w:rPr>
        <w:t xml:space="preserve">The chi-square analysis showed no </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543FA3">
        <w:rPr>
          <w:rFonts w:ascii="Times New Roman" w:eastAsia="Times New Roman" w:hAnsi="Times New Roman" w:cs="Times New Roman"/>
          <w:sz w:val="24"/>
          <w:szCs w:val="24"/>
        </w:rPr>
        <w:t>statistically</w:t>
      </w:r>
      <w:proofErr w:type="gramEnd"/>
      <w:r w:rsidR="00D2094F" w:rsidRPr="00543FA3">
        <w:rPr>
          <w:rFonts w:ascii="Times New Roman" w:eastAsia="Times New Roman" w:hAnsi="Times New Roman" w:cs="Times New Roman"/>
          <w:sz w:val="24"/>
          <w:szCs w:val="24"/>
        </w:rPr>
        <w:t xml:space="preserve"> significant association between sex and </w:t>
      </w:r>
      <w:r w:rsidR="00D2094F" w:rsidRPr="00543FA3">
        <w:rPr>
          <w:rFonts w:ascii="Times New Roman" w:eastAsia="Times New Roman" w:hAnsi="Times New Roman" w:cs="Times New Roman"/>
          <w:i/>
          <w:iCs/>
          <w:sz w:val="24"/>
          <w:szCs w:val="24"/>
        </w:rPr>
        <w:t>H. pylori</w:t>
      </w:r>
      <w:r w:rsidR="00D2094F" w:rsidRPr="00543FA3">
        <w:rPr>
          <w:rFonts w:ascii="Times New Roman" w:eastAsia="Times New Roman" w:hAnsi="Times New Roman" w:cs="Times New Roman"/>
          <w:sz w:val="24"/>
          <w:szCs w:val="24"/>
        </w:rPr>
        <w:t xml:space="preserve"> infection among HIV-negative </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543FA3">
        <w:rPr>
          <w:rFonts w:ascii="Times New Roman" w:eastAsia="Times New Roman" w:hAnsi="Times New Roman" w:cs="Times New Roman"/>
          <w:sz w:val="24"/>
          <w:szCs w:val="24"/>
        </w:rPr>
        <w:t>participants</w:t>
      </w:r>
      <w:proofErr w:type="gramEnd"/>
      <w:r w:rsidR="00D2094F" w:rsidRPr="00543FA3">
        <w:rPr>
          <w:rFonts w:ascii="Times New Roman" w:eastAsia="Times New Roman" w:hAnsi="Times New Roman" w:cs="Times New Roman"/>
          <w:sz w:val="24"/>
          <w:szCs w:val="24"/>
        </w:rPr>
        <w:t xml:space="preserve"> (χ² = 0.551, df = 1, p = 0.458). Similarly, no statistically significant association </w:t>
      </w:r>
      <w:r>
        <w:rPr>
          <w:rFonts w:ascii="Times New Roman" w:eastAsia="Times New Roman" w:hAnsi="Times New Roman" w:cs="Times New Roman"/>
          <w:sz w:val="24"/>
          <w:szCs w:val="24"/>
        </w:rPr>
        <w:t xml:space="preserve"> </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543FA3">
        <w:rPr>
          <w:rFonts w:ascii="Times New Roman" w:eastAsia="Times New Roman" w:hAnsi="Times New Roman" w:cs="Times New Roman"/>
          <w:sz w:val="24"/>
          <w:szCs w:val="24"/>
        </w:rPr>
        <w:t>was</w:t>
      </w:r>
      <w:proofErr w:type="gramEnd"/>
      <w:r w:rsidR="00D2094F" w:rsidRPr="00543FA3">
        <w:rPr>
          <w:rFonts w:ascii="Times New Roman" w:eastAsia="Times New Roman" w:hAnsi="Times New Roman" w:cs="Times New Roman"/>
          <w:sz w:val="24"/>
          <w:szCs w:val="24"/>
        </w:rPr>
        <w:t xml:space="preserve"> observed among HIV-positive participants (χ² = 0.987, df = 1, p = 0.321). This indicates </w:t>
      </w:r>
    </w:p>
    <w:p w:rsidR="00543FA3"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543FA3">
        <w:rPr>
          <w:rFonts w:ascii="Times New Roman" w:eastAsia="Times New Roman" w:hAnsi="Times New Roman" w:cs="Times New Roman"/>
          <w:sz w:val="24"/>
          <w:szCs w:val="24"/>
        </w:rPr>
        <w:t>that</w:t>
      </w:r>
      <w:proofErr w:type="gramEnd"/>
      <w:r w:rsidR="00D2094F" w:rsidRPr="00543FA3">
        <w:rPr>
          <w:rFonts w:ascii="Times New Roman" w:eastAsia="Times New Roman" w:hAnsi="Times New Roman" w:cs="Times New Roman"/>
          <w:sz w:val="24"/>
          <w:szCs w:val="24"/>
        </w:rPr>
        <w:t xml:space="preserve"> the observed variations in </w:t>
      </w:r>
      <w:r w:rsidR="00D2094F" w:rsidRPr="00543FA3">
        <w:rPr>
          <w:rFonts w:ascii="Times New Roman" w:eastAsia="Times New Roman" w:hAnsi="Times New Roman" w:cs="Times New Roman"/>
          <w:i/>
          <w:iCs/>
          <w:sz w:val="24"/>
          <w:szCs w:val="24"/>
        </w:rPr>
        <w:t>H. pylori</w:t>
      </w:r>
      <w:r w:rsidR="00D2094F" w:rsidRPr="00543FA3">
        <w:rPr>
          <w:rFonts w:ascii="Times New Roman" w:eastAsia="Times New Roman" w:hAnsi="Times New Roman" w:cs="Times New Roman"/>
          <w:sz w:val="24"/>
          <w:szCs w:val="24"/>
        </w:rPr>
        <w:t xml:space="preserve"> prevalence across age and sex groups were not </w:t>
      </w:r>
    </w:p>
    <w:p w:rsidR="00D2094F" w:rsidRDefault="00543FA3" w:rsidP="00543FA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D2094F" w:rsidRPr="00543FA3">
        <w:rPr>
          <w:rFonts w:ascii="Times New Roman" w:eastAsia="Times New Roman" w:hAnsi="Times New Roman" w:cs="Times New Roman"/>
          <w:sz w:val="24"/>
          <w:szCs w:val="24"/>
        </w:rPr>
        <w:t>statistically</w:t>
      </w:r>
      <w:proofErr w:type="gramEnd"/>
      <w:r w:rsidR="00D2094F" w:rsidRPr="00543FA3">
        <w:rPr>
          <w:rFonts w:ascii="Times New Roman" w:eastAsia="Times New Roman" w:hAnsi="Times New Roman" w:cs="Times New Roman"/>
          <w:sz w:val="24"/>
          <w:szCs w:val="24"/>
        </w:rPr>
        <w:t xml:space="preserve"> significant.</w:t>
      </w:r>
    </w:p>
    <w:p w:rsidR="00AE579C" w:rsidRDefault="00AE579C" w:rsidP="00543FA3">
      <w:pPr>
        <w:spacing w:after="0" w:line="360" w:lineRule="auto"/>
        <w:jc w:val="both"/>
        <w:rPr>
          <w:rFonts w:ascii="Times New Roman" w:eastAsia="Times New Roman" w:hAnsi="Times New Roman" w:cs="Times New Roman"/>
          <w:sz w:val="24"/>
          <w:szCs w:val="24"/>
        </w:rPr>
      </w:pPr>
    </w:p>
    <w:p w:rsidR="00024272" w:rsidRDefault="000C428D" w:rsidP="0002427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C428D">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 xml:space="preserve"> </w:t>
      </w:r>
      <w:r w:rsidR="00024272">
        <w:rPr>
          <w:rFonts w:ascii="Times New Roman" w:eastAsia="Times New Roman" w:hAnsi="Times New Roman" w:cs="Times New Roman"/>
          <w:b/>
          <w:bCs/>
          <w:sz w:val="24"/>
          <w:szCs w:val="24"/>
        </w:rPr>
        <w:t xml:space="preserve">Prevalence of Cryptosporidiosis and </w:t>
      </w:r>
      <w:r w:rsidR="00024272">
        <w:rPr>
          <w:rFonts w:ascii="Times New Roman" w:eastAsia="Times New Roman" w:hAnsi="Times New Roman" w:cs="Times New Roman"/>
          <w:b/>
          <w:bCs/>
          <w:i/>
          <w:iCs/>
          <w:sz w:val="24"/>
          <w:szCs w:val="24"/>
        </w:rPr>
        <w:t>Helicobacter pylori</w:t>
      </w:r>
      <w:r w:rsidR="00024272">
        <w:rPr>
          <w:rFonts w:ascii="Times New Roman" w:eastAsia="Times New Roman" w:hAnsi="Times New Roman" w:cs="Times New Roman"/>
          <w:b/>
          <w:bCs/>
          <w:sz w:val="24"/>
          <w:szCs w:val="24"/>
        </w:rPr>
        <w:t xml:space="preserve"> among HIV-Positive and HIV-Negative Participants by Health Facility</w:t>
      </w:r>
    </w:p>
    <w:p w:rsidR="00024272" w:rsidRDefault="00024272" w:rsidP="00024272">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distribution of Cryptosporidiosis and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 xml:space="preserve"> infections among HIV-positive and HIV-negative participants across the selected health facilities in the study areas</w:t>
      </w:r>
      <w:r w:rsidR="00E14354">
        <w:rPr>
          <w:rFonts w:ascii="Times New Roman" w:eastAsia="Times New Roman" w:hAnsi="Times New Roman" w:cs="Times New Roman"/>
          <w:sz w:val="24"/>
          <w:szCs w:val="24"/>
        </w:rPr>
        <w:t xml:space="preserve"> is presented in Table 3.3</w:t>
      </w:r>
    </w:p>
    <w:p w:rsidR="00024272" w:rsidRDefault="00024272" w:rsidP="00024272">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HIV-positive participants, the overall prevalence of Cryptosporidiosis was 13.4% (50/373). The highest prevalence was recorded at General Hospital Numan with 22 cases (17.7%), followed by the Specialist Hospital with 19 cases (15.2%), while the lowest prevalence was observed at General Hospital Mubi with 9 cases (7.3%). For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among HIV-positive participants, the overall prevalence was 16.8% (63/373). Similarly, General Hospital Numan recorded the highest prevalence with 28 cases (22.5%), followed by the Specialist Hospital with 26 cases (20.4%), and General Hospital Mubi with the lowest prevalence of 9 cases (7.3%). This pattern indicates that General Hospital Numan had the highest burden of both infections among HIV-positive individuals.</w:t>
      </w:r>
    </w:p>
    <w:p w:rsidR="00024272" w:rsidRDefault="00024272" w:rsidP="00024272">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Among HIV-negative participants, the overall prevalence of Cryptosporidiosis was lower at 1.34% (21/373). General Hospital Numan recorded the highest prevalence with 9 cases (7.3%), followed by the Specialist Hospital with 7 cases (5.6%), and General Hospital Mubi with the lowest prevalence of 5 cases (4.03%). In contrast,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among HIV-negative participants had an overall prevalence of 2.94% (15/373). The highest prevalence was observed at General Hospital Mubi with 11 cases (8.8%), followed by the Specialist Hospital with 10 cases (8.0%), while General Hospital Numan recorded the lowest prevalence with 4 cases (3.22%).</w:t>
      </w:r>
    </w:p>
    <w:p w:rsidR="000C428D" w:rsidRPr="00024272" w:rsidRDefault="00024272" w:rsidP="00024272">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chi-square analysis showed that there was no statistically significant association between health facility and Cryptosporidiosis infection among HIV-negative participants (χ² = 0.305, </w:t>
      </w:r>
      <w:proofErr w:type="gramStart"/>
      <w:r>
        <w:rPr>
          <w:rFonts w:ascii="Times New Roman" w:eastAsia="Times New Roman" w:hAnsi="Times New Roman" w:cs="Times New Roman"/>
          <w:sz w:val="24"/>
          <w:szCs w:val="24"/>
        </w:rPr>
        <w:t>df</w:t>
      </w:r>
      <w:proofErr w:type="gramEnd"/>
      <w:r>
        <w:rPr>
          <w:rFonts w:ascii="Times New Roman" w:eastAsia="Times New Roman" w:hAnsi="Times New Roman" w:cs="Times New Roman"/>
          <w:sz w:val="24"/>
          <w:szCs w:val="24"/>
        </w:rPr>
        <w:t xml:space="preserve"> = 1, p = 0.581) and HIV-positive participants (χ² = 1.780, df = 1, p = 0.182). Similarly, no statistically significant association was observed between health facility and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among HIV-negative participants (χ² = 0.551, </w:t>
      </w:r>
      <w:proofErr w:type="gramStart"/>
      <w:r>
        <w:rPr>
          <w:rFonts w:ascii="Times New Roman" w:eastAsia="Times New Roman" w:hAnsi="Times New Roman" w:cs="Times New Roman"/>
          <w:sz w:val="24"/>
          <w:szCs w:val="24"/>
        </w:rPr>
        <w:t>df</w:t>
      </w:r>
      <w:proofErr w:type="gramEnd"/>
      <w:r>
        <w:rPr>
          <w:rFonts w:ascii="Times New Roman" w:eastAsia="Times New Roman" w:hAnsi="Times New Roman" w:cs="Times New Roman"/>
          <w:sz w:val="24"/>
          <w:szCs w:val="24"/>
        </w:rPr>
        <w:t xml:space="preserve"> = 1, p = 0.458) and HIV-positive participants (χ² = 0.987, df = 1, p = 0.321). Overall, although variations in prevalence were observed across the different health facilities in the study areas, these differences were not statistically significant (p &gt; 0.05). This suggests that the distribution of Cryptosporidiosis and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infections was relatively similar across the health facilities, and that the location of healthcare service did not significantly influence the occurrence of these infections among the study participants.</w:t>
      </w:r>
    </w:p>
    <w:p w:rsidR="00543FA3" w:rsidRPr="00543FA3" w:rsidRDefault="00543FA3" w:rsidP="00543FA3">
      <w:pPr>
        <w:spacing w:after="0" w:line="360" w:lineRule="auto"/>
        <w:jc w:val="both"/>
        <w:rPr>
          <w:rFonts w:ascii="Times New Roman" w:eastAsia="Times New Roman" w:hAnsi="Times New Roman" w:cs="Times New Roman"/>
          <w:sz w:val="24"/>
          <w:szCs w:val="24"/>
        </w:rPr>
      </w:pPr>
    </w:p>
    <w:p w:rsidR="00733ED9" w:rsidRDefault="00733ED9" w:rsidP="006518C2">
      <w:pPr>
        <w:spacing w:after="0" w:line="360" w:lineRule="auto"/>
        <w:ind w:left="720" w:hanging="720"/>
        <w:jc w:val="both"/>
        <w:outlineLvl w:val="2"/>
        <w:rPr>
          <w:rFonts w:ascii="Times New Roman" w:eastAsia="Times New Roman" w:hAnsi="Times New Roman" w:cs="Times New Roman"/>
          <w:sz w:val="24"/>
          <w:szCs w:val="24"/>
        </w:rPr>
      </w:pPr>
    </w:p>
    <w:p w:rsidR="00FC27B6" w:rsidRDefault="00FC27B6" w:rsidP="00733ED9">
      <w:pPr>
        <w:spacing w:after="0" w:line="360" w:lineRule="auto"/>
        <w:ind w:firstLine="720"/>
        <w:jc w:val="both"/>
        <w:rPr>
          <w:rFonts w:ascii="Times New Roman" w:eastAsia="Times New Roman" w:hAnsi="Times New Roman" w:cs="Times New Roman"/>
          <w:sz w:val="24"/>
          <w:szCs w:val="24"/>
        </w:rPr>
      </w:pPr>
    </w:p>
    <w:p w:rsidR="00A95B8B" w:rsidRDefault="00A95B8B" w:rsidP="00A95B8B">
      <w:pPr>
        <w:spacing w:after="0" w:line="360" w:lineRule="auto"/>
        <w:jc w:val="both"/>
        <w:rPr>
          <w:rFonts w:ascii="Times New Roman" w:eastAsia="Times New Roman" w:hAnsi="Times New Roman" w:cs="Times New Roman"/>
          <w:sz w:val="24"/>
          <w:szCs w:val="24"/>
        </w:rPr>
        <w:sectPr w:rsidR="00A95B8B" w:rsidSect="009C23AA">
          <w:pgSz w:w="12240" w:h="15840"/>
          <w:pgMar w:top="1440" w:right="1440" w:bottom="1440" w:left="1418" w:header="709" w:footer="709" w:gutter="0"/>
          <w:cols w:space="708"/>
          <w:docGrid w:linePitch="360"/>
        </w:sectPr>
      </w:pPr>
    </w:p>
    <w:p w:rsidR="00543FA3" w:rsidRDefault="00CE0723" w:rsidP="00543FA3">
      <w:pPr>
        <w:spacing w:line="36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Table 3</w:t>
      </w:r>
      <w:r w:rsidR="00FC27B6">
        <w:rPr>
          <w:rFonts w:ascii="Times New Roman" w:hAnsi="Times New Roman" w:cs="Times New Roman"/>
          <w:b/>
          <w:bCs/>
          <w:sz w:val="24"/>
          <w:szCs w:val="24"/>
        </w:rPr>
        <w:t xml:space="preserve">.1: </w:t>
      </w:r>
      <w:r w:rsidR="00543FA3">
        <w:rPr>
          <w:rFonts w:ascii="Times New Roman" w:eastAsia="Times New Roman" w:hAnsi="Times New Roman" w:cs="Times New Roman"/>
          <w:b/>
          <w:bCs/>
          <w:sz w:val="24"/>
          <w:szCs w:val="24"/>
        </w:rPr>
        <w:t>Age and Sex Distribution of Cryptosporidiosis among HIV-Positive and HIV-Negative Patients</w:t>
      </w:r>
    </w:p>
    <w:tbl>
      <w:tblPr>
        <w:tblStyle w:val="ListTable6Colorful1"/>
        <w:tblW w:w="0" w:type="auto"/>
        <w:tblLook w:val="04A0" w:firstRow="1" w:lastRow="0" w:firstColumn="1" w:lastColumn="0" w:noHBand="0" w:noVBand="1"/>
      </w:tblPr>
      <w:tblGrid>
        <w:gridCol w:w="1321"/>
        <w:gridCol w:w="1150"/>
        <w:gridCol w:w="691"/>
        <w:gridCol w:w="792"/>
        <w:gridCol w:w="1150"/>
        <w:gridCol w:w="691"/>
        <w:gridCol w:w="895"/>
        <w:gridCol w:w="1109"/>
        <w:gridCol w:w="720"/>
        <w:gridCol w:w="755"/>
        <w:gridCol w:w="1109"/>
        <w:gridCol w:w="754"/>
        <w:gridCol w:w="790"/>
        <w:gridCol w:w="1023"/>
      </w:tblGrid>
      <w:tr w:rsidR="00543FA3" w:rsidTr="00EE4415">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21" w:type="dxa"/>
            <w:vMerge w:val="restart"/>
            <w:hideMark/>
          </w:tcPr>
          <w:p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Age Category (Years)</w:t>
            </w:r>
          </w:p>
        </w:tc>
        <w:tc>
          <w:tcPr>
            <w:tcW w:w="5369" w:type="dxa"/>
            <w:gridSpan w:val="6"/>
            <w:hideMark/>
          </w:tcPr>
          <w:p w:rsidR="00543FA3" w:rsidRDefault="00543FA3" w:rsidP="00EE441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val="0"/>
                <w:bCs w:val="0"/>
                <w:color w:val="auto"/>
              </w:rPr>
              <w:t xml:space="preserve">HIV Positive </w:t>
            </w:r>
          </w:p>
        </w:tc>
        <w:tc>
          <w:tcPr>
            <w:tcW w:w="6260" w:type="dxa"/>
            <w:gridSpan w:val="7"/>
          </w:tcPr>
          <w:p w:rsidR="00543FA3" w:rsidRDefault="00543FA3" w:rsidP="00EE4415">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val="0"/>
                <w:bCs w:val="0"/>
                <w:color w:val="auto"/>
              </w:rPr>
              <w:t>HIV Negative</w:t>
            </w:r>
          </w:p>
        </w:tc>
      </w:tr>
      <w:tr w:rsidR="00543FA3"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vMerge/>
            <w:shd w:val="clear" w:color="auto" w:fill="auto"/>
          </w:tcPr>
          <w:p w:rsidR="00543FA3" w:rsidRDefault="00543FA3" w:rsidP="00EE4415">
            <w:pPr>
              <w:spacing w:line="360" w:lineRule="auto"/>
              <w:jc w:val="both"/>
              <w:rPr>
                <w:rFonts w:ascii="Times New Roman" w:eastAsia="Times New Roman" w:hAnsi="Times New Roman" w:cs="Times New Roman"/>
                <w:color w:val="auto"/>
              </w:rPr>
            </w:pPr>
          </w:p>
        </w:tc>
        <w:tc>
          <w:tcPr>
            <w:tcW w:w="2633" w:type="dxa"/>
            <w:gridSpan w:val="3"/>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 xml:space="preserve"> Male</w:t>
            </w:r>
          </w:p>
        </w:tc>
        <w:tc>
          <w:tcPr>
            <w:tcW w:w="2736" w:type="dxa"/>
            <w:gridSpan w:val="3"/>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Female</w:t>
            </w:r>
          </w:p>
        </w:tc>
        <w:tc>
          <w:tcPr>
            <w:tcW w:w="2584" w:type="dxa"/>
            <w:gridSpan w:val="3"/>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Male</w:t>
            </w:r>
          </w:p>
        </w:tc>
        <w:tc>
          <w:tcPr>
            <w:tcW w:w="3676" w:type="dxa"/>
            <w:gridSpan w:val="4"/>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Female</w:t>
            </w:r>
          </w:p>
        </w:tc>
      </w:tr>
      <w:tr w:rsidR="00543FA3" w:rsidTr="00EE4415">
        <w:tc>
          <w:tcPr>
            <w:cnfStyle w:val="001000000000" w:firstRow="0" w:lastRow="0" w:firstColumn="1" w:lastColumn="0" w:oddVBand="0" w:evenVBand="0" w:oddHBand="0" w:evenHBand="0" w:firstRowFirstColumn="0" w:firstRowLastColumn="0" w:lastRowFirstColumn="0" w:lastRowLastColumn="0"/>
            <w:tcW w:w="1321" w:type="dxa"/>
            <w:hideMark/>
          </w:tcPr>
          <w:p w:rsidR="00543FA3" w:rsidRDefault="00543FA3" w:rsidP="00EE4415">
            <w:pPr>
              <w:spacing w:after="160" w:line="360" w:lineRule="auto"/>
              <w:jc w:val="both"/>
              <w:rPr>
                <w:rFonts w:ascii="Times New Roman" w:eastAsia="Times New Roman" w:hAnsi="Times New Roman" w:cs="Times New Roman"/>
                <w:color w:val="auto"/>
              </w:rPr>
            </w:pPr>
          </w:p>
        </w:tc>
        <w:tc>
          <w:tcPr>
            <w:tcW w:w="1150"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691"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792"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150"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691"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895"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109"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720"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755"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109"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754"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790"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023"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r>
      <w:tr w:rsidR="00543FA3"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hideMark/>
          </w:tcPr>
          <w:p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&lt;15</w:t>
            </w:r>
          </w:p>
        </w:tc>
        <w:tc>
          <w:tcPr>
            <w:tcW w:w="1150"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691"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792"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11.1</w:t>
            </w:r>
          </w:p>
        </w:tc>
        <w:tc>
          <w:tcPr>
            <w:tcW w:w="1150"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691"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895"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5.9</w:t>
            </w:r>
          </w:p>
        </w:tc>
        <w:tc>
          <w:tcPr>
            <w:tcW w:w="1109"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20</w:t>
            </w:r>
          </w:p>
        </w:tc>
        <w:tc>
          <w:tcPr>
            <w:tcW w:w="720"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w:t>
            </w:r>
          </w:p>
        </w:tc>
        <w:tc>
          <w:tcPr>
            <w:tcW w:w="755"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5.0</w:t>
            </w:r>
          </w:p>
        </w:tc>
        <w:tc>
          <w:tcPr>
            <w:tcW w:w="1109"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18</w:t>
            </w:r>
          </w:p>
        </w:tc>
        <w:tc>
          <w:tcPr>
            <w:tcW w:w="754"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w:t>
            </w:r>
          </w:p>
        </w:tc>
        <w:tc>
          <w:tcPr>
            <w:tcW w:w="790"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5.6</w:t>
            </w:r>
          </w:p>
        </w:tc>
        <w:tc>
          <w:tcPr>
            <w:tcW w:w="1023"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20</w:t>
            </w:r>
          </w:p>
        </w:tc>
      </w:tr>
      <w:tr w:rsidR="00543FA3" w:rsidTr="00EE4415">
        <w:tc>
          <w:tcPr>
            <w:cnfStyle w:val="001000000000" w:firstRow="0" w:lastRow="0" w:firstColumn="1" w:lastColumn="0" w:oddVBand="0" w:evenVBand="0" w:oddHBand="0" w:evenHBand="0" w:firstRowFirstColumn="0" w:firstRowLastColumn="0" w:lastRowFirstColumn="0" w:lastRowLastColumn="0"/>
            <w:tcW w:w="1321" w:type="dxa"/>
            <w:hideMark/>
          </w:tcPr>
          <w:p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15–24</w:t>
            </w:r>
          </w:p>
        </w:tc>
        <w:tc>
          <w:tcPr>
            <w:tcW w:w="1150"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36</w:t>
            </w:r>
          </w:p>
        </w:tc>
        <w:tc>
          <w:tcPr>
            <w:tcW w:w="691"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792"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13.9</w:t>
            </w:r>
          </w:p>
        </w:tc>
        <w:tc>
          <w:tcPr>
            <w:tcW w:w="1150"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691"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895"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11.8</w:t>
            </w:r>
          </w:p>
        </w:tc>
        <w:tc>
          <w:tcPr>
            <w:tcW w:w="1109"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34</w:t>
            </w:r>
          </w:p>
        </w:tc>
        <w:tc>
          <w:tcPr>
            <w:tcW w:w="720"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w:t>
            </w:r>
          </w:p>
        </w:tc>
        <w:tc>
          <w:tcPr>
            <w:tcW w:w="755"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5.9</w:t>
            </w:r>
          </w:p>
        </w:tc>
        <w:tc>
          <w:tcPr>
            <w:tcW w:w="1109"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32</w:t>
            </w:r>
          </w:p>
        </w:tc>
        <w:tc>
          <w:tcPr>
            <w:tcW w:w="754"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w:t>
            </w:r>
          </w:p>
        </w:tc>
        <w:tc>
          <w:tcPr>
            <w:tcW w:w="790"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6.3</w:t>
            </w:r>
          </w:p>
        </w:tc>
        <w:tc>
          <w:tcPr>
            <w:tcW w:w="1023"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34</w:t>
            </w:r>
          </w:p>
        </w:tc>
      </w:tr>
      <w:tr w:rsidR="00543FA3"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hideMark/>
          </w:tcPr>
          <w:p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25–34</w:t>
            </w:r>
          </w:p>
        </w:tc>
        <w:tc>
          <w:tcPr>
            <w:tcW w:w="1150"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52</w:t>
            </w:r>
          </w:p>
        </w:tc>
        <w:tc>
          <w:tcPr>
            <w:tcW w:w="691"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792"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17.3</w:t>
            </w:r>
          </w:p>
        </w:tc>
        <w:tc>
          <w:tcPr>
            <w:tcW w:w="1150"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50</w:t>
            </w:r>
          </w:p>
        </w:tc>
        <w:tc>
          <w:tcPr>
            <w:tcW w:w="691"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895"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14.0</w:t>
            </w:r>
          </w:p>
        </w:tc>
        <w:tc>
          <w:tcPr>
            <w:tcW w:w="1109"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48</w:t>
            </w:r>
          </w:p>
        </w:tc>
        <w:tc>
          <w:tcPr>
            <w:tcW w:w="720"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w:t>
            </w:r>
          </w:p>
        </w:tc>
        <w:tc>
          <w:tcPr>
            <w:tcW w:w="755"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8.3</w:t>
            </w:r>
          </w:p>
        </w:tc>
        <w:tc>
          <w:tcPr>
            <w:tcW w:w="1109"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46</w:t>
            </w:r>
          </w:p>
        </w:tc>
        <w:tc>
          <w:tcPr>
            <w:tcW w:w="754"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w:t>
            </w:r>
          </w:p>
        </w:tc>
        <w:tc>
          <w:tcPr>
            <w:tcW w:w="790"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6.5</w:t>
            </w:r>
          </w:p>
        </w:tc>
        <w:tc>
          <w:tcPr>
            <w:tcW w:w="1023"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48</w:t>
            </w:r>
          </w:p>
        </w:tc>
      </w:tr>
      <w:tr w:rsidR="00543FA3" w:rsidTr="00EE4415">
        <w:tc>
          <w:tcPr>
            <w:cnfStyle w:val="001000000000" w:firstRow="0" w:lastRow="0" w:firstColumn="1" w:lastColumn="0" w:oddVBand="0" w:evenVBand="0" w:oddHBand="0" w:evenHBand="0" w:firstRowFirstColumn="0" w:firstRowLastColumn="0" w:lastRowFirstColumn="0" w:lastRowLastColumn="0"/>
            <w:tcW w:w="1321" w:type="dxa"/>
            <w:hideMark/>
          </w:tcPr>
          <w:p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35–44</w:t>
            </w:r>
          </w:p>
        </w:tc>
        <w:tc>
          <w:tcPr>
            <w:tcW w:w="1150"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43</w:t>
            </w:r>
          </w:p>
        </w:tc>
        <w:tc>
          <w:tcPr>
            <w:tcW w:w="691"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792"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16.7</w:t>
            </w:r>
          </w:p>
        </w:tc>
        <w:tc>
          <w:tcPr>
            <w:tcW w:w="1150"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42</w:t>
            </w:r>
          </w:p>
        </w:tc>
        <w:tc>
          <w:tcPr>
            <w:tcW w:w="691"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895"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12.8</w:t>
            </w:r>
          </w:p>
        </w:tc>
        <w:tc>
          <w:tcPr>
            <w:tcW w:w="1109"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46</w:t>
            </w:r>
          </w:p>
        </w:tc>
        <w:tc>
          <w:tcPr>
            <w:tcW w:w="720"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w:t>
            </w:r>
          </w:p>
        </w:tc>
        <w:tc>
          <w:tcPr>
            <w:tcW w:w="755"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6.5</w:t>
            </w:r>
          </w:p>
        </w:tc>
        <w:tc>
          <w:tcPr>
            <w:tcW w:w="1109"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45</w:t>
            </w:r>
          </w:p>
        </w:tc>
        <w:tc>
          <w:tcPr>
            <w:tcW w:w="754"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w:t>
            </w:r>
          </w:p>
        </w:tc>
        <w:tc>
          <w:tcPr>
            <w:tcW w:w="790"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4.4</w:t>
            </w:r>
          </w:p>
        </w:tc>
        <w:tc>
          <w:tcPr>
            <w:tcW w:w="1023"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46</w:t>
            </w:r>
          </w:p>
        </w:tc>
      </w:tr>
      <w:tr w:rsidR="00543FA3"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hideMark/>
          </w:tcPr>
          <w:p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45–54</w:t>
            </w:r>
          </w:p>
        </w:tc>
        <w:tc>
          <w:tcPr>
            <w:tcW w:w="1150"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23</w:t>
            </w:r>
          </w:p>
        </w:tc>
        <w:tc>
          <w:tcPr>
            <w:tcW w:w="691"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792"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14.3</w:t>
            </w:r>
          </w:p>
        </w:tc>
        <w:tc>
          <w:tcPr>
            <w:tcW w:w="1150"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22</w:t>
            </w:r>
          </w:p>
        </w:tc>
        <w:tc>
          <w:tcPr>
            <w:tcW w:w="691"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895"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11.1</w:t>
            </w:r>
          </w:p>
        </w:tc>
        <w:tc>
          <w:tcPr>
            <w:tcW w:w="1109"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25</w:t>
            </w:r>
          </w:p>
        </w:tc>
        <w:tc>
          <w:tcPr>
            <w:tcW w:w="720"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w:t>
            </w:r>
          </w:p>
        </w:tc>
        <w:tc>
          <w:tcPr>
            <w:tcW w:w="755"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6.7</w:t>
            </w:r>
          </w:p>
        </w:tc>
        <w:tc>
          <w:tcPr>
            <w:tcW w:w="1109"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23</w:t>
            </w:r>
          </w:p>
        </w:tc>
        <w:tc>
          <w:tcPr>
            <w:tcW w:w="754"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w:t>
            </w:r>
          </w:p>
        </w:tc>
        <w:tc>
          <w:tcPr>
            <w:tcW w:w="790"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3.6</w:t>
            </w:r>
          </w:p>
        </w:tc>
        <w:tc>
          <w:tcPr>
            <w:tcW w:w="1023"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30</w:t>
            </w:r>
          </w:p>
        </w:tc>
      </w:tr>
      <w:tr w:rsidR="00543FA3" w:rsidTr="00EE4415">
        <w:tc>
          <w:tcPr>
            <w:cnfStyle w:val="001000000000" w:firstRow="0" w:lastRow="0" w:firstColumn="1" w:lastColumn="0" w:oddVBand="0" w:evenVBand="0" w:oddHBand="0" w:evenHBand="0" w:firstRowFirstColumn="0" w:firstRowLastColumn="0" w:lastRowFirstColumn="0" w:lastRowLastColumn="0"/>
            <w:tcW w:w="1321" w:type="dxa"/>
            <w:hideMark/>
          </w:tcPr>
          <w:p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&gt;55</w:t>
            </w:r>
          </w:p>
        </w:tc>
        <w:tc>
          <w:tcPr>
            <w:tcW w:w="1150"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691"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792"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15.8</w:t>
            </w:r>
          </w:p>
        </w:tc>
        <w:tc>
          <w:tcPr>
            <w:tcW w:w="1150"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691"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895"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11.8</w:t>
            </w:r>
          </w:p>
        </w:tc>
        <w:tc>
          <w:tcPr>
            <w:tcW w:w="1109"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19</w:t>
            </w:r>
          </w:p>
        </w:tc>
        <w:tc>
          <w:tcPr>
            <w:tcW w:w="720"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0</w:t>
            </w:r>
          </w:p>
        </w:tc>
        <w:tc>
          <w:tcPr>
            <w:tcW w:w="755"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 xml:space="preserve">0.0 </w:t>
            </w:r>
          </w:p>
        </w:tc>
        <w:tc>
          <w:tcPr>
            <w:tcW w:w="1109"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17</w:t>
            </w:r>
          </w:p>
        </w:tc>
        <w:tc>
          <w:tcPr>
            <w:tcW w:w="754"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0</w:t>
            </w:r>
          </w:p>
        </w:tc>
        <w:tc>
          <w:tcPr>
            <w:tcW w:w="790" w:type="dxa"/>
          </w:tcPr>
          <w:p w:rsidR="00543FA3" w:rsidRDefault="00543FA3"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0.0</w:t>
            </w:r>
          </w:p>
        </w:tc>
        <w:tc>
          <w:tcPr>
            <w:tcW w:w="1023" w:type="dxa"/>
            <w:hideMark/>
          </w:tcPr>
          <w:p w:rsidR="00543FA3" w:rsidRDefault="00543FA3"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hAnsi="Times New Roman" w:cs="Times New Roman"/>
                <w:color w:val="auto"/>
              </w:rPr>
              <w:t>19</w:t>
            </w:r>
          </w:p>
        </w:tc>
      </w:tr>
      <w:tr w:rsidR="00543FA3" w:rsidTr="00EE4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shd w:val="clear" w:color="auto" w:fill="auto"/>
            <w:hideMark/>
          </w:tcPr>
          <w:p w:rsidR="00543FA3" w:rsidRDefault="00543FA3"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b w:val="0"/>
                <w:bCs w:val="0"/>
                <w:color w:val="auto"/>
              </w:rPr>
              <w:t>Total</w:t>
            </w:r>
          </w:p>
        </w:tc>
        <w:tc>
          <w:tcPr>
            <w:tcW w:w="1150"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191</w:t>
            </w:r>
          </w:p>
        </w:tc>
        <w:tc>
          <w:tcPr>
            <w:tcW w:w="691"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31</w:t>
            </w:r>
          </w:p>
        </w:tc>
        <w:tc>
          <w:tcPr>
            <w:tcW w:w="792"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15.4</w:t>
            </w:r>
          </w:p>
        </w:tc>
        <w:tc>
          <w:tcPr>
            <w:tcW w:w="1150"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182</w:t>
            </w:r>
          </w:p>
        </w:tc>
        <w:tc>
          <w:tcPr>
            <w:tcW w:w="691"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895"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1109"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192</w:t>
            </w:r>
          </w:p>
        </w:tc>
        <w:tc>
          <w:tcPr>
            <w:tcW w:w="720"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12</w:t>
            </w:r>
          </w:p>
        </w:tc>
        <w:tc>
          <w:tcPr>
            <w:tcW w:w="755"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6.6</w:t>
            </w:r>
          </w:p>
        </w:tc>
        <w:tc>
          <w:tcPr>
            <w:tcW w:w="1109"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181</w:t>
            </w:r>
          </w:p>
        </w:tc>
        <w:tc>
          <w:tcPr>
            <w:tcW w:w="754"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790" w:type="dxa"/>
            <w:shd w:val="clear" w:color="auto" w:fill="auto"/>
          </w:tcPr>
          <w:p w:rsidR="00543FA3" w:rsidRDefault="00543FA3"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4.8</w:t>
            </w:r>
          </w:p>
        </w:tc>
        <w:tc>
          <w:tcPr>
            <w:tcW w:w="1023" w:type="dxa"/>
            <w:shd w:val="clear" w:color="auto" w:fill="auto"/>
            <w:hideMark/>
          </w:tcPr>
          <w:p w:rsidR="00543FA3" w:rsidRDefault="00543FA3"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9.9</w:t>
            </w:r>
          </w:p>
        </w:tc>
      </w:tr>
    </w:tbl>
    <w:p w:rsidR="00543FA3" w:rsidRDefault="00543FA3" w:rsidP="00543FA3">
      <w:pPr>
        <w:spacing w:line="360" w:lineRule="auto"/>
        <w:jc w:val="both"/>
        <w:rPr>
          <w:rFonts w:ascii="Times New Roman" w:eastAsia="Times New Roman" w:hAnsi="Times New Roman" w:cs="Times New Roman"/>
          <w:sz w:val="24"/>
          <w:szCs w:val="24"/>
        </w:rPr>
      </w:pPr>
    </w:p>
    <w:p w:rsidR="00543FA3" w:rsidRDefault="00543FA3" w:rsidP="00543FA3">
      <w:pPr>
        <w:spacing w:after="16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HIV Negative × Male (Cryptosporidiosis): χ² = 0.305; </w:t>
      </w:r>
      <w:proofErr w:type="gramStart"/>
      <w:r>
        <w:rPr>
          <w:rFonts w:ascii="Times New Roman" w:eastAsia="Times New Roman" w:hAnsi="Times New Roman" w:cs="Times New Roman"/>
          <w:sz w:val="24"/>
          <w:szCs w:val="24"/>
        </w:rPr>
        <w:t>df</w:t>
      </w:r>
      <w:proofErr w:type="gramEnd"/>
      <w:r>
        <w:rPr>
          <w:rFonts w:ascii="Times New Roman" w:eastAsia="Times New Roman" w:hAnsi="Times New Roman" w:cs="Times New Roman"/>
          <w:sz w:val="24"/>
          <w:szCs w:val="24"/>
        </w:rPr>
        <w:t xml:space="preserve"> = 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0.581;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0.05</w:t>
      </w:r>
    </w:p>
    <w:p w:rsidR="00DA21DC" w:rsidRDefault="00543FA3" w:rsidP="00C92A5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HIV Positive × Female (Cryptosporidiosis): χ² = 1.780; </w:t>
      </w:r>
      <w:proofErr w:type="gramStart"/>
      <w:r>
        <w:rPr>
          <w:rFonts w:ascii="Times New Roman" w:eastAsia="Times New Roman" w:hAnsi="Times New Roman" w:cs="Times New Roman"/>
          <w:sz w:val="24"/>
          <w:szCs w:val="24"/>
        </w:rPr>
        <w:t>df</w:t>
      </w:r>
      <w:proofErr w:type="gramEnd"/>
      <w:r>
        <w:rPr>
          <w:rFonts w:ascii="Times New Roman" w:eastAsia="Times New Roman" w:hAnsi="Times New Roman" w:cs="Times New Roman"/>
          <w:sz w:val="24"/>
          <w:szCs w:val="24"/>
        </w:rPr>
        <w:t xml:space="preserve"> = 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0.182;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0.05</w:t>
      </w:r>
    </w:p>
    <w:p w:rsidR="00C92A51" w:rsidRPr="00DA21DC" w:rsidRDefault="00CE0723" w:rsidP="00C92A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Table 3</w:t>
      </w:r>
      <w:r w:rsidR="00FC27B6">
        <w:rPr>
          <w:rFonts w:ascii="Times New Roman" w:hAnsi="Times New Roman" w:cs="Times New Roman"/>
          <w:b/>
          <w:bCs/>
          <w:sz w:val="24"/>
          <w:szCs w:val="24"/>
        </w:rPr>
        <w:t>.2</w:t>
      </w:r>
      <w:r w:rsidR="00C92A51" w:rsidRPr="00C92A51">
        <w:rPr>
          <w:rFonts w:ascii="Times New Roman" w:eastAsia="Times New Roman" w:hAnsi="Times New Roman" w:cs="Times New Roman"/>
          <w:b/>
          <w:bCs/>
          <w:sz w:val="24"/>
          <w:szCs w:val="24"/>
        </w:rPr>
        <w:t xml:space="preserve"> </w:t>
      </w:r>
      <w:r w:rsidR="00C92A51">
        <w:rPr>
          <w:rFonts w:ascii="Times New Roman" w:eastAsia="Times New Roman" w:hAnsi="Times New Roman" w:cs="Times New Roman"/>
          <w:b/>
          <w:bCs/>
          <w:sz w:val="24"/>
          <w:szCs w:val="24"/>
        </w:rPr>
        <w:t xml:space="preserve">Age and Sex Distribution of </w:t>
      </w:r>
      <w:r w:rsidR="00C92A51">
        <w:rPr>
          <w:rFonts w:ascii="Times New Roman" w:eastAsia="Times New Roman" w:hAnsi="Times New Roman" w:cs="Times New Roman"/>
          <w:b/>
          <w:bCs/>
          <w:i/>
          <w:iCs/>
          <w:sz w:val="24"/>
          <w:szCs w:val="24"/>
        </w:rPr>
        <w:t>Helicobacter pylori</w:t>
      </w:r>
      <w:r w:rsidR="00C92A51">
        <w:rPr>
          <w:rFonts w:ascii="Times New Roman" w:eastAsia="Times New Roman" w:hAnsi="Times New Roman" w:cs="Times New Roman"/>
          <w:b/>
          <w:bCs/>
          <w:sz w:val="24"/>
          <w:szCs w:val="24"/>
        </w:rPr>
        <w:t xml:space="preserve"> Infection among HIV-Positive and HIV-Negative Patients</w:t>
      </w:r>
    </w:p>
    <w:tbl>
      <w:tblPr>
        <w:tblStyle w:val="ListTable6Colorful1"/>
        <w:tblW w:w="12484" w:type="dxa"/>
        <w:tblLook w:val="04A0" w:firstRow="1" w:lastRow="0" w:firstColumn="1" w:lastColumn="0" w:noHBand="0" w:noVBand="1"/>
      </w:tblPr>
      <w:tblGrid>
        <w:gridCol w:w="1163"/>
        <w:gridCol w:w="970"/>
        <w:gridCol w:w="623"/>
        <w:gridCol w:w="701"/>
        <w:gridCol w:w="963"/>
        <w:gridCol w:w="1378"/>
        <w:gridCol w:w="957"/>
        <w:gridCol w:w="1093"/>
        <w:gridCol w:w="998"/>
        <w:gridCol w:w="1075"/>
        <w:gridCol w:w="1239"/>
        <w:gridCol w:w="623"/>
        <w:gridCol w:w="701"/>
      </w:tblGrid>
      <w:tr w:rsidR="00C92A51" w:rsidTr="00EE4415">
        <w:trPr>
          <w:cnfStyle w:val="100000000000" w:firstRow="1" w:lastRow="0" w:firstColumn="0" w:lastColumn="0" w:oddVBand="0" w:evenVBand="0" w:oddHBand="0"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22" w:type="dxa"/>
            <w:hideMark/>
          </w:tcPr>
          <w:p w:rsidR="00C92A51" w:rsidRDefault="00C92A51" w:rsidP="00EE4415">
            <w:pPr>
              <w:jc w:val="both"/>
              <w:rPr>
                <w:rFonts w:ascii="Times New Roman" w:eastAsia="Times New Roman" w:hAnsi="Times New Roman" w:cs="Times New Roman"/>
                <w:color w:val="auto"/>
              </w:rPr>
            </w:pPr>
            <w:r>
              <w:rPr>
                <w:rFonts w:ascii="Times New Roman" w:eastAsia="Times New Roman" w:hAnsi="Times New Roman" w:cs="Times New Roman"/>
                <w:color w:val="auto"/>
              </w:rPr>
              <w:t>Age Category (Years)</w:t>
            </w:r>
          </w:p>
        </w:tc>
        <w:tc>
          <w:tcPr>
            <w:tcW w:w="5599" w:type="dxa"/>
            <w:gridSpan w:val="6"/>
            <w:hideMark/>
          </w:tcPr>
          <w:p w:rsidR="00C92A51" w:rsidRDefault="00B33B36" w:rsidP="00EE441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C92A51">
              <w:rPr>
                <w:rFonts w:ascii="Times New Roman" w:eastAsia="Times New Roman" w:hAnsi="Times New Roman" w:cs="Times New Roman"/>
                <w:color w:val="auto"/>
              </w:rPr>
              <w:t xml:space="preserve">HIV Positive </w:t>
            </w:r>
          </w:p>
        </w:tc>
        <w:tc>
          <w:tcPr>
            <w:tcW w:w="5763" w:type="dxa"/>
            <w:gridSpan w:val="6"/>
          </w:tcPr>
          <w:p w:rsidR="00C92A51" w:rsidRDefault="00C92A51" w:rsidP="00EE441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HIV Negative</w:t>
            </w:r>
          </w:p>
          <w:p w:rsidR="00C92A51" w:rsidRDefault="00C92A51" w:rsidP="00EE441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tc>
      </w:tr>
      <w:tr w:rsidR="00C92A51" w:rsidTr="00EE4415">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tcPr>
          <w:p w:rsidR="00C92A51" w:rsidRDefault="00C92A51" w:rsidP="00EE4415">
            <w:pPr>
              <w:spacing w:after="160" w:line="360" w:lineRule="auto"/>
              <w:jc w:val="both"/>
              <w:rPr>
                <w:rFonts w:ascii="Times New Roman" w:eastAsia="Times New Roman" w:hAnsi="Times New Roman" w:cs="Times New Roman"/>
                <w:color w:val="auto"/>
              </w:rPr>
            </w:pPr>
          </w:p>
          <w:p w:rsidR="00C92A51" w:rsidRDefault="00C92A51" w:rsidP="00EE4415">
            <w:pPr>
              <w:spacing w:line="360" w:lineRule="auto"/>
              <w:jc w:val="both"/>
              <w:rPr>
                <w:rFonts w:ascii="Times New Roman" w:eastAsia="Times New Roman" w:hAnsi="Times New Roman" w:cs="Times New Roman"/>
                <w:color w:val="auto"/>
              </w:rPr>
            </w:pPr>
          </w:p>
        </w:tc>
        <w:tc>
          <w:tcPr>
            <w:tcW w:w="97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Male</w:t>
            </w:r>
          </w:p>
        </w:tc>
        <w:tc>
          <w:tcPr>
            <w:tcW w:w="61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675"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928"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Female</w:t>
            </w:r>
          </w:p>
        </w:tc>
        <w:tc>
          <w:tcPr>
            <w:tcW w:w="1425"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96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110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Male</w:t>
            </w:r>
          </w:p>
        </w:tc>
        <w:tc>
          <w:tcPr>
            <w:tcW w:w="1022"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1098"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p>
        </w:tc>
        <w:tc>
          <w:tcPr>
            <w:tcW w:w="1256"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Female</w:t>
            </w:r>
          </w:p>
        </w:tc>
        <w:tc>
          <w:tcPr>
            <w:tcW w:w="0" w:type="auto"/>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c>
          <w:tcPr>
            <w:tcW w:w="0" w:type="auto"/>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r>
      <w:tr w:rsidR="00C92A51" w:rsidTr="00EE4415">
        <w:trPr>
          <w:trHeight w:val="412"/>
        </w:trPr>
        <w:tc>
          <w:tcPr>
            <w:cnfStyle w:val="001000000000" w:firstRow="0" w:lastRow="0" w:firstColumn="1" w:lastColumn="0" w:oddVBand="0" w:evenVBand="0" w:oddHBand="0" w:evenHBand="0" w:firstRowFirstColumn="0" w:firstRowLastColumn="0" w:lastRowFirstColumn="0" w:lastRowLastColumn="0"/>
            <w:tcW w:w="1122" w:type="dxa"/>
            <w:hideMark/>
          </w:tcPr>
          <w:p w:rsidR="00C92A51" w:rsidRDefault="00C92A51" w:rsidP="00EE4415">
            <w:pPr>
              <w:spacing w:after="160" w:line="360" w:lineRule="auto"/>
              <w:jc w:val="both"/>
              <w:rPr>
                <w:rFonts w:ascii="Times New Roman" w:eastAsia="Times New Roman" w:hAnsi="Times New Roman" w:cs="Times New Roman"/>
                <w:color w:val="auto"/>
              </w:rPr>
            </w:pPr>
          </w:p>
        </w:tc>
        <w:tc>
          <w:tcPr>
            <w:tcW w:w="979"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619"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675"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928"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1425"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969"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109"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1022"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1098"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c>
          <w:tcPr>
            <w:tcW w:w="1256" w:type="dxa"/>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Exam.</w:t>
            </w:r>
          </w:p>
        </w:tc>
        <w:tc>
          <w:tcPr>
            <w:tcW w:w="0" w:type="auto"/>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No. Pos.</w:t>
            </w:r>
          </w:p>
        </w:tc>
        <w:tc>
          <w:tcPr>
            <w:tcW w:w="0" w:type="auto"/>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Prev. (%)</w:t>
            </w:r>
          </w:p>
        </w:tc>
      </w:tr>
      <w:tr w:rsidR="00C92A51" w:rsidTr="00EE4415">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hideMark/>
          </w:tcPr>
          <w:p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&lt;15</w:t>
            </w:r>
          </w:p>
        </w:tc>
        <w:tc>
          <w:tcPr>
            <w:tcW w:w="979"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619"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675"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11.1</w:t>
            </w:r>
          </w:p>
        </w:tc>
        <w:tc>
          <w:tcPr>
            <w:tcW w:w="928"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1425"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96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11.8</w:t>
            </w:r>
          </w:p>
        </w:tc>
        <w:tc>
          <w:tcPr>
            <w:tcW w:w="110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20</w:t>
            </w:r>
          </w:p>
        </w:tc>
        <w:tc>
          <w:tcPr>
            <w:tcW w:w="1022"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098"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5.0</w:t>
            </w:r>
          </w:p>
        </w:tc>
        <w:tc>
          <w:tcPr>
            <w:tcW w:w="1256" w:type="dxa"/>
            <w:shd w:val="clear" w:color="auto" w:fill="auto"/>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0" w:type="auto"/>
            <w:shd w:val="clear" w:color="auto" w:fill="auto"/>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0" w:type="auto"/>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5.6</w:t>
            </w:r>
          </w:p>
        </w:tc>
      </w:tr>
      <w:tr w:rsidR="00C92A51" w:rsidTr="00EE4415">
        <w:trPr>
          <w:trHeight w:val="412"/>
        </w:trPr>
        <w:tc>
          <w:tcPr>
            <w:cnfStyle w:val="001000000000" w:firstRow="0" w:lastRow="0" w:firstColumn="1" w:lastColumn="0" w:oddVBand="0" w:evenVBand="0" w:oddHBand="0" w:evenHBand="0" w:firstRowFirstColumn="0" w:firstRowLastColumn="0" w:lastRowFirstColumn="0" w:lastRowLastColumn="0"/>
            <w:tcW w:w="1122" w:type="dxa"/>
            <w:hideMark/>
          </w:tcPr>
          <w:p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15–24</w:t>
            </w:r>
          </w:p>
        </w:tc>
        <w:tc>
          <w:tcPr>
            <w:tcW w:w="979"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36</w:t>
            </w:r>
          </w:p>
        </w:tc>
        <w:tc>
          <w:tcPr>
            <w:tcW w:w="619"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675"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16.7</w:t>
            </w:r>
          </w:p>
        </w:tc>
        <w:tc>
          <w:tcPr>
            <w:tcW w:w="928"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1425"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969"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14.7</w:t>
            </w:r>
          </w:p>
        </w:tc>
        <w:tc>
          <w:tcPr>
            <w:tcW w:w="1109"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1022"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098"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5.9</w:t>
            </w:r>
          </w:p>
        </w:tc>
        <w:tc>
          <w:tcPr>
            <w:tcW w:w="1256" w:type="dxa"/>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32</w:t>
            </w:r>
          </w:p>
        </w:tc>
        <w:tc>
          <w:tcPr>
            <w:tcW w:w="0" w:type="auto"/>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0" w:type="auto"/>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6.3</w:t>
            </w:r>
          </w:p>
        </w:tc>
      </w:tr>
      <w:tr w:rsidR="00C92A51" w:rsidTr="00EE441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hideMark/>
          </w:tcPr>
          <w:p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25–34</w:t>
            </w:r>
          </w:p>
        </w:tc>
        <w:tc>
          <w:tcPr>
            <w:tcW w:w="979"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52</w:t>
            </w:r>
          </w:p>
        </w:tc>
        <w:tc>
          <w:tcPr>
            <w:tcW w:w="619"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w:t>
            </w:r>
          </w:p>
        </w:tc>
        <w:tc>
          <w:tcPr>
            <w:tcW w:w="675"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21.2</w:t>
            </w:r>
          </w:p>
        </w:tc>
        <w:tc>
          <w:tcPr>
            <w:tcW w:w="928"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50</w:t>
            </w:r>
          </w:p>
        </w:tc>
        <w:tc>
          <w:tcPr>
            <w:tcW w:w="1425"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96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18.0</w:t>
            </w:r>
          </w:p>
        </w:tc>
        <w:tc>
          <w:tcPr>
            <w:tcW w:w="110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48</w:t>
            </w:r>
          </w:p>
        </w:tc>
        <w:tc>
          <w:tcPr>
            <w:tcW w:w="1022"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098"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6.3</w:t>
            </w:r>
          </w:p>
        </w:tc>
        <w:tc>
          <w:tcPr>
            <w:tcW w:w="1256" w:type="dxa"/>
            <w:shd w:val="clear" w:color="auto" w:fill="auto"/>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46</w:t>
            </w:r>
          </w:p>
        </w:tc>
        <w:tc>
          <w:tcPr>
            <w:tcW w:w="0" w:type="auto"/>
            <w:shd w:val="clear" w:color="auto" w:fill="auto"/>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0" w:type="auto"/>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4.3</w:t>
            </w:r>
          </w:p>
        </w:tc>
      </w:tr>
      <w:tr w:rsidR="00C92A51" w:rsidTr="00EE4415">
        <w:trPr>
          <w:trHeight w:val="412"/>
        </w:trPr>
        <w:tc>
          <w:tcPr>
            <w:cnfStyle w:val="001000000000" w:firstRow="0" w:lastRow="0" w:firstColumn="1" w:lastColumn="0" w:oddVBand="0" w:evenVBand="0" w:oddHBand="0" w:evenHBand="0" w:firstRowFirstColumn="0" w:firstRowLastColumn="0" w:lastRowFirstColumn="0" w:lastRowLastColumn="0"/>
            <w:tcW w:w="1122" w:type="dxa"/>
            <w:hideMark/>
          </w:tcPr>
          <w:p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35–44</w:t>
            </w:r>
          </w:p>
        </w:tc>
        <w:tc>
          <w:tcPr>
            <w:tcW w:w="979"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43</w:t>
            </w:r>
          </w:p>
        </w:tc>
        <w:tc>
          <w:tcPr>
            <w:tcW w:w="619"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10</w:t>
            </w:r>
          </w:p>
        </w:tc>
        <w:tc>
          <w:tcPr>
            <w:tcW w:w="675"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20.8</w:t>
            </w:r>
          </w:p>
        </w:tc>
        <w:tc>
          <w:tcPr>
            <w:tcW w:w="928"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42</w:t>
            </w:r>
          </w:p>
        </w:tc>
        <w:tc>
          <w:tcPr>
            <w:tcW w:w="1425"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969"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17.0</w:t>
            </w:r>
          </w:p>
        </w:tc>
        <w:tc>
          <w:tcPr>
            <w:tcW w:w="1109"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46</w:t>
            </w:r>
          </w:p>
        </w:tc>
        <w:tc>
          <w:tcPr>
            <w:tcW w:w="1022"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098"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4.3</w:t>
            </w:r>
          </w:p>
        </w:tc>
        <w:tc>
          <w:tcPr>
            <w:tcW w:w="1256" w:type="dxa"/>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45</w:t>
            </w:r>
          </w:p>
        </w:tc>
        <w:tc>
          <w:tcPr>
            <w:tcW w:w="0" w:type="auto"/>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0" w:type="auto"/>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4.4</w:t>
            </w:r>
          </w:p>
        </w:tc>
      </w:tr>
      <w:tr w:rsidR="00C92A51" w:rsidTr="00EE4415">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hideMark/>
          </w:tcPr>
          <w:p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45–54</w:t>
            </w:r>
          </w:p>
        </w:tc>
        <w:tc>
          <w:tcPr>
            <w:tcW w:w="979"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23</w:t>
            </w:r>
          </w:p>
        </w:tc>
        <w:tc>
          <w:tcPr>
            <w:tcW w:w="619"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675"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17.9</w:t>
            </w:r>
          </w:p>
        </w:tc>
        <w:tc>
          <w:tcPr>
            <w:tcW w:w="928"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22</w:t>
            </w:r>
          </w:p>
        </w:tc>
        <w:tc>
          <w:tcPr>
            <w:tcW w:w="1425"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96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11.1</w:t>
            </w:r>
          </w:p>
        </w:tc>
        <w:tc>
          <w:tcPr>
            <w:tcW w:w="110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25</w:t>
            </w:r>
          </w:p>
        </w:tc>
        <w:tc>
          <w:tcPr>
            <w:tcW w:w="1022"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098"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6.7</w:t>
            </w:r>
          </w:p>
        </w:tc>
        <w:tc>
          <w:tcPr>
            <w:tcW w:w="1256" w:type="dxa"/>
            <w:shd w:val="clear" w:color="auto" w:fill="auto"/>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23</w:t>
            </w:r>
          </w:p>
        </w:tc>
        <w:tc>
          <w:tcPr>
            <w:tcW w:w="0" w:type="auto"/>
            <w:shd w:val="clear" w:color="auto" w:fill="auto"/>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0" w:type="auto"/>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3.6</w:t>
            </w:r>
          </w:p>
        </w:tc>
      </w:tr>
      <w:tr w:rsidR="00C92A51" w:rsidTr="00EE4415">
        <w:trPr>
          <w:trHeight w:val="412"/>
        </w:trPr>
        <w:tc>
          <w:tcPr>
            <w:cnfStyle w:val="001000000000" w:firstRow="0" w:lastRow="0" w:firstColumn="1" w:lastColumn="0" w:oddVBand="0" w:evenVBand="0" w:oddHBand="0" w:evenHBand="0" w:firstRowFirstColumn="0" w:firstRowLastColumn="0" w:lastRowFirstColumn="0" w:lastRowLastColumn="0"/>
            <w:tcW w:w="1122" w:type="dxa"/>
            <w:hideMark/>
          </w:tcPr>
          <w:p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&gt;55</w:t>
            </w:r>
          </w:p>
        </w:tc>
        <w:tc>
          <w:tcPr>
            <w:tcW w:w="979"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619"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675"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21.1</w:t>
            </w:r>
          </w:p>
        </w:tc>
        <w:tc>
          <w:tcPr>
            <w:tcW w:w="928" w:type="dxa"/>
            <w:hideMark/>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1425"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969"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17.6</w:t>
            </w:r>
          </w:p>
        </w:tc>
        <w:tc>
          <w:tcPr>
            <w:tcW w:w="1109"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19</w:t>
            </w:r>
          </w:p>
        </w:tc>
        <w:tc>
          <w:tcPr>
            <w:tcW w:w="1022"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098" w:type="dxa"/>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5.3</w:t>
            </w:r>
          </w:p>
        </w:tc>
        <w:tc>
          <w:tcPr>
            <w:tcW w:w="1256" w:type="dxa"/>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0" w:type="auto"/>
          </w:tcPr>
          <w:p w:rsidR="00C92A51" w:rsidRDefault="00C92A51" w:rsidP="00EE4415">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0</w:t>
            </w:r>
          </w:p>
        </w:tc>
        <w:tc>
          <w:tcPr>
            <w:tcW w:w="0" w:type="auto"/>
          </w:tcPr>
          <w:p w:rsidR="00C92A51" w:rsidRDefault="00C92A51"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0.0</w:t>
            </w:r>
          </w:p>
        </w:tc>
      </w:tr>
      <w:tr w:rsidR="00C92A51" w:rsidTr="00EE441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122" w:type="dxa"/>
            <w:shd w:val="clear" w:color="auto" w:fill="auto"/>
            <w:hideMark/>
          </w:tcPr>
          <w:p w:rsidR="00C92A51" w:rsidRDefault="00C92A51" w:rsidP="00EE4415">
            <w:pPr>
              <w:spacing w:after="16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Total</w:t>
            </w:r>
          </w:p>
        </w:tc>
        <w:tc>
          <w:tcPr>
            <w:tcW w:w="979"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191</w:t>
            </w:r>
          </w:p>
        </w:tc>
        <w:tc>
          <w:tcPr>
            <w:tcW w:w="619"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38</w:t>
            </w:r>
          </w:p>
        </w:tc>
        <w:tc>
          <w:tcPr>
            <w:tcW w:w="675"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18.9</w:t>
            </w:r>
          </w:p>
        </w:tc>
        <w:tc>
          <w:tcPr>
            <w:tcW w:w="928" w:type="dxa"/>
            <w:shd w:val="clear" w:color="auto" w:fill="auto"/>
            <w:hideMark/>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182</w:t>
            </w:r>
          </w:p>
        </w:tc>
        <w:tc>
          <w:tcPr>
            <w:tcW w:w="1425"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25</w:t>
            </w:r>
          </w:p>
        </w:tc>
        <w:tc>
          <w:tcPr>
            <w:tcW w:w="96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13.0</w:t>
            </w:r>
          </w:p>
        </w:tc>
        <w:tc>
          <w:tcPr>
            <w:tcW w:w="1109"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192</w:t>
            </w:r>
          </w:p>
        </w:tc>
        <w:tc>
          <w:tcPr>
            <w:tcW w:w="1022"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color w:val="auto"/>
              </w:rPr>
              <w:t>9</w:t>
            </w:r>
          </w:p>
        </w:tc>
        <w:tc>
          <w:tcPr>
            <w:tcW w:w="1098" w:type="dxa"/>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rPr>
            </w:pPr>
            <w:r>
              <w:rPr>
                <w:rFonts w:ascii="Times New Roman" w:eastAsia="Times New Roman" w:hAnsi="Times New Roman" w:cs="Times New Roman"/>
                <w:b/>
                <w:bCs/>
                <w:color w:val="auto"/>
              </w:rPr>
              <w:t>5.6</w:t>
            </w:r>
          </w:p>
        </w:tc>
        <w:tc>
          <w:tcPr>
            <w:tcW w:w="1256" w:type="dxa"/>
            <w:shd w:val="clear" w:color="auto" w:fill="auto"/>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181</w:t>
            </w:r>
          </w:p>
        </w:tc>
        <w:tc>
          <w:tcPr>
            <w:tcW w:w="0" w:type="auto"/>
            <w:shd w:val="clear" w:color="auto" w:fill="auto"/>
          </w:tcPr>
          <w:p w:rsidR="00C92A51" w:rsidRDefault="00C92A51" w:rsidP="00EE4415">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0" w:type="auto"/>
            <w:shd w:val="clear" w:color="auto" w:fill="auto"/>
          </w:tcPr>
          <w:p w:rsidR="00C92A51" w:rsidRDefault="00C92A51"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b/>
                <w:bCs/>
                <w:color w:val="auto"/>
              </w:rPr>
              <w:t>4.3</w:t>
            </w:r>
          </w:p>
        </w:tc>
      </w:tr>
    </w:tbl>
    <w:p w:rsidR="00C92A51" w:rsidRDefault="00C92A51" w:rsidP="00C92A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HIV Negative × Male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χ² = 0.551; </w:t>
      </w:r>
      <w:proofErr w:type="gramStart"/>
      <w:r>
        <w:rPr>
          <w:rFonts w:ascii="Times New Roman" w:eastAsia="Times New Roman" w:hAnsi="Times New Roman" w:cs="Times New Roman"/>
          <w:sz w:val="24"/>
          <w:szCs w:val="24"/>
        </w:rPr>
        <w:t>df</w:t>
      </w:r>
      <w:proofErr w:type="gramEnd"/>
      <w:r>
        <w:rPr>
          <w:rFonts w:ascii="Times New Roman" w:eastAsia="Times New Roman" w:hAnsi="Times New Roman" w:cs="Times New Roman"/>
          <w:sz w:val="24"/>
          <w:szCs w:val="24"/>
        </w:rPr>
        <w:t xml:space="preserve"> = 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0.458;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0.05</w:t>
      </w:r>
    </w:p>
    <w:p w:rsidR="00C92A51" w:rsidRDefault="00C92A51" w:rsidP="00C92A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HIV Positive × Female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χ² = 0.987; </w:t>
      </w:r>
      <w:proofErr w:type="gramStart"/>
      <w:r>
        <w:rPr>
          <w:rFonts w:ascii="Times New Roman" w:eastAsia="Times New Roman" w:hAnsi="Times New Roman" w:cs="Times New Roman"/>
          <w:sz w:val="24"/>
          <w:szCs w:val="24"/>
        </w:rPr>
        <w:t>df</w:t>
      </w:r>
      <w:proofErr w:type="gramEnd"/>
      <w:r>
        <w:rPr>
          <w:rFonts w:ascii="Times New Roman" w:eastAsia="Times New Roman" w:hAnsi="Times New Roman" w:cs="Times New Roman"/>
          <w:sz w:val="24"/>
          <w:szCs w:val="24"/>
        </w:rPr>
        <w:t xml:space="preserve"> = 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0.321;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&gt; 0.05</w:t>
      </w:r>
    </w:p>
    <w:p w:rsidR="008D4659" w:rsidRDefault="008D4659" w:rsidP="008D4659">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3.3: Prevalence of Cryptosporidiosis and </w:t>
      </w:r>
      <w:r>
        <w:rPr>
          <w:rFonts w:ascii="Times New Roman" w:hAnsi="Times New Roman" w:cs="Times New Roman"/>
          <w:b/>
          <w:bCs/>
          <w:i/>
          <w:iCs/>
          <w:sz w:val="24"/>
          <w:szCs w:val="24"/>
        </w:rPr>
        <w:t>Helicobacter pylori</w:t>
      </w:r>
      <w:r>
        <w:rPr>
          <w:rFonts w:ascii="Times New Roman" w:hAnsi="Times New Roman" w:cs="Times New Roman"/>
          <w:b/>
          <w:bCs/>
          <w:sz w:val="24"/>
          <w:szCs w:val="24"/>
        </w:rPr>
        <w:t xml:space="preserve"> among HIV-Positive and HIV-Negative Participants by Health Facility</w:t>
      </w:r>
    </w:p>
    <w:tbl>
      <w:tblPr>
        <w:tblStyle w:val="ListTable6Colorful1"/>
        <w:tblW w:w="13615" w:type="dxa"/>
        <w:tblLook w:val="04A0" w:firstRow="1" w:lastRow="0" w:firstColumn="1" w:lastColumn="0" w:noHBand="0" w:noVBand="1"/>
      </w:tblPr>
      <w:tblGrid>
        <w:gridCol w:w="1208"/>
        <w:gridCol w:w="1041"/>
        <w:gridCol w:w="1041"/>
        <w:gridCol w:w="1011"/>
        <w:gridCol w:w="1023"/>
        <w:gridCol w:w="1041"/>
        <w:gridCol w:w="1013"/>
        <w:gridCol w:w="1030"/>
        <w:gridCol w:w="1119"/>
        <w:gridCol w:w="1012"/>
        <w:gridCol w:w="1023"/>
        <w:gridCol w:w="1041"/>
        <w:gridCol w:w="1012"/>
      </w:tblGrid>
      <w:tr w:rsidR="008D4659" w:rsidTr="00EE4415">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08" w:type="dxa"/>
            <w:vMerge w:val="restart"/>
          </w:tcPr>
          <w:p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Facility</w:t>
            </w:r>
          </w:p>
        </w:tc>
        <w:tc>
          <w:tcPr>
            <w:tcW w:w="6170" w:type="dxa"/>
            <w:gridSpan w:val="6"/>
          </w:tcPr>
          <w:p w:rsidR="008D4659" w:rsidRDefault="008D4659" w:rsidP="00EE441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b w:val="0"/>
                <w:bCs w:val="0"/>
                <w:color w:val="auto"/>
              </w:rPr>
              <w:t>HIV Positive</w:t>
            </w:r>
          </w:p>
        </w:tc>
        <w:tc>
          <w:tcPr>
            <w:tcW w:w="6237" w:type="dxa"/>
            <w:gridSpan w:val="6"/>
          </w:tcPr>
          <w:p w:rsidR="008D4659" w:rsidRDefault="008D4659" w:rsidP="00EE441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b w:val="0"/>
                <w:bCs w:val="0"/>
                <w:color w:val="auto"/>
              </w:rPr>
              <w:t>HIV negative</w:t>
            </w:r>
          </w:p>
        </w:tc>
      </w:tr>
      <w:tr w:rsidR="008D4659" w:rsidTr="00EE44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tcPr>
          <w:p w:rsidR="008D4659" w:rsidRDefault="008D4659" w:rsidP="00EE4415">
            <w:pPr>
              <w:spacing w:line="360" w:lineRule="auto"/>
              <w:jc w:val="both"/>
              <w:rPr>
                <w:rFonts w:ascii="Times New Roman" w:hAnsi="Times New Roman" w:cs="Times New Roman"/>
                <w:color w:val="auto"/>
              </w:rPr>
            </w:pPr>
          </w:p>
        </w:tc>
        <w:tc>
          <w:tcPr>
            <w:tcW w:w="3093" w:type="dxa"/>
            <w:gridSpan w:val="3"/>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Pr>
                <w:rFonts w:ascii="Times New Roman" w:hAnsi="Times New Roman" w:cs="Times New Roman"/>
                <w:i/>
                <w:iCs/>
                <w:color w:val="auto"/>
              </w:rPr>
              <w:t>Cryptosporidiosis</w:t>
            </w:r>
          </w:p>
        </w:tc>
        <w:tc>
          <w:tcPr>
            <w:tcW w:w="3077" w:type="dxa"/>
            <w:gridSpan w:val="3"/>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rPr>
            </w:pPr>
            <w:r>
              <w:rPr>
                <w:rFonts w:ascii="Times New Roman" w:hAnsi="Times New Roman" w:cs="Times New Roman"/>
                <w:i/>
                <w:iCs/>
                <w:color w:val="auto"/>
              </w:rPr>
              <w:t>H. Pylori</w:t>
            </w:r>
          </w:p>
        </w:tc>
        <w:tc>
          <w:tcPr>
            <w:tcW w:w="3161" w:type="dxa"/>
            <w:gridSpan w:val="3"/>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i/>
                <w:iCs/>
                <w:color w:val="auto"/>
              </w:rPr>
              <w:t>Cryptosporidiosis</w:t>
            </w:r>
          </w:p>
        </w:tc>
        <w:tc>
          <w:tcPr>
            <w:tcW w:w="3076" w:type="dxa"/>
            <w:gridSpan w:val="3"/>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i/>
                <w:iCs/>
                <w:color w:val="auto"/>
              </w:rPr>
              <w:t>H. Pylori</w:t>
            </w:r>
          </w:p>
        </w:tc>
      </w:tr>
      <w:tr w:rsidR="008D4659" w:rsidTr="00EE4415">
        <w:trPr>
          <w:trHeight w:val="431"/>
        </w:trPr>
        <w:tc>
          <w:tcPr>
            <w:cnfStyle w:val="001000000000" w:firstRow="0" w:lastRow="0" w:firstColumn="1" w:lastColumn="0" w:oddVBand="0" w:evenVBand="0" w:oddHBand="0" w:evenHBand="0" w:firstRowFirstColumn="0" w:firstRowLastColumn="0" w:lastRowFirstColumn="0" w:lastRowLastColumn="0"/>
            <w:tcW w:w="1208" w:type="dxa"/>
            <w:vMerge/>
          </w:tcPr>
          <w:p w:rsidR="008D4659" w:rsidRDefault="008D4659" w:rsidP="00EE4415">
            <w:pPr>
              <w:spacing w:line="360" w:lineRule="auto"/>
              <w:jc w:val="both"/>
              <w:rPr>
                <w:rFonts w:ascii="Times New Roman" w:hAnsi="Times New Roman" w:cs="Times New Roman"/>
                <w:color w:val="auto"/>
              </w:rPr>
            </w:pP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Exam.</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Positive</w:t>
            </w:r>
          </w:p>
        </w:tc>
        <w:tc>
          <w:tcPr>
            <w:tcW w:w="101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Prev. (%)</w:t>
            </w:r>
          </w:p>
        </w:tc>
        <w:tc>
          <w:tcPr>
            <w:tcW w:w="1023"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Exam.</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Positive</w:t>
            </w:r>
          </w:p>
        </w:tc>
        <w:tc>
          <w:tcPr>
            <w:tcW w:w="1013"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Prev. (%)</w:t>
            </w:r>
          </w:p>
        </w:tc>
        <w:tc>
          <w:tcPr>
            <w:tcW w:w="1030"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Exam.</w:t>
            </w:r>
          </w:p>
        </w:tc>
        <w:tc>
          <w:tcPr>
            <w:tcW w:w="1119"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Positive</w:t>
            </w:r>
          </w:p>
        </w:tc>
        <w:tc>
          <w:tcPr>
            <w:tcW w:w="1012"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Prev. (%)</w:t>
            </w:r>
          </w:p>
        </w:tc>
        <w:tc>
          <w:tcPr>
            <w:tcW w:w="1023"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Exam.</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No. Positive</w:t>
            </w:r>
          </w:p>
        </w:tc>
        <w:tc>
          <w:tcPr>
            <w:tcW w:w="1012"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Prev. (%)</w:t>
            </w:r>
          </w:p>
        </w:tc>
      </w:tr>
      <w:tr w:rsidR="008D4659" w:rsidTr="00EE44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208" w:type="dxa"/>
            <w:shd w:val="clear" w:color="auto" w:fill="auto"/>
          </w:tcPr>
          <w:p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Gen. Hosp. Mubi</w:t>
            </w:r>
          </w:p>
        </w:tc>
        <w:tc>
          <w:tcPr>
            <w:tcW w:w="104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9</w:t>
            </w:r>
          </w:p>
        </w:tc>
        <w:tc>
          <w:tcPr>
            <w:tcW w:w="101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7.3</w:t>
            </w:r>
          </w:p>
        </w:tc>
        <w:tc>
          <w:tcPr>
            <w:tcW w:w="1023"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9</w:t>
            </w:r>
          </w:p>
        </w:tc>
        <w:tc>
          <w:tcPr>
            <w:tcW w:w="1013"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7.3</w:t>
            </w:r>
          </w:p>
        </w:tc>
        <w:tc>
          <w:tcPr>
            <w:tcW w:w="1030"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119"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5</w:t>
            </w:r>
          </w:p>
        </w:tc>
        <w:tc>
          <w:tcPr>
            <w:tcW w:w="1012"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4.03</w:t>
            </w:r>
          </w:p>
        </w:tc>
        <w:tc>
          <w:tcPr>
            <w:tcW w:w="1023"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11</w:t>
            </w:r>
          </w:p>
        </w:tc>
        <w:tc>
          <w:tcPr>
            <w:tcW w:w="1012"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8.8</w:t>
            </w:r>
          </w:p>
        </w:tc>
      </w:tr>
      <w:tr w:rsidR="008D4659" w:rsidTr="00EE4415">
        <w:trPr>
          <w:trHeight w:val="431"/>
        </w:trPr>
        <w:tc>
          <w:tcPr>
            <w:cnfStyle w:val="001000000000" w:firstRow="0" w:lastRow="0" w:firstColumn="1" w:lastColumn="0" w:oddVBand="0" w:evenVBand="0" w:oddHBand="0" w:evenHBand="0" w:firstRowFirstColumn="0" w:firstRowLastColumn="0" w:lastRowFirstColumn="0" w:lastRowLastColumn="0"/>
            <w:tcW w:w="1208" w:type="dxa"/>
          </w:tcPr>
          <w:p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Gen. Hosp. Numan</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22</w:t>
            </w:r>
          </w:p>
        </w:tc>
        <w:tc>
          <w:tcPr>
            <w:tcW w:w="101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17.7</w:t>
            </w:r>
          </w:p>
        </w:tc>
        <w:tc>
          <w:tcPr>
            <w:tcW w:w="1023"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28</w:t>
            </w:r>
          </w:p>
        </w:tc>
        <w:tc>
          <w:tcPr>
            <w:tcW w:w="1013"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22.5</w:t>
            </w:r>
          </w:p>
        </w:tc>
        <w:tc>
          <w:tcPr>
            <w:tcW w:w="1030"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119"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9</w:t>
            </w:r>
          </w:p>
        </w:tc>
        <w:tc>
          <w:tcPr>
            <w:tcW w:w="1012"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7.3</w:t>
            </w:r>
          </w:p>
        </w:tc>
        <w:tc>
          <w:tcPr>
            <w:tcW w:w="1023"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124</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w:t>
            </w:r>
          </w:p>
        </w:tc>
        <w:tc>
          <w:tcPr>
            <w:tcW w:w="1012"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3.22</w:t>
            </w:r>
          </w:p>
        </w:tc>
      </w:tr>
      <w:tr w:rsidR="008D4659" w:rsidTr="00EE4415">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208" w:type="dxa"/>
            <w:shd w:val="clear" w:color="auto" w:fill="auto"/>
          </w:tcPr>
          <w:p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Specialist</w:t>
            </w:r>
          </w:p>
        </w:tc>
        <w:tc>
          <w:tcPr>
            <w:tcW w:w="104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125</w:t>
            </w:r>
          </w:p>
        </w:tc>
        <w:tc>
          <w:tcPr>
            <w:tcW w:w="104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19</w:t>
            </w:r>
          </w:p>
        </w:tc>
        <w:tc>
          <w:tcPr>
            <w:tcW w:w="101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15.2</w:t>
            </w:r>
          </w:p>
        </w:tc>
        <w:tc>
          <w:tcPr>
            <w:tcW w:w="1023"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125</w:t>
            </w:r>
          </w:p>
        </w:tc>
        <w:tc>
          <w:tcPr>
            <w:tcW w:w="104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26</w:t>
            </w:r>
          </w:p>
        </w:tc>
        <w:tc>
          <w:tcPr>
            <w:tcW w:w="1013"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20.4</w:t>
            </w:r>
          </w:p>
        </w:tc>
        <w:tc>
          <w:tcPr>
            <w:tcW w:w="1030"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125</w:t>
            </w:r>
          </w:p>
        </w:tc>
        <w:tc>
          <w:tcPr>
            <w:tcW w:w="1119"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7</w:t>
            </w:r>
          </w:p>
        </w:tc>
        <w:tc>
          <w:tcPr>
            <w:tcW w:w="1012"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5.6</w:t>
            </w:r>
          </w:p>
        </w:tc>
        <w:tc>
          <w:tcPr>
            <w:tcW w:w="1023"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125</w:t>
            </w:r>
          </w:p>
        </w:tc>
        <w:tc>
          <w:tcPr>
            <w:tcW w:w="1041"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10</w:t>
            </w:r>
          </w:p>
        </w:tc>
        <w:tc>
          <w:tcPr>
            <w:tcW w:w="1012" w:type="dxa"/>
            <w:shd w:val="clear" w:color="auto" w:fill="auto"/>
          </w:tcPr>
          <w:p w:rsidR="008D4659" w:rsidRDefault="008D4659" w:rsidP="00EE44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8.0</w:t>
            </w:r>
          </w:p>
        </w:tc>
      </w:tr>
      <w:tr w:rsidR="008D4659" w:rsidTr="00EE4415">
        <w:trPr>
          <w:trHeight w:val="404"/>
        </w:trPr>
        <w:tc>
          <w:tcPr>
            <w:cnfStyle w:val="001000000000" w:firstRow="0" w:lastRow="0" w:firstColumn="1" w:lastColumn="0" w:oddVBand="0" w:evenVBand="0" w:oddHBand="0" w:evenHBand="0" w:firstRowFirstColumn="0" w:firstRowLastColumn="0" w:lastRowFirstColumn="0" w:lastRowLastColumn="0"/>
            <w:tcW w:w="1208" w:type="dxa"/>
          </w:tcPr>
          <w:p w:rsidR="008D4659" w:rsidRDefault="008D4659" w:rsidP="00EE4415">
            <w:pPr>
              <w:spacing w:line="360" w:lineRule="auto"/>
              <w:jc w:val="both"/>
              <w:rPr>
                <w:rFonts w:ascii="Times New Roman" w:hAnsi="Times New Roman" w:cs="Times New Roman"/>
                <w:color w:val="auto"/>
              </w:rPr>
            </w:pPr>
            <w:r>
              <w:rPr>
                <w:rFonts w:ascii="Times New Roman" w:hAnsi="Times New Roman" w:cs="Times New Roman"/>
                <w:b w:val="0"/>
                <w:bCs w:val="0"/>
                <w:color w:val="auto"/>
              </w:rPr>
              <w:t>Total</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373</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50</w:t>
            </w:r>
          </w:p>
        </w:tc>
        <w:tc>
          <w:tcPr>
            <w:tcW w:w="101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13.4</w:t>
            </w:r>
          </w:p>
        </w:tc>
        <w:tc>
          <w:tcPr>
            <w:tcW w:w="1023"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373</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63</w:t>
            </w:r>
          </w:p>
        </w:tc>
        <w:tc>
          <w:tcPr>
            <w:tcW w:w="1013"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16.8</w:t>
            </w:r>
          </w:p>
        </w:tc>
        <w:tc>
          <w:tcPr>
            <w:tcW w:w="1030"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373</w:t>
            </w:r>
          </w:p>
        </w:tc>
        <w:tc>
          <w:tcPr>
            <w:tcW w:w="1119"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21</w:t>
            </w:r>
          </w:p>
        </w:tc>
        <w:tc>
          <w:tcPr>
            <w:tcW w:w="1012"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1.34</w:t>
            </w:r>
          </w:p>
        </w:tc>
        <w:tc>
          <w:tcPr>
            <w:tcW w:w="1023"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373</w:t>
            </w:r>
          </w:p>
        </w:tc>
        <w:tc>
          <w:tcPr>
            <w:tcW w:w="1041"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15</w:t>
            </w:r>
          </w:p>
        </w:tc>
        <w:tc>
          <w:tcPr>
            <w:tcW w:w="1012" w:type="dxa"/>
          </w:tcPr>
          <w:p w:rsidR="008D4659" w:rsidRDefault="008D4659" w:rsidP="00EE44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2.94</w:t>
            </w:r>
          </w:p>
        </w:tc>
      </w:tr>
    </w:tbl>
    <w:p w:rsidR="008D4659" w:rsidRDefault="008D4659" w:rsidP="008D46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HIV Negative and Crypto;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=0.305; </w:t>
      </w:r>
      <w:proofErr w:type="gramStart"/>
      <w:r>
        <w:rPr>
          <w:rFonts w:ascii="Times New Roman" w:eastAsia="Times New Roman" w:hAnsi="Times New Roman" w:cs="Times New Roman"/>
          <w:sz w:val="24"/>
          <w:szCs w:val="24"/>
        </w:rPr>
        <w:t>df</w:t>
      </w:r>
      <w:proofErr w:type="gramEnd"/>
      <w:r>
        <w:rPr>
          <w:rFonts w:ascii="Times New Roman" w:eastAsia="Times New Roman" w:hAnsi="Times New Roman" w:cs="Times New Roman"/>
          <w:sz w:val="24"/>
          <w:szCs w:val="24"/>
        </w:rPr>
        <w:t xml:space="preserve"> = 1; P=0.581; P&gt;0.05.</w:t>
      </w:r>
    </w:p>
    <w:p w:rsidR="008D4659" w:rsidRDefault="008D4659" w:rsidP="008D46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HIV Positive and Crypto;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=1.780; </w:t>
      </w:r>
      <w:proofErr w:type="gramStart"/>
      <w:r>
        <w:rPr>
          <w:rFonts w:ascii="Times New Roman" w:eastAsia="Times New Roman" w:hAnsi="Times New Roman" w:cs="Times New Roman"/>
          <w:sz w:val="24"/>
          <w:szCs w:val="24"/>
        </w:rPr>
        <w:t>df</w:t>
      </w:r>
      <w:proofErr w:type="gramEnd"/>
      <w:r>
        <w:rPr>
          <w:rFonts w:ascii="Times New Roman" w:eastAsia="Times New Roman" w:hAnsi="Times New Roman" w:cs="Times New Roman"/>
          <w:sz w:val="24"/>
          <w:szCs w:val="24"/>
        </w:rPr>
        <w:t xml:space="preserve"> = 1; P=0.182; P&gt;0.05.</w:t>
      </w:r>
    </w:p>
    <w:p w:rsidR="00712C21" w:rsidRDefault="008D4659" w:rsidP="008D46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HIV Negative and H. Pylori;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00712C21">
        <w:rPr>
          <w:rFonts w:ascii="Times New Roman" w:eastAsia="Times New Roman" w:hAnsi="Times New Roman" w:cs="Times New Roman"/>
          <w:sz w:val="24"/>
          <w:szCs w:val="24"/>
        </w:rPr>
        <w:t xml:space="preserve">=0.551; </w:t>
      </w:r>
      <w:proofErr w:type="gramStart"/>
      <w:r w:rsidR="00712C21">
        <w:rPr>
          <w:rFonts w:ascii="Times New Roman" w:eastAsia="Times New Roman" w:hAnsi="Times New Roman" w:cs="Times New Roman"/>
          <w:sz w:val="24"/>
          <w:szCs w:val="24"/>
        </w:rPr>
        <w:t>df</w:t>
      </w:r>
      <w:proofErr w:type="gramEnd"/>
      <w:r w:rsidR="00712C21">
        <w:rPr>
          <w:rFonts w:ascii="Times New Roman" w:eastAsia="Times New Roman" w:hAnsi="Times New Roman" w:cs="Times New Roman"/>
          <w:sz w:val="24"/>
          <w:szCs w:val="24"/>
        </w:rPr>
        <w:t xml:space="preserve"> = 1; P=0.458; P&gt;0.05</w:t>
      </w:r>
    </w:p>
    <w:p w:rsidR="008D4659" w:rsidRDefault="008D4659" w:rsidP="008D46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For HIV Positive and H. Pylori;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=0.987; </w:t>
      </w:r>
      <w:proofErr w:type="gramStart"/>
      <w:r>
        <w:rPr>
          <w:rFonts w:ascii="Times New Roman" w:eastAsia="Times New Roman" w:hAnsi="Times New Roman" w:cs="Times New Roman"/>
          <w:sz w:val="24"/>
          <w:szCs w:val="24"/>
        </w:rPr>
        <w:t>df</w:t>
      </w:r>
      <w:proofErr w:type="gramEnd"/>
      <w:r>
        <w:rPr>
          <w:rFonts w:ascii="Times New Roman" w:eastAsia="Times New Roman" w:hAnsi="Times New Roman" w:cs="Times New Roman"/>
          <w:sz w:val="24"/>
          <w:szCs w:val="24"/>
        </w:rPr>
        <w:t xml:space="preserve"> = 1; P=0.321; P&gt;0.05.</w:t>
      </w:r>
    </w:p>
    <w:p w:rsidR="00324B06" w:rsidRDefault="00324B06" w:rsidP="009108C1">
      <w:pPr>
        <w:spacing w:line="360" w:lineRule="auto"/>
        <w:rPr>
          <w:rFonts w:ascii="Times New Roman" w:eastAsia="Times New Roman" w:hAnsi="Times New Roman" w:cs="Times New Roman"/>
          <w:b/>
          <w:bCs/>
          <w:sz w:val="24"/>
          <w:szCs w:val="24"/>
        </w:rPr>
        <w:sectPr w:rsidR="00324B06" w:rsidSect="00A95B8B">
          <w:pgSz w:w="15840" w:h="12240" w:orient="landscape"/>
          <w:pgMar w:top="1418" w:right="1440" w:bottom="1440" w:left="1440" w:header="709" w:footer="709" w:gutter="0"/>
          <w:cols w:space="708"/>
          <w:docGrid w:linePitch="360"/>
        </w:sectPr>
      </w:pPr>
    </w:p>
    <w:p w:rsidR="004B1108" w:rsidRDefault="00E57211" w:rsidP="004B110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4.0 </w:t>
      </w:r>
      <w:r w:rsidR="004B1108">
        <w:rPr>
          <w:rFonts w:ascii="Times New Roman" w:eastAsia="Times New Roman" w:hAnsi="Times New Roman" w:cs="Times New Roman"/>
          <w:b/>
          <w:bCs/>
          <w:sz w:val="24"/>
          <w:szCs w:val="24"/>
        </w:rPr>
        <w:t>DISCUSSION</w:t>
      </w:r>
    </w:p>
    <w:p w:rsidR="000200E5" w:rsidRPr="00C60E27" w:rsidRDefault="00E57211" w:rsidP="000200E5">
      <w:pPr>
        <w:spacing w:after="0" w:line="360" w:lineRule="auto"/>
        <w:ind w:left="720" w:hanging="7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4</w:t>
      </w:r>
      <w:r w:rsidR="004B1108">
        <w:rPr>
          <w:rFonts w:ascii="Times New Roman" w:eastAsia="Times New Roman" w:hAnsi="Times New Roman" w:cs="Times New Roman"/>
          <w:b/>
          <w:bCs/>
          <w:sz w:val="24"/>
          <w:szCs w:val="24"/>
        </w:rPr>
        <w:t xml:space="preserve">.1 </w:t>
      </w:r>
      <w:r w:rsidR="004B1108">
        <w:rPr>
          <w:rFonts w:ascii="Times New Roman" w:eastAsia="Times New Roman" w:hAnsi="Times New Roman" w:cs="Times New Roman"/>
          <w:b/>
          <w:bCs/>
          <w:sz w:val="24"/>
          <w:szCs w:val="24"/>
        </w:rPr>
        <w:tab/>
      </w:r>
      <w:r w:rsidR="000200E5" w:rsidRPr="00C60E27">
        <w:rPr>
          <w:rFonts w:ascii="Times New Roman" w:eastAsia="Times New Roman" w:hAnsi="Times New Roman" w:cs="Times New Roman"/>
          <w:bCs/>
          <w:sz w:val="24"/>
          <w:szCs w:val="24"/>
        </w:rPr>
        <w:t>Age and Sex Distribution of Cryptosporidiosis among HIV-Positive and HIV-Negative Participants</w:t>
      </w:r>
    </w:p>
    <w:p w:rsidR="000200E5" w:rsidRPr="00C60E27" w:rsidRDefault="000200E5" w:rsidP="000200E5">
      <w:pPr>
        <w:spacing w:after="0" w:line="360" w:lineRule="auto"/>
        <w:ind w:firstLine="720"/>
        <w:jc w:val="both"/>
        <w:rPr>
          <w:rFonts w:ascii="Times New Roman" w:eastAsia="Times New Roman" w:hAnsi="Times New Roman" w:cs="Times New Roman"/>
          <w:sz w:val="24"/>
          <w:szCs w:val="24"/>
        </w:rPr>
      </w:pPr>
      <w:r w:rsidRPr="00C60E27">
        <w:rPr>
          <w:rFonts w:ascii="Times New Roman" w:eastAsia="Times New Roman" w:hAnsi="Times New Roman" w:cs="Times New Roman"/>
          <w:sz w:val="24"/>
          <w:szCs w:val="24"/>
        </w:rPr>
        <w:t>The present study demonstrated variations in the distribution of Cryptosporidiosis across age and sex groups among both HIV-positive and HIV-negative participants; however, these variations were not statistically significant. Although higher prevalence rates were observed among young and middle-aged adults, particularly within the 25–34 and 35–44 years age categories, sex-based differences did not show a significant association with infection status. The observed age-related pattern is consistent with reports that Cryptosporidiosis is more frequently detected among economically active age groups due to increased exposure to contaminated water, food sources, and envi</w:t>
      </w:r>
      <w:r w:rsidR="00A5477F">
        <w:rPr>
          <w:rFonts w:ascii="Times New Roman" w:eastAsia="Times New Roman" w:hAnsi="Times New Roman" w:cs="Times New Roman"/>
          <w:sz w:val="24"/>
          <w:szCs w:val="24"/>
        </w:rPr>
        <w:t>ronmental reservoirs. (23</w:t>
      </w:r>
      <w:r w:rsidRPr="00C60E27">
        <w:rPr>
          <w:rFonts w:ascii="Times New Roman" w:eastAsia="Times New Roman" w:hAnsi="Times New Roman" w:cs="Times New Roman"/>
          <w:sz w:val="24"/>
          <w:szCs w:val="24"/>
        </w:rPr>
        <w:t>) noted that adults within similar age brackets often exhibit higher Cryptosporidium prevalence, especially in endemic regions, as a result of occupational exposure and daily activities that increase contact with cont</w:t>
      </w:r>
      <w:r w:rsidR="00A5477F">
        <w:rPr>
          <w:rFonts w:ascii="Times New Roman" w:eastAsia="Times New Roman" w:hAnsi="Times New Roman" w:cs="Times New Roman"/>
          <w:sz w:val="24"/>
          <w:szCs w:val="24"/>
        </w:rPr>
        <w:t>aminated environments</w:t>
      </w:r>
      <w:proofErr w:type="gramStart"/>
      <w:r w:rsidR="00A5477F">
        <w:rPr>
          <w:rFonts w:ascii="Times New Roman" w:eastAsia="Times New Roman" w:hAnsi="Times New Roman" w:cs="Times New Roman"/>
          <w:sz w:val="24"/>
          <w:szCs w:val="24"/>
        </w:rPr>
        <w:t>.(</w:t>
      </w:r>
      <w:proofErr w:type="gramEnd"/>
      <w:r w:rsidR="00A5477F">
        <w:rPr>
          <w:rFonts w:ascii="Times New Roman" w:eastAsia="Times New Roman" w:hAnsi="Times New Roman" w:cs="Times New Roman"/>
          <w:sz w:val="24"/>
          <w:szCs w:val="24"/>
        </w:rPr>
        <w:t>24</w:t>
      </w:r>
      <w:r w:rsidRPr="00C60E27">
        <w:rPr>
          <w:rFonts w:ascii="Times New Roman" w:eastAsia="Times New Roman" w:hAnsi="Times New Roman" w:cs="Times New Roman"/>
          <w:sz w:val="24"/>
          <w:szCs w:val="24"/>
        </w:rPr>
        <w:t>) similarly reported that Cryptosporidium infection among people living with HIV in Nigeria was more common among young and middle-aged adults, although age was not always a statistically significant determinant. The lack of significant sex-based association observed in this study aligns with finding</w:t>
      </w:r>
      <w:r w:rsidR="00A5477F">
        <w:rPr>
          <w:rFonts w:ascii="Times New Roman" w:eastAsia="Times New Roman" w:hAnsi="Times New Roman" w:cs="Times New Roman"/>
          <w:sz w:val="24"/>
          <w:szCs w:val="24"/>
        </w:rPr>
        <w:t>s from (25</w:t>
      </w:r>
      <w:r w:rsidRPr="00C60E27">
        <w:rPr>
          <w:rFonts w:ascii="Times New Roman" w:eastAsia="Times New Roman" w:hAnsi="Times New Roman" w:cs="Times New Roman"/>
          <w:sz w:val="24"/>
          <w:szCs w:val="24"/>
        </w:rPr>
        <w:t>), who reported comparable Cryptosporidiosis prevalence between males and females among HIV-infected patients in Ghana. These authors suggested that both sexes are likely to experience similar exposure risks in settings where water sources, sanitation practices, and living</w:t>
      </w:r>
      <w:r w:rsidR="00A5477F">
        <w:rPr>
          <w:rFonts w:ascii="Times New Roman" w:eastAsia="Times New Roman" w:hAnsi="Times New Roman" w:cs="Times New Roman"/>
          <w:sz w:val="24"/>
          <w:szCs w:val="24"/>
        </w:rPr>
        <w:t xml:space="preserve"> conditions are shared. (26</w:t>
      </w:r>
      <w:r w:rsidRPr="00C60E27">
        <w:rPr>
          <w:rFonts w:ascii="Times New Roman" w:eastAsia="Times New Roman" w:hAnsi="Times New Roman" w:cs="Times New Roman"/>
          <w:sz w:val="24"/>
          <w:szCs w:val="24"/>
        </w:rPr>
        <w:t xml:space="preserve">) </w:t>
      </w:r>
      <w:proofErr w:type="gramStart"/>
      <w:r w:rsidRPr="00C60E27">
        <w:rPr>
          <w:rFonts w:ascii="Times New Roman" w:eastAsia="Times New Roman" w:hAnsi="Times New Roman" w:cs="Times New Roman"/>
          <w:sz w:val="24"/>
          <w:szCs w:val="24"/>
        </w:rPr>
        <w:t>also</w:t>
      </w:r>
      <w:proofErr w:type="gramEnd"/>
      <w:r w:rsidRPr="00C60E27">
        <w:rPr>
          <w:rFonts w:ascii="Times New Roman" w:eastAsia="Times New Roman" w:hAnsi="Times New Roman" w:cs="Times New Roman"/>
          <w:sz w:val="24"/>
          <w:szCs w:val="24"/>
        </w:rPr>
        <w:t xml:space="preserve"> reported no significant sex difference in Cryptosporidium infection among people living with HIV attending ART clinics, supporting the findings of the present study.</w:t>
      </w:r>
    </w:p>
    <w:p w:rsidR="000200E5" w:rsidRPr="00C60E27" w:rsidRDefault="000200E5" w:rsidP="000200E5">
      <w:pPr>
        <w:spacing w:after="0" w:line="360" w:lineRule="auto"/>
        <w:ind w:firstLine="720"/>
        <w:jc w:val="both"/>
        <w:rPr>
          <w:rFonts w:ascii="Times New Roman" w:eastAsia="Times New Roman" w:hAnsi="Times New Roman" w:cs="Times New Roman"/>
          <w:sz w:val="24"/>
          <w:szCs w:val="24"/>
        </w:rPr>
      </w:pPr>
      <w:r w:rsidRPr="00C60E27">
        <w:rPr>
          <w:rFonts w:ascii="Times New Roman" w:eastAsia="Times New Roman" w:hAnsi="Times New Roman" w:cs="Times New Roman"/>
          <w:sz w:val="24"/>
          <w:szCs w:val="24"/>
        </w:rPr>
        <w:t>Among HIV-negative participants, the generally lower prevalence of Cryptosporidiosis across all age and sex groups is consistent with the role of immune competenc</w:t>
      </w:r>
      <w:r w:rsidR="00A5477F">
        <w:rPr>
          <w:rFonts w:ascii="Times New Roman" w:eastAsia="Times New Roman" w:hAnsi="Times New Roman" w:cs="Times New Roman"/>
          <w:sz w:val="24"/>
          <w:szCs w:val="24"/>
        </w:rPr>
        <w:t xml:space="preserve">e in limiting susceptibility to </w:t>
      </w:r>
      <w:r w:rsidRPr="00C60E27">
        <w:rPr>
          <w:rFonts w:ascii="Times New Roman" w:eastAsia="Times New Roman" w:hAnsi="Times New Roman" w:cs="Times New Roman"/>
          <w:sz w:val="24"/>
          <w:szCs w:val="24"/>
        </w:rPr>
        <w:t>opportunis</w:t>
      </w:r>
      <w:r w:rsidR="00A5477F">
        <w:rPr>
          <w:rFonts w:ascii="Times New Roman" w:eastAsia="Times New Roman" w:hAnsi="Times New Roman" w:cs="Times New Roman"/>
          <w:sz w:val="24"/>
          <w:szCs w:val="24"/>
        </w:rPr>
        <w:t xml:space="preserve">tic parasitic infections. (27) </w:t>
      </w:r>
      <w:proofErr w:type="gramStart"/>
      <w:r w:rsidRPr="00C60E27">
        <w:rPr>
          <w:rFonts w:ascii="Times New Roman" w:eastAsia="Times New Roman" w:hAnsi="Times New Roman" w:cs="Times New Roman"/>
          <w:sz w:val="24"/>
          <w:szCs w:val="24"/>
        </w:rPr>
        <w:t>reported</w:t>
      </w:r>
      <w:proofErr w:type="gramEnd"/>
      <w:r w:rsidRPr="00C60E27">
        <w:rPr>
          <w:rFonts w:ascii="Times New Roman" w:eastAsia="Times New Roman" w:hAnsi="Times New Roman" w:cs="Times New Roman"/>
          <w:sz w:val="24"/>
          <w:szCs w:val="24"/>
        </w:rPr>
        <w:t xml:space="preserve"> significantly lower Cryptosporidium prevalence among HIV-negative individuals compared to HIV-positive counterparts, with age and sex showing limited influence on infection status in immunocompetent populations. Overall, the findings suggest that while age-related exposure patterns may influence the occurrence of Cryptosporidiosis, sex does not appear to be a major determinant of infection in either HIV-positive or HIV-negative individuals. This reinforces existing evidence that immune status and environmental exposure play more critical roles in Cryptosporidium transmission than demographic factors alone.</w:t>
      </w:r>
    </w:p>
    <w:p w:rsidR="004B1108" w:rsidRPr="0046710F" w:rsidRDefault="004B1108" w:rsidP="000200E5">
      <w:pPr>
        <w:spacing w:after="0" w:line="360" w:lineRule="auto"/>
        <w:ind w:left="720" w:hanging="720"/>
        <w:jc w:val="both"/>
        <w:outlineLvl w:val="2"/>
        <w:rPr>
          <w:rFonts w:ascii="Times New Roman" w:eastAsia="Times New Roman" w:hAnsi="Times New Roman" w:cs="Times New Roman"/>
          <w:b/>
          <w:sz w:val="24"/>
          <w:szCs w:val="24"/>
        </w:rPr>
      </w:pPr>
      <w:r w:rsidRPr="0046710F">
        <w:rPr>
          <w:rFonts w:ascii="Times New Roman" w:eastAsia="Times New Roman" w:hAnsi="Times New Roman" w:cs="Times New Roman"/>
          <w:b/>
          <w:sz w:val="24"/>
          <w:szCs w:val="24"/>
        </w:rPr>
        <w:lastRenderedPageBreak/>
        <w:t xml:space="preserve"> </w:t>
      </w:r>
    </w:p>
    <w:p w:rsidR="000200E5" w:rsidRPr="0046710F" w:rsidRDefault="00E57211" w:rsidP="000200E5">
      <w:pPr>
        <w:spacing w:after="0" w:line="360" w:lineRule="auto"/>
        <w:ind w:left="720" w:hanging="720"/>
        <w:jc w:val="both"/>
        <w:outlineLvl w:val="2"/>
        <w:rPr>
          <w:rFonts w:ascii="Times New Roman" w:eastAsia="Times New Roman" w:hAnsi="Times New Roman" w:cs="Times New Roman"/>
          <w:b/>
          <w:bCs/>
          <w:sz w:val="24"/>
          <w:szCs w:val="24"/>
        </w:rPr>
      </w:pPr>
      <w:r w:rsidRPr="0046710F">
        <w:rPr>
          <w:rFonts w:ascii="Times New Roman" w:eastAsia="Times New Roman" w:hAnsi="Times New Roman" w:cs="Times New Roman"/>
          <w:b/>
          <w:bCs/>
          <w:sz w:val="24"/>
          <w:szCs w:val="24"/>
        </w:rPr>
        <w:t>4</w:t>
      </w:r>
      <w:r w:rsidR="004B1108" w:rsidRPr="0046710F">
        <w:rPr>
          <w:rFonts w:ascii="Times New Roman" w:eastAsia="Times New Roman" w:hAnsi="Times New Roman" w:cs="Times New Roman"/>
          <w:b/>
          <w:bCs/>
          <w:sz w:val="24"/>
          <w:szCs w:val="24"/>
        </w:rPr>
        <w:t xml:space="preserve">.2 </w:t>
      </w:r>
      <w:r w:rsidR="000200E5" w:rsidRPr="0046710F">
        <w:rPr>
          <w:rFonts w:ascii="Times New Roman" w:eastAsia="Times New Roman" w:hAnsi="Times New Roman" w:cs="Times New Roman"/>
          <w:b/>
          <w:bCs/>
          <w:sz w:val="24"/>
          <w:szCs w:val="24"/>
        </w:rPr>
        <w:t xml:space="preserve">Age and Sex Distribution of </w:t>
      </w:r>
      <w:r w:rsidR="000200E5" w:rsidRPr="0046710F">
        <w:rPr>
          <w:rFonts w:ascii="Times New Roman" w:eastAsia="Times New Roman" w:hAnsi="Times New Roman" w:cs="Times New Roman"/>
          <w:b/>
          <w:bCs/>
          <w:i/>
          <w:iCs/>
          <w:sz w:val="24"/>
          <w:szCs w:val="24"/>
        </w:rPr>
        <w:t>Helicobacter pylori</w:t>
      </w:r>
      <w:r w:rsidR="000200E5" w:rsidRPr="0046710F">
        <w:rPr>
          <w:rFonts w:ascii="Times New Roman" w:eastAsia="Times New Roman" w:hAnsi="Times New Roman" w:cs="Times New Roman"/>
          <w:b/>
          <w:bCs/>
          <w:sz w:val="24"/>
          <w:szCs w:val="24"/>
        </w:rPr>
        <w:t xml:space="preserve"> Infection among HIV-Positive and HIV-Negative Participants</w:t>
      </w:r>
    </w:p>
    <w:p w:rsidR="000200E5" w:rsidRPr="00C60E27" w:rsidRDefault="000200E5" w:rsidP="000200E5">
      <w:pPr>
        <w:spacing w:after="0" w:line="360" w:lineRule="auto"/>
        <w:ind w:firstLine="720"/>
        <w:jc w:val="both"/>
        <w:rPr>
          <w:rFonts w:ascii="Times New Roman" w:eastAsia="Times New Roman" w:hAnsi="Times New Roman" w:cs="Times New Roman"/>
          <w:sz w:val="24"/>
          <w:szCs w:val="24"/>
        </w:rPr>
      </w:pPr>
      <w:r w:rsidRPr="00C60E27">
        <w:rPr>
          <w:rFonts w:ascii="Times New Roman" w:eastAsia="Times New Roman" w:hAnsi="Times New Roman" w:cs="Times New Roman"/>
          <w:sz w:val="24"/>
          <w:szCs w:val="24"/>
        </w:rPr>
        <w:t xml:space="preserve">The findings of the present study revealed variations in the prevalence of </w:t>
      </w:r>
      <w:r w:rsidRPr="00C60E27">
        <w:rPr>
          <w:rFonts w:ascii="Times New Roman" w:eastAsia="Times New Roman" w:hAnsi="Times New Roman" w:cs="Times New Roman"/>
          <w:i/>
          <w:iCs/>
          <w:sz w:val="24"/>
          <w:szCs w:val="24"/>
        </w:rPr>
        <w:t>Helicobacter pylori</w:t>
      </w:r>
      <w:r w:rsidRPr="00C60E27">
        <w:rPr>
          <w:rFonts w:ascii="Times New Roman" w:eastAsia="Times New Roman" w:hAnsi="Times New Roman" w:cs="Times New Roman"/>
          <w:sz w:val="24"/>
          <w:szCs w:val="24"/>
        </w:rPr>
        <w:t xml:space="preserve"> infection across age and sex groups among both HIV-positive and HIV-negative participants; however, these variations were not statistically significant. Higher prevalence rates were observed among young and middle-aged adults, particularly within the 25–34 and 35–44 years age categories, while differences between males and females did not show a significant association with infection status.</w:t>
      </w:r>
      <w:r w:rsidRPr="00C60E27">
        <w:rPr>
          <w:rFonts w:ascii="Times New Roman" w:eastAsia="Times New Roman" w:hAnsi="Times New Roman" w:cs="Times New Roman"/>
        </w:rPr>
        <w:t xml:space="preserve"> </w:t>
      </w:r>
      <w:r w:rsidRPr="00C60E27">
        <w:rPr>
          <w:rFonts w:ascii="Times New Roman" w:eastAsia="Times New Roman" w:hAnsi="Times New Roman" w:cs="Times New Roman"/>
          <w:sz w:val="24"/>
          <w:szCs w:val="24"/>
        </w:rPr>
        <w:t xml:space="preserve">The observed age-related pattern is consistent with previous studies reporting higher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prevalence among adults in their ec</w:t>
      </w:r>
      <w:r w:rsidR="00FF2696">
        <w:rPr>
          <w:rFonts w:ascii="Times New Roman" w:eastAsia="Times New Roman" w:hAnsi="Times New Roman" w:cs="Times New Roman"/>
          <w:sz w:val="24"/>
          <w:szCs w:val="24"/>
        </w:rPr>
        <w:t>onomically active years. (28</w:t>
      </w:r>
      <w:r w:rsidRPr="00C60E27">
        <w:rPr>
          <w:rFonts w:ascii="Times New Roman" w:eastAsia="Times New Roman" w:hAnsi="Times New Roman" w:cs="Times New Roman"/>
          <w:sz w:val="24"/>
          <w:szCs w:val="24"/>
        </w:rPr>
        <w:t xml:space="preserve">) </w:t>
      </w:r>
      <w:proofErr w:type="gramStart"/>
      <w:r w:rsidRPr="00C60E27">
        <w:rPr>
          <w:rFonts w:ascii="Times New Roman" w:eastAsia="Times New Roman" w:hAnsi="Times New Roman" w:cs="Times New Roman"/>
          <w:sz w:val="24"/>
          <w:szCs w:val="24"/>
        </w:rPr>
        <w:t>reported</w:t>
      </w:r>
      <w:proofErr w:type="gramEnd"/>
      <w:r w:rsidRPr="00C60E27">
        <w:rPr>
          <w:rFonts w:ascii="Times New Roman" w:eastAsia="Times New Roman" w:hAnsi="Times New Roman" w:cs="Times New Roman"/>
          <w:sz w:val="24"/>
          <w:szCs w:val="24"/>
        </w:rPr>
        <w:t xml:space="preserve"> that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infection was more common among adults aged 20–45 years in both HIV-positive and HIV-negative populations, attributing this to prolonged exposure to risk factors such as overcrowding, shared eating practices, and consumption of contaminated fo</w:t>
      </w:r>
      <w:r w:rsidR="00FF2696">
        <w:rPr>
          <w:rFonts w:ascii="Times New Roman" w:eastAsia="Times New Roman" w:hAnsi="Times New Roman" w:cs="Times New Roman"/>
          <w:sz w:val="24"/>
          <w:szCs w:val="24"/>
        </w:rPr>
        <w:t>od and water. Similarly, (29</w:t>
      </w:r>
      <w:r w:rsidRPr="00C60E27">
        <w:rPr>
          <w:rFonts w:ascii="Times New Roman" w:eastAsia="Times New Roman" w:hAnsi="Times New Roman" w:cs="Times New Roman"/>
          <w:sz w:val="24"/>
          <w:szCs w:val="24"/>
        </w:rPr>
        <w:t xml:space="preserve">) highlighted that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acquisition often occurs early in life, but persistent infection is more frequently detected in adulthood due to cumulative exposure and chronic colonization.</w:t>
      </w:r>
      <w:r w:rsidRPr="00C60E27">
        <w:rPr>
          <w:rFonts w:ascii="Times New Roman" w:eastAsia="Times New Roman" w:hAnsi="Times New Roman" w:cs="Times New Roman"/>
        </w:rPr>
        <w:t xml:space="preserve"> </w:t>
      </w:r>
      <w:r w:rsidRPr="00C60E27">
        <w:rPr>
          <w:rFonts w:ascii="Times New Roman" w:eastAsia="Times New Roman" w:hAnsi="Times New Roman" w:cs="Times New Roman"/>
          <w:sz w:val="24"/>
          <w:szCs w:val="24"/>
        </w:rPr>
        <w:t>The lack of significant sex-based differences observed in this study agrees wit</w:t>
      </w:r>
      <w:r w:rsidR="00EE4415">
        <w:rPr>
          <w:rFonts w:ascii="Times New Roman" w:eastAsia="Times New Roman" w:hAnsi="Times New Roman" w:cs="Times New Roman"/>
          <w:sz w:val="24"/>
          <w:szCs w:val="24"/>
        </w:rPr>
        <w:t>h findings from</w:t>
      </w:r>
      <w:r w:rsidR="00EE4415">
        <w:rPr>
          <w:rFonts w:ascii="Times New Roman" w:eastAsia="Times New Roman" w:hAnsi="Times New Roman" w:cs="Times New Roman"/>
          <w:i/>
          <w:iCs/>
          <w:sz w:val="24"/>
          <w:szCs w:val="24"/>
        </w:rPr>
        <w:t xml:space="preserve"> </w:t>
      </w:r>
      <w:r w:rsidR="00EE4415">
        <w:rPr>
          <w:rFonts w:ascii="Times New Roman" w:eastAsia="Times New Roman" w:hAnsi="Times New Roman" w:cs="Times New Roman"/>
          <w:sz w:val="24"/>
          <w:szCs w:val="24"/>
        </w:rPr>
        <w:t>(30) and (31</w:t>
      </w:r>
      <w:r w:rsidRPr="00C60E27">
        <w:rPr>
          <w:rFonts w:ascii="Times New Roman" w:eastAsia="Times New Roman" w:hAnsi="Times New Roman" w:cs="Times New Roman"/>
          <w:sz w:val="24"/>
          <w:szCs w:val="24"/>
        </w:rPr>
        <w:t xml:space="preserve">), who reported comparable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prevalence among male and female HIV-infected individuals in Nigeria. These studies suggested that sex-related behavioral differences may play a limited role in transmission in settings where environmental and household exposures are shared by both sexes.</w:t>
      </w:r>
    </w:p>
    <w:p w:rsidR="004B1108" w:rsidRDefault="000200E5" w:rsidP="000200E5">
      <w:pPr>
        <w:spacing w:after="0" w:line="360" w:lineRule="auto"/>
        <w:jc w:val="both"/>
        <w:outlineLvl w:val="2"/>
        <w:rPr>
          <w:rFonts w:ascii="Times New Roman" w:eastAsia="Times New Roman" w:hAnsi="Times New Roman" w:cs="Times New Roman"/>
          <w:sz w:val="24"/>
          <w:szCs w:val="24"/>
        </w:rPr>
      </w:pPr>
      <w:r w:rsidRPr="00C60E27">
        <w:rPr>
          <w:rFonts w:ascii="Times New Roman" w:eastAsia="Times New Roman" w:hAnsi="Times New Roman" w:cs="Times New Roman"/>
          <w:sz w:val="24"/>
          <w:szCs w:val="24"/>
        </w:rPr>
        <w:t xml:space="preserve">Among HIV-negative participants, the generally lower prevalence of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infection across all age and sex groups further supports the role of immune status and comorbid conditions in modul</w:t>
      </w:r>
      <w:r w:rsidR="00EE4415">
        <w:rPr>
          <w:rFonts w:ascii="Times New Roman" w:eastAsia="Times New Roman" w:hAnsi="Times New Roman" w:cs="Times New Roman"/>
          <w:sz w:val="24"/>
          <w:szCs w:val="24"/>
        </w:rPr>
        <w:t>ating infection dynamics. (32</w:t>
      </w:r>
      <w:r w:rsidRPr="00C60E27">
        <w:rPr>
          <w:rFonts w:ascii="Times New Roman" w:eastAsia="Times New Roman" w:hAnsi="Times New Roman" w:cs="Times New Roman"/>
          <w:sz w:val="24"/>
          <w:szCs w:val="24"/>
        </w:rPr>
        <w:t xml:space="preserve">) reported that although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infection is widespread in the general population, higher prevalence is often observed among individuals with compromised immunity, including those living with HIV. This finding is consistent with the present study, where HIV-positive participants exhibited a higher overall burden of infection.</w:t>
      </w:r>
      <w:r w:rsidRPr="00C60E27">
        <w:rPr>
          <w:rFonts w:ascii="Times New Roman" w:eastAsia="Times New Roman" w:hAnsi="Times New Roman" w:cs="Times New Roman"/>
        </w:rPr>
        <w:t xml:space="preserve"> </w:t>
      </w:r>
      <w:r w:rsidRPr="00C60E27">
        <w:rPr>
          <w:rFonts w:ascii="Times New Roman" w:eastAsia="Times New Roman" w:hAnsi="Times New Roman" w:cs="Times New Roman"/>
          <w:sz w:val="24"/>
          <w:szCs w:val="24"/>
        </w:rPr>
        <w:t xml:space="preserve">Overall, the findings indicate that while age-related exposure patterns may influence the distribution of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infection, sex does not appear to be a significant determinant of infection among either HIV-positive or HIV-negative participants. These results reinforce existing evidence that environmental exposure and host immune status are more critical factors in </w:t>
      </w:r>
      <w:r w:rsidRPr="00C60E27">
        <w:rPr>
          <w:rFonts w:ascii="Times New Roman" w:eastAsia="Times New Roman" w:hAnsi="Times New Roman" w:cs="Times New Roman"/>
          <w:i/>
          <w:iCs/>
          <w:sz w:val="24"/>
          <w:szCs w:val="24"/>
        </w:rPr>
        <w:t>H. pylori</w:t>
      </w:r>
      <w:r w:rsidRPr="00C60E27">
        <w:rPr>
          <w:rFonts w:ascii="Times New Roman" w:eastAsia="Times New Roman" w:hAnsi="Times New Roman" w:cs="Times New Roman"/>
          <w:sz w:val="24"/>
          <w:szCs w:val="24"/>
        </w:rPr>
        <w:t xml:space="preserve"> epidemiology than demographic characteristics alone.</w:t>
      </w:r>
    </w:p>
    <w:p w:rsidR="00E03824" w:rsidRDefault="009936D8" w:rsidP="00E0382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936D8">
        <w:rPr>
          <w:rFonts w:ascii="Times New Roman" w:eastAsia="Times New Roman" w:hAnsi="Times New Roman" w:cs="Times New Roman"/>
          <w:b/>
          <w:sz w:val="24"/>
          <w:szCs w:val="24"/>
        </w:rPr>
        <w:lastRenderedPageBreak/>
        <w:t>4.3</w:t>
      </w:r>
      <w:r w:rsidR="00FC0D75">
        <w:rPr>
          <w:rFonts w:ascii="Times New Roman" w:eastAsia="Times New Roman" w:hAnsi="Times New Roman" w:cs="Times New Roman"/>
          <w:b/>
          <w:sz w:val="24"/>
          <w:szCs w:val="24"/>
        </w:rPr>
        <w:t xml:space="preserve"> </w:t>
      </w:r>
      <w:r w:rsidR="00E03824">
        <w:rPr>
          <w:rFonts w:ascii="Times New Roman" w:eastAsia="Times New Roman" w:hAnsi="Times New Roman" w:cs="Times New Roman"/>
          <w:b/>
          <w:bCs/>
          <w:sz w:val="24"/>
          <w:szCs w:val="24"/>
        </w:rPr>
        <w:t xml:space="preserve">Prevalence of Cryptosporidiosis and </w:t>
      </w:r>
      <w:r w:rsidR="00E03824">
        <w:rPr>
          <w:rFonts w:ascii="Times New Roman" w:eastAsia="Times New Roman" w:hAnsi="Times New Roman" w:cs="Times New Roman"/>
          <w:b/>
          <w:bCs/>
          <w:i/>
          <w:iCs/>
          <w:sz w:val="24"/>
          <w:szCs w:val="24"/>
        </w:rPr>
        <w:t>Helicobacter pylori</w:t>
      </w:r>
      <w:r w:rsidR="00E03824">
        <w:rPr>
          <w:rFonts w:ascii="Times New Roman" w:eastAsia="Times New Roman" w:hAnsi="Times New Roman" w:cs="Times New Roman"/>
          <w:b/>
          <w:bCs/>
          <w:sz w:val="24"/>
          <w:szCs w:val="24"/>
        </w:rPr>
        <w:t xml:space="preserve"> Infection by Health Facility among HIV-Positive and HIV-Negative Participants</w:t>
      </w:r>
    </w:p>
    <w:p w:rsidR="00E03824" w:rsidRDefault="00E03824" w:rsidP="00E03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showed variations in the prevalence of Cryptosporidiosis and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 xml:space="preserve"> infection across the different health facilities in the study areas among both HIV-positive and HIV-</w:t>
      </w:r>
      <w:r w:rsidR="00256CDE">
        <w:rPr>
          <w:rFonts w:ascii="Times New Roman" w:eastAsia="Times New Roman" w:hAnsi="Times New Roman" w:cs="Times New Roman"/>
          <w:sz w:val="24"/>
          <w:szCs w:val="24"/>
        </w:rPr>
        <w:t xml:space="preserve">negative participants. Although </w:t>
      </w:r>
      <w:r>
        <w:rPr>
          <w:rFonts w:ascii="Times New Roman" w:eastAsia="Times New Roman" w:hAnsi="Times New Roman" w:cs="Times New Roman"/>
          <w:sz w:val="24"/>
          <w:szCs w:val="24"/>
        </w:rPr>
        <w:t>General Hospital Numan recorded relatively higher prevalence rates for both infections compared to General Hospital Mubi and the Specialist Hospital, the chi-square analysis indicated that these differences were not statistically significant. This suggests that the observed variations across health facilities may be attributable to chance rather than to systematic differences related to facility-specific factors.</w:t>
      </w:r>
    </w:p>
    <w:p w:rsidR="00E03824" w:rsidRDefault="00E03824" w:rsidP="00E038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pattern is consistent with findings reported in similar hospital-based studies, where differences in prevalence across health facilities did not reach statistical sign</w:t>
      </w:r>
      <w:r w:rsidR="00EE4415">
        <w:rPr>
          <w:rFonts w:ascii="Times New Roman" w:eastAsia="Times New Roman" w:hAnsi="Times New Roman" w:cs="Times New Roman"/>
          <w:sz w:val="24"/>
          <w:szCs w:val="24"/>
        </w:rPr>
        <w:t>ificance</w:t>
      </w:r>
      <w:proofErr w:type="gramStart"/>
      <w:r w:rsidR="00EE4415">
        <w:rPr>
          <w:rFonts w:ascii="Times New Roman" w:eastAsia="Times New Roman" w:hAnsi="Times New Roman" w:cs="Times New Roman"/>
          <w:sz w:val="24"/>
          <w:szCs w:val="24"/>
        </w:rPr>
        <w:t>.(</w:t>
      </w:r>
      <w:proofErr w:type="gramEnd"/>
      <w:r w:rsidR="00EE4415">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noted that while Cryptosporidiosis prevalence may vary between hospitals and regions, such variations often reflect differences in patient composition, referral patterns, and sample size rather than true epidemiological disparities. </w:t>
      </w:r>
      <w:r w:rsidR="00EE4415">
        <w:rPr>
          <w:rFonts w:ascii="Times New Roman" w:eastAsia="Times New Roman" w:hAnsi="Times New Roman" w:cs="Times New Roman"/>
          <w:sz w:val="24"/>
          <w:szCs w:val="24"/>
        </w:rPr>
        <w:t>Similarly (24</w:t>
      </w:r>
      <w:r>
        <w:rPr>
          <w:rFonts w:ascii="Times New Roman" w:eastAsia="Times New Roman" w:hAnsi="Times New Roman" w:cs="Times New Roman"/>
          <w:sz w:val="24"/>
          <w:szCs w:val="24"/>
        </w:rPr>
        <w:t>), in a systematic review of Cryptosporidium infection among people living with HIV in Nigeria, reported wide inter-facility variability but emphasized that these differences were rarely statistically significant when adjusted for population size and immune status.</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The higher prevalence of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observed in some facilities in the present study is in agreement wit</w:t>
      </w:r>
      <w:r w:rsidR="00EE4415">
        <w:rPr>
          <w:rFonts w:ascii="Times New Roman" w:eastAsia="Times New Roman" w:hAnsi="Times New Roman" w:cs="Times New Roman"/>
          <w:sz w:val="24"/>
          <w:szCs w:val="24"/>
        </w:rPr>
        <w:t>h reports by (28) and (29</w:t>
      </w:r>
      <w:r>
        <w:rPr>
          <w:rFonts w:ascii="Times New Roman" w:eastAsia="Times New Roman" w:hAnsi="Times New Roman" w:cs="Times New Roman"/>
          <w:sz w:val="24"/>
          <w:szCs w:val="24"/>
        </w:rPr>
        <w:t xml:space="preserve">), who found that </w:t>
      </w:r>
      <w:r>
        <w:rPr>
          <w:rFonts w:ascii="Times New Roman" w:eastAsia="Times New Roman" w:hAnsi="Times New Roman" w:cs="Times New Roman"/>
          <w:i/>
          <w:iCs/>
          <w:sz w:val="24"/>
          <w:szCs w:val="24"/>
        </w:rPr>
        <w:t>H. pylori</w:t>
      </w:r>
      <w:r>
        <w:rPr>
          <w:rFonts w:ascii="Times New Roman" w:eastAsia="Times New Roman" w:hAnsi="Times New Roman" w:cs="Times New Roman"/>
          <w:sz w:val="24"/>
          <w:szCs w:val="24"/>
        </w:rPr>
        <w:t xml:space="preserve"> infection is widely distributed across healthcare settings in sub-Saharan Africa. These studies suggested that the organism’s transmission is largely community-based and influenced by environmental exposure rather than health facility characteristics. As a result, patients presenting to different hospitals often share similar risk profiles, leading to comparable prevalence levels.</w:t>
      </w:r>
    </w:p>
    <w:p w:rsidR="009936D8" w:rsidRPr="009936D8" w:rsidRDefault="00EE4415" w:rsidP="00E03824">
      <w:pPr>
        <w:spacing w:after="0" w:line="36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sz w:val="24"/>
          <w:szCs w:val="24"/>
        </w:rPr>
        <w:t>Furthermore, (30) and (31</w:t>
      </w:r>
      <w:r w:rsidR="00E03824">
        <w:rPr>
          <w:rFonts w:ascii="Times New Roman" w:eastAsia="Times New Roman" w:hAnsi="Times New Roman" w:cs="Times New Roman"/>
          <w:sz w:val="24"/>
          <w:szCs w:val="24"/>
        </w:rPr>
        <w:t xml:space="preserve">) reported that hospital-based differences in </w:t>
      </w:r>
      <w:r w:rsidR="00E03824">
        <w:rPr>
          <w:rFonts w:ascii="Times New Roman" w:eastAsia="Times New Roman" w:hAnsi="Times New Roman" w:cs="Times New Roman"/>
          <w:i/>
          <w:iCs/>
          <w:sz w:val="24"/>
          <w:szCs w:val="24"/>
        </w:rPr>
        <w:t>H. pylori</w:t>
      </w:r>
      <w:r w:rsidR="00E03824">
        <w:rPr>
          <w:rFonts w:ascii="Times New Roman" w:eastAsia="Times New Roman" w:hAnsi="Times New Roman" w:cs="Times New Roman"/>
          <w:sz w:val="24"/>
          <w:szCs w:val="24"/>
        </w:rPr>
        <w:t xml:space="preserve"> prevalence among HIV-positive patients in Nigeria were minimal and statistically non-significant, reinforcing the notion that infection is acquired primarily outside healthcare settings. This supports the findings of the present study, where no significant association was found between health facility and infection status.</w:t>
      </w:r>
      <w:r w:rsidR="00E03824">
        <w:rPr>
          <w:rFonts w:ascii="Times New Roman" w:eastAsia="Times New Roman" w:hAnsi="Times New Roman" w:cs="Times New Roman"/>
        </w:rPr>
        <w:t xml:space="preserve"> </w:t>
      </w:r>
      <w:r w:rsidR="00E03824">
        <w:rPr>
          <w:rFonts w:ascii="Times New Roman" w:eastAsia="Times New Roman" w:hAnsi="Times New Roman" w:cs="Times New Roman"/>
          <w:sz w:val="24"/>
          <w:szCs w:val="24"/>
        </w:rPr>
        <w:t xml:space="preserve">Overall, the lack of statistically significant differences in infection prevalence across health facilities suggests a relatively uniform exposure to Cryptosporidiosis and </w:t>
      </w:r>
      <w:r w:rsidR="00E03824">
        <w:rPr>
          <w:rFonts w:ascii="Times New Roman" w:eastAsia="Times New Roman" w:hAnsi="Times New Roman" w:cs="Times New Roman"/>
          <w:i/>
          <w:iCs/>
          <w:sz w:val="24"/>
          <w:szCs w:val="24"/>
        </w:rPr>
        <w:t>H. pylori</w:t>
      </w:r>
      <w:r w:rsidR="00E03824">
        <w:rPr>
          <w:rFonts w:ascii="Times New Roman" w:eastAsia="Times New Roman" w:hAnsi="Times New Roman" w:cs="Times New Roman"/>
          <w:sz w:val="24"/>
          <w:szCs w:val="24"/>
        </w:rPr>
        <w:t xml:space="preserve"> within the study area. This underscores the importance of community-level interventions, such as </w:t>
      </w:r>
      <w:r w:rsidR="00E03824">
        <w:rPr>
          <w:rFonts w:ascii="Times New Roman" w:eastAsia="Times New Roman" w:hAnsi="Times New Roman" w:cs="Times New Roman"/>
          <w:sz w:val="24"/>
          <w:szCs w:val="24"/>
        </w:rPr>
        <w:lastRenderedPageBreak/>
        <w:t>improved water quality, sanitation, and public health education, rather than facility-specific control measures alone.</w:t>
      </w:r>
    </w:p>
    <w:p w:rsidR="00CD249B" w:rsidRDefault="00CD249B" w:rsidP="004B1108">
      <w:pPr>
        <w:spacing w:after="0" w:line="360" w:lineRule="auto"/>
        <w:jc w:val="both"/>
        <w:rPr>
          <w:rFonts w:ascii="Times New Roman" w:eastAsia="Times New Roman" w:hAnsi="Times New Roman" w:cs="Times New Roman"/>
          <w:sz w:val="24"/>
          <w:szCs w:val="24"/>
        </w:rPr>
      </w:pPr>
    </w:p>
    <w:p w:rsidR="00CD249B" w:rsidRDefault="0037022C" w:rsidP="00CD249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CF6D1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0 </w:t>
      </w:r>
      <w:r w:rsidR="00CD249B">
        <w:rPr>
          <w:rFonts w:ascii="Times New Roman" w:eastAsia="Times New Roman" w:hAnsi="Times New Roman" w:cs="Times New Roman"/>
          <w:b/>
          <w:bCs/>
          <w:sz w:val="24"/>
          <w:szCs w:val="24"/>
        </w:rPr>
        <w:t>Conclusion</w:t>
      </w:r>
    </w:p>
    <w:p w:rsidR="00CD249B" w:rsidRDefault="00CD249B" w:rsidP="00901FB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of this study, it can be concluded that Cryptosporidiosis and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 xml:space="preserve"> infections remain important public health concerns among both HIV-positive and HIV-negative individuals in Adamawa State. The higher burden of infection observed among HIV-positive participants underscores the role of immune suppression in increasing susceptibility to intestinal infections.</w:t>
      </w:r>
      <w:r>
        <w:rPr>
          <w:rFonts w:ascii="Times New Roman" w:eastAsia="Times New Roman" w:hAnsi="Times New Roman" w:cs="Times New Roman"/>
        </w:rPr>
        <w:t xml:space="preserve"> </w:t>
      </w:r>
      <w:r w:rsidR="00896ED0">
        <w:rPr>
          <w:rFonts w:ascii="Times New Roman" w:eastAsia="Times New Roman" w:hAnsi="Times New Roman" w:cs="Times New Roman"/>
          <w:sz w:val="24"/>
          <w:szCs w:val="24"/>
        </w:rPr>
        <w:t>Although differences</w:t>
      </w:r>
      <w:r>
        <w:rPr>
          <w:rFonts w:ascii="Times New Roman" w:eastAsia="Times New Roman" w:hAnsi="Times New Roman" w:cs="Times New Roman"/>
          <w:sz w:val="24"/>
          <w:szCs w:val="24"/>
        </w:rPr>
        <w:t xml:space="preserve"> in prevalence were observed across health fa</w:t>
      </w:r>
      <w:r w:rsidR="00896ED0">
        <w:rPr>
          <w:rFonts w:ascii="Times New Roman" w:eastAsia="Times New Roman" w:hAnsi="Times New Roman" w:cs="Times New Roman"/>
          <w:sz w:val="24"/>
          <w:szCs w:val="24"/>
        </w:rPr>
        <w:t>cilities</w:t>
      </w:r>
      <w:r w:rsidR="006C4D64">
        <w:rPr>
          <w:rFonts w:ascii="Times New Roman" w:eastAsia="Times New Roman" w:hAnsi="Times New Roman" w:cs="Times New Roman"/>
          <w:sz w:val="24"/>
          <w:szCs w:val="24"/>
        </w:rPr>
        <w:t>, these</w:t>
      </w:r>
      <w:r>
        <w:rPr>
          <w:rFonts w:ascii="Times New Roman" w:eastAsia="Times New Roman" w:hAnsi="Times New Roman" w:cs="Times New Roman"/>
          <w:sz w:val="24"/>
          <w:szCs w:val="24"/>
        </w:rPr>
        <w:t xml:space="preserve"> variations were</w:t>
      </w:r>
      <w:r w:rsidR="00896ED0">
        <w:rPr>
          <w:rFonts w:ascii="Times New Roman" w:eastAsia="Times New Roman" w:hAnsi="Times New Roman" w:cs="Times New Roman"/>
          <w:sz w:val="24"/>
          <w:szCs w:val="24"/>
        </w:rPr>
        <w:t xml:space="preserve"> not statistically </w:t>
      </w:r>
      <w:r w:rsidR="006C4D64">
        <w:rPr>
          <w:rFonts w:ascii="Times New Roman" w:eastAsia="Times New Roman" w:hAnsi="Times New Roman" w:cs="Times New Roman"/>
          <w:sz w:val="24"/>
          <w:szCs w:val="24"/>
        </w:rPr>
        <w:t>significant. This</w:t>
      </w:r>
      <w:r>
        <w:rPr>
          <w:rFonts w:ascii="Times New Roman" w:eastAsia="Times New Roman" w:hAnsi="Times New Roman" w:cs="Times New Roman"/>
          <w:sz w:val="24"/>
          <w:szCs w:val="24"/>
        </w:rPr>
        <w:t xml:space="preserve"> suggests that exposure to intestinal pathogens may be widespread in the study area and not confined to speci</w:t>
      </w:r>
      <w:r w:rsidR="00901FB7">
        <w:rPr>
          <w:rFonts w:ascii="Times New Roman" w:eastAsia="Times New Roman" w:hAnsi="Times New Roman" w:cs="Times New Roman"/>
          <w:sz w:val="24"/>
          <w:szCs w:val="24"/>
        </w:rPr>
        <w:t>fic demographic</w:t>
      </w:r>
      <w:r>
        <w:rPr>
          <w:rFonts w:ascii="Times New Roman" w:eastAsia="Times New Roman" w:hAnsi="Times New Roman" w:cs="Times New Roman"/>
          <w:sz w:val="24"/>
          <w:szCs w:val="24"/>
        </w:rPr>
        <w:t xml:space="preserve"> subgroups.</w:t>
      </w:r>
      <w:r w:rsidR="00901F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Overall, the study highlights the need for routine screening and integrated management of </w:t>
      </w:r>
      <w:r w:rsidR="006C4D64">
        <w:rPr>
          <w:rFonts w:ascii="Times New Roman" w:eastAsia="Times New Roman" w:hAnsi="Times New Roman" w:cs="Times New Roman"/>
          <w:sz w:val="24"/>
          <w:szCs w:val="24"/>
        </w:rPr>
        <w:t>intestinal infections</w:t>
      </w:r>
      <w:r>
        <w:rPr>
          <w:rFonts w:ascii="Times New Roman" w:eastAsia="Times New Roman" w:hAnsi="Times New Roman" w:cs="Times New Roman"/>
          <w:sz w:val="24"/>
          <w:szCs w:val="24"/>
        </w:rPr>
        <w:t>, particularly among HIV-positive individuals, regardless of clinical presentation.</w:t>
      </w:r>
    </w:p>
    <w:p w:rsidR="002659F2" w:rsidRDefault="002659F2" w:rsidP="00901FB7">
      <w:pPr>
        <w:spacing w:after="0" w:line="360" w:lineRule="auto"/>
        <w:ind w:firstLine="720"/>
        <w:jc w:val="both"/>
        <w:rPr>
          <w:rFonts w:ascii="Times New Roman" w:eastAsia="Times New Roman" w:hAnsi="Times New Roman" w:cs="Times New Roman"/>
          <w:sz w:val="24"/>
          <w:szCs w:val="24"/>
        </w:rPr>
      </w:pPr>
    </w:p>
    <w:p w:rsidR="00CD249B" w:rsidRDefault="00CF6D1C" w:rsidP="00CD249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CD249B">
        <w:rPr>
          <w:rFonts w:ascii="Times New Roman" w:eastAsia="Times New Roman" w:hAnsi="Times New Roman" w:cs="Times New Roman"/>
          <w:b/>
          <w:bCs/>
          <w:sz w:val="24"/>
          <w:szCs w:val="24"/>
        </w:rPr>
        <w:t xml:space="preserve"> </w:t>
      </w:r>
      <w:r w:rsidR="0037022C">
        <w:rPr>
          <w:rFonts w:ascii="Times New Roman" w:eastAsia="Times New Roman" w:hAnsi="Times New Roman" w:cs="Times New Roman"/>
          <w:b/>
          <w:bCs/>
          <w:sz w:val="24"/>
          <w:szCs w:val="24"/>
        </w:rPr>
        <w:t>0</w:t>
      </w:r>
      <w:r w:rsidR="00CD249B">
        <w:rPr>
          <w:rFonts w:ascii="Times New Roman" w:eastAsia="Times New Roman" w:hAnsi="Times New Roman" w:cs="Times New Roman"/>
          <w:b/>
          <w:bCs/>
          <w:sz w:val="24"/>
          <w:szCs w:val="24"/>
        </w:rPr>
        <w:tab/>
        <w:t>Recommendations</w:t>
      </w:r>
    </w:p>
    <w:p w:rsidR="00CD249B" w:rsidRDefault="00CD249B" w:rsidP="00CD249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and conclusions of this study, the following recommendations are </w:t>
      </w:r>
      <w:r w:rsidR="00872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made:</w:t>
      </w:r>
    </w:p>
    <w:p w:rsidR="00CD249B" w:rsidRDefault="00CD249B" w:rsidP="00CD249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Regular screening for Cryptosporidiosis and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 xml:space="preserve"> should be incorporated into the routine care of HIV-positive pati</w:t>
      </w:r>
      <w:r w:rsidR="005E0FC3">
        <w:rPr>
          <w:rFonts w:ascii="Times New Roman" w:eastAsia="Times New Roman" w:hAnsi="Times New Roman" w:cs="Times New Roman"/>
          <w:sz w:val="24"/>
          <w:szCs w:val="24"/>
        </w:rPr>
        <w:t>ents.</w:t>
      </w:r>
    </w:p>
    <w:p w:rsidR="00CD249B" w:rsidRDefault="00CD249B" w:rsidP="00FC063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 Education: Community-based health education programs should be strengthened to promote awareness of intestinal infections, emphasizing safe water use, proper sanitation, and personal hygiene practices.</w:t>
      </w:r>
    </w:p>
    <w:p w:rsidR="00BC1AF9" w:rsidRPr="00FC063E" w:rsidRDefault="00BC1AF9" w:rsidP="00FC063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76C1C">
        <w:rPr>
          <w:rFonts w:ascii="Times New Roman" w:hAnsi="Times New Roman" w:cs="Times New Roman"/>
          <w:sz w:val="24"/>
          <w:szCs w:val="24"/>
        </w:rPr>
        <w:t xml:space="preserve">Monitoring of hematological profiles like hemoglobin level should be strengthened during follow-ups visits to make quality of HIV </w:t>
      </w:r>
      <w:r>
        <w:rPr>
          <w:rFonts w:ascii="Times New Roman" w:hAnsi="Times New Roman" w:cs="Times New Roman"/>
          <w:sz w:val="24"/>
          <w:szCs w:val="24"/>
        </w:rPr>
        <w:t>infected patient’s life better thereby</w:t>
      </w:r>
      <w:r w:rsidRPr="00076C1C">
        <w:rPr>
          <w:rFonts w:ascii="Times New Roman" w:hAnsi="Times New Roman" w:cs="Times New Roman"/>
          <w:sz w:val="24"/>
          <w:szCs w:val="24"/>
        </w:rPr>
        <w:t xml:space="preserve"> reducing anaemia</w:t>
      </w:r>
      <w:r>
        <w:rPr>
          <w:rFonts w:ascii="Times New Roman" w:hAnsi="Times New Roman" w:cs="Times New Roman"/>
          <w:sz w:val="24"/>
          <w:szCs w:val="24"/>
        </w:rPr>
        <w:t>.</w:t>
      </w:r>
    </w:p>
    <w:p w:rsidR="00CD249B" w:rsidRDefault="00CD249B" w:rsidP="00CD249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Capacity Building: Laboratory capacity for the diagnosis of intestinal infections should be strengthened through training of personnel and provision of essential diagnostic materials.</w:t>
      </w:r>
    </w:p>
    <w:p w:rsidR="00CD249B" w:rsidRPr="0084191C" w:rsidRDefault="00CD249B" w:rsidP="00CD249B">
      <w:pPr>
        <w:spacing w:after="0" w:line="360" w:lineRule="auto"/>
        <w:jc w:val="both"/>
        <w:rPr>
          <w:rFonts w:ascii="Times New Roman" w:eastAsia="Times New Roman" w:hAnsi="Times New Roman" w:cs="Times New Roman"/>
          <w:sz w:val="24"/>
          <w:szCs w:val="24"/>
        </w:rPr>
      </w:pPr>
      <w:r w:rsidRPr="00E55FD3">
        <w:rPr>
          <w:rFonts w:ascii="Times New Roman" w:eastAsia="Times New Roman" w:hAnsi="Times New Roman" w:cs="Times New Roman"/>
          <w:b/>
          <w:sz w:val="24"/>
          <w:szCs w:val="24"/>
        </w:rPr>
        <w:lastRenderedPageBreak/>
        <w:t>Further Research</w:t>
      </w:r>
      <w:r w:rsidR="001D7DAA">
        <w:rPr>
          <w:rFonts w:ascii="Times New Roman" w:eastAsia="Times New Roman" w:hAnsi="Times New Roman" w:cs="Times New Roman"/>
          <w:sz w:val="24"/>
          <w:szCs w:val="24"/>
        </w:rPr>
        <w:t>: Longitudinal designs and</w:t>
      </w:r>
      <w:r>
        <w:rPr>
          <w:rFonts w:ascii="Times New Roman" w:eastAsia="Times New Roman" w:hAnsi="Times New Roman" w:cs="Times New Roman"/>
          <w:sz w:val="24"/>
          <w:szCs w:val="24"/>
        </w:rPr>
        <w:t xml:space="preserve"> molecular diagnostic techniques</w:t>
      </w:r>
      <w:r w:rsidR="001D7DAA">
        <w:rPr>
          <w:rFonts w:ascii="Times New Roman" w:eastAsia="Times New Roman" w:hAnsi="Times New Roman" w:cs="Times New Roman"/>
          <w:sz w:val="24"/>
          <w:szCs w:val="24"/>
        </w:rPr>
        <w:t xml:space="preserve"> should be adopted in future studies</w:t>
      </w:r>
      <w:r>
        <w:rPr>
          <w:rFonts w:ascii="Times New Roman" w:eastAsia="Times New Roman" w:hAnsi="Times New Roman" w:cs="Times New Roman"/>
          <w:sz w:val="24"/>
          <w:szCs w:val="24"/>
        </w:rPr>
        <w:t xml:space="preserve"> to better understand transmission dynamics, risk factors, and the impact of immune status on infection </w:t>
      </w:r>
      <w:r w:rsidR="009C66A0">
        <w:rPr>
          <w:rFonts w:ascii="Times New Roman" w:eastAsia="Times New Roman" w:hAnsi="Times New Roman" w:cs="Times New Roman"/>
          <w:sz w:val="24"/>
          <w:szCs w:val="24"/>
        </w:rPr>
        <w:t>outcomes</w:t>
      </w:r>
      <w:r w:rsidR="00F9513D" w:rsidRPr="0084191C">
        <w:rPr>
          <w:rFonts w:ascii="Times New Roman" w:eastAsia="Times New Roman" w:hAnsi="Times New Roman" w:cs="Times New Roman"/>
          <w:sz w:val="24"/>
          <w:szCs w:val="24"/>
        </w:rPr>
        <w:t>.</w:t>
      </w:r>
    </w:p>
    <w:p w:rsidR="004F7C87" w:rsidRDefault="004F7C87" w:rsidP="00CD249B">
      <w:pPr>
        <w:spacing w:after="0" w:line="360" w:lineRule="auto"/>
        <w:jc w:val="both"/>
        <w:rPr>
          <w:rFonts w:ascii="Times New Roman" w:eastAsia="Times New Roman" w:hAnsi="Times New Roman" w:cs="Times New Roman"/>
          <w:sz w:val="24"/>
          <w:szCs w:val="24"/>
        </w:rPr>
      </w:pPr>
    </w:p>
    <w:p w:rsidR="004F7C87" w:rsidRDefault="004F7C87" w:rsidP="00CD249B">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w:t>
      </w:r>
      <w:r w:rsidRPr="000E1D8B">
        <w:rPr>
          <w:rFonts w:ascii="Times New Roman" w:eastAsia="Times New Roman" w:hAnsi="Times New Roman" w:cs="Times New Roman"/>
          <w:b/>
          <w:sz w:val="28"/>
          <w:szCs w:val="28"/>
        </w:rPr>
        <w:t>Acknowledgement</w:t>
      </w:r>
      <w:r w:rsidR="000E1D8B" w:rsidRPr="000E1D8B">
        <w:rPr>
          <w:rFonts w:ascii="Times New Roman" w:eastAsia="Times New Roman" w:hAnsi="Times New Roman" w:cs="Times New Roman"/>
          <w:b/>
          <w:sz w:val="28"/>
          <w:szCs w:val="28"/>
        </w:rPr>
        <w:t>s</w:t>
      </w:r>
    </w:p>
    <w:p w:rsidR="00710961" w:rsidRPr="001D7DAA" w:rsidRDefault="00151998" w:rsidP="001D7DAA">
      <w:pPr>
        <w:spacing w:after="0" w:line="360" w:lineRule="auto"/>
        <w:jc w:val="both"/>
        <w:rPr>
          <w:rFonts w:ascii="Times New Roman" w:eastAsia="Times New Roman" w:hAnsi="Times New Roman" w:cs="Times New Roman"/>
          <w:b/>
          <w:sz w:val="24"/>
          <w:szCs w:val="24"/>
        </w:rPr>
      </w:pPr>
      <w:r w:rsidRPr="001D7DAA">
        <w:rPr>
          <w:rFonts w:ascii="Times New Roman" w:hAnsi="Times New Roman" w:cs="Times New Roman"/>
          <w:sz w:val="24"/>
          <w:szCs w:val="24"/>
        </w:rPr>
        <w:t xml:space="preserve">           </w:t>
      </w:r>
      <w:r w:rsidR="00E015C5" w:rsidRPr="001D7DAA">
        <w:rPr>
          <w:rFonts w:ascii="Times New Roman" w:hAnsi="Times New Roman" w:cs="Times New Roman"/>
          <w:sz w:val="24"/>
          <w:szCs w:val="24"/>
        </w:rPr>
        <w:t>The authors would like</w:t>
      </w:r>
      <w:r w:rsidR="004A0048" w:rsidRPr="001D7DAA">
        <w:rPr>
          <w:rFonts w:ascii="Times New Roman" w:hAnsi="Times New Roman" w:cs="Times New Roman"/>
          <w:sz w:val="24"/>
          <w:szCs w:val="24"/>
        </w:rPr>
        <w:t xml:space="preserve"> to thank the </w:t>
      </w:r>
      <w:r w:rsidR="00A81B70" w:rsidRPr="001D7DAA">
        <w:rPr>
          <w:rFonts w:ascii="Times New Roman" w:hAnsi="Times New Roman" w:cs="Times New Roman"/>
          <w:sz w:val="24"/>
          <w:szCs w:val="24"/>
        </w:rPr>
        <w:t>Adamawa State Ministry of Health ethical committee on health research for ethical consent,</w:t>
      </w:r>
      <w:r w:rsidR="004A0048" w:rsidRPr="001D7DAA">
        <w:rPr>
          <w:rFonts w:ascii="Times New Roman" w:hAnsi="Times New Roman" w:cs="Times New Roman"/>
          <w:sz w:val="24"/>
          <w:szCs w:val="24"/>
        </w:rPr>
        <w:t xml:space="preserve"> study participants, data collectors, and supervisors who participated in this study for their commitment and cooperation.</w:t>
      </w:r>
    </w:p>
    <w:p w:rsidR="00E015C5" w:rsidRPr="001D7DAA" w:rsidRDefault="00E015C5" w:rsidP="001D7DAA">
      <w:pPr>
        <w:spacing w:after="0" w:line="360" w:lineRule="auto"/>
        <w:jc w:val="both"/>
        <w:rPr>
          <w:rFonts w:ascii="Times New Roman" w:eastAsia="Times New Roman" w:hAnsi="Times New Roman" w:cs="Times New Roman"/>
          <w:b/>
          <w:sz w:val="24"/>
          <w:szCs w:val="24"/>
        </w:rPr>
      </w:pPr>
      <w:r w:rsidRPr="001D7DAA">
        <w:rPr>
          <w:rFonts w:ascii="Times New Roman" w:hAnsi="Times New Roman" w:cs="Times New Roman"/>
          <w:sz w:val="24"/>
          <w:szCs w:val="24"/>
        </w:rPr>
        <w:t xml:space="preserve"> The authors would lik</w:t>
      </w:r>
      <w:r w:rsidR="00A81B70" w:rsidRPr="001D7DAA">
        <w:rPr>
          <w:rFonts w:ascii="Times New Roman" w:hAnsi="Times New Roman" w:cs="Times New Roman"/>
          <w:sz w:val="24"/>
          <w:szCs w:val="24"/>
        </w:rPr>
        <w:t>e to also thank the management and medical laboratory staff of the</w:t>
      </w:r>
      <w:r w:rsidRPr="001D7DAA">
        <w:rPr>
          <w:rFonts w:ascii="Times New Roman" w:hAnsi="Times New Roman" w:cs="Times New Roman"/>
          <w:sz w:val="24"/>
          <w:szCs w:val="24"/>
        </w:rPr>
        <w:t xml:space="preserve"> hospital</w:t>
      </w:r>
      <w:r w:rsidR="00D23539" w:rsidRPr="001D7DAA">
        <w:rPr>
          <w:rFonts w:ascii="Times New Roman" w:hAnsi="Times New Roman" w:cs="Times New Roman"/>
          <w:sz w:val="24"/>
          <w:szCs w:val="24"/>
        </w:rPr>
        <w:t xml:space="preserve">s for their administrative support </w:t>
      </w:r>
      <w:r w:rsidR="00EF57DC" w:rsidRPr="001D7DAA">
        <w:rPr>
          <w:rFonts w:ascii="Times New Roman" w:hAnsi="Times New Roman" w:cs="Times New Roman"/>
          <w:sz w:val="24"/>
          <w:szCs w:val="24"/>
        </w:rPr>
        <w:t>a</w:t>
      </w:r>
      <w:r w:rsidR="001D7DAA" w:rsidRPr="001D7DAA">
        <w:rPr>
          <w:rFonts w:ascii="Times New Roman" w:hAnsi="Times New Roman" w:cs="Times New Roman"/>
          <w:sz w:val="24"/>
          <w:szCs w:val="24"/>
        </w:rPr>
        <w:t>nd cooperation throughout the period of study.</w:t>
      </w:r>
    </w:p>
    <w:p w:rsidR="003C2253" w:rsidRDefault="003C2253" w:rsidP="000E07ED">
      <w:pPr>
        <w:spacing w:after="0" w:line="360" w:lineRule="auto"/>
        <w:rPr>
          <w:rFonts w:ascii="Times New Roman" w:eastAsia="Times New Roman" w:hAnsi="Times New Roman" w:cs="Times New Roman"/>
          <w:sz w:val="24"/>
          <w:szCs w:val="24"/>
        </w:rPr>
      </w:pPr>
    </w:p>
    <w:p w:rsidR="003C2253" w:rsidRDefault="003C2253" w:rsidP="000E07ED">
      <w:pPr>
        <w:spacing w:after="0" w:line="360" w:lineRule="auto"/>
        <w:rPr>
          <w:rFonts w:ascii="Times New Roman" w:eastAsia="Times New Roman" w:hAnsi="Times New Roman" w:cs="Times New Roman"/>
          <w:sz w:val="24"/>
          <w:szCs w:val="24"/>
        </w:rPr>
      </w:pPr>
    </w:p>
    <w:p w:rsidR="003C2253" w:rsidRDefault="003C2253" w:rsidP="000E07ED">
      <w:pPr>
        <w:spacing w:after="0" w:line="360" w:lineRule="auto"/>
        <w:rPr>
          <w:rFonts w:ascii="Times New Roman" w:eastAsia="Times New Roman" w:hAnsi="Times New Roman" w:cs="Times New Roman"/>
          <w:sz w:val="24"/>
          <w:szCs w:val="24"/>
        </w:rPr>
      </w:pPr>
    </w:p>
    <w:p w:rsidR="006456FE" w:rsidRDefault="003C2253" w:rsidP="000E07ED">
      <w:pPr>
        <w:spacing w:after="0" w:line="360" w:lineRule="auto"/>
        <w:rPr>
          <w:rFonts w:ascii="Times New Roman" w:hAnsi="Times New Roman" w:cs="Times New Roman"/>
          <w:color w:val="131413"/>
          <w:sz w:val="24"/>
          <w:szCs w:val="24"/>
        </w:rPr>
      </w:pPr>
      <w:r>
        <w:rPr>
          <w:rFonts w:ascii="Times New Roman" w:eastAsia="Times New Roman" w:hAnsi="Times New Roman" w:cs="Times New Roman"/>
          <w:sz w:val="24"/>
          <w:szCs w:val="24"/>
        </w:rPr>
        <w:t xml:space="preserve">                                                       </w:t>
      </w:r>
      <w:r w:rsidR="00597225">
        <w:rPr>
          <w:rFonts w:ascii="Times New Roman" w:hAnsi="Times New Roman" w:cs="Times New Roman"/>
          <w:b/>
          <w:sz w:val="24"/>
          <w:szCs w:val="24"/>
        </w:rPr>
        <w:t>REFERENCES</w:t>
      </w:r>
    </w:p>
    <w:p w:rsidR="008306E3" w:rsidRDefault="00FF4AE4" w:rsidP="008306E3">
      <w:pPr>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r>
        <w:rPr>
          <w:rFonts w:ascii="Times New Roman" w:hAnsi="Times New Roman" w:cs="Times New Roman"/>
          <w:color w:val="131413"/>
          <w:sz w:val="24"/>
          <w:szCs w:val="24"/>
        </w:rPr>
        <w:t>1.</w:t>
      </w:r>
      <w:r w:rsidR="008306E3" w:rsidRPr="008306E3">
        <w:rPr>
          <w:rFonts w:ascii="Times New Roman" w:eastAsia="Times New Roman" w:hAnsi="Times New Roman" w:cs="Times New Roman"/>
          <w:bCs/>
          <w:sz w:val="24"/>
          <w:szCs w:val="24"/>
        </w:rPr>
        <w:t xml:space="preserve"> </w:t>
      </w:r>
      <w:r w:rsidR="008306E3">
        <w:rPr>
          <w:rFonts w:ascii="Times New Roman" w:eastAsia="Times New Roman" w:hAnsi="Times New Roman" w:cs="Times New Roman"/>
          <w:bCs/>
          <w:sz w:val="24"/>
          <w:szCs w:val="24"/>
        </w:rPr>
        <w:t>WHO (2023). Global Health Sector Strategies on, respectively, HIV, viral hepatitis and sexually transmitted infections for the period 2022 – 2030 (GHSS).</w:t>
      </w:r>
    </w:p>
    <w:p w:rsidR="00E51766" w:rsidRDefault="00E51766" w:rsidP="00E51766">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131413"/>
          <w:sz w:val="24"/>
          <w:szCs w:val="24"/>
        </w:rPr>
        <w:t xml:space="preserve">2. </w:t>
      </w:r>
      <w:r>
        <w:rPr>
          <w:rFonts w:ascii="Times New Roman" w:hAnsi="Times New Roman" w:cs="Times New Roman"/>
          <w:color w:val="000000"/>
          <w:sz w:val="24"/>
          <w:szCs w:val="24"/>
        </w:rPr>
        <w:t>National Agency for the Control of AIDS [NACA] (2017). National HIV and AIDS Strategic Plan (2017 – 2021).</w:t>
      </w:r>
    </w:p>
    <w:p w:rsidR="00E51766" w:rsidRDefault="00E51766" w:rsidP="008306E3">
      <w:pPr>
        <w:spacing w:after="0" w:line="360" w:lineRule="auto"/>
        <w:rPr>
          <w:rFonts w:ascii="Times New Roman" w:hAnsi="Times New Roman" w:cs="Times New Roman"/>
          <w:sz w:val="24"/>
          <w:szCs w:val="24"/>
        </w:rPr>
      </w:pPr>
      <w:r>
        <w:rPr>
          <w:rFonts w:ascii="Times New Roman" w:hAnsi="Times New Roman" w:cs="Times New Roman"/>
          <w:color w:val="131413"/>
          <w:sz w:val="24"/>
          <w:szCs w:val="24"/>
        </w:rPr>
        <w:t xml:space="preserve">3. </w:t>
      </w:r>
      <w:r>
        <w:rPr>
          <w:rFonts w:ascii="Times New Roman" w:hAnsi="Times New Roman" w:cs="Times New Roman"/>
          <w:sz w:val="24"/>
          <w:szCs w:val="24"/>
        </w:rPr>
        <w:t>Centre for Disease prevention and Control (CDC) (2015). Cryptosporidiosis Surveillance-</w:t>
      </w:r>
    </w:p>
    <w:p w:rsidR="00E51766" w:rsidRDefault="00E51766" w:rsidP="008306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United states, 2011-2012.</w:t>
      </w:r>
    </w:p>
    <w:p w:rsidR="0083512A" w:rsidRDefault="00E51766" w:rsidP="0083512A">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 New Roman" w:hAnsi="Times New Roman" w:cs="Times New Roman"/>
          <w:sz w:val="24"/>
          <w:szCs w:val="24"/>
        </w:rPr>
        <w:t>4.</w:t>
      </w:r>
      <w:r w:rsidR="0083512A">
        <w:rPr>
          <w:rFonts w:ascii="Times New Roman" w:hAnsi="Times New Roman" w:cs="Times New Roman"/>
          <w:sz w:val="24"/>
          <w:szCs w:val="24"/>
        </w:rPr>
        <w:t xml:space="preserve"> </w:t>
      </w:r>
      <w:proofErr w:type="spellStart"/>
      <w:r w:rsidR="0083512A">
        <w:rPr>
          <w:rFonts w:ascii="Times New Roman" w:eastAsia="TimesNewRomanPSMT" w:hAnsi="Times New Roman" w:cs="Times New Roman"/>
          <w:sz w:val="24"/>
          <w:szCs w:val="24"/>
        </w:rPr>
        <w:t>Efstratiou</w:t>
      </w:r>
      <w:proofErr w:type="spellEnd"/>
      <w:r w:rsidR="0083512A">
        <w:rPr>
          <w:rFonts w:ascii="Times New Roman" w:eastAsia="TimesNewRomanPSMT" w:hAnsi="Times New Roman" w:cs="Times New Roman"/>
          <w:sz w:val="24"/>
          <w:szCs w:val="24"/>
        </w:rPr>
        <w:t xml:space="preserve">, A., </w:t>
      </w:r>
      <w:proofErr w:type="spellStart"/>
      <w:r w:rsidR="0083512A">
        <w:rPr>
          <w:rFonts w:ascii="Times New Roman" w:eastAsia="TimesNewRomanPSMT" w:hAnsi="Times New Roman" w:cs="Times New Roman"/>
          <w:sz w:val="24"/>
          <w:szCs w:val="24"/>
        </w:rPr>
        <w:t>Ongerth</w:t>
      </w:r>
      <w:proofErr w:type="spellEnd"/>
      <w:r w:rsidR="0083512A">
        <w:rPr>
          <w:rFonts w:ascii="Times New Roman" w:eastAsia="TimesNewRomanPSMT" w:hAnsi="Times New Roman" w:cs="Times New Roman"/>
          <w:sz w:val="24"/>
          <w:szCs w:val="24"/>
        </w:rPr>
        <w:t xml:space="preserve">, J. E and </w:t>
      </w:r>
      <w:proofErr w:type="spellStart"/>
      <w:r w:rsidR="0083512A">
        <w:rPr>
          <w:rFonts w:ascii="Times New Roman" w:eastAsia="TimesNewRomanPSMT" w:hAnsi="Times New Roman" w:cs="Times New Roman"/>
          <w:sz w:val="24"/>
          <w:szCs w:val="24"/>
        </w:rPr>
        <w:t>Karanis</w:t>
      </w:r>
      <w:proofErr w:type="spellEnd"/>
      <w:r w:rsidR="0083512A">
        <w:rPr>
          <w:rFonts w:ascii="Times New Roman" w:eastAsia="TimesNewRomanPSMT" w:hAnsi="Times New Roman" w:cs="Times New Roman"/>
          <w:sz w:val="24"/>
          <w:szCs w:val="24"/>
        </w:rPr>
        <w:t xml:space="preserve">, P.  (2017). waterborne transmission of protozoan parasites: Review of worldwide outbreaks-an update 2011-2016. </w:t>
      </w:r>
      <w:r w:rsidR="0083512A">
        <w:rPr>
          <w:rFonts w:ascii="Times New Roman" w:eastAsia="TimesNewRomanPSMT" w:hAnsi="Times New Roman" w:cs="Times New Roman"/>
          <w:i/>
          <w:sz w:val="24"/>
          <w:szCs w:val="24"/>
        </w:rPr>
        <w:t xml:space="preserve">Water Research, </w:t>
      </w:r>
      <w:r w:rsidR="0083512A">
        <w:rPr>
          <w:rFonts w:ascii="Times New Roman" w:eastAsia="TimesNewRomanPSMT" w:hAnsi="Times New Roman" w:cs="Times New Roman"/>
          <w:b/>
          <w:sz w:val="24"/>
          <w:szCs w:val="24"/>
        </w:rPr>
        <w:t>114</w:t>
      </w:r>
      <w:r w:rsidR="0083512A">
        <w:rPr>
          <w:rFonts w:ascii="Times New Roman" w:eastAsia="TimesNewRomanPSMT" w:hAnsi="Times New Roman" w:cs="Times New Roman"/>
          <w:sz w:val="24"/>
          <w:szCs w:val="24"/>
        </w:rPr>
        <w:t xml:space="preserve">, 14-22. </w:t>
      </w:r>
    </w:p>
    <w:p w:rsidR="0083512A" w:rsidRDefault="0083512A" w:rsidP="0083512A">
      <w:pPr>
        <w:spacing w:after="0" w:line="240" w:lineRule="auto"/>
        <w:ind w:left="720" w:hanging="720"/>
        <w:jc w:val="both"/>
        <w:rPr>
          <w:rFonts w:ascii="Times New Roman" w:hAnsi="Times New Roman" w:cs="Times New Roman"/>
          <w:bCs/>
          <w:color w:val="000000"/>
          <w:sz w:val="24"/>
          <w:szCs w:val="24"/>
        </w:rPr>
      </w:pPr>
      <w:r>
        <w:rPr>
          <w:rFonts w:ascii="Times New Roman" w:hAnsi="Times New Roman" w:cs="Times New Roman"/>
          <w:sz w:val="24"/>
          <w:szCs w:val="24"/>
        </w:rPr>
        <w:t xml:space="preserve">5. </w:t>
      </w:r>
      <w:r>
        <w:rPr>
          <w:rFonts w:ascii="Times New Roman" w:hAnsi="Times New Roman" w:cs="Times New Roman"/>
          <w:bCs/>
          <w:color w:val="000000"/>
          <w:sz w:val="24"/>
          <w:szCs w:val="24"/>
        </w:rPr>
        <w:t xml:space="preserve">Squire, S.A. and Ryan, U. (2017). </w:t>
      </w:r>
      <w:proofErr w:type="spellStart"/>
      <w:r>
        <w:rPr>
          <w:rFonts w:ascii="Times New Roman" w:hAnsi="Times New Roman" w:cs="Times New Roman"/>
          <w:bCs/>
          <w:i/>
          <w:color w:val="000000"/>
          <w:sz w:val="24"/>
          <w:szCs w:val="24"/>
        </w:rPr>
        <w:t>Crytosporidium</w:t>
      </w:r>
      <w:proofErr w:type="spellEnd"/>
      <w:r>
        <w:rPr>
          <w:rFonts w:ascii="Times New Roman" w:hAnsi="Times New Roman" w:cs="Times New Roman"/>
          <w:bCs/>
          <w:color w:val="000000"/>
          <w:sz w:val="24"/>
          <w:szCs w:val="24"/>
        </w:rPr>
        <w:t xml:space="preserve"> and </w:t>
      </w:r>
      <w:r>
        <w:rPr>
          <w:rFonts w:ascii="Times New Roman" w:hAnsi="Times New Roman" w:cs="Times New Roman"/>
          <w:bCs/>
          <w:i/>
          <w:color w:val="000000"/>
          <w:sz w:val="24"/>
          <w:szCs w:val="24"/>
        </w:rPr>
        <w:t>Giardia</w:t>
      </w:r>
      <w:r>
        <w:rPr>
          <w:rFonts w:ascii="Times New Roman" w:hAnsi="Times New Roman" w:cs="Times New Roman"/>
          <w:bCs/>
          <w:color w:val="000000"/>
          <w:sz w:val="24"/>
          <w:szCs w:val="24"/>
        </w:rPr>
        <w:t xml:space="preserve"> in Africa: current and future challenges. </w:t>
      </w:r>
      <w:r>
        <w:rPr>
          <w:rFonts w:ascii="Times New Roman" w:hAnsi="Times New Roman" w:cs="Times New Roman"/>
          <w:bCs/>
          <w:i/>
          <w:color w:val="000000"/>
          <w:sz w:val="24"/>
          <w:szCs w:val="24"/>
        </w:rPr>
        <w:t>Parasites vectors</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10</w:t>
      </w:r>
      <w:r>
        <w:rPr>
          <w:rFonts w:ascii="Times New Roman" w:hAnsi="Times New Roman" w:cs="Times New Roman"/>
          <w:bCs/>
          <w:color w:val="000000"/>
          <w:sz w:val="24"/>
          <w:szCs w:val="24"/>
        </w:rPr>
        <w:t xml:space="preserve"> (195): 13071-071.</w:t>
      </w:r>
    </w:p>
    <w:p w:rsidR="00DA362A" w:rsidRDefault="0083512A" w:rsidP="00DA362A">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 New Roman" w:hAnsi="Times New Roman" w:cs="Times New Roman"/>
          <w:sz w:val="24"/>
          <w:szCs w:val="24"/>
        </w:rPr>
        <w:t xml:space="preserve">6. </w:t>
      </w:r>
      <w:proofErr w:type="spellStart"/>
      <w:r w:rsidR="00DA362A">
        <w:rPr>
          <w:rFonts w:ascii="Times New Roman" w:eastAsia="TimesNewRomanPSMT" w:hAnsi="Times New Roman" w:cs="Times New Roman"/>
          <w:sz w:val="24"/>
          <w:szCs w:val="24"/>
        </w:rPr>
        <w:t>Odeniran</w:t>
      </w:r>
      <w:proofErr w:type="spellEnd"/>
      <w:r w:rsidR="00DA362A">
        <w:rPr>
          <w:rFonts w:ascii="Times New Roman" w:eastAsia="TimesNewRomanPSMT" w:hAnsi="Times New Roman" w:cs="Times New Roman"/>
          <w:sz w:val="24"/>
          <w:szCs w:val="24"/>
        </w:rPr>
        <w:t xml:space="preserve">, O.P. and </w:t>
      </w:r>
      <w:proofErr w:type="spellStart"/>
      <w:r w:rsidR="00DA362A">
        <w:rPr>
          <w:rFonts w:ascii="Times New Roman" w:eastAsia="TimesNewRomanPSMT" w:hAnsi="Times New Roman" w:cs="Times New Roman"/>
          <w:sz w:val="24"/>
          <w:szCs w:val="24"/>
        </w:rPr>
        <w:t>Ademola</w:t>
      </w:r>
      <w:proofErr w:type="spellEnd"/>
      <w:r w:rsidR="00DA362A">
        <w:rPr>
          <w:rFonts w:ascii="Times New Roman" w:eastAsia="TimesNewRomanPSMT" w:hAnsi="Times New Roman" w:cs="Times New Roman"/>
          <w:sz w:val="24"/>
          <w:szCs w:val="24"/>
        </w:rPr>
        <w:t xml:space="preserve">, I.O. (2019). Epidemiology of Cryptosporidium infection in different hosts in Nigeria: A meta-analysis. </w:t>
      </w:r>
      <w:r w:rsidR="00DA362A">
        <w:rPr>
          <w:rFonts w:ascii="Times New Roman" w:eastAsia="TimesNewRomanPSMT" w:hAnsi="Times New Roman" w:cs="Times New Roman"/>
          <w:i/>
          <w:sz w:val="24"/>
          <w:szCs w:val="24"/>
        </w:rPr>
        <w:t>Parasitology International Journal</w:t>
      </w:r>
      <w:r w:rsidR="00DA362A">
        <w:rPr>
          <w:rFonts w:ascii="Times New Roman" w:eastAsia="TimesNewRomanPSMT" w:hAnsi="Times New Roman" w:cs="Times New Roman"/>
          <w:sz w:val="24"/>
          <w:szCs w:val="24"/>
        </w:rPr>
        <w:t xml:space="preserve">, </w:t>
      </w:r>
      <w:r w:rsidR="00DA362A">
        <w:rPr>
          <w:rFonts w:ascii="Times New Roman" w:eastAsia="TimesNewRomanPSMT" w:hAnsi="Times New Roman" w:cs="Times New Roman"/>
          <w:b/>
          <w:sz w:val="24"/>
          <w:szCs w:val="24"/>
        </w:rPr>
        <w:t>10</w:t>
      </w:r>
      <w:r w:rsidR="00DA362A">
        <w:rPr>
          <w:rFonts w:ascii="Times New Roman" w:eastAsia="TimesNewRomanPSMT" w:hAnsi="Times New Roman" w:cs="Times New Roman"/>
          <w:sz w:val="24"/>
          <w:szCs w:val="24"/>
        </w:rPr>
        <w:t xml:space="preserve"> (16): 194-206.</w:t>
      </w:r>
    </w:p>
    <w:p w:rsidR="00B16874" w:rsidRDefault="00DA362A" w:rsidP="00B16874">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 xml:space="preserve">7. </w:t>
      </w:r>
      <w:proofErr w:type="spellStart"/>
      <w:r w:rsidR="00B16874">
        <w:rPr>
          <w:rFonts w:ascii="Times New Roman" w:hAnsi="Times New Roman" w:cs="Times New Roman"/>
          <w:color w:val="131413"/>
          <w:sz w:val="24"/>
          <w:szCs w:val="24"/>
        </w:rPr>
        <w:t>Kusters</w:t>
      </w:r>
      <w:proofErr w:type="spellEnd"/>
      <w:r w:rsidR="00B16874">
        <w:rPr>
          <w:rFonts w:ascii="Times New Roman" w:hAnsi="Times New Roman" w:cs="Times New Roman"/>
          <w:color w:val="131413"/>
          <w:sz w:val="24"/>
          <w:szCs w:val="24"/>
        </w:rPr>
        <w:t>, J. G., Van-</w:t>
      </w:r>
      <w:proofErr w:type="spellStart"/>
      <w:r w:rsidR="00B16874">
        <w:rPr>
          <w:rFonts w:ascii="Times New Roman" w:hAnsi="Times New Roman" w:cs="Times New Roman"/>
          <w:color w:val="131413"/>
          <w:sz w:val="24"/>
          <w:szCs w:val="24"/>
        </w:rPr>
        <w:t>Vliet</w:t>
      </w:r>
      <w:proofErr w:type="spellEnd"/>
      <w:r w:rsidR="00B16874">
        <w:rPr>
          <w:rFonts w:ascii="Times New Roman" w:hAnsi="Times New Roman" w:cs="Times New Roman"/>
          <w:color w:val="131413"/>
          <w:sz w:val="24"/>
          <w:szCs w:val="24"/>
        </w:rPr>
        <w:t xml:space="preserve">, A. H. and </w:t>
      </w:r>
      <w:proofErr w:type="spellStart"/>
      <w:r w:rsidR="00B16874">
        <w:rPr>
          <w:rFonts w:ascii="Times New Roman" w:hAnsi="Times New Roman" w:cs="Times New Roman"/>
          <w:color w:val="131413"/>
          <w:sz w:val="24"/>
          <w:szCs w:val="24"/>
        </w:rPr>
        <w:t>Kuipers</w:t>
      </w:r>
      <w:proofErr w:type="spellEnd"/>
      <w:r w:rsidR="00B16874">
        <w:rPr>
          <w:rFonts w:ascii="Times New Roman" w:hAnsi="Times New Roman" w:cs="Times New Roman"/>
          <w:color w:val="131413"/>
          <w:sz w:val="24"/>
          <w:szCs w:val="24"/>
        </w:rPr>
        <w:t xml:space="preserve">, E. J. (2006.). “Pathogenesis of Helicobacter pylori infection,” </w:t>
      </w:r>
      <w:r w:rsidR="00B16874">
        <w:rPr>
          <w:rFonts w:ascii="Times New Roman" w:hAnsi="Times New Roman" w:cs="Times New Roman"/>
          <w:i/>
          <w:color w:val="131413"/>
          <w:sz w:val="24"/>
          <w:szCs w:val="24"/>
        </w:rPr>
        <w:t>Clinical Microbiology Reviews</w:t>
      </w:r>
      <w:r w:rsidR="00B16874">
        <w:rPr>
          <w:rFonts w:ascii="Times New Roman" w:hAnsi="Times New Roman" w:cs="Times New Roman"/>
          <w:color w:val="131413"/>
          <w:sz w:val="24"/>
          <w:szCs w:val="24"/>
        </w:rPr>
        <w:t xml:space="preserve">, </w:t>
      </w:r>
      <w:r w:rsidR="00B16874">
        <w:rPr>
          <w:rFonts w:ascii="Times New Roman" w:hAnsi="Times New Roman" w:cs="Times New Roman"/>
          <w:b/>
          <w:color w:val="131413"/>
          <w:sz w:val="24"/>
          <w:szCs w:val="24"/>
        </w:rPr>
        <w:t>19</w:t>
      </w:r>
      <w:r w:rsidR="00B16874">
        <w:rPr>
          <w:rFonts w:ascii="Times New Roman" w:hAnsi="Times New Roman" w:cs="Times New Roman"/>
          <w:color w:val="131413"/>
          <w:sz w:val="24"/>
          <w:szCs w:val="24"/>
        </w:rPr>
        <w:t xml:space="preserve"> (3): 449–490.</w:t>
      </w:r>
    </w:p>
    <w:p w:rsidR="00B16874" w:rsidRDefault="00B16874" w:rsidP="00B16874">
      <w:pPr>
        <w:autoSpaceDE w:val="0"/>
        <w:autoSpaceDN w:val="0"/>
        <w:adjustRightInd w:val="0"/>
        <w:spacing w:before="240" w:after="0" w:line="240" w:lineRule="auto"/>
        <w:ind w:left="720" w:hanging="720"/>
        <w:jc w:val="both"/>
        <w:rPr>
          <w:rFonts w:ascii="Times New Roman" w:hAnsi="Times New Roman" w:cs="Times New Roman"/>
          <w:color w:val="221E1F"/>
          <w:sz w:val="24"/>
          <w:szCs w:val="24"/>
        </w:rPr>
      </w:pPr>
      <w:r>
        <w:rPr>
          <w:rFonts w:ascii="Times New Roman" w:hAnsi="Times New Roman" w:cs="Times New Roman"/>
          <w:sz w:val="24"/>
          <w:szCs w:val="24"/>
        </w:rPr>
        <w:t xml:space="preserve">8. </w:t>
      </w:r>
      <w:proofErr w:type="spellStart"/>
      <w:r>
        <w:rPr>
          <w:rFonts w:ascii="Times New Roman" w:hAnsi="Times New Roman" w:cs="Times New Roman"/>
          <w:color w:val="131413"/>
          <w:sz w:val="24"/>
          <w:szCs w:val="24"/>
        </w:rPr>
        <w:t>Samina</w:t>
      </w:r>
      <w:proofErr w:type="spellEnd"/>
      <w:r>
        <w:rPr>
          <w:rFonts w:ascii="Times New Roman" w:hAnsi="Times New Roman" w:cs="Times New Roman"/>
          <w:color w:val="131413"/>
          <w:sz w:val="24"/>
          <w:szCs w:val="24"/>
        </w:rPr>
        <w:t xml:space="preserve">, K. B., and Muhammad B. K, (2023). Overview of </w:t>
      </w:r>
      <w:r>
        <w:rPr>
          <w:rFonts w:ascii="Times New Roman" w:hAnsi="Times New Roman" w:cs="Times New Roman"/>
          <w:i/>
          <w:color w:val="131413"/>
          <w:sz w:val="24"/>
          <w:szCs w:val="24"/>
        </w:rPr>
        <w:t>Helicobacter pylori</w:t>
      </w:r>
      <w:r>
        <w:rPr>
          <w:rFonts w:ascii="Times New Roman" w:hAnsi="Times New Roman" w:cs="Times New Roman"/>
          <w:color w:val="131413"/>
          <w:sz w:val="24"/>
          <w:szCs w:val="24"/>
        </w:rPr>
        <w:t xml:space="preserve"> Infection, Prevalence, Risk Factors, and Its Prevention, </w:t>
      </w:r>
      <w:proofErr w:type="spellStart"/>
      <w:r>
        <w:rPr>
          <w:rFonts w:ascii="Times New Roman" w:hAnsi="Times New Roman" w:cs="Times New Roman"/>
          <w:color w:val="221E1F"/>
          <w:sz w:val="24"/>
          <w:szCs w:val="24"/>
        </w:rPr>
        <w:t>Hindawi</w:t>
      </w:r>
      <w:proofErr w:type="spellEnd"/>
      <w:r>
        <w:rPr>
          <w:rFonts w:ascii="Times New Roman" w:hAnsi="Times New Roman" w:cs="Times New Roman"/>
          <w:color w:val="221E1F"/>
          <w:sz w:val="24"/>
          <w:szCs w:val="24"/>
        </w:rPr>
        <w:t xml:space="preserve">. </w:t>
      </w:r>
      <w:r>
        <w:rPr>
          <w:rFonts w:ascii="Times New Roman" w:hAnsi="Times New Roman" w:cs="Times New Roman"/>
          <w:i/>
          <w:color w:val="221E1F"/>
          <w:sz w:val="24"/>
          <w:szCs w:val="24"/>
        </w:rPr>
        <w:t xml:space="preserve">Advanced Gut and </w:t>
      </w:r>
      <w:proofErr w:type="spellStart"/>
      <w:r>
        <w:rPr>
          <w:rFonts w:ascii="Times New Roman" w:hAnsi="Times New Roman" w:cs="Times New Roman"/>
          <w:i/>
          <w:color w:val="221E1F"/>
          <w:sz w:val="24"/>
          <w:szCs w:val="24"/>
        </w:rPr>
        <w:t>Microbiome</w:t>
      </w:r>
      <w:proofErr w:type="spellEnd"/>
      <w:r>
        <w:rPr>
          <w:rFonts w:ascii="Times New Roman" w:hAnsi="Times New Roman" w:cs="Times New Roman"/>
          <w:i/>
          <w:color w:val="221E1F"/>
          <w:sz w:val="24"/>
          <w:szCs w:val="24"/>
        </w:rPr>
        <w:t xml:space="preserve"> Research</w:t>
      </w:r>
      <w:r>
        <w:rPr>
          <w:rFonts w:ascii="Times New Roman" w:hAnsi="Times New Roman" w:cs="Times New Roman"/>
          <w:color w:val="221E1F"/>
          <w:sz w:val="24"/>
          <w:szCs w:val="24"/>
        </w:rPr>
        <w:t xml:space="preserve">, </w:t>
      </w:r>
      <w:r>
        <w:rPr>
          <w:rFonts w:ascii="Times New Roman" w:hAnsi="Times New Roman" w:cs="Times New Roman"/>
          <w:b/>
          <w:color w:val="221E1F"/>
          <w:sz w:val="24"/>
          <w:szCs w:val="24"/>
        </w:rPr>
        <w:t>10</w:t>
      </w:r>
      <w:r>
        <w:rPr>
          <w:rFonts w:ascii="Times New Roman" w:hAnsi="Times New Roman" w:cs="Times New Roman"/>
          <w:color w:val="221E1F"/>
          <w:sz w:val="24"/>
          <w:szCs w:val="24"/>
        </w:rPr>
        <w:t xml:space="preserve"> (1): 1-9.</w:t>
      </w:r>
    </w:p>
    <w:p w:rsidR="00791875" w:rsidRDefault="00B16874" w:rsidP="00791875">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 xml:space="preserve">9. </w:t>
      </w:r>
      <w:proofErr w:type="spellStart"/>
      <w:r w:rsidR="00791875">
        <w:rPr>
          <w:rFonts w:ascii="Times New Roman" w:hAnsi="Times New Roman" w:cs="Times New Roman"/>
          <w:color w:val="131413"/>
          <w:sz w:val="24"/>
          <w:szCs w:val="24"/>
        </w:rPr>
        <w:t>Wroblewski</w:t>
      </w:r>
      <w:proofErr w:type="spellEnd"/>
      <w:r w:rsidR="00791875">
        <w:rPr>
          <w:rFonts w:ascii="Times New Roman" w:hAnsi="Times New Roman" w:cs="Times New Roman"/>
          <w:color w:val="131413"/>
          <w:sz w:val="24"/>
          <w:szCs w:val="24"/>
        </w:rPr>
        <w:t xml:space="preserve">, L. E., Peek, R.  M. and Wilson, K. T. (2010). </w:t>
      </w:r>
      <w:r w:rsidR="00791875">
        <w:rPr>
          <w:rFonts w:ascii="Times New Roman" w:hAnsi="Times New Roman" w:cs="Times New Roman"/>
          <w:i/>
          <w:color w:val="131413"/>
          <w:sz w:val="24"/>
          <w:szCs w:val="24"/>
        </w:rPr>
        <w:t>Helicobacter pylori</w:t>
      </w:r>
      <w:r w:rsidR="00791875">
        <w:rPr>
          <w:rFonts w:ascii="Times New Roman" w:hAnsi="Times New Roman" w:cs="Times New Roman"/>
          <w:color w:val="131413"/>
          <w:sz w:val="24"/>
          <w:szCs w:val="24"/>
        </w:rPr>
        <w:t xml:space="preserve"> and gastric cancer: factors that modulate disease risk, </w:t>
      </w:r>
      <w:r w:rsidR="00791875">
        <w:rPr>
          <w:rFonts w:ascii="Times New Roman" w:hAnsi="Times New Roman" w:cs="Times New Roman"/>
          <w:i/>
          <w:color w:val="131413"/>
          <w:sz w:val="24"/>
          <w:szCs w:val="24"/>
        </w:rPr>
        <w:t>Clinical Microbiology Reviews</w:t>
      </w:r>
      <w:r w:rsidR="00791875">
        <w:rPr>
          <w:rFonts w:ascii="Times New Roman" w:hAnsi="Times New Roman" w:cs="Times New Roman"/>
          <w:color w:val="131413"/>
          <w:sz w:val="24"/>
          <w:szCs w:val="24"/>
        </w:rPr>
        <w:t xml:space="preserve">, </w:t>
      </w:r>
      <w:r w:rsidR="00791875">
        <w:rPr>
          <w:rFonts w:ascii="Times New Roman" w:hAnsi="Times New Roman" w:cs="Times New Roman"/>
          <w:b/>
          <w:color w:val="131413"/>
          <w:sz w:val="24"/>
          <w:szCs w:val="24"/>
        </w:rPr>
        <w:t>23</w:t>
      </w:r>
      <w:r w:rsidR="00791875">
        <w:rPr>
          <w:rFonts w:ascii="Times New Roman" w:hAnsi="Times New Roman" w:cs="Times New Roman"/>
          <w:color w:val="131413"/>
          <w:sz w:val="24"/>
          <w:szCs w:val="24"/>
        </w:rPr>
        <w:t xml:space="preserve"> (4): 713–739.</w:t>
      </w:r>
    </w:p>
    <w:p w:rsidR="00DC7747" w:rsidRDefault="004A7691" w:rsidP="00DC7747">
      <w:pPr>
        <w:autoSpaceDE w:val="0"/>
        <w:autoSpaceDN w:val="0"/>
        <w:adjustRightInd w:val="0"/>
        <w:spacing w:after="0" w:line="240" w:lineRule="auto"/>
        <w:ind w:left="720" w:hanging="720"/>
        <w:jc w:val="both"/>
        <w:rPr>
          <w:rFonts w:ascii="Times New Roman" w:eastAsia="GaramondMTStd-Regular" w:hAnsi="Times New Roman" w:cs="Times New Roman"/>
          <w:sz w:val="24"/>
          <w:szCs w:val="24"/>
        </w:rPr>
      </w:pPr>
      <w:r>
        <w:rPr>
          <w:rFonts w:ascii="Times New Roman" w:hAnsi="Times New Roman" w:cs="Times New Roman"/>
          <w:sz w:val="24"/>
          <w:szCs w:val="24"/>
        </w:rPr>
        <w:lastRenderedPageBreak/>
        <w:t xml:space="preserve">10. </w:t>
      </w:r>
      <w:proofErr w:type="spellStart"/>
      <w:r w:rsidR="00DC7747">
        <w:rPr>
          <w:rFonts w:ascii="Times New Roman" w:hAnsi="Times New Roman" w:cs="Times New Roman"/>
          <w:color w:val="131413"/>
          <w:sz w:val="24"/>
          <w:szCs w:val="24"/>
        </w:rPr>
        <w:t>Burucoa</w:t>
      </w:r>
      <w:proofErr w:type="spellEnd"/>
      <w:r w:rsidR="00DC7747">
        <w:rPr>
          <w:rFonts w:ascii="Times New Roman" w:hAnsi="Times New Roman" w:cs="Times New Roman"/>
          <w:color w:val="131413"/>
          <w:sz w:val="24"/>
          <w:szCs w:val="24"/>
        </w:rPr>
        <w:t xml:space="preserve">, C.  </w:t>
      </w:r>
      <w:proofErr w:type="gramStart"/>
      <w:r w:rsidR="00DC7747">
        <w:rPr>
          <w:rFonts w:ascii="Times New Roman" w:hAnsi="Times New Roman" w:cs="Times New Roman"/>
          <w:color w:val="131413"/>
          <w:sz w:val="24"/>
          <w:szCs w:val="24"/>
        </w:rPr>
        <w:t>and</w:t>
      </w:r>
      <w:proofErr w:type="gramEnd"/>
      <w:r w:rsidR="00DC7747">
        <w:rPr>
          <w:rFonts w:ascii="Times New Roman" w:hAnsi="Times New Roman" w:cs="Times New Roman"/>
          <w:color w:val="131413"/>
          <w:sz w:val="24"/>
          <w:szCs w:val="24"/>
        </w:rPr>
        <w:t xml:space="preserve"> Axon, A. (2017). “Epidemiology of </w:t>
      </w:r>
      <w:r w:rsidR="00DC7747">
        <w:rPr>
          <w:rFonts w:ascii="Times New Roman" w:hAnsi="Times New Roman" w:cs="Times New Roman"/>
          <w:i/>
          <w:color w:val="131413"/>
          <w:sz w:val="24"/>
          <w:szCs w:val="24"/>
        </w:rPr>
        <w:t>Helicobacter</w:t>
      </w:r>
      <w:r w:rsidR="00DC7747">
        <w:rPr>
          <w:rFonts w:ascii="Times New Roman" w:hAnsi="Times New Roman" w:cs="Times New Roman"/>
          <w:color w:val="131413"/>
          <w:sz w:val="24"/>
          <w:szCs w:val="24"/>
        </w:rPr>
        <w:t xml:space="preserve"> </w:t>
      </w:r>
      <w:r w:rsidR="00DC7747">
        <w:rPr>
          <w:rFonts w:ascii="Times New Roman" w:hAnsi="Times New Roman" w:cs="Times New Roman"/>
          <w:i/>
          <w:color w:val="131413"/>
          <w:sz w:val="24"/>
          <w:szCs w:val="24"/>
        </w:rPr>
        <w:t>pylori</w:t>
      </w:r>
      <w:r w:rsidR="00DC7747">
        <w:rPr>
          <w:rFonts w:ascii="Times New Roman" w:hAnsi="Times New Roman" w:cs="Times New Roman"/>
          <w:color w:val="131413"/>
          <w:sz w:val="24"/>
          <w:szCs w:val="24"/>
        </w:rPr>
        <w:t xml:space="preserve"> infection,” Helicobacter, vol. 22, Supplement 1,</w:t>
      </w:r>
      <w:r w:rsidR="00DC7747">
        <w:rPr>
          <w:rFonts w:ascii="Times New Roman" w:eastAsia="GaramondMTStd-Regular" w:hAnsi="Times New Roman" w:cs="Times New Roman"/>
          <w:sz w:val="24"/>
          <w:szCs w:val="24"/>
        </w:rPr>
        <w:t xml:space="preserve"> challenges encountered in Africa. </w:t>
      </w:r>
      <w:r w:rsidR="00DC7747">
        <w:rPr>
          <w:rFonts w:ascii="Times New Roman" w:eastAsia="GaramondMTStd-Regular" w:hAnsi="Times New Roman" w:cs="Times New Roman"/>
          <w:i/>
          <w:sz w:val="24"/>
          <w:szCs w:val="24"/>
        </w:rPr>
        <w:t>World Journal of Gastroenterology,</w:t>
      </w:r>
      <w:r w:rsidR="00DC7747">
        <w:rPr>
          <w:rFonts w:ascii="Times New Roman" w:eastAsia="GaramondMTStd-Regular" w:hAnsi="Times New Roman" w:cs="Times New Roman"/>
          <w:sz w:val="24"/>
          <w:szCs w:val="24"/>
        </w:rPr>
        <w:t xml:space="preserve"> </w:t>
      </w:r>
      <w:r w:rsidR="00DC7747">
        <w:rPr>
          <w:rFonts w:ascii="Times New Roman" w:eastAsia="GaramondMTStd-Regular" w:hAnsi="Times New Roman" w:cs="Times New Roman"/>
          <w:b/>
          <w:sz w:val="24"/>
          <w:szCs w:val="24"/>
        </w:rPr>
        <w:t>25</w:t>
      </w:r>
      <w:r w:rsidR="00DC7747">
        <w:rPr>
          <w:rFonts w:ascii="Times New Roman" w:eastAsia="GaramondMTStd-Regular" w:hAnsi="Times New Roman" w:cs="Times New Roman"/>
          <w:sz w:val="24"/>
          <w:szCs w:val="24"/>
        </w:rPr>
        <w:t>:3183-95.</w:t>
      </w:r>
    </w:p>
    <w:p w:rsidR="00223847" w:rsidRDefault="00DC7747" w:rsidP="00223847">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 xml:space="preserve">11. </w:t>
      </w:r>
      <w:proofErr w:type="spellStart"/>
      <w:r w:rsidR="00B478AF">
        <w:rPr>
          <w:rFonts w:ascii="Times New Roman" w:hAnsi="Times New Roman" w:cs="Times New Roman"/>
          <w:color w:val="131413"/>
          <w:sz w:val="24"/>
          <w:szCs w:val="24"/>
        </w:rPr>
        <w:t>Willems</w:t>
      </w:r>
      <w:proofErr w:type="spellEnd"/>
      <w:r w:rsidR="00B478AF">
        <w:rPr>
          <w:rFonts w:ascii="Times New Roman" w:hAnsi="Times New Roman" w:cs="Times New Roman"/>
          <w:color w:val="131413"/>
          <w:sz w:val="24"/>
          <w:szCs w:val="24"/>
        </w:rPr>
        <w:t xml:space="preserve">, P., De Repentigny, J., Hassan, G. M., </w:t>
      </w:r>
      <w:proofErr w:type="spellStart"/>
      <w:r w:rsidR="00B478AF">
        <w:rPr>
          <w:rFonts w:ascii="Times New Roman" w:hAnsi="Times New Roman" w:cs="Times New Roman"/>
          <w:color w:val="131413"/>
          <w:sz w:val="24"/>
          <w:szCs w:val="24"/>
        </w:rPr>
        <w:t>Sidani</w:t>
      </w:r>
      <w:proofErr w:type="spellEnd"/>
      <w:r w:rsidR="00B478AF">
        <w:rPr>
          <w:rFonts w:ascii="Times New Roman" w:hAnsi="Times New Roman" w:cs="Times New Roman"/>
          <w:color w:val="131413"/>
          <w:sz w:val="24"/>
          <w:szCs w:val="24"/>
        </w:rPr>
        <w:t xml:space="preserve">, S., </w:t>
      </w:r>
      <w:proofErr w:type="spellStart"/>
      <w:r w:rsidR="00B478AF">
        <w:rPr>
          <w:rFonts w:ascii="Times New Roman" w:hAnsi="Times New Roman" w:cs="Times New Roman"/>
          <w:color w:val="131413"/>
          <w:sz w:val="24"/>
          <w:szCs w:val="24"/>
        </w:rPr>
        <w:t>Soucy</w:t>
      </w:r>
      <w:proofErr w:type="spellEnd"/>
      <w:r w:rsidR="00B478AF">
        <w:rPr>
          <w:rFonts w:ascii="Times New Roman" w:hAnsi="Times New Roman" w:cs="Times New Roman"/>
          <w:color w:val="131413"/>
          <w:sz w:val="24"/>
          <w:szCs w:val="24"/>
        </w:rPr>
        <w:t xml:space="preserve">, G. and </w:t>
      </w:r>
      <w:proofErr w:type="spellStart"/>
      <w:r w:rsidR="00B478AF">
        <w:rPr>
          <w:rFonts w:ascii="Times New Roman" w:hAnsi="Times New Roman" w:cs="Times New Roman"/>
          <w:color w:val="131413"/>
          <w:sz w:val="24"/>
          <w:szCs w:val="24"/>
        </w:rPr>
        <w:t>Bouin</w:t>
      </w:r>
      <w:proofErr w:type="spellEnd"/>
      <w:r w:rsidR="00B478AF">
        <w:rPr>
          <w:rFonts w:ascii="Times New Roman" w:hAnsi="Times New Roman" w:cs="Times New Roman"/>
          <w:color w:val="131413"/>
          <w:sz w:val="24"/>
          <w:szCs w:val="24"/>
        </w:rPr>
        <w:t xml:space="preserve">, M. (2020). “The prevalence of </w:t>
      </w:r>
      <w:r w:rsidR="00B478AF">
        <w:rPr>
          <w:rFonts w:ascii="Times New Roman" w:hAnsi="Times New Roman" w:cs="Times New Roman"/>
          <w:i/>
          <w:color w:val="131413"/>
          <w:sz w:val="24"/>
          <w:szCs w:val="24"/>
        </w:rPr>
        <w:t>Helicobacter pylori</w:t>
      </w:r>
      <w:r w:rsidR="00B478AF">
        <w:rPr>
          <w:rFonts w:ascii="Times New Roman" w:hAnsi="Times New Roman" w:cs="Times New Roman"/>
          <w:color w:val="131413"/>
          <w:sz w:val="24"/>
          <w:szCs w:val="24"/>
        </w:rPr>
        <w:t xml:space="preserve"> infection in a quaternary hospital in Canada,” </w:t>
      </w:r>
      <w:r w:rsidR="00B478AF">
        <w:rPr>
          <w:rFonts w:ascii="Times New Roman" w:hAnsi="Times New Roman" w:cs="Times New Roman"/>
          <w:i/>
          <w:color w:val="131413"/>
          <w:sz w:val="24"/>
          <w:szCs w:val="24"/>
        </w:rPr>
        <w:t xml:space="preserve">Journal of Clinical Medical Research, </w:t>
      </w:r>
      <w:r w:rsidR="00B478AF">
        <w:rPr>
          <w:rFonts w:ascii="Times New Roman" w:hAnsi="Times New Roman" w:cs="Times New Roman"/>
          <w:b/>
          <w:color w:val="131413"/>
          <w:sz w:val="24"/>
          <w:szCs w:val="24"/>
        </w:rPr>
        <w:t>12</w:t>
      </w:r>
      <w:r w:rsidR="00B478AF">
        <w:rPr>
          <w:rFonts w:ascii="Times New Roman" w:hAnsi="Times New Roman" w:cs="Times New Roman"/>
          <w:color w:val="131413"/>
          <w:sz w:val="24"/>
          <w:szCs w:val="24"/>
        </w:rPr>
        <w:t xml:space="preserve"> (11): 687–692.</w:t>
      </w:r>
    </w:p>
    <w:p w:rsidR="00223847" w:rsidRDefault="00223847" w:rsidP="00223847">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 xml:space="preserve">12. </w:t>
      </w:r>
      <w:r w:rsidR="00E51766">
        <w:rPr>
          <w:rFonts w:ascii="Times New Roman" w:hAnsi="Times New Roman" w:cs="Times New Roman"/>
          <w:sz w:val="24"/>
          <w:szCs w:val="24"/>
        </w:rPr>
        <w:t xml:space="preserve"> </w:t>
      </w:r>
      <w:proofErr w:type="spellStart"/>
      <w:r>
        <w:rPr>
          <w:rFonts w:ascii="Times New Roman" w:hAnsi="Times New Roman" w:cs="Times New Roman"/>
          <w:color w:val="131413"/>
          <w:sz w:val="24"/>
          <w:szCs w:val="24"/>
        </w:rPr>
        <w:t>Kayali</w:t>
      </w:r>
      <w:proofErr w:type="spellEnd"/>
      <w:r>
        <w:rPr>
          <w:rFonts w:ascii="Times New Roman" w:hAnsi="Times New Roman" w:cs="Times New Roman"/>
          <w:color w:val="131413"/>
          <w:sz w:val="24"/>
          <w:szCs w:val="24"/>
        </w:rPr>
        <w:t xml:space="preserve">, S., </w:t>
      </w:r>
      <w:proofErr w:type="spellStart"/>
      <w:r>
        <w:rPr>
          <w:rFonts w:ascii="Times New Roman" w:hAnsi="Times New Roman" w:cs="Times New Roman"/>
          <w:color w:val="131413"/>
          <w:sz w:val="24"/>
          <w:szCs w:val="24"/>
        </w:rPr>
        <w:t>Manfredi</w:t>
      </w:r>
      <w:proofErr w:type="spellEnd"/>
      <w:r>
        <w:rPr>
          <w:rFonts w:ascii="Times New Roman" w:hAnsi="Times New Roman" w:cs="Times New Roman"/>
          <w:color w:val="131413"/>
          <w:sz w:val="24"/>
          <w:szCs w:val="24"/>
        </w:rPr>
        <w:t xml:space="preserve">, M. and </w:t>
      </w:r>
      <w:proofErr w:type="spellStart"/>
      <w:r>
        <w:rPr>
          <w:rFonts w:ascii="Times New Roman" w:hAnsi="Times New Roman" w:cs="Times New Roman"/>
          <w:color w:val="131413"/>
          <w:sz w:val="24"/>
          <w:szCs w:val="24"/>
        </w:rPr>
        <w:t>Gaiani</w:t>
      </w:r>
      <w:proofErr w:type="spellEnd"/>
      <w:r>
        <w:rPr>
          <w:rFonts w:ascii="Times New Roman" w:hAnsi="Times New Roman" w:cs="Times New Roman"/>
          <w:color w:val="131413"/>
          <w:sz w:val="24"/>
          <w:szCs w:val="24"/>
        </w:rPr>
        <w:t xml:space="preserve">, F. (2018). </w:t>
      </w:r>
      <w:r>
        <w:rPr>
          <w:rFonts w:ascii="Times New Roman" w:hAnsi="Times New Roman" w:cs="Times New Roman"/>
          <w:i/>
          <w:color w:val="131413"/>
          <w:sz w:val="24"/>
          <w:szCs w:val="24"/>
        </w:rPr>
        <w:t>“Helicobacter pylori</w:t>
      </w:r>
      <w:r>
        <w:rPr>
          <w:rFonts w:ascii="Times New Roman" w:hAnsi="Times New Roman" w:cs="Times New Roman"/>
          <w:color w:val="131413"/>
          <w:sz w:val="24"/>
          <w:szCs w:val="24"/>
        </w:rPr>
        <w:t xml:space="preserve">, transmission routes and recurrence of infection: state of the art,” </w:t>
      </w:r>
      <w:proofErr w:type="spellStart"/>
      <w:r>
        <w:rPr>
          <w:rFonts w:ascii="Times New Roman" w:hAnsi="Times New Roman" w:cs="Times New Roman"/>
          <w:i/>
          <w:color w:val="131413"/>
          <w:sz w:val="24"/>
          <w:szCs w:val="24"/>
        </w:rPr>
        <w:t>Acta</w:t>
      </w:r>
      <w:proofErr w:type="spellEnd"/>
      <w:r>
        <w:rPr>
          <w:rFonts w:ascii="Times New Roman" w:hAnsi="Times New Roman" w:cs="Times New Roman"/>
          <w:i/>
          <w:color w:val="131413"/>
          <w:sz w:val="24"/>
          <w:szCs w:val="24"/>
        </w:rPr>
        <w:t xml:space="preserve"> Bio </w:t>
      </w:r>
      <w:proofErr w:type="spellStart"/>
      <w:r>
        <w:rPr>
          <w:rFonts w:ascii="Times New Roman" w:hAnsi="Times New Roman" w:cs="Times New Roman"/>
          <w:i/>
          <w:color w:val="131413"/>
          <w:sz w:val="24"/>
          <w:szCs w:val="24"/>
        </w:rPr>
        <w:t>Medica</w:t>
      </w:r>
      <w:proofErr w:type="spellEnd"/>
      <w:r>
        <w:rPr>
          <w:rFonts w:ascii="Times New Roman" w:hAnsi="Times New Roman" w:cs="Times New Roman"/>
          <w:color w:val="131413"/>
          <w:sz w:val="24"/>
          <w:szCs w:val="24"/>
        </w:rPr>
        <w:t xml:space="preserve">, </w:t>
      </w:r>
      <w:r>
        <w:rPr>
          <w:rFonts w:ascii="Times New Roman" w:hAnsi="Times New Roman" w:cs="Times New Roman"/>
          <w:b/>
          <w:color w:val="131413"/>
          <w:sz w:val="24"/>
          <w:szCs w:val="24"/>
        </w:rPr>
        <w:t>89</w:t>
      </w:r>
      <w:r>
        <w:rPr>
          <w:rFonts w:ascii="Times New Roman" w:hAnsi="Times New Roman" w:cs="Times New Roman"/>
          <w:color w:val="131413"/>
          <w:sz w:val="24"/>
          <w:szCs w:val="24"/>
        </w:rPr>
        <w:t xml:space="preserve"> (8): 72–76.</w:t>
      </w:r>
    </w:p>
    <w:p w:rsidR="00223847" w:rsidRDefault="00223847" w:rsidP="00223847">
      <w:pPr>
        <w:autoSpaceDE w:val="0"/>
        <w:autoSpaceDN w:val="0"/>
        <w:adjustRightInd w:val="0"/>
        <w:spacing w:after="0" w:line="240" w:lineRule="auto"/>
        <w:ind w:left="720" w:hanging="720"/>
        <w:jc w:val="both"/>
        <w:rPr>
          <w:rFonts w:ascii="Times New Roman" w:hAnsi="Times New Roman" w:cs="Times New Roman"/>
          <w:color w:val="131413"/>
          <w:sz w:val="24"/>
          <w:szCs w:val="24"/>
        </w:rPr>
      </w:pPr>
      <w:r>
        <w:rPr>
          <w:rFonts w:ascii="Times New Roman" w:hAnsi="Times New Roman" w:cs="Times New Roman"/>
          <w:sz w:val="24"/>
          <w:szCs w:val="24"/>
        </w:rPr>
        <w:t>13.</w:t>
      </w:r>
      <w:r>
        <w:rPr>
          <w:rFonts w:ascii="Times New Roman" w:hAnsi="Times New Roman" w:cs="Times New Roman"/>
          <w:color w:val="131413"/>
          <w:sz w:val="24"/>
          <w:szCs w:val="24"/>
        </w:rPr>
        <w:t xml:space="preserve"> </w:t>
      </w:r>
      <w:proofErr w:type="spellStart"/>
      <w:r>
        <w:rPr>
          <w:rFonts w:ascii="Times New Roman" w:hAnsi="Times New Roman" w:cs="Times New Roman"/>
          <w:color w:val="131413"/>
          <w:sz w:val="24"/>
          <w:szCs w:val="24"/>
        </w:rPr>
        <w:t>Yılmaz</w:t>
      </w:r>
      <w:proofErr w:type="spellEnd"/>
      <w:r>
        <w:rPr>
          <w:rFonts w:ascii="Times New Roman" w:hAnsi="Times New Roman" w:cs="Times New Roman"/>
          <w:color w:val="131413"/>
          <w:sz w:val="24"/>
          <w:szCs w:val="24"/>
        </w:rPr>
        <w:t xml:space="preserve">, T., </w:t>
      </w:r>
      <w:proofErr w:type="spellStart"/>
      <w:r>
        <w:rPr>
          <w:rFonts w:ascii="Times New Roman" w:hAnsi="Times New Roman" w:cs="Times New Roman"/>
          <w:color w:val="131413"/>
          <w:sz w:val="24"/>
          <w:szCs w:val="24"/>
        </w:rPr>
        <w:t>Bajin</w:t>
      </w:r>
      <w:proofErr w:type="spellEnd"/>
      <w:r>
        <w:rPr>
          <w:rFonts w:ascii="Times New Roman" w:hAnsi="Times New Roman" w:cs="Times New Roman"/>
          <w:color w:val="131413"/>
          <w:sz w:val="24"/>
          <w:szCs w:val="24"/>
        </w:rPr>
        <w:t xml:space="preserve">, M. D., </w:t>
      </w:r>
      <w:proofErr w:type="spellStart"/>
      <w:r>
        <w:rPr>
          <w:rFonts w:ascii="Times New Roman" w:hAnsi="Times New Roman" w:cs="Times New Roman"/>
          <w:color w:val="131413"/>
          <w:sz w:val="24"/>
          <w:szCs w:val="24"/>
        </w:rPr>
        <w:t>Günaydın</w:t>
      </w:r>
      <w:proofErr w:type="spellEnd"/>
      <w:r>
        <w:rPr>
          <w:rFonts w:ascii="Times New Roman" w:hAnsi="Times New Roman" w:cs="Times New Roman"/>
          <w:color w:val="131413"/>
          <w:sz w:val="24"/>
          <w:szCs w:val="24"/>
        </w:rPr>
        <w:t xml:space="preserve">, R., </w:t>
      </w:r>
      <w:proofErr w:type="spellStart"/>
      <w:r>
        <w:rPr>
          <w:rFonts w:ascii="Times New Roman" w:hAnsi="Times New Roman" w:cs="Times New Roman"/>
          <w:color w:val="131413"/>
          <w:sz w:val="24"/>
          <w:szCs w:val="24"/>
        </w:rPr>
        <w:t>Ozer</w:t>
      </w:r>
      <w:proofErr w:type="spellEnd"/>
      <w:r>
        <w:rPr>
          <w:rFonts w:ascii="Times New Roman" w:hAnsi="Times New Roman" w:cs="Times New Roman"/>
          <w:color w:val="131413"/>
          <w:sz w:val="24"/>
          <w:szCs w:val="24"/>
        </w:rPr>
        <w:t xml:space="preserve">, S. and </w:t>
      </w:r>
      <w:proofErr w:type="spellStart"/>
      <w:r>
        <w:rPr>
          <w:rFonts w:ascii="Times New Roman" w:hAnsi="Times New Roman" w:cs="Times New Roman"/>
          <w:color w:val="131413"/>
          <w:sz w:val="24"/>
          <w:szCs w:val="24"/>
        </w:rPr>
        <w:t>Sözen</w:t>
      </w:r>
      <w:proofErr w:type="spellEnd"/>
      <w:r>
        <w:rPr>
          <w:rFonts w:ascii="Times New Roman" w:hAnsi="Times New Roman" w:cs="Times New Roman"/>
          <w:color w:val="131413"/>
          <w:sz w:val="24"/>
          <w:szCs w:val="24"/>
        </w:rPr>
        <w:t xml:space="preserve">, T. (2014). </w:t>
      </w:r>
      <w:proofErr w:type="spellStart"/>
      <w:r>
        <w:rPr>
          <w:rFonts w:ascii="Times New Roman" w:hAnsi="Times New Roman" w:cs="Times New Roman"/>
          <w:color w:val="131413"/>
          <w:sz w:val="24"/>
          <w:szCs w:val="24"/>
        </w:rPr>
        <w:t>Laryngopharyngeal</w:t>
      </w:r>
      <w:proofErr w:type="spellEnd"/>
      <w:r>
        <w:rPr>
          <w:rFonts w:ascii="Times New Roman" w:hAnsi="Times New Roman" w:cs="Times New Roman"/>
          <w:color w:val="131413"/>
          <w:sz w:val="24"/>
          <w:szCs w:val="24"/>
        </w:rPr>
        <w:t xml:space="preserve"> reflux and </w:t>
      </w:r>
      <w:r>
        <w:rPr>
          <w:rFonts w:ascii="Times New Roman" w:hAnsi="Times New Roman" w:cs="Times New Roman"/>
          <w:i/>
          <w:color w:val="131413"/>
          <w:sz w:val="24"/>
          <w:szCs w:val="24"/>
        </w:rPr>
        <w:t>Helicobacter pylori</w:t>
      </w:r>
      <w:r>
        <w:rPr>
          <w:rFonts w:ascii="Times New Roman" w:hAnsi="Times New Roman" w:cs="Times New Roman"/>
          <w:color w:val="131413"/>
          <w:sz w:val="24"/>
          <w:szCs w:val="24"/>
        </w:rPr>
        <w:t xml:space="preserve">, </w:t>
      </w:r>
      <w:r>
        <w:rPr>
          <w:rFonts w:ascii="Times New Roman" w:hAnsi="Times New Roman" w:cs="Times New Roman"/>
          <w:i/>
          <w:color w:val="131413"/>
          <w:sz w:val="24"/>
          <w:szCs w:val="24"/>
        </w:rPr>
        <w:t>World Journal of Gastroenterology</w:t>
      </w:r>
      <w:r>
        <w:rPr>
          <w:rFonts w:ascii="Times New Roman" w:hAnsi="Times New Roman" w:cs="Times New Roman"/>
          <w:color w:val="131413"/>
          <w:sz w:val="24"/>
          <w:szCs w:val="24"/>
        </w:rPr>
        <w:t xml:space="preserve">, </w:t>
      </w:r>
      <w:r>
        <w:rPr>
          <w:rFonts w:ascii="Times New Roman" w:hAnsi="Times New Roman" w:cs="Times New Roman"/>
          <w:b/>
          <w:color w:val="131413"/>
          <w:sz w:val="24"/>
          <w:szCs w:val="24"/>
        </w:rPr>
        <w:t xml:space="preserve">20 </w:t>
      </w:r>
      <w:r>
        <w:rPr>
          <w:rFonts w:ascii="Times New Roman" w:hAnsi="Times New Roman" w:cs="Times New Roman"/>
          <w:color w:val="131413"/>
          <w:sz w:val="24"/>
          <w:szCs w:val="24"/>
        </w:rPr>
        <w:t>(27): 8964–8970.</w:t>
      </w:r>
    </w:p>
    <w:p w:rsidR="00223847" w:rsidRDefault="00223847" w:rsidP="00223847">
      <w:pPr>
        <w:autoSpaceDE w:val="0"/>
        <w:autoSpaceDN w:val="0"/>
        <w:adjustRightInd w:val="0"/>
        <w:spacing w:after="0" w:line="240" w:lineRule="auto"/>
        <w:ind w:left="720" w:hanging="720"/>
        <w:jc w:val="both"/>
        <w:rPr>
          <w:rFonts w:ascii="Times New Roman" w:eastAsia="GaramondMTStd-Regular" w:hAnsi="Times New Roman" w:cs="Times New Roman"/>
          <w:iCs/>
          <w:sz w:val="24"/>
          <w:szCs w:val="24"/>
        </w:rPr>
      </w:pPr>
      <w:r>
        <w:rPr>
          <w:rFonts w:ascii="Times New Roman" w:hAnsi="Times New Roman" w:cs="Times New Roman"/>
          <w:color w:val="131413"/>
          <w:sz w:val="24"/>
          <w:szCs w:val="24"/>
        </w:rPr>
        <w:t xml:space="preserve"> 14. </w:t>
      </w:r>
      <w:proofErr w:type="spellStart"/>
      <w:r>
        <w:rPr>
          <w:rFonts w:ascii="Times New Roman" w:eastAsia="TimesNewRomanPSMT" w:hAnsi="Times New Roman" w:cs="Times New Roman"/>
          <w:sz w:val="24"/>
          <w:szCs w:val="24"/>
        </w:rPr>
        <w:t>Geraghty</w:t>
      </w:r>
      <w:proofErr w:type="spellEnd"/>
      <w:r>
        <w:rPr>
          <w:rFonts w:ascii="Times New Roman" w:eastAsia="TimesNewRomanPSMT" w:hAnsi="Times New Roman" w:cs="Times New Roman"/>
          <w:sz w:val="24"/>
          <w:szCs w:val="24"/>
        </w:rPr>
        <w:t xml:space="preserve">, J., Thumbs A., </w:t>
      </w:r>
      <w:proofErr w:type="spellStart"/>
      <w:r>
        <w:rPr>
          <w:rFonts w:ascii="Times New Roman" w:eastAsia="TimesNewRomanPSMT" w:hAnsi="Times New Roman" w:cs="Times New Roman"/>
          <w:sz w:val="24"/>
          <w:szCs w:val="24"/>
        </w:rPr>
        <w:t>Kankwatira</w:t>
      </w:r>
      <w:proofErr w:type="spellEnd"/>
      <w:r>
        <w:rPr>
          <w:rFonts w:ascii="Times New Roman" w:eastAsia="TimesNewRomanPSMT" w:hAnsi="Times New Roman" w:cs="Times New Roman"/>
          <w:sz w:val="24"/>
          <w:szCs w:val="24"/>
        </w:rPr>
        <w:t xml:space="preserve"> A., Andrews T., Moore A. and </w:t>
      </w:r>
      <w:proofErr w:type="spellStart"/>
      <w:r>
        <w:rPr>
          <w:rFonts w:ascii="Times New Roman" w:eastAsia="TimesNewRomanPSMT" w:hAnsi="Times New Roman" w:cs="Times New Roman"/>
          <w:sz w:val="24"/>
          <w:szCs w:val="24"/>
        </w:rPr>
        <w:t>Malamba</w:t>
      </w:r>
      <w:proofErr w:type="spellEnd"/>
      <w:r>
        <w:rPr>
          <w:rFonts w:ascii="Times New Roman" w:eastAsia="TimesNewRomanPSMT" w:hAnsi="Times New Roman" w:cs="Times New Roman"/>
          <w:sz w:val="24"/>
          <w:szCs w:val="24"/>
        </w:rPr>
        <w:t xml:space="preserve"> R. (2015). </w:t>
      </w:r>
      <w:r>
        <w:rPr>
          <w:rFonts w:ascii="Times New Roman" w:eastAsia="TimesNewRomanPSMT" w:hAnsi="Times New Roman" w:cs="Times New Roman"/>
          <w:i/>
          <w:sz w:val="24"/>
          <w:szCs w:val="24"/>
        </w:rPr>
        <w:t xml:space="preserve">Helicobacter </w:t>
      </w:r>
      <w:r>
        <w:rPr>
          <w:rFonts w:ascii="Times New Roman" w:eastAsia="GaramondMTStd-Regular" w:hAnsi="Times New Roman" w:cs="Times New Roman"/>
          <w:i/>
          <w:iCs/>
          <w:sz w:val="24"/>
          <w:szCs w:val="24"/>
        </w:rPr>
        <w:t xml:space="preserve">pylori, </w:t>
      </w:r>
      <w:r>
        <w:rPr>
          <w:rFonts w:ascii="Times New Roman" w:eastAsia="GaramondMTStd-Regular" w:hAnsi="Times New Roman" w:cs="Times New Roman"/>
          <w:iCs/>
          <w:sz w:val="24"/>
          <w:szCs w:val="24"/>
        </w:rPr>
        <w:t xml:space="preserve">HIV and Gastric </w:t>
      </w:r>
      <w:proofErr w:type="spellStart"/>
      <w:r>
        <w:rPr>
          <w:rFonts w:ascii="Times New Roman" w:eastAsia="GaramondMTStd-Regular" w:hAnsi="Times New Roman" w:cs="Times New Roman"/>
          <w:iCs/>
          <w:sz w:val="24"/>
          <w:szCs w:val="24"/>
        </w:rPr>
        <w:t>Hydrochlorhydria</w:t>
      </w:r>
      <w:proofErr w:type="spellEnd"/>
      <w:r>
        <w:rPr>
          <w:rFonts w:ascii="Times New Roman" w:eastAsia="GaramondMTStd-Regular" w:hAnsi="Times New Roman" w:cs="Times New Roman"/>
          <w:iCs/>
          <w:sz w:val="24"/>
          <w:szCs w:val="24"/>
        </w:rPr>
        <w:t xml:space="preserve"> in the Malawian population, Public Library of Science One, </w:t>
      </w:r>
      <w:r>
        <w:rPr>
          <w:rFonts w:ascii="Times New Roman" w:eastAsia="GaramondMTStd-Regular" w:hAnsi="Times New Roman" w:cs="Times New Roman"/>
          <w:b/>
          <w:iCs/>
          <w:sz w:val="24"/>
          <w:szCs w:val="24"/>
        </w:rPr>
        <w:t>10</w:t>
      </w:r>
      <w:r>
        <w:rPr>
          <w:rFonts w:ascii="Times New Roman" w:eastAsia="GaramondMTStd-Regular" w:hAnsi="Times New Roman" w:cs="Times New Roman"/>
          <w:iCs/>
          <w:sz w:val="24"/>
          <w:szCs w:val="24"/>
        </w:rPr>
        <w:t xml:space="preserve"> (8), 0132043.</w:t>
      </w:r>
    </w:p>
    <w:p w:rsidR="00223847" w:rsidRDefault="00223847" w:rsidP="00223847">
      <w:pPr>
        <w:autoSpaceDE w:val="0"/>
        <w:autoSpaceDN w:val="0"/>
        <w:adjustRightInd w:val="0"/>
        <w:spacing w:after="0" w:line="240" w:lineRule="auto"/>
        <w:ind w:left="720" w:hanging="720"/>
        <w:jc w:val="both"/>
        <w:rPr>
          <w:rFonts w:ascii="Times New Roman" w:eastAsia="GaramondMTStd-Regular" w:hAnsi="Times New Roman" w:cs="Times New Roman"/>
          <w:sz w:val="24"/>
          <w:szCs w:val="24"/>
        </w:rPr>
      </w:pPr>
      <w:r>
        <w:rPr>
          <w:rFonts w:ascii="Times New Roman" w:hAnsi="Times New Roman" w:cs="Times New Roman"/>
          <w:color w:val="131413"/>
          <w:sz w:val="24"/>
          <w:szCs w:val="24"/>
        </w:rPr>
        <w:t xml:space="preserve"> 15. </w:t>
      </w:r>
      <w:r>
        <w:rPr>
          <w:rFonts w:ascii="Times New Roman" w:eastAsia="GaramondMTStd-Regular" w:hAnsi="Times New Roman" w:cs="Times New Roman"/>
          <w:sz w:val="24"/>
          <w:szCs w:val="24"/>
        </w:rPr>
        <w:t xml:space="preserve">Smith, S., </w:t>
      </w:r>
      <w:proofErr w:type="spellStart"/>
      <w:r>
        <w:rPr>
          <w:rFonts w:ascii="Times New Roman" w:eastAsia="GaramondMTStd-Regular" w:hAnsi="Times New Roman" w:cs="Times New Roman"/>
          <w:sz w:val="24"/>
          <w:szCs w:val="24"/>
        </w:rPr>
        <w:t>Fowora</w:t>
      </w:r>
      <w:proofErr w:type="spellEnd"/>
      <w:r>
        <w:rPr>
          <w:rFonts w:ascii="Times New Roman" w:eastAsia="GaramondMTStd-Regular" w:hAnsi="Times New Roman" w:cs="Times New Roman"/>
          <w:sz w:val="24"/>
          <w:szCs w:val="24"/>
        </w:rPr>
        <w:t xml:space="preserve"> M. and </w:t>
      </w:r>
      <w:proofErr w:type="spellStart"/>
      <w:r>
        <w:rPr>
          <w:rFonts w:ascii="Times New Roman" w:eastAsia="GaramondMTStd-Regular" w:hAnsi="Times New Roman" w:cs="Times New Roman"/>
          <w:sz w:val="24"/>
          <w:szCs w:val="24"/>
        </w:rPr>
        <w:t>Pellicano</w:t>
      </w:r>
      <w:proofErr w:type="spellEnd"/>
      <w:r>
        <w:rPr>
          <w:rFonts w:ascii="Times New Roman" w:eastAsia="GaramondMTStd-Regular" w:hAnsi="Times New Roman" w:cs="Times New Roman"/>
          <w:sz w:val="24"/>
          <w:szCs w:val="24"/>
        </w:rPr>
        <w:t xml:space="preserve"> R. (2019). Infections with </w:t>
      </w:r>
      <w:r>
        <w:rPr>
          <w:rFonts w:ascii="Times New Roman" w:eastAsia="GaramondMTStd-Regular" w:hAnsi="Times New Roman" w:cs="Times New Roman"/>
          <w:i/>
          <w:iCs/>
          <w:sz w:val="24"/>
          <w:szCs w:val="24"/>
        </w:rPr>
        <w:t xml:space="preserve">Helicobacter pylori </w:t>
      </w:r>
      <w:r>
        <w:rPr>
          <w:rFonts w:ascii="Times New Roman" w:eastAsia="GaramondMTStd-Regular" w:hAnsi="Times New Roman" w:cs="Times New Roman"/>
          <w:sz w:val="24"/>
          <w:szCs w:val="24"/>
        </w:rPr>
        <w:t xml:space="preserve">and challenges encountered in </w:t>
      </w:r>
      <w:r>
        <w:rPr>
          <w:rFonts w:ascii="Times New Roman" w:eastAsia="GaramondMTStd-Regular" w:hAnsi="Times New Roman" w:cs="Times New Roman"/>
          <w:i/>
          <w:sz w:val="24"/>
          <w:szCs w:val="24"/>
        </w:rPr>
        <w:t>African World Journal of Gastroenterology</w:t>
      </w:r>
      <w:r>
        <w:rPr>
          <w:rFonts w:ascii="Times New Roman" w:eastAsia="GaramondMTStd-Regular" w:hAnsi="Times New Roman" w:cs="Times New Roman"/>
          <w:sz w:val="24"/>
          <w:szCs w:val="24"/>
        </w:rPr>
        <w:t xml:space="preserve">, </w:t>
      </w:r>
      <w:r>
        <w:rPr>
          <w:rFonts w:ascii="Times New Roman" w:eastAsia="GaramondMTStd-Regular" w:hAnsi="Times New Roman" w:cs="Times New Roman"/>
          <w:b/>
          <w:sz w:val="24"/>
          <w:szCs w:val="24"/>
        </w:rPr>
        <w:t>25</w:t>
      </w:r>
      <w:r>
        <w:rPr>
          <w:rFonts w:ascii="Times New Roman" w:eastAsia="GaramondMTStd-Regular" w:hAnsi="Times New Roman" w:cs="Times New Roman"/>
          <w:sz w:val="24"/>
          <w:szCs w:val="24"/>
        </w:rPr>
        <w:t>:3183-3195.</w:t>
      </w:r>
    </w:p>
    <w:p w:rsidR="00223847" w:rsidRDefault="00223847" w:rsidP="00223847">
      <w:pPr>
        <w:autoSpaceDE w:val="0"/>
        <w:autoSpaceDN w:val="0"/>
        <w:adjustRightInd w:val="0"/>
        <w:spacing w:after="0" w:line="240" w:lineRule="auto"/>
        <w:ind w:left="720" w:hanging="720"/>
        <w:jc w:val="both"/>
        <w:rPr>
          <w:rFonts w:ascii="Times New Roman" w:eastAsia="GaramondMTStd-Regular" w:hAnsi="Times New Roman" w:cs="Times New Roman"/>
          <w:sz w:val="24"/>
          <w:szCs w:val="24"/>
        </w:rPr>
      </w:pPr>
      <w:r>
        <w:rPr>
          <w:rFonts w:ascii="Times New Roman" w:eastAsia="GaramondMTStd-Regular" w:hAnsi="Times New Roman" w:cs="Times New Roman"/>
          <w:iCs/>
          <w:sz w:val="24"/>
          <w:szCs w:val="24"/>
        </w:rPr>
        <w:t xml:space="preserve"> 16. </w:t>
      </w:r>
      <w:r>
        <w:rPr>
          <w:rFonts w:ascii="Times New Roman" w:eastAsia="GaramondMTStd-Regular" w:hAnsi="Times New Roman" w:cs="Times New Roman"/>
          <w:sz w:val="24"/>
          <w:szCs w:val="24"/>
        </w:rPr>
        <w:t xml:space="preserve">Smith, S.I., </w:t>
      </w:r>
      <w:proofErr w:type="spellStart"/>
      <w:r>
        <w:rPr>
          <w:rFonts w:ascii="Times New Roman" w:eastAsia="GaramondMTStd-Regular" w:hAnsi="Times New Roman" w:cs="Times New Roman"/>
          <w:sz w:val="24"/>
          <w:szCs w:val="24"/>
        </w:rPr>
        <w:t>Ajayi</w:t>
      </w:r>
      <w:proofErr w:type="spellEnd"/>
      <w:r>
        <w:rPr>
          <w:rFonts w:ascii="Times New Roman" w:eastAsia="GaramondMTStd-Regular" w:hAnsi="Times New Roman" w:cs="Times New Roman"/>
          <w:sz w:val="24"/>
          <w:szCs w:val="24"/>
        </w:rPr>
        <w:t xml:space="preserve"> A., </w:t>
      </w:r>
      <w:proofErr w:type="spellStart"/>
      <w:r>
        <w:rPr>
          <w:rFonts w:ascii="Times New Roman" w:eastAsia="GaramondMTStd-Regular" w:hAnsi="Times New Roman" w:cs="Times New Roman"/>
          <w:sz w:val="24"/>
          <w:szCs w:val="24"/>
        </w:rPr>
        <w:t>Jolaiya</w:t>
      </w:r>
      <w:proofErr w:type="spellEnd"/>
      <w:r>
        <w:rPr>
          <w:rFonts w:ascii="Times New Roman" w:eastAsia="GaramondMTStd-Regular" w:hAnsi="Times New Roman" w:cs="Times New Roman"/>
          <w:sz w:val="24"/>
          <w:szCs w:val="24"/>
        </w:rPr>
        <w:t xml:space="preserve"> T., </w:t>
      </w:r>
      <w:proofErr w:type="spellStart"/>
      <w:r>
        <w:rPr>
          <w:rFonts w:ascii="Times New Roman" w:eastAsia="GaramondMTStd-Regular" w:hAnsi="Times New Roman" w:cs="Times New Roman"/>
          <w:sz w:val="24"/>
          <w:szCs w:val="24"/>
        </w:rPr>
        <w:t>Onyekwere</w:t>
      </w:r>
      <w:proofErr w:type="spellEnd"/>
      <w:r>
        <w:rPr>
          <w:rFonts w:ascii="Times New Roman" w:eastAsia="GaramondMTStd-Regular" w:hAnsi="Times New Roman" w:cs="Times New Roman"/>
          <w:sz w:val="24"/>
          <w:szCs w:val="24"/>
        </w:rPr>
        <w:t xml:space="preserve"> C., </w:t>
      </w:r>
      <w:proofErr w:type="spellStart"/>
      <w:r>
        <w:rPr>
          <w:rFonts w:ascii="Times New Roman" w:eastAsia="GaramondMTStd-Regular" w:hAnsi="Times New Roman" w:cs="Times New Roman"/>
          <w:sz w:val="24"/>
          <w:szCs w:val="24"/>
        </w:rPr>
        <w:t>Setshedi</w:t>
      </w:r>
      <w:proofErr w:type="spellEnd"/>
      <w:r>
        <w:rPr>
          <w:rFonts w:ascii="Times New Roman" w:eastAsia="GaramondMTStd-Regular" w:hAnsi="Times New Roman" w:cs="Times New Roman"/>
          <w:sz w:val="24"/>
          <w:szCs w:val="24"/>
        </w:rPr>
        <w:t xml:space="preserve"> M., Schulz C, </w:t>
      </w:r>
      <w:r>
        <w:rPr>
          <w:rFonts w:ascii="Times New Roman" w:eastAsia="GaramondMTStd-Regular" w:hAnsi="Times New Roman" w:cs="Times New Roman"/>
          <w:i/>
          <w:iCs/>
          <w:sz w:val="24"/>
          <w:szCs w:val="24"/>
        </w:rPr>
        <w:t>et al</w:t>
      </w:r>
      <w:r>
        <w:rPr>
          <w:rFonts w:ascii="Times New Roman" w:eastAsia="GaramondMTStd-Regular" w:hAnsi="Times New Roman" w:cs="Times New Roman"/>
          <w:sz w:val="24"/>
          <w:szCs w:val="24"/>
        </w:rPr>
        <w:t xml:space="preserve">. (2022). </w:t>
      </w:r>
      <w:r>
        <w:rPr>
          <w:rFonts w:ascii="Times New Roman" w:eastAsia="GaramondMTStd-Regular" w:hAnsi="Times New Roman" w:cs="Times New Roman"/>
          <w:i/>
          <w:iCs/>
          <w:sz w:val="24"/>
          <w:szCs w:val="24"/>
        </w:rPr>
        <w:t xml:space="preserve">Helicobacter pylori </w:t>
      </w:r>
      <w:r>
        <w:rPr>
          <w:rFonts w:ascii="Times New Roman" w:eastAsia="GaramondMTStd-Regular" w:hAnsi="Times New Roman" w:cs="Times New Roman"/>
          <w:sz w:val="24"/>
          <w:szCs w:val="24"/>
        </w:rPr>
        <w:t xml:space="preserve">infection in Africa: Update of the current situation and challenges. </w:t>
      </w:r>
      <w:r>
        <w:rPr>
          <w:rFonts w:ascii="Times New Roman" w:eastAsia="GaramondMTStd-Regular" w:hAnsi="Times New Roman" w:cs="Times New Roman"/>
          <w:i/>
          <w:sz w:val="24"/>
          <w:szCs w:val="24"/>
        </w:rPr>
        <w:t>Diagnosis Disease</w:t>
      </w:r>
      <w:r>
        <w:rPr>
          <w:rFonts w:ascii="Times New Roman" w:eastAsia="GaramondMTStd-Regular" w:hAnsi="Times New Roman" w:cs="Times New Roman"/>
          <w:sz w:val="24"/>
          <w:szCs w:val="24"/>
        </w:rPr>
        <w:t xml:space="preserve">, </w:t>
      </w:r>
      <w:r>
        <w:rPr>
          <w:rFonts w:ascii="Times New Roman" w:eastAsia="GaramondMTStd-Regular" w:hAnsi="Times New Roman" w:cs="Times New Roman"/>
          <w:b/>
          <w:sz w:val="24"/>
          <w:szCs w:val="24"/>
        </w:rPr>
        <w:t>40</w:t>
      </w:r>
      <w:r>
        <w:rPr>
          <w:rFonts w:ascii="Times New Roman" w:eastAsia="GaramondMTStd-Regular" w:hAnsi="Times New Roman" w:cs="Times New Roman"/>
          <w:sz w:val="24"/>
          <w:szCs w:val="24"/>
        </w:rPr>
        <w:t>:535-44.</w:t>
      </w:r>
    </w:p>
    <w:p w:rsidR="004F00A5" w:rsidRDefault="00223847" w:rsidP="004F00A5">
      <w:pPr>
        <w:spacing w:after="0" w:line="240" w:lineRule="auto"/>
        <w:ind w:left="720" w:hanging="720"/>
        <w:jc w:val="both"/>
        <w:rPr>
          <w:rFonts w:ascii="Times New Roman" w:hAnsi="Times New Roman" w:cs="Times New Roman"/>
          <w:bCs/>
          <w:color w:val="000000"/>
          <w:sz w:val="24"/>
          <w:szCs w:val="24"/>
        </w:rPr>
      </w:pPr>
      <w:r>
        <w:rPr>
          <w:rFonts w:ascii="Times New Roman" w:eastAsia="GaramondMTStd-Regular" w:hAnsi="Times New Roman" w:cs="Times New Roman"/>
          <w:iCs/>
          <w:sz w:val="24"/>
          <w:szCs w:val="24"/>
        </w:rPr>
        <w:t xml:space="preserve"> 17. </w:t>
      </w:r>
      <w:proofErr w:type="spellStart"/>
      <w:r w:rsidR="004F00A5">
        <w:rPr>
          <w:rFonts w:ascii="Times New Roman" w:hAnsi="Times New Roman" w:cs="Times New Roman"/>
          <w:bCs/>
          <w:color w:val="000000"/>
          <w:sz w:val="24"/>
          <w:szCs w:val="24"/>
        </w:rPr>
        <w:t>Thrusfield</w:t>
      </w:r>
      <w:proofErr w:type="spellEnd"/>
      <w:r w:rsidR="004F00A5">
        <w:rPr>
          <w:rFonts w:ascii="Times New Roman" w:hAnsi="Times New Roman" w:cs="Times New Roman"/>
          <w:bCs/>
          <w:color w:val="000000"/>
          <w:sz w:val="24"/>
          <w:szCs w:val="24"/>
        </w:rPr>
        <w:t xml:space="preserve">, M. (2007). Veterinary </w:t>
      </w:r>
      <w:proofErr w:type="spellStart"/>
      <w:r w:rsidR="004F00A5">
        <w:rPr>
          <w:rFonts w:ascii="Times New Roman" w:hAnsi="Times New Roman" w:cs="Times New Roman"/>
          <w:bCs/>
          <w:color w:val="000000"/>
          <w:sz w:val="24"/>
          <w:szCs w:val="24"/>
        </w:rPr>
        <w:t>Epideiology</w:t>
      </w:r>
      <w:proofErr w:type="spellEnd"/>
      <w:r w:rsidR="004F00A5">
        <w:rPr>
          <w:rFonts w:ascii="Times New Roman" w:hAnsi="Times New Roman" w:cs="Times New Roman"/>
          <w:bCs/>
          <w:color w:val="000000"/>
          <w:sz w:val="24"/>
          <w:szCs w:val="24"/>
        </w:rPr>
        <w:t>, 3</w:t>
      </w:r>
      <w:r w:rsidR="004F00A5">
        <w:rPr>
          <w:rFonts w:ascii="Times New Roman" w:hAnsi="Times New Roman" w:cs="Times New Roman"/>
          <w:bCs/>
          <w:color w:val="000000"/>
          <w:sz w:val="24"/>
          <w:szCs w:val="24"/>
          <w:vertAlign w:val="superscript"/>
        </w:rPr>
        <w:t>rd</w:t>
      </w:r>
      <w:r w:rsidR="004F00A5">
        <w:rPr>
          <w:rFonts w:ascii="Times New Roman" w:hAnsi="Times New Roman" w:cs="Times New Roman"/>
          <w:bCs/>
          <w:color w:val="000000"/>
          <w:sz w:val="24"/>
          <w:szCs w:val="24"/>
        </w:rPr>
        <w:t xml:space="preserve"> edition Cambridge: Blackwell Science, Ltd, 182-189.</w:t>
      </w:r>
    </w:p>
    <w:p w:rsidR="00C67548" w:rsidRDefault="004F00A5" w:rsidP="00C67548">
      <w:pPr>
        <w:autoSpaceDE w:val="0"/>
        <w:autoSpaceDN w:val="0"/>
        <w:adjustRightInd w:val="0"/>
        <w:spacing w:after="0" w:line="240" w:lineRule="auto"/>
        <w:ind w:left="720" w:hanging="720"/>
        <w:jc w:val="both"/>
        <w:rPr>
          <w:rFonts w:ascii="Times New Roman" w:hAnsi="Times New Roman" w:cs="Times New Roman"/>
          <w:i/>
          <w:color w:val="000000"/>
          <w:sz w:val="24"/>
          <w:szCs w:val="24"/>
        </w:rPr>
      </w:pPr>
      <w:r>
        <w:rPr>
          <w:rFonts w:ascii="Times New Roman" w:eastAsia="GaramondMTStd-Regular" w:hAnsi="Times New Roman" w:cs="Times New Roman"/>
          <w:iCs/>
          <w:sz w:val="24"/>
          <w:szCs w:val="24"/>
        </w:rPr>
        <w:t xml:space="preserve"> 18. </w:t>
      </w:r>
      <w:proofErr w:type="spellStart"/>
      <w:r w:rsidR="00C67548">
        <w:rPr>
          <w:rFonts w:ascii="Times New Roman" w:hAnsi="Times New Roman" w:cs="Times New Roman"/>
          <w:color w:val="000000"/>
          <w:sz w:val="24"/>
          <w:szCs w:val="24"/>
        </w:rPr>
        <w:t>Mafindi</w:t>
      </w:r>
      <w:proofErr w:type="spellEnd"/>
      <w:r w:rsidR="00C67548">
        <w:rPr>
          <w:rFonts w:ascii="Times New Roman" w:hAnsi="Times New Roman" w:cs="Times New Roman"/>
          <w:color w:val="000000"/>
          <w:sz w:val="24"/>
          <w:szCs w:val="24"/>
        </w:rPr>
        <w:t xml:space="preserve">, M., Raphael, M., Mathias, A. and </w:t>
      </w:r>
      <w:proofErr w:type="spellStart"/>
      <w:r w:rsidR="00C67548">
        <w:rPr>
          <w:rFonts w:ascii="Times New Roman" w:hAnsi="Times New Roman" w:cs="Times New Roman"/>
          <w:color w:val="000000"/>
          <w:sz w:val="24"/>
          <w:szCs w:val="24"/>
        </w:rPr>
        <w:t>Tirah</w:t>
      </w:r>
      <w:proofErr w:type="spellEnd"/>
      <w:r w:rsidR="00C67548">
        <w:rPr>
          <w:rFonts w:ascii="Times New Roman" w:hAnsi="Times New Roman" w:cs="Times New Roman"/>
          <w:color w:val="000000"/>
          <w:sz w:val="24"/>
          <w:szCs w:val="24"/>
        </w:rPr>
        <w:t xml:space="preserve">, G. (2018). Prevalence of </w:t>
      </w:r>
      <w:proofErr w:type="spellStart"/>
      <w:r w:rsidR="00C67548">
        <w:rPr>
          <w:rFonts w:ascii="Times New Roman" w:hAnsi="Times New Roman" w:cs="Times New Roman"/>
          <w:i/>
          <w:color w:val="000000"/>
          <w:sz w:val="24"/>
          <w:szCs w:val="24"/>
        </w:rPr>
        <w:t>Crytosporidium</w:t>
      </w:r>
      <w:proofErr w:type="spellEnd"/>
      <w:r w:rsidR="00C67548">
        <w:rPr>
          <w:rFonts w:ascii="Times New Roman" w:hAnsi="Times New Roman" w:cs="Times New Roman"/>
          <w:color w:val="000000"/>
          <w:sz w:val="24"/>
          <w:szCs w:val="24"/>
        </w:rPr>
        <w:t xml:space="preserve"> species in HIV positive and negative patients attending Hong General Hospital and </w:t>
      </w:r>
      <w:proofErr w:type="spellStart"/>
      <w:r w:rsidR="00C67548">
        <w:rPr>
          <w:rFonts w:ascii="Times New Roman" w:hAnsi="Times New Roman" w:cs="Times New Roman"/>
          <w:color w:val="000000"/>
          <w:sz w:val="24"/>
          <w:szCs w:val="24"/>
        </w:rPr>
        <w:t>Michika</w:t>
      </w:r>
      <w:proofErr w:type="spellEnd"/>
      <w:r w:rsidR="00C67548">
        <w:rPr>
          <w:rFonts w:ascii="Times New Roman" w:hAnsi="Times New Roman" w:cs="Times New Roman"/>
          <w:color w:val="000000"/>
          <w:sz w:val="24"/>
          <w:szCs w:val="24"/>
        </w:rPr>
        <w:t xml:space="preserve"> General Hospital, Adamawa State, Nigeria. </w:t>
      </w:r>
      <w:proofErr w:type="spellStart"/>
      <w:r w:rsidR="00C67548">
        <w:rPr>
          <w:rFonts w:ascii="Times New Roman" w:hAnsi="Times New Roman" w:cs="Times New Roman"/>
          <w:i/>
          <w:color w:val="000000"/>
          <w:sz w:val="24"/>
          <w:szCs w:val="24"/>
        </w:rPr>
        <w:t>Afribary</w:t>
      </w:r>
      <w:proofErr w:type="spellEnd"/>
      <w:r w:rsidR="00C67548">
        <w:rPr>
          <w:rFonts w:ascii="Times New Roman" w:hAnsi="Times New Roman" w:cs="Times New Roman"/>
          <w:i/>
          <w:color w:val="000000"/>
          <w:sz w:val="24"/>
          <w:szCs w:val="24"/>
        </w:rPr>
        <w:t>.</w:t>
      </w:r>
    </w:p>
    <w:p w:rsidR="00C67548" w:rsidRDefault="00C67548" w:rsidP="00C67548">
      <w:pPr>
        <w:spacing w:after="0" w:line="240" w:lineRule="auto"/>
        <w:ind w:left="720" w:hanging="720"/>
        <w:jc w:val="both"/>
        <w:rPr>
          <w:rFonts w:ascii="Times New Roman" w:hAnsi="Times New Roman" w:cs="Times New Roman"/>
          <w:sz w:val="24"/>
          <w:szCs w:val="24"/>
        </w:rPr>
      </w:pPr>
      <w:r>
        <w:rPr>
          <w:rFonts w:ascii="Times New Roman" w:eastAsia="GaramondMTStd-Regular" w:hAnsi="Times New Roman" w:cs="Times New Roman"/>
          <w:iCs/>
          <w:sz w:val="24"/>
          <w:szCs w:val="24"/>
        </w:rPr>
        <w:t xml:space="preserve"> 19. </w:t>
      </w:r>
      <w:proofErr w:type="spellStart"/>
      <w:r>
        <w:rPr>
          <w:rFonts w:ascii="Times New Roman" w:hAnsi="Times New Roman" w:cs="Times New Roman"/>
          <w:sz w:val="24"/>
          <w:szCs w:val="24"/>
        </w:rPr>
        <w:t>Anejo-Okopi</w:t>
      </w:r>
      <w:proofErr w:type="spellEnd"/>
      <w:r>
        <w:rPr>
          <w:rFonts w:ascii="Times New Roman" w:hAnsi="Times New Roman" w:cs="Times New Roman"/>
          <w:sz w:val="24"/>
          <w:szCs w:val="24"/>
        </w:rPr>
        <w:t xml:space="preserve">, A. J, Audu O. </w:t>
      </w:r>
      <w:proofErr w:type="spellStart"/>
      <w:r>
        <w:rPr>
          <w:rFonts w:ascii="Times New Roman" w:hAnsi="Times New Roman" w:cs="Times New Roman"/>
          <w:sz w:val="24"/>
          <w:szCs w:val="24"/>
        </w:rPr>
        <w:t>Adaiche</w:t>
      </w:r>
      <w:proofErr w:type="spellEnd"/>
      <w:r>
        <w:rPr>
          <w:rFonts w:ascii="Times New Roman" w:hAnsi="Times New Roman" w:cs="Times New Roman"/>
          <w:sz w:val="24"/>
          <w:szCs w:val="24"/>
        </w:rPr>
        <w:t xml:space="preserve"> A.R, </w:t>
      </w:r>
      <w:proofErr w:type="spellStart"/>
      <w:r>
        <w:rPr>
          <w:rFonts w:ascii="Times New Roman" w:hAnsi="Times New Roman" w:cs="Times New Roman"/>
          <w:sz w:val="24"/>
          <w:szCs w:val="24"/>
        </w:rPr>
        <w:t>Okokwu</w:t>
      </w:r>
      <w:proofErr w:type="spellEnd"/>
      <w:r>
        <w:rPr>
          <w:rFonts w:ascii="Times New Roman" w:hAnsi="Times New Roman" w:cs="Times New Roman"/>
          <w:sz w:val="24"/>
          <w:szCs w:val="24"/>
        </w:rPr>
        <w:t xml:space="preserve"> O. J, Ali M, </w:t>
      </w:r>
      <w:proofErr w:type="spellStart"/>
      <w:r>
        <w:rPr>
          <w:rFonts w:ascii="Times New Roman" w:hAnsi="Times New Roman" w:cs="Times New Roman"/>
          <w:sz w:val="24"/>
          <w:szCs w:val="24"/>
        </w:rPr>
        <w:t>Adekwu</w:t>
      </w:r>
      <w:proofErr w:type="spellEnd"/>
      <w:r>
        <w:rPr>
          <w:rFonts w:ascii="Times New Roman" w:hAnsi="Times New Roman" w:cs="Times New Roman"/>
          <w:sz w:val="24"/>
          <w:szCs w:val="24"/>
        </w:rPr>
        <w:t xml:space="preserve"> A et al (2016). Prevalence of Helicobacter pylori infection among HIV-1 infected patients using stool Antigen Tests in Jos, North-Central, Nigeria. </w:t>
      </w:r>
      <w:proofErr w:type="spellStart"/>
      <w:r>
        <w:rPr>
          <w:rFonts w:ascii="Times New Roman" w:hAnsi="Times New Roman" w:cs="Times New Roman"/>
          <w:i/>
          <w:sz w:val="24"/>
          <w:szCs w:val="24"/>
        </w:rPr>
        <w:t>Govaresh</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21</w:t>
      </w:r>
      <w:r>
        <w:rPr>
          <w:rFonts w:ascii="Times New Roman" w:hAnsi="Times New Roman" w:cs="Times New Roman"/>
          <w:sz w:val="24"/>
          <w:szCs w:val="24"/>
        </w:rPr>
        <w:t>(1) 55-63.</w:t>
      </w:r>
    </w:p>
    <w:p w:rsidR="00C67548" w:rsidRDefault="00C67548" w:rsidP="00C67548">
      <w:pPr>
        <w:autoSpaceDE w:val="0"/>
        <w:autoSpaceDN w:val="0"/>
        <w:adjustRightInd w:val="0"/>
        <w:spacing w:after="0" w:line="240" w:lineRule="auto"/>
        <w:ind w:left="720" w:hanging="720"/>
        <w:jc w:val="both"/>
        <w:rPr>
          <w:rFonts w:ascii="Times New Roman" w:eastAsia="Times New Roman" w:hAnsi="Times New Roman" w:cs="Times New Roman"/>
          <w:bCs/>
          <w:sz w:val="24"/>
          <w:szCs w:val="24"/>
        </w:rPr>
      </w:pPr>
      <w:r>
        <w:rPr>
          <w:rFonts w:ascii="Times New Roman" w:eastAsia="GaramondMTStd-Regular" w:hAnsi="Times New Roman" w:cs="Times New Roman"/>
          <w:iCs/>
          <w:sz w:val="24"/>
          <w:szCs w:val="24"/>
        </w:rPr>
        <w:t xml:space="preserve"> 20. </w:t>
      </w:r>
      <w:r>
        <w:rPr>
          <w:rFonts w:ascii="Times New Roman" w:eastAsia="Times New Roman" w:hAnsi="Times New Roman" w:cs="Times New Roman"/>
          <w:bCs/>
          <w:sz w:val="24"/>
          <w:szCs w:val="24"/>
        </w:rPr>
        <w:t xml:space="preserve">WHO (2017). Updates fact sheet on </w:t>
      </w:r>
      <w:proofErr w:type="spellStart"/>
      <w:r>
        <w:rPr>
          <w:rFonts w:ascii="Times New Roman" w:eastAsia="Times New Roman" w:hAnsi="Times New Roman" w:cs="Times New Roman"/>
          <w:bCs/>
          <w:sz w:val="24"/>
          <w:szCs w:val="24"/>
        </w:rPr>
        <w:t>Diarrhoeal</w:t>
      </w:r>
      <w:proofErr w:type="spellEnd"/>
      <w:r>
        <w:rPr>
          <w:rFonts w:ascii="Times New Roman" w:eastAsia="Times New Roman" w:hAnsi="Times New Roman" w:cs="Times New Roman"/>
          <w:bCs/>
          <w:sz w:val="24"/>
          <w:szCs w:val="24"/>
        </w:rPr>
        <w:t xml:space="preserve"> Disease.</w:t>
      </w:r>
    </w:p>
    <w:p w:rsidR="00DE2F7E" w:rsidRDefault="00C67548" w:rsidP="00DE2F7E">
      <w:pPr>
        <w:spacing w:after="0" w:line="240" w:lineRule="auto"/>
        <w:ind w:left="720" w:hanging="720"/>
        <w:jc w:val="both"/>
        <w:rPr>
          <w:rFonts w:ascii="Times New Roman" w:hAnsi="Times New Roman" w:cs="Times New Roman"/>
          <w:sz w:val="24"/>
          <w:szCs w:val="24"/>
        </w:rPr>
      </w:pPr>
      <w:r>
        <w:rPr>
          <w:rFonts w:ascii="Times New Roman" w:eastAsia="GaramondMTStd-Regular" w:hAnsi="Times New Roman" w:cs="Times New Roman"/>
          <w:iCs/>
          <w:sz w:val="24"/>
          <w:szCs w:val="24"/>
        </w:rPr>
        <w:t xml:space="preserve"> 21. </w:t>
      </w:r>
      <w:r w:rsidR="00DE2F7E">
        <w:rPr>
          <w:rFonts w:ascii="Times New Roman" w:hAnsi="Times New Roman" w:cs="Times New Roman"/>
          <w:sz w:val="24"/>
          <w:szCs w:val="24"/>
        </w:rPr>
        <w:t xml:space="preserve">Arora, D.R and </w:t>
      </w:r>
      <w:proofErr w:type="spellStart"/>
      <w:r w:rsidR="00DE2F7E">
        <w:rPr>
          <w:rFonts w:ascii="Times New Roman" w:hAnsi="Times New Roman" w:cs="Times New Roman"/>
          <w:sz w:val="24"/>
          <w:szCs w:val="24"/>
        </w:rPr>
        <w:t>arora</w:t>
      </w:r>
      <w:proofErr w:type="spellEnd"/>
      <w:r w:rsidR="00DE2F7E">
        <w:rPr>
          <w:rFonts w:ascii="Times New Roman" w:hAnsi="Times New Roman" w:cs="Times New Roman"/>
          <w:sz w:val="24"/>
          <w:szCs w:val="24"/>
        </w:rPr>
        <w:t xml:space="preserve">, B.B. (2010). Medical </w:t>
      </w:r>
      <w:proofErr w:type="spellStart"/>
      <w:r w:rsidR="00DE2F7E">
        <w:rPr>
          <w:rFonts w:ascii="Times New Roman" w:hAnsi="Times New Roman" w:cs="Times New Roman"/>
          <w:sz w:val="24"/>
          <w:szCs w:val="24"/>
        </w:rPr>
        <w:t>parasitologh</w:t>
      </w:r>
      <w:proofErr w:type="spellEnd"/>
      <w:r w:rsidR="00DE2F7E">
        <w:rPr>
          <w:rFonts w:ascii="Times New Roman" w:hAnsi="Times New Roman" w:cs="Times New Roman"/>
          <w:sz w:val="24"/>
          <w:szCs w:val="24"/>
        </w:rPr>
        <w:t>, third edition. CBS publishers and distributors, New Delhi, Bangalore, India, 100-103.</w:t>
      </w:r>
    </w:p>
    <w:p w:rsidR="00AC4049" w:rsidRDefault="00DE2F7E" w:rsidP="00AC4049">
      <w:pPr>
        <w:spacing w:after="0" w:line="360" w:lineRule="auto"/>
        <w:rPr>
          <w:rFonts w:ascii="Times New Roman" w:hAnsi="Times New Roman" w:cs="Times New Roman"/>
          <w:sz w:val="24"/>
          <w:szCs w:val="24"/>
        </w:rPr>
      </w:pPr>
      <w:r w:rsidRPr="00AC4049">
        <w:rPr>
          <w:rFonts w:ascii="Times New Roman" w:eastAsia="GaramondMTStd-Regular" w:hAnsi="Times New Roman" w:cs="Times New Roman"/>
          <w:iCs/>
          <w:sz w:val="24"/>
          <w:szCs w:val="24"/>
        </w:rPr>
        <w:t xml:space="preserve"> 22.</w:t>
      </w:r>
      <w:r w:rsidR="00AC4049">
        <w:rPr>
          <w:rFonts w:ascii="Times New Roman" w:eastAsia="GaramondMTStd-Regular" w:hAnsi="Times New Roman" w:cs="Times New Roman"/>
          <w:iCs/>
          <w:sz w:val="24"/>
          <w:szCs w:val="24"/>
        </w:rPr>
        <w:t xml:space="preserve"> </w:t>
      </w:r>
      <w:r w:rsidR="00AC4049" w:rsidRPr="00AC4049">
        <w:rPr>
          <w:rFonts w:ascii="Times New Roman" w:eastAsia="GaramondMTStd-Regular" w:hAnsi="Times New Roman" w:cs="Times New Roman"/>
          <w:iCs/>
          <w:sz w:val="24"/>
          <w:szCs w:val="24"/>
        </w:rPr>
        <w:t xml:space="preserve"> </w:t>
      </w:r>
      <w:proofErr w:type="spellStart"/>
      <w:r w:rsidR="00AC4049" w:rsidRPr="00AC4049">
        <w:rPr>
          <w:rFonts w:ascii="Times New Roman" w:hAnsi="Times New Roman" w:cs="Times New Roman"/>
          <w:sz w:val="24"/>
          <w:szCs w:val="24"/>
        </w:rPr>
        <w:t>Shimoyama</w:t>
      </w:r>
      <w:proofErr w:type="spellEnd"/>
      <w:r w:rsidR="00AC4049" w:rsidRPr="00AC4049">
        <w:rPr>
          <w:rFonts w:ascii="Times New Roman" w:hAnsi="Times New Roman" w:cs="Times New Roman"/>
          <w:sz w:val="24"/>
          <w:szCs w:val="24"/>
        </w:rPr>
        <w:t xml:space="preserve">, T. (2013). Stool antigen tests for the management of </w:t>
      </w:r>
      <w:r w:rsidR="00AC4049" w:rsidRPr="00AC4049">
        <w:rPr>
          <w:rFonts w:ascii="Times New Roman" w:hAnsi="Times New Roman" w:cs="Times New Roman"/>
          <w:i/>
          <w:sz w:val="24"/>
          <w:szCs w:val="24"/>
        </w:rPr>
        <w:t>Helicobacter pylori</w:t>
      </w:r>
      <w:r w:rsidR="00AC4049" w:rsidRPr="00AC4049">
        <w:rPr>
          <w:rFonts w:ascii="Times New Roman" w:hAnsi="Times New Roman" w:cs="Times New Roman"/>
          <w:sz w:val="24"/>
          <w:szCs w:val="24"/>
        </w:rPr>
        <w:t xml:space="preserve"> </w:t>
      </w:r>
      <w:r w:rsidR="00AC4049">
        <w:rPr>
          <w:rFonts w:ascii="Times New Roman" w:hAnsi="Times New Roman" w:cs="Times New Roman"/>
          <w:sz w:val="24"/>
          <w:szCs w:val="24"/>
        </w:rPr>
        <w:t xml:space="preserve"> </w:t>
      </w:r>
    </w:p>
    <w:p w:rsidR="00AC4049" w:rsidRDefault="00AC4049" w:rsidP="00AC40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C4049">
        <w:rPr>
          <w:rFonts w:ascii="Times New Roman" w:hAnsi="Times New Roman" w:cs="Times New Roman"/>
          <w:sz w:val="24"/>
          <w:szCs w:val="24"/>
        </w:rPr>
        <w:t>infection</w:t>
      </w:r>
      <w:proofErr w:type="gramEnd"/>
      <w:r w:rsidRPr="00AC4049">
        <w:rPr>
          <w:rFonts w:ascii="Times New Roman" w:hAnsi="Times New Roman" w:cs="Times New Roman"/>
          <w:sz w:val="24"/>
          <w:szCs w:val="24"/>
        </w:rPr>
        <w:t xml:space="preserve">, </w:t>
      </w:r>
      <w:r w:rsidRPr="00AC4049">
        <w:rPr>
          <w:rFonts w:ascii="Times New Roman" w:hAnsi="Times New Roman" w:cs="Times New Roman"/>
          <w:i/>
          <w:sz w:val="24"/>
          <w:szCs w:val="24"/>
        </w:rPr>
        <w:t>world journal of gastroenterology</w:t>
      </w:r>
      <w:r w:rsidRPr="00AC4049">
        <w:rPr>
          <w:rFonts w:ascii="Times New Roman" w:hAnsi="Times New Roman" w:cs="Times New Roman"/>
          <w:sz w:val="24"/>
          <w:szCs w:val="24"/>
        </w:rPr>
        <w:t xml:space="preserve">, </w:t>
      </w:r>
      <w:r w:rsidRPr="00AC4049">
        <w:rPr>
          <w:rFonts w:ascii="Times New Roman" w:hAnsi="Times New Roman" w:cs="Times New Roman"/>
          <w:b/>
          <w:sz w:val="24"/>
          <w:szCs w:val="24"/>
        </w:rPr>
        <w:t>19</w:t>
      </w:r>
      <w:r w:rsidRPr="00AC4049">
        <w:rPr>
          <w:rFonts w:ascii="Times New Roman" w:hAnsi="Times New Roman" w:cs="Times New Roman"/>
          <w:sz w:val="24"/>
          <w:szCs w:val="24"/>
        </w:rPr>
        <w:t xml:space="preserve"> (45): 8188-8191.</w:t>
      </w:r>
    </w:p>
    <w:p w:rsidR="005255F7" w:rsidRDefault="005255F7" w:rsidP="00AC4049">
      <w:pPr>
        <w:spacing w:after="0" w:line="360" w:lineRule="auto"/>
      </w:pPr>
      <w:r>
        <w:rPr>
          <w:rFonts w:ascii="Times New Roman" w:hAnsi="Times New Roman" w:cs="Times New Roman"/>
          <w:sz w:val="24"/>
          <w:szCs w:val="24"/>
        </w:rPr>
        <w:t xml:space="preserve"> 23.  </w:t>
      </w:r>
      <w:proofErr w:type="spellStart"/>
      <w:r>
        <w:t>Ahmadpour</w:t>
      </w:r>
      <w:proofErr w:type="spellEnd"/>
      <w:r>
        <w:t xml:space="preserve">, E., </w:t>
      </w:r>
      <w:proofErr w:type="spellStart"/>
      <w:r>
        <w:t>Safarpour</w:t>
      </w:r>
      <w:proofErr w:type="spellEnd"/>
      <w:r>
        <w:t xml:space="preserve">, H., Xiao, L., </w:t>
      </w:r>
      <w:proofErr w:type="spellStart"/>
      <w:r>
        <w:t>Zarean</w:t>
      </w:r>
      <w:proofErr w:type="spellEnd"/>
      <w:r>
        <w:t xml:space="preserve">, M., </w:t>
      </w:r>
      <w:proofErr w:type="spellStart"/>
      <w:r>
        <w:t>Hatam-Nahavandi</w:t>
      </w:r>
      <w:proofErr w:type="spellEnd"/>
      <w:r>
        <w:t xml:space="preserve">, K., </w:t>
      </w:r>
      <w:proofErr w:type="spellStart"/>
      <w:r>
        <w:t>Barac</w:t>
      </w:r>
      <w:proofErr w:type="spellEnd"/>
      <w:r>
        <w:t xml:space="preserve">, A., &amp; </w:t>
      </w:r>
      <w:proofErr w:type="spellStart"/>
      <w:r>
        <w:t>Spotin</w:t>
      </w:r>
      <w:proofErr w:type="spellEnd"/>
      <w:r>
        <w:t xml:space="preserve">, A. </w:t>
      </w:r>
    </w:p>
    <w:p w:rsidR="005255F7" w:rsidRDefault="005255F7" w:rsidP="00AC4049">
      <w:pPr>
        <w:spacing w:after="0" w:line="360" w:lineRule="auto"/>
      </w:pPr>
      <w:r>
        <w:t xml:space="preserve">          (2020). Cryptosporidiosis in HIV-positive patients: A systematic review and meta-analysis. </w:t>
      </w:r>
    </w:p>
    <w:p w:rsidR="005255F7" w:rsidRDefault="005255F7" w:rsidP="00AC4049">
      <w:pPr>
        <w:spacing w:after="0" w:line="360" w:lineRule="auto"/>
      </w:pPr>
      <w:r>
        <w:t xml:space="preserve">          </w:t>
      </w:r>
      <w:r>
        <w:rPr>
          <w:rStyle w:val="Emphasis"/>
          <w:rFonts w:eastAsia="SimSun"/>
        </w:rPr>
        <w:t xml:space="preserve">Parasitology Research, </w:t>
      </w:r>
      <w:r>
        <w:rPr>
          <w:rStyle w:val="Strong"/>
          <w:rFonts w:eastAsia="SimSun"/>
          <w:i/>
          <w:iCs/>
        </w:rPr>
        <w:t>119</w:t>
      </w:r>
      <w:r>
        <w:t>(3), 725–735.</w:t>
      </w:r>
    </w:p>
    <w:p w:rsidR="00954F4E" w:rsidRDefault="005255F7" w:rsidP="00954F4E">
      <w:pPr>
        <w:pStyle w:val="NormalWeb"/>
        <w:ind w:left="720" w:hanging="720"/>
        <w:jc w:val="both"/>
      </w:pPr>
      <w:r>
        <w:t xml:space="preserve">  </w:t>
      </w:r>
      <w:r w:rsidR="00954F4E">
        <w:t xml:space="preserve">24. </w:t>
      </w:r>
      <w:proofErr w:type="spellStart"/>
      <w:r w:rsidR="00954F4E">
        <w:t>Karshima</w:t>
      </w:r>
      <w:proofErr w:type="spellEnd"/>
      <w:r w:rsidR="00954F4E">
        <w:t xml:space="preserve">, S. N., Bata, S. I., &amp; </w:t>
      </w:r>
      <w:proofErr w:type="spellStart"/>
      <w:r w:rsidR="00954F4E">
        <w:t>Bobbo</w:t>
      </w:r>
      <w:proofErr w:type="spellEnd"/>
      <w:r w:rsidR="00954F4E">
        <w:t xml:space="preserve">, A. A. (2021). </w:t>
      </w:r>
      <w:r w:rsidR="00954F4E">
        <w:rPr>
          <w:rStyle w:val="Emphasis"/>
          <w:rFonts w:eastAsia="SimSun"/>
        </w:rPr>
        <w:t>Cryptosporidium</w:t>
      </w:r>
      <w:r w:rsidR="00954F4E">
        <w:t xml:space="preserve"> infection among people living with HIV/AIDS in Nigeria: A systematic review and meta-analysis. </w:t>
      </w:r>
      <w:r w:rsidR="00954F4E">
        <w:rPr>
          <w:rStyle w:val="Emphasis"/>
          <w:rFonts w:eastAsia="SimSun"/>
        </w:rPr>
        <w:t xml:space="preserve">Epidemiology and Health, </w:t>
      </w:r>
      <w:r w:rsidR="00954F4E">
        <w:rPr>
          <w:rStyle w:val="Strong"/>
          <w:rFonts w:eastAsia="SimSun"/>
          <w:i/>
          <w:iCs/>
        </w:rPr>
        <w:t>43</w:t>
      </w:r>
      <w:r w:rsidR="00954F4E">
        <w:t>.</w:t>
      </w:r>
    </w:p>
    <w:p w:rsidR="002559E2" w:rsidRDefault="00954F4E" w:rsidP="002559E2">
      <w:pPr>
        <w:pStyle w:val="NormalWeb"/>
        <w:ind w:left="720" w:hanging="720"/>
        <w:jc w:val="both"/>
      </w:pPr>
      <w:r>
        <w:rPr>
          <w:color w:val="131413"/>
        </w:rPr>
        <w:t xml:space="preserve"> 25. </w:t>
      </w:r>
      <w:proofErr w:type="spellStart"/>
      <w:r w:rsidR="002559E2">
        <w:t>Dankwa</w:t>
      </w:r>
      <w:proofErr w:type="spellEnd"/>
      <w:r w:rsidR="002559E2">
        <w:t xml:space="preserve">, K., Gordon, C., </w:t>
      </w:r>
      <w:proofErr w:type="spellStart"/>
      <w:r w:rsidR="002559E2">
        <w:t>Agyeman</w:t>
      </w:r>
      <w:proofErr w:type="spellEnd"/>
      <w:r w:rsidR="002559E2">
        <w:t xml:space="preserve">, P., &amp; </w:t>
      </w:r>
      <w:proofErr w:type="spellStart"/>
      <w:r w:rsidR="002559E2">
        <w:t>Odoom</w:t>
      </w:r>
      <w:proofErr w:type="spellEnd"/>
      <w:r w:rsidR="002559E2">
        <w:t xml:space="preserve">, J. K. (2021). Occurrence of </w:t>
      </w:r>
      <w:r w:rsidR="002559E2">
        <w:rPr>
          <w:rStyle w:val="Emphasis"/>
          <w:rFonts w:eastAsia="SimSun"/>
        </w:rPr>
        <w:t>Cryptosporidium</w:t>
      </w:r>
      <w:r w:rsidR="002559E2">
        <w:t xml:space="preserve"> infection and associated risk factors among HIV-infected patients. </w:t>
      </w:r>
      <w:r w:rsidR="002559E2">
        <w:rPr>
          <w:rStyle w:val="Emphasis"/>
          <w:rFonts w:eastAsia="SimSun"/>
        </w:rPr>
        <w:t xml:space="preserve">Tropical Medicine and Infectious Disease, </w:t>
      </w:r>
      <w:r w:rsidR="002559E2">
        <w:rPr>
          <w:rStyle w:val="Strong"/>
          <w:rFonts w:eastAsia="SimSun"/>
          <w:i/>
          <w:iCs/>
        </w:rPr>
        <w:t>6</w:t>
      </w:r>
      <w:r w:rsidR="002559E2">
        <w:t xml:space="preserve">(4), 189. </w:t>
      </w:r>
    </w:p>
    <w:p w:rsidR="00640080" w:rsidRDefault="00EB1686" w:rsidP="00AC4049">
      <w:pPr>
        <w:spacing w:after="0" w:line="360" w:lineRule="auto"/>
      </w:pPr>
      <w:r>
        <w:rPr>
          <w:rFonts w:ascii="Times New Roman" w:hAnsi="Times New Roman" w:cs="Times New Roman"/>
          <w:color w:val="131413"/>
          <w:sz w:val="24"/>
          <w:szCs w:val="24"/>
        </w:rPr>
        <w:t xml:space="preserve"> </w:t>
      </w:r>
      <w:r w:rsidR="002559E2">
        <w:rPr>
          <w:rFonts w:ascii="Times New Roman" w:hAnsi="Times New Roman" w:cs="Times New Roman"/>
          <w:color w:val="131413"/>
          <w:sz w:val="24"/>
          <w:szCs w:val="24"/>
        </w:rPr>
        <w:t xml:space="preserve">26. </w:t>
      </w:r>
      <w:r w:rsidR="00640080">
        <w:rPr>
          <w:rFonts w:ascii="Times New Roman" w:hAnsi="Times New Roman" w:cs="Times New Roman"/>
          <w:color w:val="131413"/>
          <w:sz w:val="24"/>
          <w:szCs w:val="24"/>
        </w:rPr>
        <w:t xml:space="preserve"> </w:t>
      </w:r>
      <w:proofErr w:type="spellStart"/>
      <w:r w:rsidR="00640080">
        <w:t>Abayneh</w:t>
      </w:r>
      <w:proofErr w:type="spellEnd"/>
      <w:r w:rsidR="00640080">
        <w:t xml:space="preserve">, M., </w:t>
      </w:r>
      <w:proofErr w:type="spellStart"/>
      <w:r w:rsidR="00640080">
        <w:t>Alemu</w:t>
      </w:r>
      <w:proofErr w:type="spellEnd"/>
      <w:r w:rsidR="00640080">
        <w:t xml:space="preserve">, G., &amp; </w:t>
      </w:r>
      <w:proofErr w:type="spellStart"/>
      <w:r w:rsidR="00640080">
        <w:t>Fentahun</w:t>
      </w:r>
      <w:proofErr w:type="spellEnd"/>
      <w:r w:rsidR="00640080">
        <w:t xml:space="preserve">, A. (2024). Intestinal parasitic infections and associated </w:t>
      </w:r>
    </w:p>
    <w:p w:rsidR="00640080" w:rsidRDefault="00640080" w:rsidP="00AC4049">
      <w:pPr>
        <w:spacing w:after="0" w:line="360" w:lineRule="auto"/>
      </w:pPr>
      <w:r>
        <w:lastRenderedPageBreak/>
        <w:t xml:space="preserve">      </w:t>
      </w:r>
      <w:r>
        <w:t xml:space="preserve">factors among people living with HIV/AIDS attending ART clinics. </w:t>
      </w:r>
      <w:r>
        <w:rPr>
          <w:rStyle w:val="Emphasis"/>
          <w:rFonts w:eastAsia="SimSun"/>
        </w:rPr>
        <w:t xml:space="preserve">Frontiers in Public Health, </w:t>
      </w:r>
      <w:r>
        <w:rPr>
          <w:rStyle w:val="Strong"/>
          <w:rFonts w:eastAsia="SimSun"/>
          <w:i/>
          <w:iCs/>
        </w:rPr>
        <w:t>12</w:t>
      </w:r>
      <w:r>
        <w:t xml:space="preserve">, </w:t>
      </w:r>
    </w:p>
    <w:p w:rsidR="005255F7" w:rsidRDefault="00640080" w:rsidP="00AC4049">
      <w:pPr>
        <w:spacing w:after="0" w:line="360" w:lineRule="auto"/>
      </w:pPr>
      <w:r>
        <w:t xml:space="preserve">       </w:t>
      </w:r>
      <w:r>
        <w:t>1298446</w:t>
      </w:r>
      <w:r>
        <w:t>.</w:t>
      </w:r>
    </w:p>
    <w:p w:rsidR="00E60271" w:rsidRDefault="00640080" w:rsidP="00E60271">
      <w:pPr>
        <w:pStyle w:val="NormalWeb"/>
        <w:ind w:left="720" w:hanging="720"/>
        <w:jc w:val="both"/>
      </w:pPr>
      <w:r>
        <w:t xml:space="preserve">27. </w:t>
      </w:r>
      <w:proofErr w:type="spellStart"/>
      <w:r w:rsidR="00E60271">
        <w:t>Ishar</w:t>
      </w:r>
      <w:proofErr w:type="spellEnd"/>
      <w:r w:rsidR="00E60271">
        <w:t xml:space="preserve">, C. O., Luka, S. A., and </w:t>
      </w:r>
      <w:proofErr w:type="spellStart"/>
      <w:r w:rsidR="00E60271">
        <w:t>Yakubu</w:t>
      </w:r>
      <w:proofErr w:type="spellEnd"/>
      <w:r w:rsidR="00E60271">
        <w:t xml:space="preserve">, S. E. (2024). Comparative prevalence of cryptosporidiosis among HIV-positive and HIV-negative individuals in North-Central Nigeria. </w:t>
      </w:r>
      <w:r w:rsidR="00E60271">
        <w:rPr>
          <w:rStyle w:val="Emphasis"/>
          <w:rFonts w:eastAsia="SimSun"/>
        </w:rPr>
        <w:t xml:space="preserve">Journal of Parasitic Diseases, </w:t>
      </w:r>
      <w:r w:rsidR="00E60271">
        <w:rPr>
          <w:rStyle w:val="Strong"/>
          <w:rFonts w:eastAsia="SimSun"/>
          <w:i/>
          <w:iCs/>
        </w:rPr>
        <w:t>48</w:t>
      </w:r>
      <w:r w:rsidR="00E60271">
        <w:t xml:space="preserve">(1), 210–218. </w:t>
      </w:r>
    </w:p>
    <w:p w:rsidR="00640080" w:rsidRDefault="00E60271" w:rsidP="00E60271">
      <w:pPr>
        <w:pStyle w:val="NormalWeb"/>
        <w:ind w:left="720" w:hanging="720"/>
        <w:jc w:val="both"/>
      </w:pPr>
      <w:r>
        <w:rPr>
          <w:color w:val="131413"/>
        </w:rPr>
        <w:t xml:space="preserve"> 28. </w:t>
      </w:r>
      <w:proofErr w:type="spellStart"/>
      <w:r>
        <w:t>Mesfun</w:t>
      </w:r>
      <w:proofErr w:type="spellEnd"/>
      <w:r>
        <w:t xml:space="preserve">, M. G., </w:t>
      </w:r>
      <w:proofErr w:type="spellStart"/>
      <w:r>
        <w:t>Tadesse</w:t>
      </w:r>
      <w:proofErr w:type="spellEnd"/>
      <w:r>
        <w:t xml:space="preserve">, E., &amp; </w:t>
      </w:r>
      <w:proofErr w:type="spellStart"/>
      <w:r>
        <w:t>Kassa</w:t>
      </w:r>
      <w:proofErr w:type="spellEnd"/>
      <w:r>
        <w:t xml:space="preserve">, D. (2022). Prevalence of </w:t>
      </w:r>
      <w:r>
        <w:rPr>
          <w:rStyle w:val="Emphasis"/>
          <w:rFonts w:eastAsia="SimSun"/>
        </w:rPr>
        <w:t>Helicobacter pylori</w:t>
      </w:r>
      <w:r>
        <w:t xml:space="preserve"> infection among HIV-positive and HIV-negative adults in Ethiopia. </w:t>
      </w:r>
      <w:r>
        <w:rPr>
          <w:rStyle w:val="Emphasis"/>
          <w:rFonts w:eastAsia="SimSun"/>
        </w:rPr>
        <w:t xml:space="preserve">BMC Infectious Diseases, </w:t>
      </w:r>
      <w:r>
        <w:rPr>
          <w:rStyle w:val="Strong"/>
          <w:rFonts w:eastAsia="SimSun"/>
          <w:i/>
          <w:iCs/>
        </w:rPr>
        <w:t>22</w:t>
      </w:r>
      <w:r>
        <w:t xml:space="preserve">, 421. </w:t>
      </w:r>
    </w:p>
    <w:p w:rsidR="00E60271" w:rsidRDefault="00E60271" w:rsidP="00E60271">
      <w:pPr>
        <w:pStyle w:val="NormalWeb"/>
        <w:ind w:left="720" w:hanging="720"/>
        <w:jc w:val="both"/>
      </w:pPr>
      <w:r>
        <w:rPr>
          <w:color w:val="131413"/>
        </w:rPr>
        <w:t xml:space="preserve"> 29.</w:t>
      </w:r>
      <w:r>
        <w:t xml:space="preserve"> </w:t>
      </w:r>
      <w:proofErr w:type="spellStart"/>
      <w:r w:rsidR="00430810">
        <w:t>Nkuize</w:t>
      </w:r>
      <w:proofErr w:type="spellEnd"/>
      <w:r w:rsidR="00430810">
        <w:t xml:space="preserve">, M., De Wit, S., </w:t>
      </w:r>
      <w:proofErr w:type="spellStart"/>
      <w:r w:rsidR="00430810">
        <w:t>Muls</w:t>
      </w:r>
      <w:proofErr w:type="spellEnd"/>
      <w:r w:rsidR="00430810">
        <w:t xml:space="preserve">, V., </w:t>
      </w:r>
      <w:proofErr w:type="spellStart"/>
      <w:r w:rsidR="00430810">
        <w:t>Arvanitakis</w:t>
      </w:r>
      <w:proofErr w:type="spellEnd"/>
      <w:r w:rsidR="00430810">
        <w:t xml:space="preserve">, M., &amp; </w:t>
      </w:r>
      <w:proofErr w:type="spellStart"/>
      <w:r w:rsidR="00430810">
        <w:t>Buset</w:t>
      </w:r>
      <w:proofErr w:type="spellEnd"/>
      <w:r w:rsidR="00430810">
        <w:t xml:space="preserve">, M. (2023). </w:t>
      </w:r>
      <w:r w:rsidR="00430810">
        <w:rPr>
          <w:rStyle w:val="Emphasis"/>
          <w:rFonts w:eastAsia="SimSun"/>
        </w:rPr>
        <w:t>Helicobacter pylori</w:t>
      </w:r>
      <w:r w:rsidR="00430810">
        <w:t xml:space="preserve"> and HIV co-infection: A global perspective. </w:t>
      </w:r>
      <w:r w:rsidR="00430810">
        <w:rPr>
          <w:rStyle w:val="Emphasis"/>
          <w:rFonts w:eastAsia="SimSun"/>
        </w:rPr>
        <w:t xml:space="preserve">World Journal of Gastroenterology, </w:t>
      </w:r>
      <w:r w:rsidR="00430810">
        <w:rPr>
          <w:rStyle w:val="Strong"/>
          <w:rFonts w:eastAsia="SimSun"/>
          <w:i/>
          <w:iCs/>
        </w:rPr>
        <w:t>29</w:t>
      </w:r>
      <w:r w:rsidR="00430810">
        <w:t>(6), 935–948</w:t>
      </w:r>
      <w:r w:rsidR="00430810">
        <w:t>.</w:t>
      </w:r>
    </w:p>
    <w:p w:rsidR="001A10A4" w:rsidRDefault="00430810" w:rsidP="001A10A4">
      <w:pPr>
        <w:pStyle w:val="NormalWeb"/>
        <w:ind w:left="720" w:hanging="720"/>
        <w:jc w:val="both"/>
      </w:pPr>
      <w:r>
        <w:rPr>
          <w:color w:val="131413"/>
        </w:rPr>
        <w:t xml:space="preserve"> 30.</w:t>
      </w:r>
      <w:r>
        <w:t xml:space="preserve"> </w:t>
      </w:r>
      <w:r w:rsidR="001A10A4">
        <w:t>Innocent-</w:t>
      </w:r>
      <w:proofErr w:type="spellStart"/>
      <w:r w:rsidR="001A10A4">
        <w:t>Adiele</w:t>
      </w:r>
      <w:proofErr w:type="spellEnd"/>
      <w:r w:rsidR="001A10A4">
        <w:t xml:space="preserve">, H. C., </w:t>
      </w:r>
      <w:proofErr w:type="spellStart"/>
      <w:r w:rsidR="001A10A4">
        <w:t>Onoh</w:t>
      </w:r>
      <w:proofErr w:type="spellEnd"/>
      <w:r w:rsidR="001A10A4">
        <w:t xml:space="preserve">, R. C., &amp; </w:t>
      </w:r>
      <w:proofErr w:type="spellStart"/>
      <w:r w:rsidR="001A10A4">
        <w:t>Onoh</w:t>
      </w:r>
      <w:proofErr w:type="spellEnd"/>
      <w:r w:rsidR="001A10A4">
        <w:t xml:space="preserve">, T. J. (2023). Prevalence of </w:t>
      </w:r>
      <w:r w:rsidR="001A10A4">
        <w:rPr>
          <w:rStyle w:val="Emphasis"/>
          <w:rFonts w:eastAsia="SimSun"/>
        </w:rPr>
        <w:t>Helicobacter pylori</w:t>
      </w:r>
      <w:r w:rsidR="001A10A4">
        <w:t xml:space="preserve"> infection among HIV-positive patients in Nigeria. </w:t>
      </w:r>
      <w:r w:rsidR="001A10A4">
        <w:rPr>
          <w:rStyle w:val="Emphasis"/>
          <w:rFonts w:eastAsia="SimSun"/>
        </w:rPr>
        <w:t xml:space="preserve">African Health Sciences, </w:t>
      </w:r>
      <w:r w:rsidR="001A10A4">
        <w:rPr>
          <w:rStyle w:val="Strong"/>
          <w:rFonts w:eastAsia="SimSun"/>
          <w:i/>
          <w:iCs/>
        </w:rPr>
        <w:t>23</w:t>
      </w:r>
      <w:r w:rsidR="001A10A4">
        <w:t xml:space="preserve">(2), 112–120. </w:t>
      </w:r>
    </w:p>
    <w:p w:rsidR="00430810" w:rsidRDefault="001A10A4" w:rsidP="00E60271">
      <w:pPr>
        <w:pStyle w:val="NormalWeb"/>
        <w:ind w:left="720" w:hanging="720"/>
        <w:jc w:val="both"/>
      </w:pPr>
      <w:r>
        <w:t xml:space="preserve">31. </w:t>
      </w:r>
      <w:proofErr w:type="spellStart"/>
      <w:r>
        <w:t>Okonko</w:t>
      </w:r>
      <w:proofErr w:type="spellEnd"/>
      <w:r>
        <w:t xml:space="preserve">, I. O., </w:t>
      </w:r>
      <w:proofErr w:type="spellStart"/>
      <w:r>
        <w:t>Donbraye</w:t>
      </w:r>
      <w:proofErr w:type="spellEnd"/>
      <w:r>
        <w:t xml:space="preserve">-Emmanuel, O. O. B., &amp; </w:t>
      </w:r>
      <w:proofErr w:type="spellStart"/>
      <w:r>
        <w:t>Babalola</w:t>
      </w:r>
      <w:proofErr w:type="spellEnd"/>
      <w:r>
        <w:t xml:space="preserve">, E. T. (2024). Co-infection of </w:t>
      </w:r>
      <w:r>
        <w:rPr>
          <w:rStyle w:val="Emphasis"/>
          <w:rFonts w:eastAsia="SimSun"/>
        </w:rPr>
        <w:t>Helicobacter pylori</w:t>
      </w:r>
      <w:r>
        <w:t xml:space="preserve"> and HIV among adult patients in southwestern Nigeria. </w:t>
      </w:r>
      <w:r>
        <w:rPr>
          <w:rStyle w:val="Emphasis"/>
          <w:rFonts w:eastAsia="SimSun"/>
        </w:rPr>
        <w:t xml:space="preserve">Journal of Infection in Developing Countries, </w:t>
      </w:r>
      <w:r>
        <w:rPr>
          <w:rStyle w:val="Strong"/>
          <w:rFonts w:eastAsia="SimSun"/>
          <w:i/>
          <w:iCs/>
        </w:rPr>
        <w:t>18</w:t>
      </w:r>
      <w:r>
        <w:t>(2), 234–242</w:t>
      </w:r>
      <w:r>
        <w:t>.</w:t>
      </w:r>
    </w:p>
    <w:p w:rsidR="001A10A4" w:rsidRDefault="001A10A4" w:rsidP="00E60271">
      <w:pPr>
        <w:pStyle w:val="NormalWeb"/>
        <w:ind w:left="720" w:hanging="720"/>
        <w:jc w:val="both"/>
      </w:pPr>
      <w:r>
        <w:t xml:space="preserve">32. </w:t>
      </w:r>
      <w:proofErr w:type="spellStart"/>
      <w:r>
        <w:t>Abadi</w:t>
      </w:r>
      <w:proofErr w:type="spellEnd"/>
      <w:r>
        <w:t xml:space="preserve">, T. B., </w:t>
      </w:r>
      <w:proofErr w:type="spellStart"/>
      <w:r>
        <w:t>Teshome</w:t>
      </w:r>
      <w:proofErr w:type="spellEnd"/>
      <w:r>
        <w:t xml:space="preserve">, W., &amp; </w:t>
      </w:r>
      <w:proofErr w:type="spellStart"/>
      <w:r>
        <w:t>Tadesse</w:t>
      </w:r>
      <w:proofErr w:type="spellEnd"/>
      <w:r>
        <w:t xml:space="preserve">, G. (2025). </w:t>
      </w:r>
      <w:r>
        <w:rPr>
          <w:rStyle w:val="Emphasis"/>
          <w:rFonts w:eastAsia="SimSun"/>
        </w:rPr>
        <w:t>Helicobacter pylori</w:t>
      </w:r>
      <w:r>
        <w:t xml:space="preserve"> infection and associated factors among HIV-positive and HIV-negative adults. </w:t>
      </w:r>
      <w:proofErr w:type="spellStart"/>
      <w:r>
        <w:rPr>
          <w:i/>
          <w:iCs/>
        </w:rPr>
        <w:t>BioMed</w:t>
      </w:r>
      <w:proofErr w:type="spellEnd"/>
      <w:r>
        <w:rPr>
          <w:i/>
          <w:iCs/>
        </w:rPr>
        <w:t xml:space="preserve"> Central</w:t>
      </w:r>
      <w:r>
        <w:rPr>
          <w:rStyle w:val="Emphasis"/>
          <w:rFonts w:eastAsia="SimSun"/>
        </w:rPr>
        <w:t xml:space="preserve"> Gastroenterology, </w:t>
      </w:r>
      <w:r>
        <w:rPr>
          <w:rStyle w:val="Strong"/>
          <w:rFonts w:eastAsia="SimSun"/>
          <w:i/>
          <w:iCs/>
        </w:rPr>
        <w:t>25</w:t>
      </w:r>
      <w:r>
        <w:t>, 67</w:t>
      </w:r>
      <w:r>
        <w:t>.</w:t>
      </w:r>
    </w:p>
    <w:p w:rsidR="001A10A4" w:rsidRPr="00E60271" w:rsidRDefault="001A10A4" w:rsidP="00E60271">
      <w:pPr>
        <w:pStyle w:val="NormalWeb"/>
        <w:ind w:left="720" w:hanging="720"/>
        <w:jc w:val="both"/>
      </w:pPr>
    </w:p>
    <w:p w:rsidR="00223847" w:rsidRDefault="00223847" w:rsidP="00223847">
      <w:pPr>
        <w:autoSpaceDE w:val="0"/>
        <w:autoSpaceDN w:val="0"/>
        <w:adjustRightInd w:val="0"/>
        <w:spacing w:after="0" w:line="240" w:lineRule="auto"/>
        <w:ind w:left="720" w:hanging="720"/>
        <w:jc w:val="both"/>
        <w:rPr>
          <w:rFonts w:ascii="Times New Roman" w:eastAsia="GaramondMTStd-Regular" w:hAnsi="Times New Roman" w:cs="Times New Roman"/>
          <w:iCs/>
          <w:sz w:val="24"/>
          <w:szCs w:val="24"/>
        </w:rPr>
      </w:pPr>
    </w:p>
    <w:p w:rsidR="00223847" w:rsidRDefault="00223847" w:rsidP="00223847">
      <w:pPr>
        <w:autoSpaceDE w:val="0"/>
        <w:autoSpaceDN w:val="0"/>
        <w:adjustRightInd w:val="0"/>
        <w:spacing w:after="0" w:line="240" w:lineRule="auto"/>
        <w:ind w:left="720" w:hanging="720"/>
        <w:jc w:val="both"/>
        <w:rPr>
          <w:rFonts w:ascii="Times New Roman" w:hAnsi="Times New Roman" w:cs="Times New Roman"/>
          <w:color w:val="131413"/>
          <w:sz w:val="24"/>
          <w:szCs w:val="24"/>
        </w:rPr>
      </w:pPr>
    </w:p>
    <w:p w:rsidR="00987A5C" w:rsidRPr="008306E3" w:rsidRDefault="00E51766" w:rsidP="008306E3">
      <w:pPr>
        <w:spacing w:after="0" w:line="360" w:lineRule="auto"/>
        <w:rPr>
          <w:rFonts w:ascii="Times New Roman" w:hAnsi="Times New Roman" w:cs="Times New Roman"/>
          <w:color w:val="131413"/>
          <w:sz w:val="24"/>
          <w:szCs w:val="24"/>
        </w:rPr>
      </w:pPr>
      <w:r>
        <w:rPr>
          <w:rFonts w:ascii="Times New Roman" w:hAnsi="Times New Roman" w:cs="Times New Roman"/>
          <w:sz w:val="24"/>
          <w:szCs w:val="24"/>
        </w:rPr>
        <w:t xml:space="preserve"> </w:t>
      </w:r>
    </w:p>
    <w:p w:rsidR="00773DDD" w:rsidRPr="00427B85" w:rsidRDefault="00773DDD" w:rsidP="003A043E">
      <w:pPr>
        <w:rPr>
          <w:rFonts w:ascii="Times New Roman" w:hAnsi="Times New Roman" w:cs="Times New Roman"/>
          <w:sz w:val="24"/>
          <w:szCs w:val="24"/>
        </w:rPr>
      </w:pPr>
    </w:p>
    <w:p w:rsidR="00427B85" w:rsidRDefault="00427B85" w:rsidP="00707240">
      <w:pPr>
        <w:pStyle w:val="ListParagraph"/>
        <w:jc w:val="both"/>
        <w:rPr>
          <w:rFonts w:ascii="Times New Roman" w:hAnsi="Times New Roman" w:cs="Times New Roman"/>
          <w:sz w:val="24"/>
          <w:szCs w:val="24"/>
        </w:rPr>
      </w:pPr>
    </w:p>
    <w:p w:rsidR="00427B85" w:rsidRPr="00733ED9" w:rsidRDefault="00427B85" w:rsidP="00733ED9">
      <w:pPr>
        <w:jc w:val="both"/>
        <w:rPr>
          <w:rFonts w:ascii="Times New Roman" w:hAnsi="Times New Roman" w:cs="Times New Roman"/>
          <w:sz w:val="28"/>
          <w:szCs w:val="28"/>
        </w:rPr>
      </w:pPr>
    </w:p>
    <w:sectPr w:rsidR="00427B85" w:rsidRPr="00733ED9" w:rsidSect="00324B06">
      <w:pgSz w:w="12240" w:h="15840"/>
      <w:pgMar w:top="1440"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NewRomanPSMT"/>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wis721 BlkCn BT">
    <w:altName w:val="Swis721 BlkCn BT"/>
    <w:panose1 w:val="020B0806030502040204"/>
    <w:charset w:val="00"/>
    <w:family w:val="swiss"/>
    <w:pitch w:val="variable"/>
    <w:sig w:usb0="800000AF" w:usb1="1000204A" w:usb2="00000000" w:usb3="00000000" w:csb0="00000011" w:csb1="00000000"/>
  </w:font>
  <w:font w:name="Tahoma">
    <w:altName w:val="Tahoma"/>
    <w:panose1 w:val="020B0604030504040204"/>
    <w:charset w:val="00"/>
    <w:family w:val="swiss"/>
    <w:pitch w:val="variable"/>
    <w:sig w:usb0="E1002EFF" w:usb1="C000605B" w:usb2="00000029" w:usb3="00000000" w:csb0="000101FF" w:csb1="00000000"/>
  </w:font>
  <w:font w:name="GaramondMTStd-Regular">
    <w:altName w:val="MS Gothic"/>
    <w:charset w:val="80"/>
    <w:family w:val="roman"/>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8438F9A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D"/>
    <w:multiLevelType w:val="hybridMultilevel"/>
    <w:tmpl w:val="7EA8584C"/>
    <w:lvl w:ilvl="0" w:tplc="2534A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C0C14"/>
    <w:multiLevelType w:val="hybridMultilevel"/>
    <w:tmpl w:val="0FCE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F1713"/>
    <w:multiLevelType w:val="multilevel"/>
    <w:tmpl w:val="BBD20736"/>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nsid w:val="738924F9"/>
    <w:multiLevelType w:val="hybridMultilevel"/>
    <w:tmpl w:val="EFAE6B4E"/>
    <w:lvl w:ilvl="0" w:tplc="0220DEF4">
      <w:start w:val="1"/>
      <w:numFmt w:val="decimal"/>
      <w:lvlText w:val="%1."/>
      <w:lvlJc w:val="left"/>
      <w:pPr>
        <w:ind w:left="720" w:hanging="360"/>
      </w:pPr>
      <w:rPr>
        <w:rFonts w:eastAsia="TimesNewRomanPSMT"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C2"/>
    <w:rsid w:val="000200E5"/>
    <w:rsid w:val="00024272"/>
    <w:rsid w:val="00032447"/>
    <w:rsid w:val="00034965"/>
    <w:rsid w:val="0005129B"/>
    <w:rsid w:val="0005616A"/>
    <w:rsid w:val="000574B2"/>
    <w:rsid w:val="00072499"/>
    <w:rsid w:val="00073E3E"/>
    <w:rsid w:val="00082FB9"/>
    <w:rsid w:val="000B0AC3"/>
    <w:rsid w:val="000C428D"/>
    <w:rsid w:val="000C4417"/>
    <w:rsid w:val="000D6555"/>
    <w:rsid w:val="000E07ED"/>
    <w:rsid w:val="000E1D8B"/>
    <w:rsid w:val="000F25B2"/>
    <w:rsid w:val="00101059"/>
    <w:rsid w:val="0013219F"/>
    <w:rsid w:val="001350B4"/>
    <w:rsid w:val="00144853"/>
    <w:rsid w:val="00151998"/>
    <w:rsid w:val="001615B1"/>
    <w:rsid w:val="00163BFB"/>
    <w:rsid w:val="00164F76"/>
    <w:rsid w:val="00176F78"/>
    <w:rsid w:val="00181CCB"/>
    <w:rsid w:val="00193D4E"/>
    <w:rsid w:val="001A10A4"/>
    <w:rsid w:val="001B1F11"/>
    <w:rsid w:val="001D09A4"/>
    <w:rsid w:val="001D1A9D"/>
    <w:rsid w:val="001D7DAA"/>
    <w:rsid w:val="001E7DAB"/>
    <w:rsid w:val="001F7E4A"/>
    <w:rsid w:val="00201C9A"/>
    <w:rsid w:val="00214D22"/>
    <w:rsid w:val="00223051"/>
    <w:rsid w:val="00223847"/>
    <w:rsid w:val="002327B3"/>
    <w:rsid w:val="002366A0"/>
    <w:rsid w:val="00250079"/>
    <w:rsid w:val="002525FD"/>
    <w:rsid w:val="002559E2"/>
    <w:rsid w:val="00256CDE"/>
    <w:rsid w:val="00256E8C"/>
    <w:rsid w:val="002659F2"/>
    <w:rsid w:val="0026649B"/>
    <w:rsid w:val="00283678"/>
    <w:rsid w:val="002A4B2A"/>
    <w:rsid w:val="002A6CF7"/>
    <w:rsid w:val="002B38B1"/>
    <w:rsid w:val="002E5068"/>
    <w:rsid w:val="0030622C"/>
    <w:rsid w:val="003070E5"/>
    <w:rsid w:val="003072AC"/>
    <w:rsid w:val="00307E82"/>
    <w:rsid w:val="0031777D"/>
    <w:rsid w:val="00324443"/>
    <w:rsid w:val="00324B06"/>
    <w:rsid w:val="00342A17"/>
    <w:rsid w:val="00352A3D"/>
    <w:rsid w:val="00360076"/>
    <w:rsid w:val="0036758F"/>
    <w:rsid w:val="0037022C"/>
    <w:rsid w:val="00386ED1"/>
    <w:rsid w:val="00391DF5"/>
    <w:rsid w:val="00393C70"/>
    <w:rsid w:val="0039658D"/>
    <w:rsid w:val="003A043E"/>
    <w:rsid w:val="003C2253"/>
    <w:rsid w:val="003E4494"/>
    <w:rsid w:val="003F3AED"/>
    <w:rsid w:val="00427B85"/>
    <w:rsid w:val="00430810"/>
    <w:rsid w:val="00431695"/>
    <w:rsid w:val="004345F3"/>
    <w:rsid w:val="004551C0"/>
    <w:rsid w:val="00455A65"/>
    <w:rsid w:val="00461B65"/>
    <w:rsid w:val="0046710F"/>
    <w:rsid w:val="00481EEC"/>
    <w:rsid w:val="00497060"/>
    <w:rsid w:val="004A0048"/>
    <w:rsid w:val="004A4C0C"/>
    <w:rsid w:val="004A7691"/>
    <w:rsid w:val="004B1108"/>
    <w:rsid w:val="004C53D5"/>
    <w:rsid w:val="004D6418"/>
    <w:rsid w:val="004F00A5"/>
    <w:rsid w:val="004F7C87"/>
    <w:rsid w:val="00515F57"/>
    <w:rsid w:val="00516481"/>
    <w:rsid w:val="005255F7"/>
    <w:rsid w:val="00530E11"/>
    <w:rsid w:val="00534674"/>
    <w:rsid w:val="00543FA3"/>
    <w:rsid w:val="00572071"/>
    <w:rsid w:val="00572330"/>
    <w:rsid w:val="00583EC7"/>
    <w:rsid w:val="0058494C"/>
    <w:rsid w:val="00590E43"/>
    <w:rsid w:val="00597225"/>
    <w:rsid w:val="005A3756"/>
    <w:rsid w:val="005B147E"/>
    <w:rsid w:val="005B6612"/>
    <w:rsid w:val="005C1346"/>
    <w:rsid w:val="005D1C19"/>
    <w:rsid w:val="005D4C57"/>
    <w:rsid w:val="005E0FC3"/>
    <w:rsid w:val="005F2A8F"/>
    <w:rsid w:val="005F444F"/>
    <w:rsid w:val="00602143"/>
    <w:rsid w:val="00617FF8"/>
    <w:rsid w:val="006339FA"/>
    <w:rsid w:val="00633BB2"/>
    <w:rsid w:val="00640080"/>
    <w:rsid w:val="006456FE"/>
    <w:rsid w:val="006518C2"/>
    <w:rsid w:val="006567DC"/>
    <w:rsid w:val="006A35F7"/>
    <w:rsid w:val="006B027D"/>
    <w:rsid w:val="006B02A5"/>
    <w:rsid w:val="006C4D64"/>
    <w:rsid w:val="006F2549"/>
    <w:rsid w:val="006F6DEE"/>
    <w:rsid w:val="00706D73"/>
    <w:rsid w:val="00707240"/>
    <w:rsid w:val="00710961"/>
    <w:rsid w:val="00712C21"/>
    <w:rsid w:val="0072255B"/>
    <w:rsid w:val="00733ED9"/>
    <w:rsid w:val="00743666"/>
    <w:rsid w:val="00754A27"/>
    <w:rsid w:val="00762AE4"/>
    <w:rsid w:val="00773DDD"/>
    <w:rsid w:val="007759A2"/>
    <w:rsid w:val="00791875"/>
    <w:rsid w:val="007949DC"/>
    <w:rsid w:val="00797AB4"/>
    <w:rsid w:val="007A14B9"/>
    <w:rsid w:val="007A533F"/>
    <w:rsid w:val="007D6278"/>
    <w:rsid w:val="007E7488"/>
    <w:rsid w:val="007E765F"/>
    <w:rsid w:val="007F0EFF"/>
    <w:rsid w:val="007F5041"/>
    <w:rsid w:val="007F6EE4"/>
    <w:rsid w:val="008306E3"/>
    <w:rsid w:val="0083512A"/>
    <w:rsid w:val="00837052"/>
    <w:rsid w:val="0084191C"/>
    <w:rsid w:val="00871AD7"/>
    <w:rsid w:val="00872BAE"/>
    <w:rsid w:val="00883361"/>
    <w:rsid w:val="00896ED0"/>
    <w:rsid w:val="008B0F94"/>
    <w:rsid w:val="008C6292"/>
    <w:rsid w:val="008D0774"/>
    <w:rsid w:val="008D4659"/>
    <w:rsid w:val="008F54CB"/>
    <w:rsid w:val="00901FB7"/>
    <w:rsid w:val="0090568E"/>
    <w:rsid w:val="009108C1"/>
    <w:rsid w:val="0091750A"/>
    <w:rsid w:val="0092326D"/>
    <w:rsid w:val="00933401"/>
    <w:rsid w:val="00935F1A"/>
    <w:rsid w:val="0095002D"/>
    <w:rsid w:val="00954F4E"/>
    <w:rsid w:val="00962A53"/>
    <w:rsid w:val="00987A5C"/>
    <w:rsid w:val="009936D8"/>
    <w:rsid w:val="009C2291"/>
    <w:rsid w:val="009C23AA"/>
    <w:rsid w:val="009C66A0"/>
    <w:rsid w:val="009D209C"/>
    <w:rsid w:val="009D32CB"/>
    <w:rsid w:val="00A21460"/>
    <w:rsid w:val="00A26BC7"/>
    <w:rsid w:val="00A42342"/>
    <w:rsid w:val="00A451BC"/>
    <w:rsid w:val="00A45B5F"/>
    <w:rsid w:val="00A467C4"/>
    <w:rsid w:val="00A5477F"/>
    <w:rsid w:val="00A627C2"/>
    <w:rsid w:val="00A81B70"/>
    <w:rsid w:val="00A8791A"/>
    <w:rsid w:val="00A93B42"/>
    <w:rsid w:val="00A95B8B"/>
    <w:rsid w:val="00A963C7"/>
    <w:rsid w:val="00A96C73"/>
    <w:rsid w:val="00AA4746"/>
    <w:rsid w:val="00AC4049"/>
    <w:rsid w:val="00AE18B1"/>
    <w:rsid w:val="00AE2B28"/>
    <w:rsid w:val="00AE579C"/>
    <w:rsid w:val="00B00BD0"/>
    <w:rsid w:val="00B15869"/>
    <w:rsid w:val="00B16874"/>
    <w:rsid w:val="00B173DA"/>
    <w:rsid w:val="00B174E5"/>
    <w:rsid w:val="00B33B36"/>
    <w:rsid w:val="00B3649E"/>
    <w:rsid w:val="00B37DC2"/>
    <w:rsid w:val="00B478AF"/>
    <w:rsid w:val="00B56205"/>
    <w:rsid w:val="00B61B0F"/>
    <w:rsid w:val="00B728F7"/>
    <w:rsid w:val="00B73535"/>
    <w:rsid w:val="00B801F7"/>
    <w:rsid w:val="00B94D25"/>
    <w:rsid w:val="00BB4FF2"/>
    <w:rsid w:val="00BC1AF9"/>
    <w:rsid w:val="00BD31D9"/>
    <w:rsid w:val="00BE7CB9"/>
    <w:rsid w:val="00BF4760"/>
    <w:rsid w:val="00BF7675"/>
    <w:rsid w:val="00C113DB"/>
    <w:rsid w:val="00C16BC3"/>
    <w:rsid w:val="00C1736C"/>
    <w:rsid w:val="00C44573"/>
    <w:rsid w:val="00C446FA"/>
    <w:rsid w:val="00C54C66"/>
    <w:rsid w:val="00C5517F"/>
    <w:rsid w:val="00C60E27"/>
    <w:rsid w:val="00C67548"/>
    <w:rsid w:val="00C75BC2"/>
    <w:rsid w:val="00C81E1E"/>
    <w:rsid w:val="00C84823"/>
    <w:rsid w:val="00C916AC"/>
    <w:rsid w:val="00C9234D"/>
    <w:rsid w:val="00C92A51"/>
    <w:rsid w:val="00C936C0"/>
    <w:rsid w:val="00CA5AA0"/>
    <w:rsid w:val="00CB14A6"/>
    <w:rsid w:val="00CC09BD"/>
    <w:rsid w:val="00CC1CDC"/>
    <w:rsid w:val="00CD249B"/>
    <w:rsid w:val="00CD48AF"/>
    <w:rsid w:val="00CE01D4"/>
    <w:rsid w:val="00CE0723"/>
    <w:rsid w:val="00CF1A8C"/>
    <w:rsid w:val="00CF6D1C"/>
    <w:rsid w:val="00D039A3"/>
    <w:rsid w:val="00D2094F"/>
    <w:rsid w:val="00D23539"/>
    <w:rsid w:val="00D30605"/>
    <w:rsid w:val="00D44156"/>
    <w:rsid w:val="00D465A0"/>
    <w:rsid w:val="00D61034"/>
    <w:rsid w:val="00D63F25"/>
    <w:rsid w:val="00D64E5E"/>
    <w:rsid w:val="00D707B0"/>
    <w:rsid w:val="00D7229D"/>
    <w:rsid w:val="00D84FC6"/>
    <w:rsid w:val="00DA0789"/>
    <w:rsid w:val="00DA21DC"/>
    <w:rsid w:val="00DA362A"/>
    <w:rsid w:val="00DB4E26"/>
    <w:rsid w:val="00DC1762"/>
    <w:rsid w:val="00DC2434"/>
    <w:rsid w:val="00DC7747"/>
    <w:rsid w:val="00DD366C"/>
    <w:rsid w:val="00DE2F7E"/>
    <w:rsid w:val="00DE456C"/>
    <w:rsid w:val="00DF074E"/>
    <w:rsid w:val="00DF4E62"/>
    <w:rsid w:val="00E015C5"/>
    <w:rsid w:val="00E03824"/>
    <w:rsid w:val="00E03CBE"/>
    <w:rsid w:val="00E06F79"/>
    <w:rsid w:val="00E14113"/>
    <w:rsid w:val="00E14354"/>
    <w:rsid w:val="00E23265"/>
    <w:rsid w:val="00E410CD"/>
    <w:rsid w:val="00E51766"/>
    <w:rsid w:val="00E55FD3"/>
    <w:rsid w:val="00E57211"/>
    <w:rsid w:val="00E60271"/>
    <w:rsid w:val="00E61430"/>
    <w:rsid w:val="00E618DF"/>
    <w:rsid w:val="00E61BBF"/>
    <w:rsid w:val="00E740A4"/>
    <w:rsid w:val="00E8186B"/>
    <w:rsid w:val="00E95BD6"/>
    <w:rsid w:val="00EB1686"/>
    <w:rsid w:val="00EB2FAF"/>
    <w:rsid w:val="00EC7339"/>
    <w:rsid w:val="00EE4415"/>
    <w:rsid w:val="00EF57DC"/>
    <w:rsid w:val="00EF73F0"/>
    <w:rsid w:val="00F00BF2"/>
    <w:rsid w:val="00F0103B"/>
    <w:rsid w:val="00F21478"/>
    <w:rsid w:val="00F21E6D"/>
    <w:rsid w:val="00F21F0C"/>
    <w:rsid w:val="00F2480E"/>
    <w:rsid w:val="00F336A3"/>
    <w:rsid w:val="00F43741"/>
    <w:rsid w:val="00F4394C"/>
    <w:rsid w:val="00F52B6B"/>
    <w:rsid w:val="00F66EBA"/>
    <w:rsid w:val="00F768B4"/>
    <w:rsid w:val="00F9513D"/>
    <w:rsid w:val="00FA2CC0"/>
    <w:rsid w:val="00FB72FF"/>
    <w:rsid w:val="00FC063E"/>
    <w:rsid w:val="00FC0D75"/>
    <w:rsid w:val="00FC27B6"/>
    <w:rsid w:val="00FC6339"/>
    <w:rsid w:val="00FE25A5"/>
    <w:rsid w:val="00FF2696"/>
    <w:rsid w:val="00FF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F5362-48AE-495D-8017-0EFBDAD7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F8"/>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CD48AF"/>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7072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38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1F11"/>
    <w:pPr>
      <w:autoSpaceDE w:val="0"/>
      <w:autoSpaceDN w:val="0"/>
      <w:adjustRightInd w:val="0"/>
      <w:spacing w:after="0" w:line="240" w:lineRule="auto"/>
    </w:pPr>
    <w:rPr>
      <w:rFonts w:ascii="Swis721 BlkCn BT" w:eastAsia="Calibri" w:hAnsi="Swis721 BlkCn BT" w:cs="Swis721 BlkCn BT"/>
      <w:color w:val="000000"/>
      <w:sz w:val="24"/>
      <w:szCs w:val="24"/>
    </w:rPr>
  </w:style>
  <w:style w:type="paragraph" w:styleId="ListParagraph">
    <w:name w:val="List Paragraph"/>
    <w:basedOn w:val="Normal"/>
    <w:uiPriority w:val="34"/>
    <w:qFormat/>
    <w:rsid w:val="00A26BC7"/>
    <w:pPr>
      <w:ind w:left="720"/>
      <w:contextualSpacing/>
    </w:pPr>
  </w:style>
  <w:style w:type="character" w:customStyle="1" w:styleId="Heading1Char">
    <w:name w:val="Heading 1 Char"/>
    <w:basedOn w:val="DefaultParagraphFont"/>
    <w:link w:val="Heading1"/>
    <w:uiPriority w:val="9"/>
    <w:rsid w:val="00CD48AF"/>
    <w:rPr>
      <w:rFonts w:ascii="Cambria" w:eastAsia="SimSun" w:hAnsi="Cambria" w:cs="SimSun"/>
      <w:color w:val="365F91"/>
      <w:sz w:val="32"/>
      <w:szCs w:val="32"/>
    </w:rPr>
  </w:style>
  <w:style w:type="character" w:customStyle="1" w:styleId="Heading2Char">
    <w:name w:val="Heading 2 Char"/>
    <w:basedOn w:val="DefaultParagraphFont"/>
    <w:link w:val="Heading2"/>
    <w:uiPriority w:val="9"/>
    <w:semiHidden/>
    <w:rsid w:val="0070724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rsid w:val="0070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7240"/>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2B38B1"/>
    <w:rPr>
      <w:rFonts w:asciiTheme="majorHAnsi" w:eastAsiaTheme="majorEastAsia" w:hAnsiTheme="majorHAnsi" w:cstheme="majorBidi"/>
      <w:color w:val="1F4D78" w:themeColor="accent1" w:themeShade="7F"/>
      <w:sz w:val="24"/>
      <w:szCs w:val="24"/>
    </w:rPr>
  </w:style>
  <w:style w:type="table" w:customStyle="1" w:styleId="ListTable6Colorful1">
    <w:name w:val="List Table 6 Colorful1"/>
    <w:basedOn w:val="TableNormal"/>
    <w:uiPriority w:val="51"/>
    <w:rsid w:val="00FC27B6"/>
    <w:pPr>
      <w:spacing w:after="0" w:line="240" w:lineRule="auto"/>
    </w:pPr>
    <w:rPr>
      <w:rFonts w:ascii="Calibri" w:eastAsia="Calibri" w:hAnsi="Calibri" w:cs="SimSun"/>
      <w:color w:val="000000"/>
      <w:kern w:val="2"/>
      <w:sz w:val="24"/>
      <w:szCs w:val="24"/>
      <w14:ligatures w14:val="standardContextual"/>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rsid w:val="00F437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3741"/>
    <w:rPr>
      <w:i/>
      <w:iCs/>
    </w:rPr>
  </w:style>
  <w:style w:type="character" w:styleId="Strong">
    <w:name w:val="Strong"/>
    <w:basedOn w:val="DefaultParagraphFont"/>
    <w:uiPriority w:val="22"/>
    <w:qFormat/>
    <w:rsid w:val="00F43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3557">
      <w:bodyDiv w:val="1"/>
      <w:marLeft w:val="0"/>
      <w:marRight w:val="0"/>
      <w:marTop w:val="0"/>
      <w:marBottom w:val="0"/>
      <w:divBdr>
        <w:top w:val="none" w:sz="0" w:space="0" w:color="auto"/>
        <w:left w:val="none" w:sz="0" w:space="0" w:color="auto"/>
        <w:bottom w:val="none" w:sz="0" w:space="0" w:color="auto"/>
        <w:right w:val="none" w:sz="0" w:space="0" w:color="auto"/>
      </w:divBdr>
    </w:div>
    <w:div w:id="338167395">
      <w:bodyDiv w:val="1"/>
      <w:marLeft w:val="0"/>
      <w:marRight w:val="0"/>
      <w:marTop w:val="0"/>
      <w:marBottom w:val="0"/>
      <w:divBdr>
        <w:top w:val="none" w:sz="0" w:space="0" w:color="auto"/>
        <w:left w:val="none" w:sz="0" w:space="0" w:color="auto"/>
        <w:bottom w:val="none" w:sz="0" w:space="0" w:color="auto"/>
        <w:right w:val="none" w:sz="0" w:space="0" w:color="auto"/>
      </w:divBdr>
    </w:div>
    <w:div w:id="507792046">
      <w:bodyDiv w:val="1"/>
      <w:marLeft w:val="0"/>
      <w:marRight w:val="0"/>
      <w:marTop w:val="0"/>
      <w:marBottom w:val="0"/>
      <w:divBdr>
        <w:top w:val="none" w:sz="0" w:space="0" w:color="auto"/>
        <w:left w:val="none" w:sz="0" w:space="0" w:color="auto"/>
        <w:bottom w:val="none" w:sz="0" w:space="0" w:color="auto"/>
        <w:right w:val="none" w:sz="0" w:space="0" w:color="auto"/>
      </w:divBdr>
    </w:div>
    <w:div w:id="510921853">
      <w:bodyDiv w:val="1"/>
      <w:marLeft w:val="0"/>
      <w:marRight w:val="0"/>
      <w:marTop w:val="0"/>
      <w:marBottom w:val="0"/>
      <w:divBdr>
        <w:top w:val="none" w:sz="0" w:space="0" w:color="auto"/>
        <w:left w:val="none" w:sz="0" w:space="0" w:color="auto"/>
        <w:bottom w:val="none" w:sz="0" w:space="0" w:color="auto"/>
        <w:right w:val="none" w:sz="0" w:space="0" w:color="auto"/>
      </w:divBdr>
    </w:div>
    <w:div w:id="951478875">
      <w:bodyDiv w:val="1"/>
      <w:marLeft w:val="0"/>
      <w:marRight w:val="0"/>
      <w:marTop w:val="0"/>
      <w:marBottom w:val="0"/>
      <w:divBdr>
        <w:top w:val="none" w:sz="0" w:space="0" w:color="auto"/>
        <w:left w:val="none" w:sz="0" w:space="0" w:color="auto"/>
        <w:bottom w:val="none" w:sz="0" w:space="0" w:color="auto"/>
        <w:right w:val="none" w:sz="0" w:space="0" w:color="auto"/>
      </w:divBdr>
    </w:div>
    <w:div w:id="1368993190">
      <w:bodyDiv w:val="1"/>
      <w:marLeft w:val="0"/>
      <w:marRight w:val="0"/>
      <w:marTop w:val="0"/>
      <w:marBottom w:val="0"/>
      <w:divBdr>
        <w:top w:val="none" w:sz="0" w:space="0" w:color="auto"/>
        <w:left w:val="none" w:sz="0" w:space="0" w:color="auto"/>
        <w:bottom w:val="none" w:sz="0" w:space="0" w:color="auto"/>
        <w:right w:val="none" w:sz="0" w:space="0" w:color="auto"/>
      </w:divBdr>
    </w:div>
    <w:div w:id="1513177943">
      <w:bodyDiv w:val="1"/>
      <w:marLeft w:val="0"/>
      <w:marRight w:val="0"/>
      <w:marTop w:val="0"/>
      <w:marBottom w:val="0"/>
      <w:divBdr>
        <w:top w:val="none" w:sz="0" w:space="0" w:color="auto"/>
        <w:left w:val="none" w:sz="0" w:space="0" w:color="auto"/>
        <w:bottom w:val="none" w:sz="0" w:space="0" w:color="auto"/>
        <w:right w:val="none" w:sz="0" w:space="0" w:color="auto"/>
      </w:divBdr>
    </w:div>
    <w:div w:id="1523595438">
      <w:bodyDiv w:val="1"/>
      <w:marLeft w:val="0"/>
      <w:marRight w:val="0"/>
      <w:marTop w:val="0"/>
      <w:marBottom w:val="0"/>
      <w:divBdr>
        <w:top w:val="none" w:sz="0" w:space="0" w:color="auto"/>
        <w:left w:val="none" w:sz="0" w:space="0" w:color="auto"/>
        <w:bottom w:val="none" w:sz="0" w:space="0" w:color="auto"/>
        <w:right w:val="none" w:sz="0" w:space="0" w:color="auto"/>
      </w:divBdr>
    </w:div>
    <w:div w:id="1594624742">
      <w:bodyDiv w:val="1"/>
      <w:marLeft w:val="0"/>
      <w:marRight w:val="0"/>
      <w:marTop w:val="0"/>
      <w:marBottom w:val="0"/>
      <w:divBdr>
        <w:top w:val="none" w:sz="0" w:space="0" w:color="auto"/>
        <w:left w:val="none" w:sz="0" w:space="0" w:color="auto"/>
        <w:bottom w:val="none" w:sz="0" w:space="0" w:color="auto"/>
        <w:right w:val="none" w:sz="0" w:space="0" w:color="auto"/>
      </w:divBdr>
    </w:div>
    <w:div w:id="18473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21</Pages>
  <Words>6193</Words>
  <Characters>35303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2026-03-23T17:37:00Z</dcterms:created>
  <dcterms:modified xsi:type="dcterms:W3CDTF">2026-03-25T14:42:00Z</dcterms:modified>
</cp:coreProperties>
</file>