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168AA" w14:textId="77777777" w:rsidR="001C04CE" w:rsidRPr="004A7B4A" w:rsidRDefault="001C04CE" w:rsidP="001A660F">
      <w:pPr>
        <w:pStyle w:val="NoSpacing"/>
        <w:ind w:left="238"/>
        <w:jc w:val="center"/>
        <w:rPr>
          <w:rFonts w:ascii="Times New Roman" w:hAnsi="Times New Roman" w:cs="Times New Roman"/>
          <w:sz w:val="36"/>
          <w:szCs w:val="36"/>
        </w:rPr>
      </w:pPr>
      <w:r w:rsidRPr="004A7B4A">
        <w:rPr>
          <w:rFonts w:ascii="Times New Roman" w:hAnsi="Times New Roman" w:cs="Times New Roman"/>
          <w:sz w:val="36"/>
          <w:szCs w:val="36"/>
        </w:rPr>
        <w:t xml:space="preserve">Navigating Mathematical Landscapes: Investigating the </w:t>
      </w:r>
    </w:p>
    <w:p w14:paraId="21A0E564" w14:textId="77777777" w:rsidR="001C04CE" w:rsidRPr="004A7B4A" w:rsidRDefault="001C04CE" w:rsidP="001A660F">
      <w:pPr>
        <w:pStyle w:val="NoSpacing"/>
        <w:ind w:left="238"/>
        <w:jc w:val="center"/>
        <w:rPr>
          <w:rFonts w:ascii="Times New Roman" w:hAnsi="Times New Roman" w:cs="Times New Roman"/>
          <w:sz w:val="36"/>
          <w:szCs w:val="36"/>
        </w:rPr>
      </w:pPr>
      <w:r w:rsidRPr="004A7B4A">
        <w:rPr>
          <w:rFonts w:ascii="Times New Roman" w:hAnsi="Times New Roman" w:cs="Times New Roman"/>
          <w:sz w:val="36"/>
          <w:szCs w:val="36"/>
        </w:rPr>
        <w:t>Dynamics of Learning Environments and Attitudinal</w:t>
      </w:r>
    </w:p>
    <w:p w14:paraId="5507C97E" w14:textId="1BD84DAA" w:rsidR="00566C85" w:rsidRPr="004A7B4A" w:rsidRDefault="001C04CE" w:rsidP="001A660F">
      <w:pPr>
        <w:pStyle w:val="NoSpacing"/>
        <w:ind w:left="238"/>
        <w:jc w:val="center"/>
        <w:rPr>
          <w:rFonts w:ascii="Times New Roman" w:hAnsi="Times New Roman" w:cs="Times New Roman"/>
          <w:sz w:val="36"/>
          <w:szCs w:val="36"/>
        </w:rPr>
      </w:pPr>
      <w:r w:rsidRPr="004A7B4A">
        <w:rPr>
          <w:rFonts w:ascii="Times New Roman" w:hAnsi="Times New Roman" w:cs="Times New Roman"/>
          <w:sz w:val="36"/>
          <w:szCs w:val="36"/>
        </w:rPr>
        <w:t xml:space="preserve"> Influence on Mathematics Education</w:t>
      </w:r>
    </w:p>
    <w:p w14:paraId="7FFDAFFB" w14:textId="77777777" w:rsidR="009C59E9" w:rsidRPr="004A7B4A" w:rsidRDefault="009C59E9" w:rsidP="00F06779">
      <w:pPr>
        <w:pStyle w:val="NoSpacing"/>
        <w:ind w:left="238"/>
        <w:jc w:val="both"/>
        <w:rPr>
          <w:rFonts w:ascii="Times New Roman" w:hAnsi="Times New Roman" w:cs="Times New Roman"/>
          <w:sz w:val="24"/>
          <w:szCs w:val="24"/>
        </w:rPr>
      </w:pPr>
    </w:p>
    <w:p w14:paraId="0819665A" w14:textId="53C14BDB" w:rsidR="001C04CE" w:rsidRPr="004A7B4A" w:rsidRDefault="00566C85" w:rsidP="001C04CE">
      <w:pPr>
        <w:pStyle w:val="NoSpacing"/>
        <w:ind w:left="238"/>
        <w:jc w:val="center"/>
        <w:rPr>
          <w:rFonts w:ascii="Times New Roman" w:hAnsi="Times New Roman" w:cs="Times New Roman"/>
          <w:bCs/>
          <w:sz w:val="24"/>
          <w:szCs w:val="24"/>
        </w:rPr>
      </w:pPr>
      <w:r w:rsidRPr="004A7B4A">
        <w:rPr>
          <w:rFonts w:ascii="Times New Roman" w:hAnsi="Times New Roman" w:cs="Times New Roman"/>
          <w:sz w:val="24"/>
          <w:szCs w:val="24"/>
        </w:rPr>
        <w:t>Matthew E. Cañeda</w:t>
      </w:r>
      <w:r w:rsidR="001C04CE" w:rsidRPr="004A7B4A">
        <w:rPr>
          <w:rFonts w:ascii="Times New Roman" w:hAnsi="Times New Roman" w:cs="Times New Roman"/>
          <w:sz w:val="24"/>
          <w:szCs w:val="24"/>
          <w:vertAlign w:val="superscript"/>
        </w:rPr>
        <w:t>1</w:t>
      </w:r>
      <w:r w:rsidR="001C04CE" w:rsidRPr="004A7B4A">
        <w:rPr>
          <w:rFonts w:ascii="Times New Roman" w:hAnsi="Times New Roman" w:cs="Times New Roman"/>
          <w:sz w:val="24"/>
          <w:szCs w:val="24"/>
        </w:rPr>
        <w:t xml:space="preserve">, </w:t>
      </w:r>
      <w:r w:rsidR="001C04CE" w:rsidRPr="004A7B4A">
        <w:rPr>
          <w:rFonts w:ascii="Times New Roman" w:hAnsi="Times New Roman" w:cs="Times New Roman"/>
          <w:bCs/>
          <w:sz w:val="24"/>
          <w:szCs w:val="24"/>
        </w:rPr>
        <w:t>Jennifer M. Montero</w:t>
      </w:r>
      <w:r w:rsidR="001C04CE" w:rsidRPr="004A7B4A">
        <w:rPr>
          <w:rFonts w:ascii="Times New Roman" w:hAnsi="Times New Roman" w:cs="Times New Roman"/>
          <w:bCs/>
          <w:sz w:val="24"/>
          <w:szCs w:val="24"/>
          <w:vertAlign w:val="superscript"/>
        </w:rPr>
        <w:t>2</w:t>
      </w:r>
    </w:p>
    <w:p w14:paraId="4B464B12" w14:textId="517831BC" w:rsidR="00A75302" w:rsidRPr="004A7B4A" w:rsidRDefault="00A75302" w:rsidP="001A660F">
      <w:pPr>
        <w:pStyle w:val="NoSpacing"/>
        <w:ind w:left="238"/>
        <w:jc w:val="center"/>
        <w:rPr>
          <w:rFonts w:ascii="Times New Roman" w:hAnsi="Times New Roman" w:cs="Times New Roman"/>
          <w:sz w:val="24"/>
          <w:szCs w:val="24"/>
        </w:rPr>
      </w:pPr>
    </w:p>
    <w:p w14:paraId="2310E644" w14:textId="3987EC0C" w:rsidR="001A660F" w:rsidRPr="004A7B4A" w:rsidRDefault="001C04CE" w:rsidP="001A660F">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vertAlign w:val="superscript"/>
        </w:rPr>
        <w:t>1</w:t>
      </w:r>
      <w:r w:rsidR="00566C85" w:rsidRPr="004A7B4A">
        <w:rPr>
          <w:rFonts w:ascii="Times New Roman" w:hAnsi="Times New Roman" w:cs="Times New Roman"/>
          <w:sz w:val="24"/>
          <w:szCs w:val="24"/>
        </w:rPr>
        <w:t xml:space="preserve">Agusan </w:t>
      </w:r>
      <w:r w:rsidR="001A660F" w:rsidRPr="004A7B4A">
        <w:rPr>
          <w:rFonts w:ascii="Times New Roman" w:hAnsi="Times New Roman" w:cs="Times New Roman"/>
          <w:sz w:val="24"/>
          <w:szCs w:val="24"/>
        </w:rPr>
        <w:t>d</w:t>
      </w:r>
      <w:r w:rsidR="00566C85" w:rsidRPr="004A7B4A">
        <w:rPr>
          <w:rFonts w:ascii="Times New Roman" w:hAnsi="Times New Roman" w:cs="Times New Roman"/>
          <w:sz w:val="24"/>
          <w:szCs w:val="24"/>
        </w:rPr>
        <w:t xml:space="preserve">el Sur State </w:t>
      </w:r>
      <w:r w:rsidR="008D0E83" w:rsidRPr="004A7B4A">
        <w:rPr>
          <w:rFonts w:ascii="Times New Roman" w:hAnsi="Times New Roman" w:cs="Times New Roman"/>
          <w:sz w:val="24"/>
          <w:szCs w:val="24"/>
        </w:rPr>
        <w:t>University</w:t>
      </w:r>
      <w:r w:rsidR="001A660F" w:rsidRPr="004A7B4A">
        <w:rPr>
          <w:rFonts w:ascii="Times New Roman" w:hAnsi="Times New Roman" w:cs="Times New Roman"/>
          <w:sz w:val="24"/>
          <w:szCs w:val="24"/>
        </w:rPr>
        <w:t>, Agusan del Sur, Philippines</w:t>
      </w:r>
    </w:p>
    <w:p w14:paraId="228EAD7E" w14:textId="2E7759E2" w:rsidR="001A660F" w:rsidRPr="004A7B4A" w:rsidRDefault="001C04CE" w:rsidP="001C04CE">
      <w:pPr>
        <w:pStyle w:val="NoSpacing"/>
        <w:jc w:val="center"/>
        <w:rPr>
          <w:rFonts w:ascii="Times New Roman" w:hAnsi="Times New Roman" w:cs="Times New Roman"/>
          <w:bCs/>
          <w:sz w:val="24"/>
          <w:szCs w:val="24"/>
        </w:rPr>
      </w:pPr>
      <w:r w:rsidRPr="004A7B4A">
        <w:rPr>
          <w:rFonts w:ascii="Times New Roman" w:hAnsi="Times New Roman" w:cs="Times New Roman"/>
          <w:bCs/>
          <w:sz w:val="24"/>
          <w:szCs w:val="24"/>
          <w:vertAlign w:val="superscript"/>
        </w:rPr>
        <w:t>2</w:t>
      </w:r>
      <w:r w:rsidR="003B221E" w:rsidRPr="004A7B4A">
        <w:rPr>
          <w:rFonts w:ascii="Times New Roman" w:hAnsi="Times New Roman" w:cs="Times New Roman"/>
          <w:bCs/>
          <w:sz w:val="24"/>
          <w:szCs w:val="24"/>
        </w:rPr>
        <w:t>North Eastern Mindanao State University</w:t>
      </w:r>
      <w:r w:rsidR="001A660F" w:rsidRPr="004A7B4A">
        <w:rPr>
          <w:rFonts w:ascii="Times New Roman" w:hAnsi="Times New Roman" w:cs="Times New Roman"/>
          <w:bCs/>
          <w:sz w:val="24"/>
          <w:szCs w:val="24"/>
        </w:rPr>
        <w:t xml:space="preserve">, </w:t>
      </w:r>
      <w:proofErr w:type="spellStart"/>
      <w:r w:rsidR="001A660F" w:rsidRPr="004A7B4A">
        <w:rPr>
          <w:rFonts w:ascii="Times New Roman" w:hAnsi="Times New Roman" w:cs="Times New Roman"/>
          <w:bCs/>
          <w:sz w:val="24"/>
          <w:szCs w:val="24"/>
        </w:rPr>
        <w:t>Tandag</w:t>
      </w:r>
      <w:proofErr w:type="spellEnd"/>
      <w:r w:rsidR="001A660F" w:rsidRPr="004A7B4A">
        <w:rPr>
          <w:rFonts w:ascii="Times New Roman" w:hAnsi="Times New Roman" w:cs="Times New Roman"/>
          <w:bCs/>
          <w:sz w:val="24"/>
          <w:szCs w:val="24"/>
        </w:rPr>
        <w:t xml:space="preserve"> City, Philippines</w:t>
      </w:r>
    </w:p>
    <w:p w14:paraId="0ED289D3" w14:textId="77777777" w:rsidR="009C59E9" w:rsidRPr="004A7B4A" w:rsidRDefault="009C59E9" w:rsidP="00F06779">
      <w:pPr>
        <w:pStyle w:val="NoSpacing"/>
        <w:ind w:left="238"/>
        <w:jc w:val="both"/>
        <w:rPr>
          <w:rFonts w:ascii="Times New Roman" w:hAnsi="Times New Roman" w:cs="Times New Roman"/>
          <w:sz w:val="24"/>
          <w:szCs w:val="24"/>
        </w:rPr>
      </w:pPr>
    </w:p>
    <w:p w14:paraId="5B7054A1" w14:textId="3D1FF05D" w:rsidR="009C59E9" w:rsidRPr="004A7B4A" w:rsidRDefault="009C59E9" w:rsidP="00F06779">
      <w:pPr>
        <w:pStyle w:val="NoSpacing"/>
        <w:ind w:left="238"/>
        <w:jc w:val="both"/>
        <w:rPr>
          <w:rFonts w:ascii="Times New Roman" w:hAnsi="Times New Roman" w:cs="Times New Roman"/>
          <w:b/>
          <w:bCs/>
          <w:sz w:val="28"/>
          <w:szCs w:val="28"/>
        </w:rPr>
      </w:pPr>
      <w:r w:rsidRPr="004A7B4A">
        <w:rPr>
          <w:rFonts w:ascii="Times New Roman" w:hAnsi="Times New Roman" w:cs="Times New Roman"/>
          <w:b/>
          <w:bCs/>
          <w:sz w:val="28"/>
          <w:szCs w:val="28"/>
        </w:rPr>
        <w:t>ABSTRACT</w:t>
      </w:r>
    </w:p>
    <w:p w14:paraId="71C5ED72" w14:textId="77777777" w:rsidR="004C34F8" w:rsidRPr="004A7B4A" w:rsidRDefault="00F01335" w:rsidP="004C34F8">
      <w:pPr>
        <w:pStyle w:val="NormalWeb"/>
        <w:ind w:left="238"/>
        <w:jc w:val="both"/>
      </w:pPr>
      <w:r w:rsidRPr="004A7B4A">
        <w:t>This qualitative study explored students’ attitudes toward learning mathematics within dynamic and disrupted educational environments, particularly those shaped by instructional shifts, technology integration, and crisis-related interruptions. Conducted at Agusan del Sur University (ADSSU) during the Academic Year 2024–2025, the study examined how students experienced mathematics learning across face-to-face, online, and blended modalities. The participants included nine students who joined in-depth interviews (IDIs) and fifteen students who participated in focus group discussions (FGDs), enabling the study to capture both individual experiences and shared perspectives. Data were analyzed using Braun and Clarke’s (2006) six-phase thematic analysis, which guided the process of familiarization, coding, theme development, review, definition, and reporting. The interpretation of the findings was anchored on the Affective-Behavioral-Cognitive (ABC) model of attitudes, allowing the study to examine students’ emotional responses, learning behaviors, and cognitive perceptions toward mathematics. The findings revealed that students’ attitudes toward mathematics were strongly influenced by changes in the learning environment. The shift from face-to-face to online learning during the COVID-19 pandemic, along with recurring floods and other disruptions, affected students’ motivation, confidence, focus, and persistence. Face-to-face instruction was often associated with clearer explanations, immediate feedback, and stronger emotional support, while online learning was linked to comprehension difficulties, reduced interaction, unstable connectivity, and increased dependence on digital tools. Overall, the study suggests that students’ attitudes toward mathematics are not fixed but are shaped by learning conditions. Their emotional responses, behavioral engagement, and cognitive perceptions continuously interact with instructional delivery, teacher support, peer influence, technology use, and crisis experiences.</w:t>
      </w:r>
    </w:p>
    <w:p w14:paraId="5F672AEF" w14:textId="4DA944EC" w:rsidR="0022753A" w:rsidRPr="004A7B4A" w:rsidRDefault="0022753A" w:rsidP="004C34F8">
      <w:pPr>
        <w:pStyle w:val="NormalWeb"/>
        <w:ind w:left="238"/>
        <w:jc w:val="both"/>
      </w:pPr>
      <w:r w:rsidRPr="004A7B4A">
        <w:rPr>
          <w:rStyle w:val="Strong"/>
        </w:rPr>
        <w:t>Keywords</w:t>
      </w:r>
      <w:r w:rsidRPr="004A7B4A">
        <w:t xml:space="preserve">: students’ attitudes, learning mathematics, ABC model, </w:t>
      </w:r>
      <w:r w:rsidR="00A918F3" w:rsidRPr="004A7B4A">
        <w:t>blended</w:t>
      </w:r>
      <w:r w:rsidRPr="004A7B4A">
        <w:t xml:space="preserve"> learning, crisis events</w:t>
      </w:r>
    </w:p>
    <w:p w14:paraId="1407647C" w14:textId="77777777" w:rsidR="00B67859" w:rsidRPr="004A7B4A" w:rsidRDefault="00B67859" w:rsidP="00F06779">
      <w:pPr>
        <w:spacing w:after="0" w:line="240" w:lineRule="auto"/>
        <w:ind w:left="238"/>
        <w:jc w:val="both"/>
        <w:rPr>
          <w:rFonts w:ascii="Times New Roman" w:eastAsia="Times New Roman" w:hAnsi="Times New Roman" w:cs="Times New Roman"/>
          <w:sz w:val="24"/>
          <w:szCs w:val="24"/>
        </w:rPr>
      </w:pPr>
    </w:p>
    <w:p w14:paraId="5B53F3F8" w14:textId="57AA54AA" w:rsidR="00A75302" w:rsidRPr="004A7B4A" w:rsidRDefault="00A75302" w:rsidP="00F06779">
      <w:pPr>
        <w:spacing w:after="0"/>
        <w:ind w:left="238"/>
        <w:jc w:val="both"/>
        <w:rPr>
          <w:rFonts w:ascii="Times New Roman" w:hAnsi="Times New Roman" w:cs="Times New Roman"/>
          <w:b/>
          <w:bCs/>
          <w:sz w:val="28"/>
          <w:szCs w:val="28"/>
        </w:rPr>
      </w:pPr>
      <w:r w:rsidRPr="004A7B4A">
        <w:rPr>
          <w:rFonts w:ascii="Times New Roman" w:hAnsi="Times New Roman" w:cs="Times New Roman"/>
          <w:b/>
          <w:bCs/>
          <w:sz w:val="28"/>
          <w:szCs w:val="28"/>
        </w:rPr>
        <w:t>INTRODUCTION</w:t>
      </w:r>
    </w:p>
    <w:p w14:paraId="1F327C8A" w14:textId="3F4C490D" w:rsidR="0028275E" w:rsidRPr="004A7B4A" w:rsidRDefault="0028275E" w:rsidP="00F06779">
      <w:pPr>
        <w:spacing w:before="100" w:beforeAutospacing="1" w:after="100" w:afterAutospacing="1"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In the 21st century, the ability to understand and apply mathematical knowledge is central to national development, technological advancement, and individual career success. Mathematics is not only vital for fostering critical thinking and problem-solving skills but also plays a foundational role in various disciplines, including science, engineering, economics, and data science (</w:t>
      </w:r>
      <w:proofErr w:type="spellStart"/>
      <w:r w:rsidR="0022135F" w:rsidRPr="004A7B4A">
        <w:rPr>
          <w:rFonts w:ascii="Times New Roman" w:eastAsia="Times New Roman" w:hAnsi="Times New Roman" w:cs="Times New Roman"/>
          <w:sz w:val="24"/>
          <w:szCs w:val="24"/>
        </w:rPr>
        <w:t>Pericano</w:t>
      </w:r>
      <w:proofErr w:type="spellEnd"/>
      <w:r w:rsidR="0022135F" w:rsidRPr="004A7B4A">
        <w:rPr>
          <w:rFonts w:ascii="Times New Roman" w:eastAsia="Times New Roman" w:hAnsi="Times New Roman" w:cs="Times New Roman"/>
          <w:sz w:val="24"/>
          <w:szCs w:val="24"/>
        </w:rPr>
        <w:t xml:space="preserve"> &amp; Leonard, 2025</w:t>
      </w:r>
      <w:r w:rsidRPr="004A7B4A">
        <w:rPr>
          <w:rFonts w:ascii="Times New Roman" w:eastAsia="Times New Roman" w:hAnsi="Times New Roman" w:cs="Times New Roman"/>
          <w:sz w:val="24"/>
          <w:szCs w:val="24"/>
        </w:rPr>
        <w:t>). Despite its importance, mathematics remains a subject that evokes negative emotions among students across the globe. Studies consistently reveal widespread patterns of math anxiety, low self-efficacy, and avoidance behavior, which directly affect learners’ academic achievement and long-term educational trajectories (</w:t>
      </w:r>
      <w:proofErr w:type="spellStart"/>
      <w:r w:rsidR="00660B74" w:rsidRPr="004A7B4A">
        <w:rPr>
          <w:rFonts w:ascii="Times New Roman" w:eastAsia="Times New Roman" w:hAnsi="Times New Roman" w:cs="Times New Roman"/>
          <w:sz w:val="24"/>
          <w:szCs w:val="24"/>
        </w:rPr>
        <w:t>Rozgonjuk</w:t>
      </w:r>
      <w:proofErr w:type="spellEnd"/>
      <w:r w:rsidR="00660B74" w:rsidRPr="004A7B4A">
        <w:rPr>
          <w:rFonts w:ascii="Times New Roman" w:eastAsia="Times New Roman" w:hAnsi="Times New Roman" w:cs="Times New Roman"/>
          <w:sz w:val="24"/>
          <w:szCs w:val="24"/>
        </w:rPr>
        <w:t xml:space="preserve"> et al.,2020; </w:t>
      </w:r>
      <w:r w:rsidR="00660B74" w:rsidRPr="004A7B4A">
        <w:rPr>
          <w:rFonts w:ascii="Times New Roman" w:hAnsi="Times New Roman" w:cs="Times New Roman"/>
          <w:sz w:val="24"/>
          <w:szCs w:val="24"/>
        </w:rPr>
        <w:t>Daker et al.,2021)</w:t>
      </w:r>
      <w:r w:rsidR="00660B74" w:rsidRPr="004A7B4A">
        <w:rPr>
          <w:rFonts w:ascii="Times New Roman" w:eastAsia="Times New Roman" w:hAnsi="Times New Roman" w:cs="Times New Roman"/>
          <w:sz w:val="24"/>
          <w:szCs w:val="24"/>
        </w:rPr>
        <w:t xml:space="preserve">. </w:t>
      </w:r>
    </w:p>
    <w:p w14:paraId="6EE081C3" w14:textId="16E49A41" w:rsidR="0028275E" w:rsidRPr="004A7B4A" w:rsidRDefault="0028275E" w:rsidP="00F06779">
      <w:pPr>
        <w:spacing w:before="100" w:beforeAutospacing="1" w:after="100" w:afterAutospacing="1"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In the Philippine context, the situation is equally concerning. Results from international large-scale assessments such as the </w:t>
      </w:r>
      <w:proofErr w:type="spellStart"/>
      <w:r w:rsidRPr="004A7B4A">
        <w:rPr>
          <w:rFonts w:ascii="Times New Roman" w:eastAsia="Times New Roman" w:hAnsi="Times New Roman" w:cs="Times New Roman"/>
          <w:sz w:val="24"/>
          <w:szCs w:val="24"/>
        </w:rPr>
        <w:t>Programme</w:t>
      </w:r>
      <w:proofErr w:type="spellEnd"/>
      <w:r w:rsidRPr="004A7B4A">
        <w:rPr>
          <w:rFonts w:ascii="Times New Roman" w:eastAsia="Times New Roman" w:hAnsi="Times New Roman" w:cs="Times New Roman"/>
          <w:sz w:val="24"/>
          <w:szCs w:val="24"/>
        </w:rPr>
        <w:t xml:space="preserve"> for International Student Assessment (PISA) continue to show that Filipino students </w:t>
      </w:r>
      <w:proofErr w:type="gramStart"/>
      <w:r w:rsidRPr="004A7B4A">
        <w:rPr>
          <w:rFonts w:ascii="Times New Roman" w:eastAsia="Times New Roman" w:hAnsi="Times New Roman" w:cs="Times New Roman"/>
          <w:sz w:val="24"/>
          <w:szCs w:val="24"/>
        </w:rPr>
        <w:t>lag behind</w:t>
      </w:r>
      <w:proofErr w:type="gramEnd"/>
      <w:r w:rsidRPr="004A7B4A">
        <w:rPr>
          <w:rFonts w:ascii="Times New Roman" w:eastAsia="Times New Roman" w:hAnsi="Times New Roman" w:cs="Times New Roman"/>
          <w:sz w:val="24"/>
          <w:szCs w:val="24"/>
        </w:rPr>
        <w:t xml:space="preserve"> their global peers in mathematical literacy (</w:t>
      </w:r>
      <w:r w:rsidR="00AA3128" w:rsidRPr="004A7B4A">
        <w:rPr>
          <w:rFonts w:ascii="Times New Roman" w:hAnsi="Times New Roman" w:cs="Times New Roman"/>
          <w:sz w:val="24"/>
          <w:szCs w:val="24"/>
        </w:rPr>
        <w:t>Bernardo et al.</w:t>
      </w:r>
      <w:r w:rsidRPr="004A7B4A">
        <w:rPr>
          <w:rFonts w:ascii="Times New Roman" w:eastAsia="Times New Roman" w:hAnsi="Times New Roman" w:cs="Times New Roman"/>
          <w:sz w:val="24"/>
          <w:szCs w:val="24"/>
        </w:rPr>
        <w:t>, 20</w:t>
      </w:r>
      <w:r w:rsidR="00AA3128" w:rsidRPr="004A7B4A">
        <w:rPr>
          <w:rFonts w:ascii="Times New Roman" w:eastAsia="Times New Roman" w:hAnsi="Times New Roman" w:cs="Times New Roman"/>
          <w:sz w:val="24"/>
          <w:szCs w:val="24"/>
        </w:rPr>
        <w:t>22</w:t>
      </w:r>
      <w:r w:rsidRPr="004A7B4A">
        <w:rPr>
          <w:rFonts w:ascii="Times New Roman" w:eastAsia="Times New Roman" w:hAnsi="Times New Roman" w:cs="Times New Roman"/>
          <w:sz w:val="24"/>
          <w:szCs w:val="24"/>
        </w:rPr>
        <w:t xml:space="preserve">; </w:t>
      </w:r>
      <w:proofErr w:type="spellStart"/>
      <w:r w:rsidR="00E32D6A" w:rsidRPr="004A7B4A">
        <w:rPr>
          <w:rFonts w:ascii="Times New Roman" w:eastAsia="Times New Roman" w:hAnsi="Times New Roman" w:cs="Times New Roman"/>
          <w:sz w:val="24"/>
          <w:szCs w:val="24"/>
        </w:rPr>
        <w:t>Acid</w:t>
      </w:r>
      <w:r w:rsidR="00241B94" w:rsidRPr="004A7B4A">
        <w:rPr>
          <w:rFonts w:ascii="Times New Roman" w:eastAsia="Times New Roman" w:hAnsi="Times New Roman" w:cs="Times New Roman"/>
          <w:sz w:val="24"/>
          <w:szCs w:val="24"/>
        </w:rPr>
        <w:t>o</w:t>
      </w:r>
      <w:proofErr w:type="spellEnd"/>
      <w:r w:rsidR="00241B94" w:rsidRPr="004A7B4A">
        <w:rPr>
          <w:rFonts w:ascii="Times New Roman" w:eastAsia="Times New Roman" w:hAnsi="Times New Roman" w:cs="Times New Roman"/>
          <w:sz w:val="24"/>
          <w:szCs w:val="24"/>
        </w:rPr>
        <w:t xml:space="preserve"> </w:t>
      </w:r>
      <w:r w:rsidR="00E32D6A" w:rsidRPr="004A7B4A">
        <w:rPr>
          <w:rFonts w:ascii="Times New Roman" w:eastAsia="Times New Roman" w:hAnsi="Times New Roman" w:cs="Times New Roman"/>
          <w:sz w:val="24"/>
          <w:szCs w:val="24"/>
        </w:rPr>
        <w:t>&amp; Caballes, 2024</w:t>
      </w:r>
      <w:r w:rsidRPr="004A7B4A">
        <w:rPr>
          <w:rFonts w:ascii="Times New Roman" w:eastAsia="Times New Roman" w:hAnsi="Times New Roman" w:cs="Times New Roman"/>
          <w:sz w:val="24"/>
          <w:szCs w:val="24"/>
        </w:rPr>
        <w:t xml:space="preserve">). These performance gaps are compounded by systemic challenges such as limited access to quality instruction, socioeconomic disparities, and under-resourced learning environments. The COVID-19 pandemic has further exacerbated these issues by forcing abrupt shifts from traditional classroom teaching to </w:t>
      </w:r>
      <w:r w:rsidRPr="004A7B4A">
        <w:rPr>
          <w:rFonts w:ascii="Times New Roman" w:eastAsia="Times New Roman" w:hAnsi="Times New Roman" w:cs="Times New Roman"/>
          <w:sz w:val="24"/>
          <w:szCs w:val="24"/>
        </w:rPr>
        <w:lastRenderedPageBreak/>
        <w:t>online and blended learning modalities, often without adequate preparation or infrastructure (</w:t>
      </w:r>
      <w:proofErr w:type="spellStart"/>
      <w:r w:rsidR="00AA3929" w:rsidRPr="004A7B4A">
        <w:rPr>
          <w:rFonts w:ascii="Times New Roman" w:eastAsia="Times New Roman" w:hAnsi="Times New Roman" w:cs="Times New Roman"/>
          <w:sz w:val="24"/>
          <w:szCs w:val="24"/>
        </w:rPr>
        <w:t>Rotas</w:t>
      </w:r>
      <w:proofErr w:type="spellEnd"/>
      <w:r w:rsidR="00AA3929" w:rsidRPr="004A7B4A">
        <w:rPr>
          <w:rFonts w:ascii="Times New Roman" w:eastAsia="Times New Roman" w:hAnsi="Times New Roman" w:cs="Times New Roman"/>
          <w:sz w:val="24"/>
          <w:szCs w:val="24"/>
        </w:rPr>
        <w:t xml:space="preserve"> &amp; </w:t>
      </w:r>
      <w:proofErr w:type="spellStart"/>
      <w:r w:rsidR="00AA3929" w:rsidRPr="004A7B4A">
        <w:rPr>
          <w:rFonts w:ascii="Times New Roman" w:eastAsia="Times New Roman" w:hAnsi="Times New Roman" w:cs="Times New Roman"/>
          <w:sz w:val="24"/>
          <w:szCs w:val="24"/>
        </w:rPr>
        <w:t>Cahapay</w:t>
      </w:r>
      <w:proofErr w:type="spellEnd"/>
      <w:r w:rsidR="00AA3929" w:rsidRPr="004A7B4A">
        <w:rPr>
          <w:rFonts w:ascii="Times New Roman" w:eastAsia="Times New Roman" w:hAnsi="Times New Roman" w:cs="Times New Roman"/>
          <w:sz w:val="24"/>
          <w:szCs w:val="24"/>
        </w:rPr>
        <w:t>, 2020</w:t>
      </w:r>
      <w:r w:rsidRPr="004A7B4A">
        <w:rPr>
          <w:rFonts w:ascii="Times New Roman" w:eastAsia="Times New Roman" w:hAnsi="Times New Roman" w:cs="Times New Roman"/>
          <w:sz w:val="24"/>
          <w:szCs w:val="24"/>
        </w:rPr>
        <w:t xml:space="preserve">; </w:t>
      </w:r>
      <w:proofErr w:type="spellStart"/>
      <w:r w:rsidR="003D40B0" w:rsidRPr="004A7B4A">
        <w:rPr>
          <w:rFonts w:ascii="Times New Roman" w:eastAsia="Times New Roman" w:hAnsi="Times New Roman" w:cs="Times New Roman"/>
          <w:sz w:val="24"/>
          <w:szCs w:val="24"/>
        </w:rPr>
        <w:t>Alshaboul</w:t>
      </w:r>
      <w:proofErr w:type="spellEnd"/>
      <w:r w:rsidR="003D40B0" w:rsidRPr="004A7B4A">
        <w:rPr>
          <w:rFonts w:ascii="Times New Roman" w:eastAsia="Times New Roman" w:hAnsi="Times New Roman" w:cs="Times New Roman"/>
          <w:sz w:val="24"/>
          <w:szCs w:val="24"/>
        </w:rPr>
        <w:t xml:space="preserve"> </w:t>
      </w:r>
      <w:r w:rsidR="00500EE7" w:rsidRPr="004A7B4A">
        <w:rPr>
          <w:rFonts w:ascii="Times New Roman" w:eastAsia="Times New Roman" w:hAnsi="Times New Roman" w:cs="Times New Roman"/>
          <w:sz w:val="24"/>
          <w:szCs w:val="24"/>
        </w:rPr>
        <w:t>et al.,</w:t>
      </w:r>
      <w:r w:rsidR="003D40B0" w:rsidRPr="004A7B4A">
        <w:rPr>
          <w:rFonts w:ascii="Times New Roman" w:eastAsia="Times New Roman" w:hAnsi="Times New Roman" w:cs="Times New Roman"/>
          <w:sz w:val="24"/>
          <w:szCs w:val="24"/>
        </w:rPr>
        <w:t xml:space="preserve"> </w:t>
      </w:r>
      <w:r w:rsidR="00500EE7" w:rsidRPr="004A7B4A">
        <w:rPr>
          <w:rFonts w:ascii="Times New Roman" w:eastAsia="Times New Roman" w:hAnsi="Times New Roman" w:cs="Times New Roman"/>
          <w:sz w:val="24"/>
          <w:szCs w:val="24"/>
        </w:rPr>
        <w:t>2024</w:t>
      </w:r>
      <w:r w:rsidRPr="004A7B4A">
        <w:rPr>
          <w:rFonts w:ascii="Times New Roman" w:eastAsia="Times New Roman" w:hAnsi="Times New Roman" w:cs="Times New Roman"/>
          <w:sz w:val="24"/>
          <w:szCs w:val="24"/>
        </w:rPr>
        <w:t>). These transitions have raised serious concerns about student engagement, particularly in subjects like mathematics that require close guidance, sustained interaction, and conceptual clarity.</w:t>
      </w:r>
    </w:p>
    <w:p w14:paraId="74F8660F" w14:textId="527BD9B6" w:rsidR="0028275E" w:rsidRPr="004A7B4A" w:rsidRDefault="0028275E" w:rsidP="00F06779">
      <w:pPr>
        <w:spacing w:before="100" w:beforeAutospacing="1" w:after="100" w:afterAutospacing="1"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As education systems adapt to crisis-driven transitions and technological disruptions, there is growing recognition that student-centered, context-sensitive research is needed to inform curriculum design and instructional reform. This study investigates the lived experiences and attitudes of college students toward learning mathematics in dynamic educational environments</w:t>
      </w:r>
      <w:r w:rsidR="00FF6A20"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face-to-face, online, and blended</w:t>
      </w:r>
      <w:r w:rsidR="00FF6A20"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 xml:space="preserve">at </w:t>
      </w:r>
      <w:r w:rsidR="00FF6A20" w:rsidRPr="004A7B4A">
        <w:rPr>
          <w:rFonts w:ascii="Times New Roman" w:eastAsia="Times New Roman" w:hAnsi="Times New Roman" w:cs="Times New Roman"/>
          <w:sz w:val="24"/>
          <w:szCs w:val="24"/>
        </w:rPr>
        <w:t>ADSSU</w:t>
      </w:r>
      <w:r w:rsidRPr="004A7B4A">
        <w:rPr>
          <w:rFonts w:ascii="Times New Roman" w:eastAsia="Times New Roman" w:hAnsi="Times New Roman" w:cs="Times New Roman"/>
          <w:sz w:val="24"/>
          <w:szCs w:val="24"/>
        </w:rPr>
        <w:t xml:space="preserve"> during the academic year 2024–2025. By focusing on affective, behavioral, and cognitive engagement, the study seeks to capture how students navigate instructional challenges brought about by crises </w:t>
      </w:r>
      <w:r w:rsidR="00242F1E" w:rsidRPr="004A7B4A">
        <w:rPr>
          <w:rFonts w:ascii="Times New Roman" w:eastAsia="Times New Roman" w:hAnsi="Times New Roman" w:cs="Times New Roman"/>
          <w:sz w:val="24"/>
          <w:szCs w:val="24"/>
        </w:rPr>
        <w:t>events (</w:t>
      </w:r>
      <w:r w:rsidRPr="004A7B4A">
        <w:rPr>
          <w:rFonts w:ascii="Times New Roman" w:eastAsia="Times New Roman" w:hAnsi="Times New Roman" w:cs="Times New Roman"/>
          <w:sz w:val="24"/>
          <w:szCs w:val="24"/>
        </w:rPr>
        <w:t>such as the pandemic, floods, and earthquakes</w:t>
      </w:r>
      <w:r w:rsidR="00242F1E" w:rsidRPr="004A7B4A">
        <w:rPr>
          <w:rFonts w:ascii="Times New Roman" w:eastAsia="Times New Roman" w:hAnsi="Times New Roman" w:cs="Times New Roman"/>
          <w:sz w:val="24"/>
          <w:szCs w:val="24"/>
        </w:rPr>
        <w:t>)</w:t>
      </w:r>
      <w:r w:rsidRPr="004A7B4A">
        <w:rPr>
          <w:rFonts w:ascii="Times New Roman" w:eastAsia="Times New Roman" w:hAnsi="Times New Roman" w:cs="Times New Roman"/>
          <w:sz w:val="24"/>
          <w:szCs w:val="24"/>
        </w:rPr>
        <w:t>. It explores how teaching practices, digital tools, peer interactions, and prior academic experiences influence students’ mathematical identity and motivation to learn. Grounded in well-established theoretical frameworks, this research aims to inform responsive, inclusive, and sustainable pedagogies that reflect the realities of learners in transitional educational contexts.</w:t>
      </w:r>
    </w:p>
    <w:p w14:paraId="78704734" w14:textId="7809705F" w:rsidR="0028275E" w:rsidRPr="004A7B4A" w:rsidRDefault="0028275E" w:rsidP="00F06779">
      <w:pPr>
        <w:spacing w:before="100" w:beforeAutospacing="1" w:after="100" w:afterAutospacing="1"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At A</w:t>
      </w:r>
      <w:r w:rsidR="00FF6A20" w:rsidRPr="004A7B4A">
        <w:rPr>
          <w:rFonts w:ascii="Times New Roman" w:eastAsia="Times New Roman" w:hAnsi="Times New Roman" w:cs="Times New Roman"/>
          <w:sz w:val="24"/>
          <w:szCs w:val="24"/>
        </w:rPr>
        <w:t>DSSU</w:t>
      </w:r>
      <w:r w:rsidRPr="004A7B4A">
        <w:rPr>
          <w:rFonts w:ascii="Times New Roman" w:eastAsia="Times New Roman" w:hAnsi="Times New Roman" w:cs="Times New Roman"/>
          <w:sz w:val="24"/>
          <w:szCs w:val="24"/>
        </w:rPr>
        <w:t>, this study serves as a pioneering initiative under the College of Teacher Education (CTE), specifically targeting students enrolled in mathematics-related subjects. As one of the first localized qualitative inquiries on this topic, it addresses a critical gap in institutional knowledge by examining how students emotionally respond to mathematics, how they adjust their learning behaviors, and how their perceptions are shaped by instructional quality and environmental stability. Its findings aim to contribute not only to the improvement of mathematics education at A</w:t>
      </w:r>
      <w:r w:rsidR="00FF6A20" w:rsidRPr="004A7B4A">
        <w:rPr>
          <w:rFonts w:ascii="Times New Roman" w:eastAsia="Times New Roman" w:hAnsi="Times New Roman" w:cs="Times New Roman"/>
          <w:sz w:val="24"/>
          <w:szCs w:val="24"/>
        </w:rPr>
        <w:t>DSSU</w:t>
      </w:r>
      <w:r w:rsidRPr="004A7B4A">
        <w:rPr>
          <w:rFonts w:ascii="Times New Roman" w:eastAsia="Times New Roman" w:hAnsi="Times New Roman" w:cs="Times New Roman"/>
          <w:sz w:val="24"/>
          <w:szCs w:val="24"/>
        </w:rPr>
        <w:t xml:space="preserve"> but also to national discussions on resilient, learner-centered, and crisis-responsive educational models in the Philippines.</w:t>
      </w:r>
    </w:p>
    <w:p w14:paraId="076C78C0" w14:textId="77777777" w:rsidR="00A9642E" w:rsidRPr="004A7B4A" w:rsidRDefault="00A9642E"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More specifically, the study sought to explore the following research questions:</w:t>
      </w:r>
    </w:p>
    <w:p w14:paraId="67610F6D" w14:textId="77777777" w:rsidR="00A9642E" w:rsidRPr="004A7B4A" w:rsidRDefault="00A9642E" w:rsidP="00F06779">
      <w:pPr>
        <w:spacing w:after="0" w:line="240" w:lineRule="auto"/>
        <w:ind w:left="238"/>
        <w:jc w:val="both"/>
        <w:rPr>
          <w:rFonts w:ascii="Times New Roman" w:eastAsia="Times New Roman" w:hAnsi="Times New Roman" w:cs="Times New Roman"/>
          <w:sz w:val="24"/>
          <w:szCs w:val="24"/>
        </w:rPr>
      </w:pPr>
    </w:p>
    <w:p w14:paraId="1199B2D9" w14:textId="77777777" w:rsidR="00A9642E" w:rsidRPr="004A7B4A" w:rsidRDefault="00A9642E" w:rsidP="001C04CE">
      <w:pPr>
        <w:pStyle w:val="ListParagraph"/>
        <w:numPr>
          <w:ilvl w:val="0"/>
          <w:numId w:val="25"/>
        </w:numPr>
        <w:spacing w:after="0" w:line="240" w:lineRule="auto"/>
        <w:ind w:left="426" w:firstLine="46"/>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What are the diverse perspectives and attitudes that college students hold toward learning mathematics?</w:t>
      </w:r>
    </w:p>
    <w:p w14:paraId="506EF809" w14:textId="77777777" w:rsidR="00A9642E" w:rsidRPr="004A7B4A" w:rsidRDefault="00A9642E" w:rsidP="001C04CE">
      <w:pPr>
        <w:pStyle w:val="ListParagraph"/>
        <w:numPr>
          <w:ilvl w:val="0"/>
          <w:numId w:val="25"/>
        </w:numPr>
        <w:spacing w:after="0" w:line="240" w:lineRule="auto"/>
        <w:ind w:left="426" w:firstLine="46"/>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What factors do students perceive as influencing their attitudes toward learning mathematics?</w:t>
      </w:r>
    </w:p>
    <w:p w14:paraId="4C2E5CDE" w14:textId="799C636F" w:rsidR="00A9642E" w:rsidRPr="004A7B4A" w:rsidRDefault="005A373A" w:rsidP="001C04CE">
      <w:pPr>
        <w:pStyle w:val="ListParagraph"/>
        <w:numPr>
          <w:ilvl w:val="0"/>
          <w:numId w:val="25"/>
        </w:numPr>
        <w:spacing w:after="0" w:line="240" w:lineRule="auto"/>
        <w:ind w:left="426" w:firstLine="46"/>
        <w:jc w:val="both"/>
        <w:rPr>
          <w:rFonts w:ascii="Times New Roman" w:hAnsi="Times New Roman" w:cs="Times New Roman"/>
          <w:sz w:val="24"/>
          <w:szCs w:val="24"/>
        </w:rPr>
      </w:pPr>
      <w:r w:rsidRPr="004A7B4A">
        <w:rPr>
          <w:rFonts w:ascii="Times New Roman" w:eastAsia="Times New Roman" w:hAnsi="Times New Roman" w:cs="Times New Roman"/>
          <w:sz w:val="24"/>
          <w:szCs w:val="24"/>
        </w:rPr>
        <w:t>What</w:t>
      </w:r>
      <w:r w:rsidR="00A9642E" w:rsidRPr="004A7B4A">
        <w:rPr>
          <w:rFonts w:ascii="Times New Roman" w:eastAsia="Times New Roman" w:hAnsi="Times New Roman" w:cs="Times New Roman"/>
          <w:sz w:val="24"/>
          <w:szCs w:val="24"/>
        </w:rPr>
        <w:t xml:space="preserve"> students' past experiences with mathematics contribute to their current attitudes?</w:t>
      </w:r>
    </w:p>
    <w:p w14:paraId="5736D996" w14:textId="77777777" w:rsidR="001339D9" w:rsidRPr="004A7B4A" w:rsidRDefault="001339D9" w:rsidP="00F06779">
      <w:pPr>
        <w:spacing w:after="0"/>
        <w:ind w:left="238"/>
        <w:jc w:val="both"/>
        <w:rPr>
          <w:rFonts w:ascii="Times New Roman" w:hAnsi="Times New Roman" w:cs="Times New Roman"/>
          <w:b/>
          <w:bCs/>
          <w:sz w:val="24"/>
          <w:szCs w:val="24"/>
        </w:rPr>
      </w:pPr>
    </w:p>
    <w:p w14:paraId="5B693E16" w14:textId="49EB51A0" w:rsidR="003E38E5" w:rsidRPr="004A7B4A" w:rsidRDefault="001A660F" w:rsidP="00F06779">
      <w:pPr>
        <w:spacing w:after="0"/>
        <w:ind w:left="238"/>
        <w:jc w:val="both"/>
        <w:rPr>
          <w:rFonts w:ascii="Times New Roman" w:hAnsi="Times New Roman" w:cs="Times New Roman"/>
          <w:b/>
          <w:bCs/>
          <w:sz w:val="28"/>
          <w:szCs w:val="28"/>
        </w:rPr>
      </w:pPr>
      <w:r w:rsidRPr="004A7B4A">
        <w:rPr>
          <w:rFonts w:ascii="Times New Roman" w:hAnsi="Times New Roman" w:cs="Times New Roman"/>
          <w:b/>
          <w:bCs/>
          <w:sz w:val="28"/>
          <w:szCs w:val="28"/>
        </w:rPr>
        <w:t>METHODOLOGY</w:t>
      </w:r>
    </w:p>
    <w:p w14:paraId="6CECCB5E" w14:textId="77777777" w:rsidR="007B56AC" w:rsidRPr="004A7B4A" w:rsidRDefault="007B56AC" w:rsidP="00F06779">
      <w:pPr>
        <w:spacing w:after="0"/>
        <w:ind w:left="238"/>
        <w:jc w:val="both"/>
        <w:rPr>
          <w:rFonts w:ascii="Times New Roman" w:hAnsi="Times New Roman" w:cs="Times New Roman"/>
          <w:b/>
          <w:bCs/>
          <w:sz w:val="24"/>
          <w:szCs w:val="24"/>
        </w:rPr>
      </w:pPr>
    </w:p>
    <w:p w14:paraId="6F7FB6EB" w14:textId="77777777" w:rsidR="003E38E5" w:rsidRPr="004A7B4A" w:rsidRDefault="003E38E5" w:rsidP="00F06779">
      <w:pPr>
        <w:spacing w:after="0"/>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Research Design</w:t>
      </w:r>
    </w:p>
    <w:p w14:paraId="43110DD8" w14:textId="77777777" w:rsidR="007B56AC" w:rsidRPr="004A7B4A" w:rsidRDefault="007B56AC" w:rsidP="00F06779">
      <w:pPr>
        <w:spacing w:after="0"/>
        <w:ind w:left="238"/>
        <w:jc w:val="both"/>
        <w:rPr>
          <w:rFonts w:ascii="Times New Roman" w:hAnsi="Times New Roman" w:cs="Times New Roman"/>
          <w:b/>
          <w:bCs/>
          <w:sz w:val="24"/>
          <w:szCs w:val="24"/>
        </w:rPr>
      </w:pPr>
    </w:p>
    <w:p w14:paraId="0E721BB2" w14:textId="4A47B179" w:rsidR="00B34F98" w:rsidRPr="004A7B4A" w:rsidRDefault="001339D9"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This study employed a phenomenological qualitative design to investigate the lived experiences of college students in learning mathematics across diverse instructional settings, including face-to-face, online, and blended environments. Rooted in the framework of Creswell and </w:t>
      </w:r>
      <w:r w:rsidR="00C055B9" w:rsidRPr="004A7B4A">
        <w:rPr>
          <w:rFonts w:ascii="Times New Roman" w:eastAsia="Times New Roman" w:hAnsi="Times New Roman" w:cs="Times New Roman"/>
          <w:sz w:val="24"/>
          <w:szCs w:val="24"/>
        </w:rPr>
        <w:t>Creswell</w:t>
      </w:r>
      <w:r w:rsidRPr="004A7B4A">
        <w:rPr>
          <w:rFonts w:ascii="Times New Roman" w:eastAsia="Times New Roman" w:hAnsi="Times New Roman" w:cs="Times New Roman"/>
          <w:sz w:val="24"/>
          <w:szCs w:val="24"/>
        </w:rPr>
        <w:t xml:space="preserve"> (20</w:t>
      </w:r>
      <w:r w:rsidR="00C055B9" w:rsidRPr="004A7B4A">
        <w:rPr>
          <w:rFonts w:ascii="Times New Roman" w:eastAsia="Times New Roman" w:hAnsi="Times New Roman" w:cs="Times New Roman"/>
          <w:sz w:val="24"/>
          <w:szCs w:val="24"/>
        </w:rPr>
        <w:t>23</w:t>
      </w:r>
      <w:r w:rsidRPr="004A7B4A">
        <w:rPr>
          <w:rFonts w:ascii="Times New Roman" w:eastAsia="Times New Roman" w:hAnsi="Times New Roman" w:cs="Times New Roman"/>
          <w:sz w:val="24"/>
          <w:szCs w:val="24"/>
        </w:rPr>
        <w:t>), phenomenology was chosen to explore the essence of students' emotional, cognitive, and behavioral engagement with mathematics. Participants were selected through purposive sampling, ensuring varied academic backgrounds and experiences. Data were gathered through semi-structured in-depth interviews and focus group discussions, which provided rich, first-hand accounts of students' attitudes, motivations, and challenges in mathematics learning.</w:t>
      </w:r>
      <w:r w:rsidR="00206C5D"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 xml:space="preserve">Data </w:t>
      </w:r>
      <w:proofErr w:type="gramStart"/>
      <w:r w:rsidRPr="004A7B4A">
        <w:rPr>
          <w:rFonts w:ascii="Times New Roman" w:eastAsia="Times New Roman" w:hAnsi="Times New Roman" w:cs="Times New Roman"/>
          <w:sz w:val="24"/>
          <w:szCs w:val="24"/>
        </w:rPr>
        <w:t>were</w:t>
      </w:r>
      <w:proofErr w:type="gramEnd"/>
      <w:r w:rsidRPr="004A7B4A">
        <w:rPr>
          <w:rFonts w:ascii="Times New Roman" w:eastAsia="Times New Roman" w:hAnsi="Times New Roman" w:cs="Times New Roman"/>
          <w:sz w:val="24"/>
          <w:szCs w:val="24"/>
        </w:rPr>
        <w:t xml:space="preserve"> analyzed using </w:t>
      </w:r>
      <w:r w:rsidR="00750F76" w:rsidRPr="004A7B4A">
        <w:rPr>
          <w:rFonts w:ascii="Times New Roman" w:eastAsia="Times New Roman" w:hAnsi="Times New Roman" w:cs="Times New Roman"/>
          <w:sz w:val="24"/>
          <w:szCs w:val="24"/>
        </w:rPr>
        <w:t xml:space="preserve">Braun and Clarke’s (2006) </w:t>
      </w:r>
      <w:r w:rsidR="00592264" w:rsidRPr="004A7B4A">
        <w:rPr>
          <w:rFonts w:ascii="Times New Roman" w:eastAsia="Times New Roman" w:hAnsi="Times New Roman" w:cs="Times New Roman"/>
          <w:sz w:val="24"/>
          <w:szCs w:val="24"/>
        </w:rPr>
        <w:t xml:space="preserve">six phases </w:t>
      </w:r>
      <w:r w:rsidRPr="004A7B4A">
        <w:rPr>
          <w:rFonts w:ascii="Times New Roman" w:eastAsia="Times New Roman" w:hAnsi="Times New Roman" w:cs="Times New Roman"/>
          <w:sz w:val="24"/>
          <w:szCs w:val="24"/>
        </w:rPr>
        <w:t>phenomenological method</w:t>
      </w:r>
      <w:r w:rsidR="00592264" w:rsidRPr="004A7B4A">
        <w:rPr>
          <w:rFonts w:ascii="Times New Roman" w:eastAsia="Times New Roman" w:hAnsi="Times New Roman" w:cs="Times New Roman"/>
          <w:sz w:val="24"/>
          <w:szCs w:val="24"/>
        </w:rPr>
        <w:t>.</w:t>
      </w:r>
    </w:p>
    <w:p w14:paraId="3B7046EC" w14:textId="77777777" w:rsidR="00592264" w:rsidRPr="004A7B4A" w:rsidRDefault="00592264" w:rsidP="00F06779">
      <w:pPr>
        <w:spacing w:after="0" w:line="240" w:lineRule="auto"/>
        <w:ind w:left="238"/>
        <w:jc w:val="both"/>
        <w:rPr>
          <w:rFonts w:ascii="Times New Roman" w:hAnsi="Times New Roman" w:cs="Times New Roman"/>
          <w:b/>
          <w:bCs/>
          <w:sz w:val="24"/>
          <w:szCs w:val="24"/>
        </w:rPr>
      </w:pPr>
    </w:p>
    <w:p w14:paraId="408EF015" w14:textId="53D8479B" w:rsidR="003E38E5" w:rsidRPr="004A7B4A" w:rsidRDefault="003E38E5" w:rsidP="00F06779">
      <w:pPr>
        <w:spacing w:after="0"/>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Participants</w:t>
      </w:r>
    </w:p>
    <w:p w14:paraId="01FEF818" w14:textId="77777777" w:rsidR="00C22822" w:rsidRPr="004A7B4A" w:rsidRDefault="00C22822" w:rsidP="00F06779">
      <w:pPr>
        <w:spacing w:after="0"/>
        <w:ind w:left="238"/>
        <w:jc w:val="both"/>
        <w:rPr>
          <w:rFonts w:ascii="Times New Roman" w:hAnsi="Times New Roman" w:cs="Times New Roman"/>
          <w:sz w:val="24"/>
          <w:szCs w:val="24"/>
        </w:rPr>
      </w:pPr>
    </w:p>
    <w:p w14:paraId="6D858004" w14:textId="41015BD7" w:rsidR="00C22822" w:rsidRPr="004A7B4A" w:rsidRDefault="00DF42E3" w:rsidP="00F06779">
      <w:pPr>
        <w:spacing w:after="0"/>
        <w:ind w:left="238"/>
        <w:jc w:val="both"/>
        <w:rPr>
          <w:rFonts w:ascii="Times New Roman" w:hAnsi="Times New Roman" w:cs="Times New Roman"/>
          <w:sz w:val="24"/>
          <w:szCs w:val="24"/>
        </w:rPr>
      </w:pPr>
      <w:r w:rsidRPr="004A7B4A">
        <w:rPr>
          <w:rFonts w:ascii="Times New Roman" w:hAnsi="Times New Roman" w:cs="Times New Roman"/>
          <w:sz w:val="24"/>
          <w:szCs w:val="24"/>
        </w:rPr>
        <w:t xml:space="preserve">The research participants in both the in-depth interviews (IDIs) and focus group discussions (FGDs) were college students from various academic programs, including those inclined toward mathematics as well as those who expressed disinterest or challenges in the subject. The IDI group consisted of nine participants, mostly male, aged 19 to 32, and represented all year levels. The FGD group included 15 participants with a balanced distribution of males and females, aged 18 to 22, and predominantly first-year students. This composition allowed the study to capture a wide range of perspectives, reflecting both positive and negative dispositions toward learning mathematics. The diversity in academic background, year level, and attitude </w:t>
      </w:r>
      <w:r w:rsidRPr="004A7B4A">
        <w:rPr>
          <w:rFonts w:ascii="Times New Roman" w:hAnsi="Times New Roman" w:cs="Times New Roman"/>
          <w:sz w:val="24"/>
          <w:szCs w:val="24"/>
        </w:rPr>
        <w:lastRenderedPageBreak/>
        <w:t>toward mathematics enriched the data, offering deeper insights into students’ classroom experiences and engagement with the subject.</w:t>
      </w:r>
    </w:p>
    <w:p w14:paraId="6C2D1315" w14:textId="77777777" w:rsidR="00DF42E3" w:rsidRPr="004A7B4A" w:rsidRDefault="00DF42E3" w:rsidP="00F06779">
      <w:pPr>
        <w:spacing w:after="0"/>
        <w:ind w:left="238"/>
        <w:jc w:val="both"/>
        <w:rPr>
          <w:rFonts w:ascii="Times New Roman" w:hAnsi="Times New Roman" w:cs="Times New Roman"/>
          <w:sz w:val="24"/>
          <w:szCs w:val="24"/>
        </w:rPr>
      </w:pPr>
    </w:p>
    <w:p w14:paraId="77F3A5EB" w14:textId="32552EC5" w:rsidR="00A30AB4" w:rsidRPr="004A7B4A" w:rsidRDefault="00750F76" w:rsidP="00F06779">
      <w:pPr>
        <w:spacing w:after="0" w:line="240" w:lineRule="auto"/>
        <w:ind w:left="238"/>
        <w:jc w:val="both"/>
        <w:rPr>
          <w:rFonts w:ascii="Times New Roman" w:hAnsi="Times New Roman" w:cs="Times New Roman"/>
          <w:color w:val="000000" w:themeColor="text1"/>
          <w:sz w:val="24"/>
          <w:szCs w:val="24"/>
        </w:rPr>
      </w:pPr>
      <w:r w:rsidRPr="004A7B4A">
        <w:rPr>
          <w:rStyle w:val="fontstyle01"/>
          <w:rFonts w:ascii="Times New Roman" w:hAnsi="Times New Roman" w:cs="Times New Roman"/>
          <w:b w:val="0"/>
          <w:bCs w:val="0"/>
          <w:color w:val="000000" w:themeColor="text1"/>
        </w:rPr>
        <w:t xml:space="preserve"> </w:t>
      </w:r>
      <w:r w:rsidR="007236FF" w:rsidRPr="004A7B4A">
        <w:rPr>
          <w:rStyle w:val="fontstyle01"/>
          <w:rFonts w:ascii="Times New Roman" w:hAnsi="Times New Roman" w:cs="Times New Roman"/>
          <w:color w:val="000000" w:themeColor="text1"/>
        </w:rPr>
        <w:t xml:space="preserve">Table 1. </w:t>
      </w:r>
      <w:r w:rsidR="00A30AB4" w:rsidRPr="004A7B4A">
        <w:rPr>
          <w:rStyle w:val="fontstyle01"/>
          <w:rFonts w:ascii="Times New Roman" w:hAnsi="Times New Roman" w:cs="Times New Roman"/>
          <w:color w:val="000000" w:themeColor="text1"/>
        </w:rPr>
        <w:t>IDI</w:t>
      </w:r>
      <w:r w:rsidR="007236FF" w:rsidRPr="004A7B4A">
        <w:rPr>
          <w:rStyle w:val="fontstyle01"/>
          <w:rFonts w:ascii="Times New Roman" w:hAnsi="Times New Roman" w:cs="Times New Roman"/>
          <w:color w:val="000000" w:themeColor="text1"/>
        </w:rPr>
        <w:t xml:space="preserve"> Participants </w:t>
      </w:r>
    </w:p>
    <w:tbl>
      <w:tblPr>
        <w:tblStyle w:val="TableGrid"/>
        <w:tblW w:w="8363" w:type="dxa"/>
        <w:tblInd w:w="279" w:type="dxa"/>
        <w:tblLayout w:type="fixed"/>
        <w:tblLook w:val="04A0" w:firstRow="1" w:lastRow="0" w:firstColumn="1" w:lastColumn="0" w:noHBand="0" w:noVBand="1"/>
      </w:tblPr>
      <w:tblGrid>
        <w:gridCol w:w="816"/>
        <w:gridCol w:w="2222"/>
        <w:gridCol w:w="1891"/>
        <w:gridCol w:w="978"/>
        <w:gridCol w:w="815"/>
        <w:gridCol w:w="1641"/>
      </w:tblGrid>
      <w:tr w:rsidR="00750F76" w:rsidRPr="004A7B4A" w14:paraId="6FAFB04F" w14:textId="77777777" w:rsidTr="001C04CE">
        <w:trPr>
          <w:trHeight w:val="482"/>
        </w:trPr>
        <w:tc>
          <w:tcPr>
            <w:tcW w:w="816" w:type="dxa"/>
          </w:tcPr>
          <w:p w14:paraId="59312F8A" w14:textId="77777777" w:rsidR="00750F76" w:rsidRPr="004A7B4A" w:rsidRDefault="00750F76"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No</w:t>
            </w:r>
          </w:p>
        </w:tc>
        <w:tc>
          <w:tcPr>
            <w:tcW w:w="2222" w:type="dxa"/>
          </w:tcPr>
          <w:p w14:paraId="4EF9B50C" w14:textId="77777777" w:rsidR="00750F76" w:rsidRPr="004A7B4A" w:rsidRDefault="00750F76" w:rsidP="00F06779">
            <w:pPr>
              <w:pStyle w:val="NoSpacing"/>
              <w:ind w:left="238"/>
              <w:jc w:val="both"/>
              <w:rPr>
                <w:rFonts w:ascii="Times New Roman" w:hAnsi="Times New Roman" w:cs="Times New Roman"/>
                <w:b/>
                <w:bCs/>
                <w:sz w:val="24"/>
                <w:szCs w:val="24"/>
              </w:rPr>
            </w:pPr>
            <w:proofErr w:type="gramStart"/>
            <w:r w:rsidRPr="004A7B4A">
              <w:rPr>
                <w:rFonts w:ascii="Times New Roman" w:hAnsi="Times New Roman" w:cs="Times New Roman"/>
                <w:b/>
                <w:bCs/>
                <w:sz w:val="24"/>
                <w:szCs w:val="24"/>
              </w:rPr>
              <w:t>Pseudonym</w:t>
            </w:r>
            <w:proofErr w:type="gramEnd"/>
            <w:r w:rsidRPr="004A7B4A">
              <w:rPr>
                <w:rFonts w:ascii="Times New Roman" w:hAnsi="Times New Roman" w:cs="Times New Roman"/>
                <w:b/>
                <w:bCs/>
                <w:sz w:val="24"/>
                <w:szCs w:val="24"/>
              </w:rPr>
              <w:t xml:space="preserve"> of the Participants</w:t>
            </w:r>
          </w:p>
        </w:tc>
        <w:tc>
          <w:tcPr>
            <w:tcW w:w="1891" w:type="dxa"/>
          </w:tcPr>
          <w:p w14:paraId="5CA3671F" w14:textId="77777777" w:rsidR="00750F76" w:rsidRPr="004A7B4A" w:rsidRDefault="00750F76"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Course</w:t>
            </w:r>
          </w:p>
        </w:tc>
        <w:tc>
          <w:tcPr>
            <w:tcW w:w="978" w:type="dxa"/>
          </w:tcPr>
          <w:p w14:paraId="03B80155" w14:textId="77777777" w:rsidR="00750F76" w:rsidRPr="004A7B4A" w:rsidRDefault="00750F76"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Age</w:t>
            </w:r>
          </w:p>
        </w:tc>
        <w:tc>
          <w:tcPr>
            <w:tcW w:w="815" w:type="dxa"/>
          </w:tcPr>
          <w:p w14:paraId="4517D107" w14:textId="77777777" w:rsidR="00750F76" w:rsidRPr="004A7B4A" w:rsidRDefault="00750F76"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Sex</w:t>
            </w:r>
          </w:p>
        </w:tc>
        <w:tc>
          <w:tcPr>
            <w:tcW w:w="1641" w:type="dxa"/>
          </w:tcPr>
          <w:p w14:paraId="3DBAC765" w14:textId="6098E90E" w:rsidR="00750F76" w:rsidRPr="004A7B4A" w:rsidRDefault="00750F76"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Year Level</w:t>
            </w:r>
          </w:p>
        </w:tc>
      </w:tr>
      <w:tr w:rsidR="00750F76" w:rsidRPr="004A7B4A" w14:paraId="179EB3C1" w14:textId="77777777" w:rsidTr="001C04CE">
        <w:trPr>
          <w:trHeight w:val="195"/>
        </w:trPr>
        <w:tc>
          <w:tcPr>
            <w:tcW w:w="816" w:type="dxa"/>
          </w:tcPr>
          <w:p w14:paraId="59A0B4AA" w14:textId="230D967F"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1</w:t>
            </w:r>
          </w:p>
        </w:tc>
        <w:tc>
          <w:tcPr>
            <w:tcW w:w="2222" w:type="dxa"/>
          </w:tcPr>
          <w:p w14:paraId="053FCDB4" w14:textId="1AE2EB1F" w:rsidR="00750F76" w:rsidRPr="004A7B4A" w:rsidRDefault="00750F76" w:rsidP="00F06779">
            <w:pPr>
              <w:pStyle w:val="NoSpacing"/>
              <w:ind w:left="238"/>
              <w:jc w:val="both"/>
              <w:rPr>
                <w:rFonts w:ascii="Times New Roman" w:hAnsi="Times New Roman" w:cs="Times New Roman"/>
                <w:sz w:val="24"/>
                <w:szCs w:val="24"/>
              </w:rPr>
            </w:pPr>
            <w:proofErr w:type="spellStart"/>
            <w:r w:rsidRPr="004A7B4A">
              <w:rPr>
                <w:rFonts w:ascii="Times New Roman" w:hAnsi="Times New Roman" w:cs="Times New Roman"/>
                <w:sz w:val="24"/>
                <w:szCs w:val="24"/>
              </w:rPr>
              <w:t>Zulo</w:t>
            </w:r>
            <w:proofErr w:type="spellEnd"/>
          </w:p>
        </w:tc>
        <w:tc>
          <w:tcPr>
            <w:tcW w:w="1891" w:type="dxa"/>
          </w:tcPr>
          <w:p w14:paraId="7BC33419" w14:textId="77777777" w:rsidR="00750F76" w:rsidRPr="004A7B4A" w:rsidRDefault="00750F76" w:rsidP="00F06779">
            <w:pPr>
              <w:pStyle w:val="NoSpacing"/>
              <w:ind w:left="238"/>
              <w:jc w:val="both"/>
              <w:rPr>
                <w:rFonts w:ascii="Times New Roman" w:hAnsi="Times New Roman" w:cs="Times New Roman"/>
                <w:sz w:val="24"/>
                <w:szCs w:val="24"/>
              </w:rPr>
            </w:pPr>
            <w:proofErr w:type="spellStart"/>
            <w:r w:rsidRPr="004A7B4A">
              <w:rPr>
                <w:rFonts w:ascii="Times New Roman" w:hAnsi="Times New Roman" w:cs="Times New Roman"/>
                <w:sz w:val="24"/>
                <w:szCs w:val="24"/>
              </w:rPr>
              <w:t>BSEd</w:t>
            </w:r>
            <w:proofErr w:type="spellEnd"/>
            <w:r w:rsidRPr="004A7B4A">
              <w:rPr>
                <w:rFonts w:ascii="Times New Roman" w:hAnsi="Times New Roman" w:cs="Times New Roman"/>
                <w:sz w:val="24"/>
                <w:szCs w:val="24"/>
              </w:rPr>
              <w:t>-Math</w:t>
            </w:r>
          </w:p>
        </w:tc>
        <w:tc>
          <w:tcPr>
            <w:tcW w:w="978" w:type="dxa"/>
          </w:tcPr>
          <w:p w14:paraId="0AB2AEC0" w14:textId="7C0A4103"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21</w:t>
            </w:r>
          </w:p>
        </w:tc>
        <w:tc>
          <w:tcPr>
            <w:tcW w:w="815" w:type="dxa"/>
          </w:tcPr>
          <w:p w14:paraId="03E6C569"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w:t>
            </w:r>
          </w:p>
        </w:tc>
        <w:tc>
          <w:tcPr>
            <w:tcW w:w="1641" w:type="dxa"/>
          </w:tcPr>
          <w:p w14:paraId="472FEF76" w14:textId="5F8D67A7"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1</w:t>
            </w:r>
          </w:p>
        </w:tc>
      </w:tr>
      <w:tr w:rsidR="00750F76" w:rsidRPr="004A7B4A" w14:paraId="1D04B204" w14:textId="77777777" w:rsidTr="001C04CE">
        <w:trPr>
          <w:trHeight w:val="285"/>
        </w:trPr>
        <w:tc>
          <w:tcPr>
            <w:tcW w:w="816" w:type="dxa"/>
          </w:tcPr>
          <w:p w14:paraId="3E62B846"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2</w:t>
            </w:r>
          </w:p>
        </w:tc>
        <w:tc>
          <w:tcPr>
            <w:tcW w:w="2222" w:type="dxa"/>
          </w:tcPr>
          <w:p w14:paraId="6C442201" w14:textId="4C251EEA"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Cajo</w:t>
            </w:r>
          </w:p>
        </w:tc>
        <w:tc>
          <w:tcPr>
            <w:tcW w:w="1891" w:type="dxa"/>
          </w:tcPr>
          <w:p w14:paraId="0CD972A2" w14:textId="77777777" w:rsidR="00750F76" w:rsidRPr="004A7B4A" w:rsidRDefault="00750F76" w:rsidP="00F06779">
            <w:pPr>
              <w:pStyle w:val="NoSpacing"/>
              <w:ind w:left="238"/>
              <w:jc w:val="both"/>
              <w:rPr>
                <w:rFonts w:ascii="Times New Roman" w:hAnsi="Times New Roman" w:cs="Times New Roman"/>
                <w:sz w:val="24"/>
                <w:szCs w:val="24"/>
              </w:rPr>
            </w:pPr>
            <w:proofErr w:type="spellStart"/>
            <w:r w:rsidRPr="004A7B4A">
              <w:rPr>
                <w:rFonts w:ascii="Times New Roman" w:hAnsi="Times New Roman" w:cs="Times New Roman"/>
                <w:sz w:val="24"/>
                <w:szCs w:val="24"/>
              </w:rPr>
              <w:t>BSEd</w:t>
            </w:r>
            <w:proofErr w:type="spellEnd"/>
            <w:r w:rsidRPr="004A7B4A">
              <w:rPr>
                <w:rFonts w:ascii="Times New Roman" w:hAnsi="Times New Roman" w:cs="Times New Roman"/>
                <w:sz w:val="24"/>
                <w:szCs w:val="24"/>
              </w:rPr>
              <w:t>-Math</w:t>
            </w:r>
          </w:p>
        </w:tc>
        <w:tc>
          <w:tcPr>
            <w:tcW w:w="978" w:type="dxa"/>
          </w:tcPr>
          <w:p w14:paraId="0D0F647B" w14:textId="1410378C"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32</w:t>
            </w:r>
          </w:p>
        </w:tc>
        <w:tc>
          <w:tcPr>
            <w:tcW w:w="815" w:type="dxa"/>
          </w:tcPr>
          <w:p w14:paraId="228E7BEE" w14:textId="37F34040"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w:t>
            </w:r>
          </w:p>
        </w:tc>
        <w:tc>
          <w:tcPr>
            <w:tcW w:w="1641" w:type="dxa"/>
          </w:tcPr>
          <w:p w14:paraId="4F352A9C" w14:textId="0CAD6059"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3</w:t>
            </w:r>
          </w:p>
        </w:tc>
      </w:tr>
      <w:tr w:rsidR="00750F76" w:rsidRPr="004A7B4A" w14:paraId="23DCC672" w14:textId="77777777" w:rsidTr="001C04CE">
        <w:trPr>
          <w:trHeight w:val="257"/>
        </w:trPr>
        <w:tc>
          <w:tcPr>
            <w:tcW w:w="816" w:type="dxa"/>
          </w:tcPr>
          <w:p w14:paraId="582E0C95"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3</w:t>
            </w:r>
          </w:p>
        </w:tc>
        <w:tc>
          <w:tcPr>
            <w:tcW w:w="2222" w:type="dxa"/>
          </w:tcPr>
          <w:p w14:paraId="79A594C1" w14:textId="3D49414F"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Robi</w:t>
            </w:r>
          </w:p>
        </w:tc>
        <w:tc>
          <w:tcPr>
            <w:tcW w:w="1891" w:type="dxa"/>
          </w:tcPr>
          <w:p w14:paraId="6048AE24" w14:textId="0C01AC6C"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BAT</w:t>
            </w:r>
          </w:p>
        </w:tc>
        <w:tc>
          <w:tcPr>
            <w:tcW w:w="978" w:type="dxa"/>
          </w:tcPr>
          <w:p w14:paraId="5F4D88FF"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22</w:t>
            </w:r>
          </w:p>
        </w:tc>
        <w:tc>
          <w:tcPr>
            <w:tcW w:w="815" w:type="dxa"/>
          </w:tcPr>
          <w:p w14:paraId="3C8D8A62" w14:textId="3DEB21DB"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w:t>
            </w:r>
          </w:p>
        </w:tc>
        <w:tc>
          <w:tcPr>
            <w:tcW w:w="1641" w:type="dxa"/>
          </w:tcPr>
          <w:p w14:paraId="1D02B316" w14:textId="5762F117"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3</w:t>
            </w:r>
          </w:p>
        </w:tc>
      </w:tr>
      <w:tr w:rsidR="00750F76" w:rsidRPr="004A7B4A" w14:paraId="7C0555CF" w14:textId="77777777" w:rsidTr="001C04CE">
        <w:trPr>
          <w:trHeight w:val="257"/>
        </w:trPr>
        <w:tc>
          <w:tcPr>
            <w:tcW w:w="816" w:type="dxa"/>
          </w:tcPr>
          <w:p w14:paraId="67B5D17D"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4</w:t>
            </w:r>
          </w:p>
        </w:tc>
        <w:tc>
          <w:tcPr>
            <w:tcW w:w="2222" w:type="dxa"/>
          </w:tcPr>
          <w:p w14:paraId="45328C97" w14:textId="34E5F1F4"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Marba</w:t>
            </w:r>
          </w:p>
        </w:tc>
        <w:tc>
          <w:tcPr>
            <w:tcW w:w="1891" w:type="dxa"/>
          </w:tcPr>
          <w:p w14:paraId="3F485113" w14:textId="6DA5D6F3" w:rsidR="00750F76" w:rsidRPr="004A7B4A" w:rsidRDefault="00750F76" w:rsidP="00F06779">
            <w:pPr>
              <w:pStyle w:val="NoSpacing"/>
              <w:ind w:left="238"/>
              <w:jc w:val="both"/>
              <w:rPr>
                <w:rFonts w:ascii="Times New Roman" w:hAnsi="Times New Roman" w:cs="Times New Roman"/>
                <w:sz w:val="24"/>
                <w:szCs w:val="24"/>
              </w:rPr>
            </w:pPr>
            <w:proofErr w:type="spellStart"/>
            <w:r w:rsidRPr="004A7B4A">
              <w:rPr>
                <w:rFonts w:ascii="Times New Roman" w:hAnsi="Times New Roman" w:cs="Times New Roman"/>
                <w:sz w:val="24"/>
                <w:szCs w:val="24"/>
              </w:rPr>
              <w:t>BSEd</w:t>
            </w:r>
            <w:proofErr w:type="spellEnd"/>
            <w:r w:rsidRPr="004A7B4A">
              <w:rPr>
                <w:rFonts w:ascii="Times New Roman" w:hAnsi="Times New Roman" w:cs="Times New Roman"/>
                <w:sz w:val="24"/>
                <w:szCs w:val="24"/>
              </w:rPr>
              <w:t>-Science</w:t>
            </w:r>
          </w:p>
        </w:tc>
        <w:tc>
          <w:tcPr>
            <w:tcW w:w="978" w:type="dxa"/>
          </w:tcPr>
          <w:p w14:paraId="545B2609" w14:textId="01A8AC5E"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25</w:t>
            </w:r>
          </w:p>
        </w:tc>
        <w:tc>
          <w:tcPr>
            <w:tcW w:w="815" w:type="dxa"/>
          </w:tcPr>
          <w:p w14:paraId="47CF02D5" w14:textId="17F567B8"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F</w:t>
            </w:r>
          </w:p>
        </w:tc>
        <w:tc>
          <w:tcPr>
            <w:tcW w:w="1641" w:type="dxa"/>
          </w:tcPr>
          <w:p w14:paraId="6BAC7DDE" w14:textId="4D4F74FD"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4</w:t>
            </w:r>
          </w:p>
        </w:tc>
      </w:tr>
      <w:tr w:rsidR="00750F76" w:rsidRPr="004A7B4A" w14:paraId="515921E9" w14:textId="77777777" w:rsidTr="001C04CE">
        <w:trPr>
          <w:trHeight w:val="240"/>
        </w:trPr>
        <w:tc>
          <w:tcPr>
            <w:tcW w:w="816" w:type="dxa"/>
          </w:tcPr>
          <w:p w14:paraId="73B9D40B"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5</w:t>
            </w:r>
          </w:p>
        </w:tc>
        <w:tc>
          <w:tcPr>
            <w:tcW w:w="2222" w:type="dxa"/>
          </w:tcPr>
          <w:p w14:paraId="3B088EED" w14:textId="636CE8F9"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Tumar</w:t>
            </w:r>
          </w:p>
        </w:tc>
        <w:tc>
          <w:tcPr>
            <w:tcW w:w="1891" w:type="dxa"/>
          </w:tcPr>
          <w:p w14:paraId="525FE759" w14:textId="77777777" w:rsidR="00750F76" w:rsidRPr="004A7B4A" w:rsidRDefault="00750F76" w:rsidP="00F06779">
            <w:pPr>
              <w:pStyle w:val="NoSpacing"/>
              <w:ind w:left="238"/>
              <w:jc w:val="both"/>
              <w:rPr>
                <w:rFonts w:ascii="Times New Roman" w:hAnsi="Times New Roman" w:cs="Times New Roman"/>
                <w:sz w:val="24"/>
                <w:szCs w:val="24"/>
              </w:rPr>
            </w:pPr>
            <w:proofErr w:type="spellStart"/>
            <w:r w:rsidRPr="004A7B4A">
              <w:rPr>
                <w:rFonts w:ascii="Times New Roman" w:hAnsi="Times New Roman" w:cs="Times New Roman"/>
                <w:sz w:val="24"/>
                <w:szCs w:val="24"/>
              </w:rPr>
              <w:t>BSEd</w:t>
            </w:r>
            <w:proofErr w:type="spellEnd"/>
            <w:r w:rsidRPr="004A7B4A">
              <w:rPr>
                <w:rFonts w:ascii="Times New Roman" w:hAnsi="Times New Roman" w:cs="Times New Roman"/>
                <w:sz w:val="24"/>
                <w:szCs w:val="24"/>
              </w:rPr>
              <w:t>-Math</w:t>
            </w:r>
          </w:p>
        </w:tc>
        <w:tc>
          <w:tcPr>
            <w:tcW w:w="978" w:type="dxa"/>
          </w:tcPr>
          <w:p w14:paraId="443B2596" w14:textId="01921F38"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19</w:t>
            </w:r>
          </w:p>
        </w:tc>
        <w:tc>
          <w:tcPr>
            <w:tcW w:w="815" w:type="dxa"/>
          </w:tcPr>
          <w:p w14:paraId="2C1DC6AE"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w:t>
            </w:r>
          </w:p>
        </w:tc>
        <w:tc>
          <w:tcPr>
            <w:tcW w:w="1641" w:type="dxa"/>
          </w:tcPr>
          <w:p w14:paraId="0D5BDD3A" w14:textId="4F30AF3B"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3</w:t>
            </w:r>
          </w:p>
        </w:tc>
      </w:tr>
      <w:tr w:rsidR="00750F76" w:rsidRPr="004A7B4A" w14:paraId="53C68F59" w14:textId="77777777" w:rsidTr="001C04CE">
        <w:trPr>
          <w:trHeight w:val="231"/>
        </w:trPr>
        <w:tc>
          <w:tcPr>
            <w:tcW w:w="816" w:type="dxa"/>
          </w:tcPr>
          <w:p w14:paraId="6376C0BC"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6</w:t>
            </w:r>
          </w:p>
        </w:tc>
        <w:tc>
          <w:tcPr>
            <w:tcW w:w="2222" w:type="dxa"/>
          </w:tcPr>
          <w:p w14:paraId="5DCCC503" w14:textId="6217B866"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Jeta</w:t>
            </w:r>
          </w:p>
        </w:tc>
        <w:tc>
          <w:tcPr>
            <w:tcW w:w="1891" w:type="dxa"/>
          </w:tcPr>
          <w:p w14:paraId="13AEE054" w14:textId="77777777" w:rsidR="00750F76" w:rsidRPr="004A7B4A" w:rsidRDefault="00750F76" w:rsidP="00F06779">
            <w:pPr>
              <w:pStyle w:val="NoSpacing"/>
              <w:ind w:left="238"/>
              <w:jc w:val="both"/>
              <w:rPr>
                <w:rFonts w:ascii="Times New Roman" w:hAnsi="Times New Roman" w:cs="Times New Roman"/>
                <w:sz w:val="24"/>
                <w:szCs w:val="24"/>
              </w:rPr>
            </w:pPr>
            <w:proofErr w:type="spellStart"/>
            <w:r w:rsidRPr="004A7B4A">
              <w:rPr>
                <w:rFonts w:ascii="Times New Roman" w:hAnsi="Times New Roman" w:cs="Times New Roman"/>
                <w:sz w:val="24"/>
                <w:szCs w:val="24"/>
              </w:rPr>
              <w:t>BSEd</w:t>
            </w:r>
            <w:proofErr w:type="spellEnd"/>
            <w:r w:rsidRPr="004A7B4A">
              <w:rPr>
                <w:rFonts w:ascii="Times New Roman" w:hAnsi="Times New Roman" w:cs="Times New Roman"/>
                <w:sz w:val="24"/>
                <w:szCs w:val="24"/>
              </w:rPr>
              <w:t>-Math</w:t>
            </w:r>
          </w:p>
        </w:tc>
        <w:tc>
          <w:tcPr>
            <w:tcW w:w="978" w:type="dxa"/>
          </w:tcPr>
          <w:p w14:paraId="36E0C0FF"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22</w:t>
            </w:r>
          </w:p>
        </w:tc>
        <w:tc>
          <w:tcPr>
            <w:tcW w:w="815" w:type="dxa"/>
          </w:tcPr>
          <w:p w14:paraId="6758BF3D"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w:t>
            </w:r>
          </w:p>
        </w:tc>
        <w:tc>
          <w:tcPr>
            <w:tcW w:w="1641" w:type="dxa"/>
          </w:tcPr>
          <w:p w14:paraId="52AD87BC" w14:textId="730FFC29"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1</w:t>
            </w:r>
          </w:p>
        </w:tc>
      </w:tr>
      <w:tr w:rsidR="00750F76" w:rsidRPr="004A7B4A" w14:paraId="1B85D404" w14:textId="77777777" w:rsidTr="001C04CE">
        <w:trPr>
          <w:trHeight w:val="231"/>
        </w:trPr>
        <w:tc>
          <w:tcPr>
            <w:tcW w:w="816" w:type="dxa"/>
          </w:tcPr>
          <w:p w14:paraId="0376196F"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7</w:t>
            </w:r>
          </w:p>
        </w:tc>
        <w:tc>
          <w:tcPr>
            <w:tcW w:w="2222" w:type="dxa"/>
          </w:tcPr>
          <w:p w14:paraId="64BA7177" w14:textId="7D20B5D9"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Anta</w:t>
            </w:r>
          </w:p>
        </w:tc>
        <w:tc>
          <w:tcPr>
            <w:tcW w:w="1891" w:type="dxa"/>
          </w:tcPr>
          <w:p w14:paraId="5F9FE0A2" w14:textId="13967F99"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ABEL</w:t>
            </w:r>
          </w:p>
        </w:tc>
        <w:tc>
          <w:tcPr>
            <w:tcW w:w="978" w:type="dxa"/>
          </w:tcPr>
          <w:p w14:paraId="1379911A" w14:textId="7DA85291"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23</w:t>
            </w:r>
          </w:p>
        </w:tc>
        <w:tc>
          <w:tcPr>
            <w:tcW w:w="815" w:type="dxa"/>
          </w:tcPr>
          <w:p w14:paraId="39C05BA7" w14:textId="3B0632E2"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F</w:t>
            </w:r>
          </w:p>
        </w:tc>
        <w:tc>
          <w:tcPr>
            <w:tcW w:w="1641" w:type="dxa"/>
          </w:tcPr>
          <w:p w14:paraId="2388DAE7" w14:textId="392501BC"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3</w:t>
            </w:r>
          </w:p>
        </w:tc>
      </w:tr>
      <w:tr w:rsidR="00750F76" w:rsidRPr="004A7B4A" w14:paraId="2BDE0857" w14:textId="77777777" w:rsidTr="001C04CE">
        <w:trPr>
          <w:trHeight w:val="231"/>
        </w:trPr>
        <w:tc>
          <w:tcPr>
            <w:tcW w:w="816" w:type="dxa"/>
          </w:tcPr>
          <w:p w14:paraId="285D8086" w14:textId="7FF2A8E6"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8</w:t>
            </w:r>
          </w:p>
        </w:tc>
        <w:tc>
          <w:tcPr>
            <w:tcW w:w="2222" w:type="dxa"/>
          </w:tcPr>
          <w:p w14:paraId="26186C33" w14:textId="7B2BD9E0" w:rsidR="00750F76" w:rsidRPr="004A7B4A" w:rsidRDefault="00750F76" w:rsidP="00F06779">
            <w:pPr>
              <w:pStyle w:val="NoSpacing"/>
              <w:ind w:left="238"/>
              <w:jc w:val="both"/>
              <w:rPr>
                <w:rFonts w:ascii="Times New Roman" w:hAnsi="Times New Roman" w:cs="Times New Roman"/>
                <w:sz w:val="24"/>
                <w:szCs w:val="24"/>
              </w:rPr>
            </w:pPr>
            <w:proofErr w:type="spellStart"/>
            <w:r w:rsidRPr="004A7B4A">
              <w:rPr>
                <w:rFonts w:ascii="Times New Roman" w:hAnsi="Times New Roman" w:cs="Times New Roman"/>
                <w:sz w:val="24"/>
                <w:szCs w:val="24"/>
              </w:rPr>
              <w:t>Jevil</w:t>
            </w:r>
            <w:proofErr w:type="spellEnd"/>
          </w:p>
        </w:tc>
        <w:tc>
          <w:tcPr>
            <w:tcW w:w="1891" w:type="dxa"/>
          </w:tcPr>
          <w:p w14:paraId="11FB9A00" w14:textId="193E4301" w:rsidR="00750F76" w:rsidRPr="004A7B4A" w:rsidRDefault="00750F76" w:rsidP="00F06779">
            <w:pPr>
              <w:pStyle w:val="NoSpacing"/>
              <w:ind w:left="238"/>
              <w:jc w:val="both"/>
              <w:rPr>
                <w:rFonts w:ascii="Times New Roman" w:hAnsi="Times New Roman" w:cs="Times New Roman"/>
                <w:sz w:val="24"/>
                <w:szCs w:val="24"/>
              </w:rPr>
            </w:pPr>
            <w:proofErr w:type="spellStart"/>
            <w:r w:rsidRPr="004A7B4A">
              <w:rPr>
                <w:rFonts w:ascii="Times New Roman" w:hAnsi="Times New Roman" w:cs="Times New Roman"/>
                <w:sz w:val="24"/>
                <w:szCs w:val="24"/>
              </w:rPr>
              <w:t>BSEd</w:t>
            </w:r>
            <w:proofErr w:type="spellEnd"/>
            <w:r w:rsidRPr="004A7B4A">
              <w:rPr>
                <w:rFonts w:ascii="Times New Roman" w:hAnsi="Times New Roman" w:cs="Times New Roman"/>
                <w:sz w:val="24"/>
                <w:szCs w:val="24"/>
              </w:rPr>
              <w:t>-Math</w:t>
            </w:r>
          </w:p>
        </w:tc>
        <w:tc>
          <w:tcPr>
            <w:tcW w:w="978" w:type="dxa"/>
          </w:tcPr>
          <w:p w14:paraId="7C4FB1B0" w14:textId="1F7B41DB"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31</w:t>
            </w:r>
          </w:p>
        </w:tc>
        <w:tc>
          <w:tcPr>
            <w:tcW w:w="815" w:type="dxa"/>
          </w:tcPr>
          <w:p w14:paraId="186095EA" w14:textId="569A2674"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w:t>
            </w:r>
          </w:p>
        </w:tc>
        <w:tc>
          <w:tcPr>
            <w:tcW w:w="1641" w:type="dxa"/>
          </w:tcPr>
          <w:p w14:paraId="4C63F7EA" w14:textId="72C21D4F"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2</w:t>
            </w:r>
          </w:p>
        </w:tc>
      </w:tr>
      <w:tr w:rsidR="00750F76" w:rsidRPr="004A7B4A" w14:paraId="6416A9EC" w14:textId="77777777" w:rsidTr="001C04CE">
        <w:trPr>
          <w:trHeight w:val="231"/>
        </w:trPr>
        <w:tc>
          <w:tcPr>
            <w:tcW w:w="816" w:type="dxa"/>
          </w:tcPr>
          <w:p w14:paraId="78C3AD42" w14:textId="5481B11A"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9</w:t>
            </w:r>
          </w:p>
        </w:tc>
        <w:tc>
          <w:tcPr>
            <w:tcW w:w="2222" w:type="dxa"/>
          </w:tcPr>
          <w:p w14:paraId="05DAC127" w14:textId="002ACAD2"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Miku</w:t>
            </w:r>
          </w:p>
        </w:tc>
        <w:tc>
          <w:tcPr>
            <w:tcW w:w="1891" w:type="dxa"/>
          </w:tcPr>
          <w:p w14:paraId="3430B888" w14:textId="4640CA98" w:rsidR="00750F76" w:rsidRPr="004A7B4A" w:rsidRDefault="00750F76" w:rsidP="00F06779">
            <w:pPr>
              <w:pStyle w:val="NoSpacing"/>
              <w:ind w:left="238"/>
              <w:jc w:val="both"/>
              <w:rPr>
                <w:rFonts w:ascii="Times New Roman" w:hAnsi="Times New Roman" w:cs="Times New Roman"/>
                <w:sz w:val="24"/>
                <w:szCs w:val="24"/>
              </w:rPr>
            </w:pPr>
            <w:proofErr w:type="spellStart"/>
            <w:r w:rsidRPr="004A7B4A">
              <w:rPr>
                <w:rFonts w:ascii="Times New Roman" w:hAnsi="Times New Roman" w:cs="Times New Roman"/>
                <w:sz w:val="24"/>
                <w:szCs w:val="24"/>
              </w:rPr>
              <w:t>BTLEd</w:t>
            </w:r>
            <w:proofErr w:type="spellEnd"/>
            <w:r w:rsidRPr="004A7B4A">
              <w:rPr>
                <w:rFonts w:ascii="Times New Roman" w:hAnsi="Times New Roman" w:cs="Times New Roman"/>
                <w:sz w:val="24"/>
                <w:szCs w:val="24"/>
              </w:rPr>
              <w:t>-AFA</w:t>
            </w:r>
          </w:p>
        </w:tc>
        <w:tc>
          <w:tcPr>
            <w:tcW w:w="978" w:type="dxa"/>
          </w:tcPr>
          <w:p w14:paraId="4C23F832" w14:textId="7C3A6DE1"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19</w:t>
            </w:r>
          </w:p>
        </w:tc>
        <w:tc>
          <w:tcPr>
            <w:tcW w:w="815" w:type="dxa"/>
          </w:tcPr>
          <w:p w14:paraId="1AF5783F" w14:textId="68963870"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w:t>
            </w:r>
          </w:p>
        </w:tc>
        <w:tc>
          <w:tcPr>
            <w:tcW w:w="1641" w:type="dxa"/>
          </w:tcPr>
          <w:p w14:paraId="5612D9CF" w14:textId="66000983"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2</w:t>
            </w:r>
          </w:p>
        </w:tc>
      </w:tr>
    </w:tbl>
    <w:p w14:paraId="64E40909" w14:textId="77777777" w:rsidR="00F471F2" w:rsidRPr="004A7B4A" w:rsidRDefault="00F471F2" w:rsidP="00F06779">
      <w:pPr>
        <w:spacing w:after="0" w:line="240" w:lineRule="auto"/>
        <w:ind w:left="238"/>
        <w:jc w:val="both"/>
        <w:rPr>
          <w:rStyle w:val="fontstyle01"/>
          <w:rFonts w:ascii="Times New Roman" w:hAnsi="Times New Roman" w:cs="Times New Roman"/>
          <w:b w:val="0"/>
          <w:bCs w:val="0"/>
          <w:color w:val="000000" w:themeColor="text1"/>
        </w:rPr>
      </w:pPr>
    </w:p>
    <w:p w14:paraId="327620B1" w14:textId="5D41B05D" w:rsidR="00A30AB4" w:rsidRPr="004A7B4A" w:rsidRDefault="00750F76" w:rsidP="00F06779">
      <w:pPr>
        <w:spacing w:after="0" w:line="240" w:lineRule="auto"/>
        <w:ind w:left="238"/>
        <w:jc w:val="both"/>
        <w:rPr>
          <w:rStyle w:val="fontstyle01"/>
          <w:rFonts w:ascii="Times New Roman" w:hAnsi="Times New Roman" w:cs="Times New Roman"/>
          <w:color w:val="000000" w:themeColor="text1"/>
        </w:rPr>
      </w:pPr>
      <w:r w:rsidRPr="004A7B4A">
        <w:rPr>
          <w:rStyle w:val="fontstyle01"/>
          <w:rFonts w:ascii="Times New Roman" w:hAnsi="Times New Roman" w:cs="Times New Roman"/>
          <w:b w:val="0"/>
          <w:bCs w:val="0"/>
          <w:color w:val="000000" w:themeColor="text1"/>
        </w:rPr>
        <w:t xml:space="preserve"> </w:t>
      </w:r>
      <w:r w:rsidR="00A30AB4" w:rsidRPr="004A7B4A">
        <w:rPr>
          <w:rStyle w:val="fontstyle01"/>
          <w:rFonts w:ascii="Times New Roman" w:hAnsi="Times New Roman" w:cs="Times New Roman"/>
          <w:color w:val="000000" w:themeColor="text1"/>
        </w:rPr>
        <w:t>Table 2. FGD</w:t>
      </w:r>
      <w:r w:rsidR="007236FF" w:rsidRPr="004A7B4A">
        <w:rPr>
          <w:rStyle w:val="fontstyle01"/>
          <w:rFonts w:ascii="Times New Roman" w:hAnsi="Times New Roman" w:cs="Times New Roman"/>
          <w:color w:val="000000" w:themeColor="text1"/>
        </w:rPr>
        <w:t xml:space="preserve"> Participants </w:t>
      </w:r>
    </w:p>
    <w:tbl>
      <w:tblPr>
        <w:tblStyle w:val="TableGrid"/>
        <w:tblW w:w="8363" w:type="dxa"/>
        <w:tblInd w:w="279" w:type="dxa"/>
        <w:tblLayout w:type="fixed"/>
        <w:tblLook w:val="04A0" w:firstRow="1" w:lastRow="0" w:firstColumn="1" w:lastColumn="0" w:noHBand="0" w:noVBand="1"/>
      </w:tblPr>
      <w:tblGrid>
        <w:gridCol w:w="815"/>
        <w:gridCol w:w="2220"/>
        <w:gridCol w:w="2024"/>
        <w:gridCol w:w="841"/>
        <w:gridCol w:w="814"/>
        <w:gridCol w:w="1649"/>
      </w:tblGrid>
      <w:tr w:rsidR="00750F76" w:rsidRPr="004A7B4A" w14:paraId="7DB5C87F" w14:textId="77777777" w:rsidTr="001C04CE">
        <w:trPr>
          <w:trHeight w:val="526"/>
        </w:trPr>
        <w:tc>
          <w:tcPr>
            <w:tcW w:w="815" w:type="dxa"/>
          </w:tcPr>
          <w:p w14:paraId="78D107B4" w14:textId="77777777" w:rsidR="00750F76" w:rsidRPr="004A7B4A" w:rsidRDefault="00750F76" w:rsidP="00F06779">
            <w:pPr>
              <w:spacing w:line="276" w:lineRule="auto"/>
              <w:ind w:left="238"/>
              <w:jc w:val="both"/>
              <w:rPr>
                <w:rFonts w:ascii="Times New Roman" w:hAnsi="Times New Roman" w:cs="Times New Roman"/>
                <w:b/>
                <w:color w:val="000000" w:themeColor="text1"/>
                <w:sz w:val="24"/>
                <w:szCs w:val="24"/>
              </w:rPr>
            </w:pPr>
            <w:r w:rsidRPr="004A7B4A">
              <w:rPr>
                <w:rFonts w:ascii="Times New Roman" w:hAnsi="Times New Roman" w:cs="Times New Roman"/>
                <w:b/>
                <w:color w:val="000000" w:themeColor="text1"/>
                <w:sz w:val="24"/>
                <w:szCs w:val="24"/>
              </w:rPr>
              <w:t>No</w:t>
            </w:r>
          </w:p>
        </w:tc>
        <w:tc>
          <w:tcPr>
            <w:tcW w:w="2220" w:type="dxa"/>
          </w:tcPr>
          <w:p w14:paraId="062189B1" w14:textId="77777777" w:rsidR="00750F76" w:rsidRPr="004A7B4A" w:rsidRDefault="00750F76" w:rsidP="001C04CE">
            <w:pPr>
              <w:ind w:left="238"/>
              <w:jc w:val="both"/>
              <w:rPr>
                <w:rFonts w:ascii="Times New Roman" w:hAnsi="Times New Roman" w:cs="Times New Roman"/>
                <w:b/>
                <w:color w:val="000000" w:themeColor="text1"/>
                <w:sz w:val="24"/>
                <w:szCs w:val="24"/>
              </w:rPr>
            </w:pPr>
            <w:proofErr w:type="gramStart"/>
            <w:r w:rsidRPr="004A7B4A">
              <w:rPr>
                <w:rFonts w:ascii="Times New Roman" w:hAnsi="Times New Roman" w:cs="Times New Roman"/>
                <w:b/>
                <w:color w:val="000000" w:themeColor="text1"/>
                <w:sz w:val="24"/>
                <w:szCs w:val="24"/>
              </w:rPr>
              <w:t>Pseudonym</w:t>
            </w:r>
            <w:proofErr w:type="gramEnd"/>
            <w:r w:rsidRPr="004A7B4A">
              <w:rPr>
                <w:rFonts w:ascii="Times New Roman" w:hAnsi="Times New Roman" w:cs="Times New Roman"/>
                <w:b/>
                <w:color w:val="000000" w:themeColor="text1"/>
                <w:sz w:val="24"/>
                <w:szCs w:val="24"/>
              </w:rPr>
              <w:t xml:space="preserve"> of the Participants</w:t>
            </w:r>
          </w:p>
        </w:tc>
        <w:tc>
          <w:tcPr>
            <w:tcW w:w="2024" w:type="dxa"/>
          </w:tcPr>
          <w:p w14:paraId="4FAC042C" w14:textId="77777777" w:rsidR="00750F76" w:rsidRPr="004A7B4A" w:rsidRDefault="00750F76" w:rsidP="00F06779">
            <w:pPr>
              <w:spacing w:line="276" w:lineRule="auto"/>
              <w:ind w:left="238"/>
              <w:jc w:val="both"/>
              <w:rPr>
                <w:rFonts w:ascii="Times New Roman" w:hAnsi="Times New Roman" w:cs="Times New Roman"/>
                <w:b/>
                <w:color w:val="000000" w:themeColor="text1"/>
                <w:sz w:val="24"/>
                <w:szCs w:val="24"/>
              </w:rPr>
            </w:pPr>
            <w:r w:rsidRPr="004A7B4A">
              <w:rPr>
                <w:rFonts w:ascii="Times New Roman" w:hAnsi="Times New Roman" w:cs="Times New Roman"/>
                <w:b/>
                <w:color w:val="000000" w:themeColor="text1"/>
                <w:sz w:val="24"/>
                <w:szCs w:val="24"/>
              </w:rPr>
              <w:t>Course</w:t>
            </w:r>
          </w:p>
        </w:tc>
        <w:tc>
          <w:tcPr>
            <w:tcW w:w="841" w:type="dxa"/>
          </w:tcPr>
          <w:p w14:paraId="1528E0A8" w14:textId="77777777" w:rsidR="00750F76" w:rsidRPr="004A7B4A" w:rsidRDefault="00750F76" w:rsidP="00F06779">
            <w:pPr>
              <w:spacing w:line="276" w:lineRule="auto"/>
              <w:ind w:left="238"/>
              <w:jc w:val="both"/>
              <w:rPr>
                <w:rFonts w:ascii="Times New Roman" w:hAnsi="Times New Roman" w:cs="Times New Roman"/>
                <w:b/>
                <w:color w:val="000000" w:themeColor="text1"/>
                <w:sz w:val="24"/>
                <w:szCs w:val="24"/>
              </w:rPr>
            </w:pPr>
            <w:r w:rsidRPr="004A7B4A">
              <w:rPr>
                <w:rFonts w:ascii="Times New Roman" w:hAnsi="Times New Roman" w:cs="Times New Roman"/>
                <w:b/>
                <w:color w:val="000000" w:themeColor="text1"/>
                <w:sz w:val="24"/>
                <w:szCs w:val="24"/>
              </w:rPr>
              <w:t>Age</w:t>
            </w:r>
          </w:p>
        </w:tc>
        <w:tc>
          <w:tcPr>
            <w:tcW w:w="814" w:type="dxa"/>
          </w:tcPr>
          <w:p w14:paraId="5C3F4A3F" w14:textId="77777777" w:rsidR="00750F76" w:rsidRPr="004A7B4A" w:rsidRDefault="00750F76" w:rsidP="00F06779">
            <w:pPr>
              <w:spacing w:line="276" w:lineRule="auto"/>
              <w:ind w:left="238"/>
              <w:jc w:val="both"/>
              <w:rPr>
                <w:rFonts w:ascii="Times New Roman" w:hAnsi="Times New Roman" w:cs="Times New Roman"/>
                <w:b/>
                <w:color w:val="000000" w:themeColor="text1"/>
                <w:sz w:val="24"/>
                <w:szCs w:val="24"/>
              </w:rPr>
            </w:pPr>
            <w:r w:rsidRPr="004A7B4A">
              <w:rPr>
                <w:rFonts w:ascii="Times New Roman" w:hAnsi="Times New Roman" w:cs="Times New Roman"/>
                <w:b/>
                <w:color w:val="000000" w:themeColor="text1"/>
                <w:sz w:val="24"/>
                <w:szCs w:val="24"/>
              </w:rPr>
              <w:t>Sex</w:t>
            </w:r>
          </w:p>
        </w:tc>
        <w:tc>
          <w:tcPr>
            <w:tcW w:w="1649" w:type="dxa"/>
          </w:tcPr>
          <w:p w14:paraId="03103C17" w14:textId="23E1766A" w:rsidR="00750F76" w:rsidRPr="004A7B4A" w:rsidRDefault="00750F76" w:rsidP="00F06779">
            <w:pPr>
              <w:spacing w:line="276" w:lineRule="auto"/>
              <w:ind w:left="238"/>
              <w:jc w:val="both"/>
              <w:rPr>
                <w:rFonts w:ascii="Times New Roman" w:hAnsi="Times New Roman" w:cs="Times New Roman"/>
                <w:b/>
                <w:color w:val="000000" w:themeColor="text1"/>
                <w:sz w:val="24"/>
                <w:szCs w:val="24"/>
              </w:rPr>
            </w:pPr>
            <w:r w:rsidRPr="004A7B4A">
              <w:rPr>
                <w:rFonts w:ascii="Times New Roman" w:hAnsi="Times New Roman" w:cs="Times New Roman"/>
                <w:b/>
                <w:color w:val="000000" w:themeColor="text1"/>
                <w:sz w:val="24"/>
                <w:szCs w:val="24"/>
              </w:rPr>
              <w:t>Year Level</w:t>
            </w:r>
          </w:p>
        </w:tc>
      </w:tr>
      <w:tr w:rsidR="00750F76" w:rsidRPr="004A7B4A" w14:paraId="72214193" w14:textId="77777777" w:rsidTr="001C04CE">
        <w:trPr>
          <w:trHeight w:val="299"/>
        </w:trPr>
        <w:tc>
          <w:tcPr>
            <w:tcW w:w="815" w:type="dxa"/>
          </w:tcPr>
          <w:p w14:paraId="5906977D" w14:textId="02AC8BB1"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c>
          <w:tcPr>
            <w:tcW w:w="2220" w:type="dxa"/>
          </w:tcPr>
          <w:p w14:paraId="6CEE8574" w14:textId="21A309B6"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Navi</w:t>
            </w:r>
          </w:p>
        </w:tc>
        <w:tc>
          <w:tcPr>
            <w:tcW w:w="2024" w:type="dxa"/>
          </w:tcPr>
          <w:p w14:paraId="15829453" w14:textId="76BD2880"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proofErr w:type="spellStart"/>
            <w:r w:rsidRPr="004A7B4A">
              <w:rPr>
                <w:rFonts w:ascii="Times New Roman" w:hAnsi="Times New Roman" w:cs="Times New Roman"/>
                <w:color w:val="000000" w:themeColor="text1"/>
                <w:sz w:val="24"/>
                <w:szCs w:val="24"/>
              </w:rPr>
              <w:t>BSEd</w:t>
            </w:r>
            <w:proofErr w:type="spellEnd"/>
            <w:r w:rsidRPr="004A7B4A">
              <w:rPr>
                <w:rFonts w:ascii="Times New Roman" w:hAnsi="Times New Roman" w:cs="Times New Roman"/>
                <w:color w:val="000000" w:themeColor="text1"/>
                <w:sz w:val="24"/>
                <w:szCs w:val="24"/>
              </w:rPr>
              <w:t>-Science</w:t>
            </w:r>
          </w:p>
        </w:tc>
        <w:tc>
          <w:tcPr>
            <w:tcW w:w="841" w:type="dxa"/>
          </w:tcPr>
          <w:p w14:paraId="4D80FE42"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19</w:t>
            </w:r>
          </w:p>
        </w:tc>
        <w:tc>
          <w:tcPr>
            <w:tcW w:w="814" w:type="dxa"/>
          </w:tcPr>
          <w:p w14:paraId="68A6F61A" w14:textId="72912D8D"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683C3243" w14:textId="5D073A05"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15B9A9F5" w14:textId="77777777" w:rsidTr="001C04CE">
        <w:trPr>
          <w:trHeight w:val="299"/>
        </w:trPr>
        <w:tc>
          <w:tcPr>
            <w:tcW w:w="815" w:type="dxa"/>
          </w:tcPr>
          <w:p w14:paraId="00DD8ECE"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w:t>
            </w:r>
          </w:p>
        </w:tc>
        <w:tc>
          <w:tcPr>
            <w:tcW w:w="2220" w:type="dxa"/>
          </w:tcPr>
          <w:p w14:paraId="4EBC259D" w14:textId="273F5851"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proofErr w:type="spellStart"/>
            <w:r w:rsidRPr="004A7B4A">
              <w:rPr>
                <w:rFonts w:ascii="Times New Roman" w:hAnsi="Times New Roman" w:cs="Times New Roman"/>
                <w:color w:val="000000" w:themeColor="text1"/>
                <w:sz w:val="24"/>
                <w:szCs w:val="24"/>
              </w:rPr>
              <w:t>Benrea</w:t>
            </w:r>
            <w:proofErr w:type="spellEnd"/>
          </w:p>
        </w:tc>
        <w:tc>
          <w:tcPr>
            <w:tcW w:w="2024" w:type="dxa"/>
          </w:tcPr>
          <w:p w14:paraId="22FBDB65" w14:textId="12DD9055"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BSAF</w:t>
            </w:r>
          </w:p>
        </w:tc>
        <w:tc>
          <w:tcPr>
            <w:tcW w:w="841" w:type="dxa"/>
          </w:tcPr>
          <w:p w14:paraId="331C6B16" w14:textId="0EF32114"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22</w:t>
            </w:r>
          </w:p>
        </w:tc>
        <w:tc>
          <w:tcPr>
            <w:tcW w:w="814" w:type="dxa"/>
          </w:tcPr>
          <w:p w14:paraId="64450A13" w14:textId="1D96B433"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F</w:t>
            </w:r>
          </w:p>
        </w:tc>
        <w:tc>
          <w:tcPr>
            <w:tcW w:w="1649" w:type="dxa"/>
          </w:tcPr>
          <w:p w14:paraId="47A067FF" w14:textId="1B39B2F9"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w:t>
            </w:r>
          </w:p>
        </w:tc>
      </w:tr>
      <w:tr w:rsidR="00750F76" w:rsidRPr="004A7B4A" w14:paraId="6F988514" w14:textId="77777777" w:rsidTr="001C04CE">
        <w:trPr>
          <w:trHeight w:val="328"/>
        </w:trPr>
        <w:tc>
          <w:tcPr>
            <w:tcW w:w="815" w:type="dxa"/>
          </w:tcPr>
          <w:p w14:paraId="0EB9D793"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3</w:t>
            </w:r>
          </w:p>
        </w:tc>
        <w:tc>
          <w:tcPr>
            <w:tcW w:w="2220" w:type="dxa"/>
          </w:tcPr>
          <w:p w14:paraId="0A8FE564" w14:textId="52274F03"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Jolo</w:t>
            </w:r>
          </w:p>
        </w:tc>
        <w:tc>
          <w:tcPr>
            <w:tcW w:w="2024" w:type="dxa"/>
          </w:tcPr>
          <w:p w14:paraId="4D5FEFA4" w14:textId="519FED62"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BS-Biology</w:t>
            </w:r>
          </w:p>
        </w:tc>
        <w:tc>
          <w:tcPr>
            <w:tcW w:w="841" w:type="dxa"/>
          </w:tcPr>
          <w:p w14:paraId="747936E6" w14:textId="05B99DD5"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22</w:t>
            </w:r>
          </w:p>
        </w:tc>
        <w:tc>
          <w:tcPr>
            <w:tcW w:w="814" w:type="dxa"/>
          </w:tcPr>
          <w:p w14:paraId="693C0AF7"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3F7D97D9" w14:textId="168DDE18"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4</w:t>
            </w:r>
          </w:p>
        </w:tc>
      </w:tr>
      <w:tr w:rsidR="00750F76" w:rsidRPr="004A7B4A" w14:paraId="40E3B995" w14:textId="77777777" w:rsidTr="001C04CE">
        <w:trPr>
          <w:trHeight w:val="278"/>
        </w:trPr>
        <w:tc>
          <w:tcPr>
            <w:tcW w:w="815" w:type="dxa"/>
          </w:tcPr>
          <w:p w14:paraId="49364B26"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4</w:t>
            </w:r>
          </w:p>
        </w:tc>
        <w:tc>
          <w:tcPr>
            <w:tcW w:w="2220" w:type="dxa"/>
          </w:tcPr>
          <w:p w14:paraId="42EDC673" w14:textId="1C279A06"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Baer</w:t>
            </w:r>
          </w:p>
        </w:tc>
        <w:tc>
          <w:tcPr>
            <w:tcW w:w="2024" w:type="dxa"/>
          </w:tcPr>
          <w:p w14:paraId="36E2F4DB" w14:textId="739AF12B"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BSAF</w:t>
            </w:r>
          </w:p>
        </w:tc>
        <w:tc>
          <w:tcPr>
            <w:tcW w:w="841" w:type="dxa"/>
          </w:tcPr>
          <w:p w14:paraId="3BD84F8C" w14:textId="795D8ABC"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19</w:t>
            </w:r>
          </w:p>
        </w:tc>
        <w:tc>
          <w:tcPr>
            <w:tcW w:w="814" w:type="dxa"/>
          </w:tcPr>
          <w:p w14:paraId="74708D77" w14:textId="61340F28"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F</w:t>
            </w:r>
          </w:p>
        </w:tc>
        <w:tc>
          <w:tcPr>
            <w:tcW w:w="1649" w:type="dxa"/>
          </w:tcPr>
          <w:p w14:paraId="1CF005BE" w14:textId="114340FA"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w:t>
            </w:r>
          </w:p>
        </w:tc>
      </w:tr>
      <w:tr w:rsidR="00750F76" w:rsidRPr="004A7B4A" w14:paraId="6603D757" w14:textId="77777777" w:rsidTr="001C04CE">
        <w:trPr>
          <w:trHeight w:val="250"/>
        </w:trPr>
        <w:tc>
          <w:tcPr>
            <w:tcW w:w="815" w:type="dxa"/>
          </w:tcPr>
          <w:p w14:paraId="7B534E22"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5</w:t>
            </w:r>
          </w:p>
        </w:tc>
        <w:tc>
          <w:tcPr>
            <w:tcW w:w="2220" w:type="dxa"/>
          </w:tcPr>
          <w:p w14:paraId="45E979B8" w14:textId="21BCF3DD"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Bjay</w:t>
            </w:r>
          </w:p>
        </w:tc>
        <w:tc>
          <w:tcPr>
            <w:tcW w:w="2024" w:type="dxa"/>
          </w:tcPr>
          <w:p w14:paraId="28EF5BFD" w14:textId="0C73ABFA"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proofErr w:type="spellStart"/>
            <w:r w:rsidRPr="004A7B4A">
              <w:rPr>
                <w:rFonts w:ascii="Times New Roman" w:hAnsi="Times New Roman" w:cs="Times New Roman"/>
                <w:color w:val="000000" w:themeColor="text1"/>
                <w:sz w:val="24"/>
                <w:szCs w:val="24"/>
              </w:rPr>
              <w:t>BTLEd</w:t>
            </w:r>
            <w:proofErr w:type="spellEnd"/>
            <w:r w:rsidRPr="004A7B4A">
              <w:rPr>
                <w:rFonts w:ascii="Times New Roman" w:hAnsi="Times New Roman" w:cs="Times New Roman"/>
                <w:color w:val="000000" w:themeColor="text1"/>
                <w:sz w:val="24"/>
                <w:szCs w:val="24"/>
              </w:rPr>
              <w:t>-AFA</w:t>
            </w:r>
          </w:p>
        </w:tc>
        <w:tc>
          <w:tcPr>
            <w:tcW w:w="841" w:type="dxa"/>
          </w:tcPr>
          <w:p w14:paraId="01A8D214" w14:textId="5A0D9706"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21</w:t>
            </w:r>
          </w:p>
        </w:tc>
        <w:tc>
          <w:tcPr>
            <w:tcW w:w="814" w:type="dxa"/>
          </w:tcPr>
          <w:p w14:paraId="44900296"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63C00C9B" w14:textId="636F6DB6"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423C104C" w14:textId="77777777" w:rsidTr="001C04CE">
        <w:trPr>
          <w:trHeight w:val="309"/>
        </w:trPr>
        <w:tc>
          <w:tcPr>
            <w:tcW w:w="815" w:type="dxa"/>
          </w:tcPr>
          <w:p w14:paraId="3C68FFDE"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6</w:t>
            </w:r>
          </w:p>
        </w:tc>
        <w:tc>
          <w:tcPr>
            <w:tcW w:w="2220" w:type="dxa"/>
          </w:tcPr>
          <w:p w14:paraId="232CCAA1" w14:textId="3C5AD06F"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Paril</w:t>
            </w:r>
          </w:p>
        </w:tc>
        <w:tc>
          <w:tcPr>
            <w:tcW w:w="2024" w:type="dxa"/>
          </w:tcPr>
          <w:p w14:paraId="08665A4F"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proofErr w:type="spellStart"/>
            <w:r w:rsidRPr="004A7B4A">
              <w:rPr>
                <w:rFonts w:ascii="Times New Roman" w:hAnsi="Times New Roman" w:cs="Times New Roman"/>
                <w:color w:val="000000" w:themeColor="text1"/>
                <w:sz w:val="24"/>
                <w:szCs w:val="24"/>
              </w:rPr>
              <w:t>BSEd</w:t>
            </w:r>
            <w:proofErr w:type="spellEnd"/>
            <w:r w:rsidRPr="004A7B4A">
              <w:rPr>
                <w:rFonts w:ascii="Times New Roman" w:hAnsi="Times New Roman" w:cs="Times New Roman"/>
                <w:color w:val="000000" w:themeColor="text1"/>
                <w:sz w:val="24"/>
                <w:szCs w:val="24"/>
              </w:rPr>
              <w:t>-Math</w:t>
            </w:r>
          </w:p>
        </w:tc>
        <w:tc>
          <w:tcPr>
            <w:tcW w:w="841" w:type="dxa"/>
          </w:tcPr>
          <w:p w14:paraId="59A337AE" w14:textId="705FA359"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21</w:t>
            </w:r>
          </w:p>
        </w:tc>
        <w:tc>
          <w:tcPr>
            <w:tcW w:w="814" w:type="dxa"/>
          </w:tcPr>
          <w:p w14:paraId="659BE3C7"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287E33C5" w14:textId="6EA58470"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3</w:t>
            </w:r>
          </w:p>
        </w:tc>
      </w:tr>
      <w:tr w:rsidR="00750F76" w:rsidRPr="004A7B4A" w14:paraId="5C702925" w14:textId="77777777" w:rsidTr="001C04CE">
        <w:trPr>
          <w:trHeight w:val="278"/>
        </w:trPr>
        <w:tc>
          <w:tcPr>
            <w:tcW w:w="815" w:type="dxa"/>
          </w:tcPr>
          <w:p w14:paraId="154A0848"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7</w:t>
            </w:r>
          </w:p>
        </w:tc>
        <w:tc>
          <w:tcPr>
            <w:tcW w:w="2220" w:type="dxa"/>
          </w:tcPr>
          <w:p w14:paraId="542C6F5F" w14:textId="7BF953EE"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proofErr w:type="spellStart"/>
            <w:r w:rsidRPr="004A7B4A">
              <w:rPr>
                <w:rFonts w:ascii="Times New Roman" w:hAnsi="Times New Roman" w:cs="Times New Roman"/>
                <w:color w:val="000000" w:themeColor="text1"/>
                <w:sz w:val="24"/>
                <w:szCs w:val="24"/>
              </w:rPr>
              <w:t>Harbe</w:t>
            </w:r>
            <w:proofErr w:type="spellEnd"/>
          </w:p>
        </w:tc>
        <w:tc>
          <w:tcPr>
            <w:tcW w:w="2024" w:type="dxa"/>
          </w:tcPr>
          <w:p w14:paraId="47B978B6" w14:textId="04AAC8C1"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proofErr w:type="spellStart"/>
            <w:r w:rsidRPr="004A7B4A">
              <w:rPr>
                <w:rFonts w:ascii="Times New Roman" w:hAnsi="Times New Roman" w:cs="Times New Roman"/>
                <w:color w:val="000000" w:themeColor="text1"/>
                <w:sz w:val="24"/>
                <w:szCs w:val="24"/>
              </w:rPr>
              <w:t>BSEd</w:t>
            </w:r>
            <w:proofErr w:type="spellEnd"/>
            <w:r w:rsidRPr="004A7B4A">
              <w:rPr>
                <w:rFonts w:ascii="Times New Roman" w:hAnsi="Times New Roman" w:cs="Times New Roman"/>
                <w:color w:val="000000" w:themeColor="text1"/>
                <w:sz w:val="24"/>
                <w:szCs w:val="24"/>
              </w:rPr>
              <w:t>-English</w:t>
            </w:r>
          </w:p>
        </w:tc>
        <w:tc>
          <w:tcPr>
            <w:tcW w:w="841" w:type="dxa"/>
          </w:tcPr>
          <w:p w14:paraId="3158B8DB" w14:textId="1863D24A"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18</w:t>
            </w:r>
          </w:p>
        </w:tc>
        <w:tc>
          <w:tcPr>
            <w:tcW w:w="814" w:type="dxa"/>
          </w:tcPr>
          <w:p w14:paraId="33B88220" w14:textId="03A30263"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F</w:t>
            </w:r>
          </w:p>
        </w:tc>
        <w:tc>
          <w:tcPr>
            <w:tcW w:w="1649" w:type="dxa"/>
          </w:tcPr>
          <w:p w14:paraId="4864D3ED" w14:textId="3CBA0E69"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5C2F95F4" w14:textId="77777777" w:rsidTr="001C04CE">
        <w:trPr>
          <w:trHeight w:val="278"/>
        </w:trPr>
        <w:tc>
          <w:tcPr>
            <w:tcW w:w="815" w:type="dxa"/>
          </w:tcPr>
          <w:p w14:paraId="56A046F9" w14:textId="28989F1D"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8</w:t>
            </w:r>
          </w:p>
        </w:tc>
        <w:tc>
          <w:tcPr>
            <w:tcW w:w="2220" w:type="dxa"/>
          </w:tcPr>
          <w:p w14:paraId="5DCF8FD4" w14:textId="28693ECE"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JB</w:t>
            </w:r>
          </w:p>
        </w:tc>
        <w:tc>
          <w:tcPr>
            <w:tcW w:w="2024" w:type="dxa"/>
          </w:tcPr>
          <w:p w14:paraId="7ECD9BE4" w14:textId="2EFD459C"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proofErr w:type="spellStart"/>
            <w:r w:rsidRPr="004A7B4A">
              <w:rPr>
                <w:rFonts w:ascii="Times New Roman" w:hAnsi="Times New Roman" w:cs="Times New Roman"/>
                <w:color w:val="000000" w:themeColor="text1"/>
                <w:sz w:val="24"/>
                <w:szCs w:val="24"/>
              </w:rPr>
              <w:t>BTLEd</w:t>
            </w:r>
            <w:proofErr w:type="spellEnd"/>
            <w:r w:rsidRPr="004A7B4A">
              <w:rPr>
                <w:rFonts w:ascii="Times New Roman" w:hAnsi="Times New Roman" w:cs="Times New Roman"/>
                <w:color w:val="000000" w:themeColor="text1"/>
                <w:sz w:val="24"/>
                <w:szCs w:val="24"/>
              </w:rPr>
              <w:t>-AFA</w:t>
            </w:r>
          </w:p>
        </w:tc>
        <w:tc>
          <w:tcPr>
            <w:tcW w:w="841" w:type="dxa"/>
          </w:tcPr>
          <w:p w14:paraId="30E27EE7" w14:textId="30BAD468"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18</w:t>
            </w:r>
          </w:p>
        </w:tc>
        <w:tc>
          <w:tcPr>
            <w:tcW w:w="814" w:type="dxa"/>
          </w:tcPr>
          <w:p w14:paraId="7C2B2E2B" w14:textId="0A735A99"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1F97280D" w14:textId="066757A2"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0D5C4BAD" w14:textId="77777777" w:rsidTr="001C04CE">
        <w:trPr>
          <w:trHeight w:val="278"/>
        </w:trPr>
        <w:tc>
          <w:tcPr>
            <w:tcW w:w="815" w:type="dxa"/>
          </w:tcPr>
          <w:p w14:paraId="5C47C5F7" w14:textId="28CFF1E8"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9</w:t>
            </w:r>
          </w:p>
        </w:tc>
        <w:tc>
          <w:tcPr>
            <w:tcW w:w="2220" w:type="dxa"/>
          </w:tcPr>
          <w:p w14:paraId="48828EF1" w14:textId="73CC6DA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Jaal</w:t>
            </w:r>
          </w:p>
        </w:tc>
        <w:tc>
          <w:tcPr>
            <w:tcW w:w="2024" w:type="dxa"/>
          </w:tcPr>
          <w:p w14:paraId="53B287D8" w14:textId="1B65737C"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proofErr w:type="spellStart"/>
            <w:r w:rsidRPr="004A7B4A">
              <w:rPr>
                <w:rFonts w:ascii="Times New Roman" w:hAnsi="Times New Roman" w:cs="Times New Roman"/>
                <w:color w:val="000000" w:themeColor="text1"/>
                <w:sz w:val="24"/>
                <w:szCs w:val="24"/>
              </w:rPr>
              <w:t>BSEd</w:t>
            </w:r>
            <w:proofErr w:type="spellEnd"/>
            <w:r w:rsidRPr="004A7B4A">
              <w:rPr>
                <w:rFonts w:ascii="Times New Roman" w:hAnsi="Times New Roman" w:cs="Times New Roman"/>
                <w:color w:val="000000" w:themeColor="text1"/>
                <w:sz w:val="24"/>
                <w:szCs w:val="24"/>
              </w:rPr>
              <w:t>-English</w:t>
            </w:r>
          </w:p>
        </w:tc>
        <w:tc>
          <w:tcPr>
            <w:tcW w:w="841" w:type="dxa"/>
          </w:tcPr>
          <w:p w14:paraId="03125093" w14:textId="5015755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19</w:t>
            </w:r>
          </w:p>
        </w:tc>
        <w:tc>
          <w:tcPr>
            <w:tcW w:w="814" w:type="dxa"/>
          </w:tcPr>
          <w:p w14:paraId="70A9C87A" w14:textId="62437DB2"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3C7CEF8D" w14:textId="5239EF81"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2CB47E05" w14:textId="77777777" w:rsidTr="001C04CE">
        <w:trPr>
          <w:trHeight w:val="278"/>
        </w:trPr>
        <w:tc>
          <w:tcPr>
            <w:tcW w:w="815" w:type="dxa"/>
          </w:tcPr>
          <w:p w14:paraId="11C4E9C0" w14:textId="4DB8022A"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10</w:t>
            </w:r>
          </w:p>
        </w:tc>
        <w:tc>
          <w:tcPr>
            <w:tcW w:w="2220" w:type="dxa"/>
          </w:tcPr>
          <w:p w14:paraId="4A481F46" w14:textId="5A0AEB61"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proofErr w:type="spellStart"/>
            <w:r w:rsidRPr="004A7B4A">
              <w:rPr>
                <w:rFonts w:ascii="Times New Roman" w:hAnsi="Times New Roman" w:cs="Times New Roman"/>
                <w:color w:val="000000" w:themeColor="text1"/>
                <w:sz w:val="24"/>
                <w:szCs w:val="24"/>
              </w:rPr>
              <w:t>Bonfra</w:t>
            </w:r>
            <w:proofErr w:type="spellEnd"/>
          </w:p>
        </w:tc>
        <w:tc>
          <w:tcPr>
            <w:tcW w:w="2024" w:type="dxa"/>
          </w:tcPr>
          <w:p w14:paraId="4BE4A6EE" w14:textId="77B9B654"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proofErr w:type="spellStart"/>
            <w:r w:rsidRPr="004A7B4A">
              <w:rPr>
                <w:rFonts w:ascii="Times New Roman" w:hAnsi="Times New Roman" w:cs="Times New Roman"/>
                <w:color w:val="000000" w:themeColor="text1"/>
                <w:sz w:val="24"/>
                <w:szCs w:val="24"/>
              </w:rPr>
              <w:t>BEEd</w:t>
            </w:r>
            <w:proofErr w:type="spellEnd"/>
          </w:p>
        </w:tc>
        <w:tc>
          <w:tcPr>
            <w:tcW w:w="841" w:type="dxa"/>
          </w:tcPr>
          <w:p w14:paraId="1DE4E4E2" w14:textId="21E676A2"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20</w:t>
            </w:r>
          </w:p>
        </w:tc>
        <w:tc>
          <w:tcPr>
            <w:tcW w:w="814" w:type="dxa"/>
          </w:tcPr>
          <w:p w14:paraId="712D8592" w14:textId="441364E6"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7A6A1936" w14:textId="633A3006"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566FFE76" w14:textId="77777777" w:rsidTr="001C04CE">
        <w:trPr>
          <w:trHeight w:val="278"/>
        </w:trPr>
        <w:tc>
          <w:tcPr>
            <w:tcW w:w="815" w:type="dxa"/>
          </w:tcPr>
          <w:p w14:paraId="0CE90B65" w14:textId="0F0E62F6"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11</w:t>
            </w:r>
          </w:p>
        </w:tc>
        <w:tc>
          <w:tcPr>
            <w:tcW w:w="2220" w:type="dxa"/>
          </w:tcPr>
          <w:p w14:paraId="6366C7FA" w14:textId="44A45F12"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Daji</w:t>
            </w:r>
          </w:p>
        </w:tc>
        <w:tc>
          <w:tcPr>
            <w:tcW w:w="2024" w:type="dxa"/>
          </w:tcPr>
          <w:p w14:paraId="7912BB0D" w14:textId="3DC3562D"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proofErr w:type="spellStart"/>
            <w:r w:rsidRPr="004A7B4A">
              <w:rPr>
                <w:rFonts w:ascii="Times New Roman" w:hAnsi="Times New Roman" w:cs="Times New Roman"/>
                <w:color w:val="000000" w:themeColor="text1"/>
                <w:sz w:val="24"/>
                <w:szCs w:val="24"/>
              </w:rPr>
              <w:t>BTLEd</w:t>
            </w:r>
            <w:proofErr w:type="spellEnd"/>
            <w:r w:rsidRPr="004A7B4A">
              <w:rPr>
                <w:rFonts w:ascii="Times New Roman" w:hAnsi="Times New Roman" w:cs="Times New Roman"/>
                <w:color w:val="000000" w:themeColor="text1"/>
                <w:sz w:val="24"/>
                <w:szCs w:val="24"/>
              </w:rPr>
              <w:t>-AFA</w:t>
            </w:r>
          </w:p>
        </w:tc>
        <w:tc>
          <w:tcPr>
            <w:tcW w:w="841" w:type="dxa"/>
          </w:tcPr>
          <w:p w14:paraId="5E9EDDE1" w14:textId="375FAF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18</w:t>
            </w:r>
          </w:p>
        </w:tc>
        <w:tc>
          <w:tcPr>
            <w:tcW w:w="814" w:type="dxa"/>
          </w:tcPr>
          <w:p w14:paraId="0FB2D9D5" w14:textId="6CDB3EB2"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F</w:t>
            </w:r>
          </w:p>
        </w:tc>
        <w:tc>
          <w:tcPr>
            <w:tcW w:w="1649" w:type="dxa"/>
          </w:tcPr>
          <w:p w14:paraId="5B5B72BB" w14:textId="32012408"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6625EDA4" w14:textId="77777777" w:rsidTr="001C04CE">
        <w:trPr>
          <w:trHeight w:val="278"/>
        </w:trPr>
        <w:tc>
          <w:tcPr>
            <w:tcW w:w="815" w:type="dxa"/>
          </w:tcPr>
          <w:p w14:paraId="73C9EA71" w14:textId="10F356E3"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12</w:t>
            </w:r>
          </w:p>
        </w:tc>
        <w:tc>
          <w:tcPr>
            <w:tcW w:w="2220" w:type="dxa"/>
          </w:tcPr>
          <w:p w14:paraId="2433D3BC" w14:textId="09BF5624"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proofErr w:type="spellStart"/>
            <w:r w:rsidRPr="004A7B4A">
              <w:rPr>
                <w:rFonts w:ascii="Times New Roman" w:hAnsi="Times New Roman" w:cs="Times New Roman"/>
                <w:color w:val="000000" w:themeColor="text1"/>
                <w:sz w:val="24"/>
                <w:szCs w:val="24"/>
              </w:rPr>
              <w:t>Mobo</w:t>
            </w:r>
            <w:proofErr w:type="spellEnd"/>
          </w:p>
        </w:tc>
        <w:tc>
          <w:tcPr>
            <w:tcW w:w="2024" w:type="dxa"/>
          </w:tcPr>
          <w:p w14:paraId="734E8F50" w14:textId="5870A02E"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proofErr w:type="spellStart"/>
            <w:r w:rsidRPr="004A7B4A">
              <w:rPr>
                <w:rFonts w:ascii="Times New Roman" w:hAnsi="Times New Roman" w:cs="Times New Roman"/>
                <w:color w:val="000000" w:themeColor="text1"/>
                <w:sz w:val="24"/>
                <w:szCs w:val="24"/>
              </w:rPr>
              <w:t>BSEd</w:t>
            </w:r>
            <w:proofErr w:type="spellEnd"/>
            <w:r w:rsidRPr="004A7B4A">
              <w:rPr>
                <w:rFonts w:ascii="Times New Roman" w:hAnsi="Times New Roman" w:cs="Times New Roman"/>
                <w:color w:val="000000" w:themeColor="text1"/>
                <w:sz w:val="24"/>
                <w:szCs w:val="24"/>
              </w:rPr>
              <w:t>-Science</w:t>
            </w:r>
          </w:p>
        </w:tc>
        <w:tc>
          <w:tcPr>
            <w:tcW w:w="841" w:type="dxa"/>
          </w:tcPr>
          <w:p w14:paraId="27DCDCDC" w14:textId="561B1860"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18</w:t>
            </w:r>
          </w:p>
        </w:tc>
        <w:tc>
          <w:tcPr>
            <w:tcW w:w="814" w:type="dxa"/>
          </w:tcPr>
          <w:p w14:paraId="5F11B3DE" w14:textId="68830A4B"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452E4495" w14:textId="062EBCE9"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3843CAF5" w14:textId="77777777" w:rsidTr="001C04CE">
        <w:trPr>
          <w:trHeight w:val="278"/>
        </w:trPr>
        <w:tc>
          <w:tcPr>
            <w:tcW w:w="815" w:type="dxa"/>
          </w:tcPr>
          <w:p w14:paraId="33627927" w14:textId="43E7BCCD"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13</w:t>
            </w:r>
          </w:p>
        </w:tc>
        <w:tc>
          <w:tcPr>
            <w:tcW w:w="2220" w:type="dxa"/>
          </w:tcPr>
          <w:p w14:paraId="63CEA103" w14:textId="28BE15F2"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Majel</w:t>
            </w:r>
          </w:p>
        </w:tc>
        <w:tc>
          <w:tcPr>
            <w:tcW w:w="2024" w:type="dxa"/>
          </w:tcPr>
          <w:p w14:paraId="0903D3C0" w14:textId="15EC1379"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proofErr w:type="spellStart"/>
            <w:r w:rsidRPr="004A7B4A">
              <w:rPr>
                <w:rFonts w:ascii="Times New Roman" w:hAnsi="Times New Roman" w:cs="Times New Roman"/>
                <w:color w:val="000000" w:themeColor="text1"/>
                <w:sz w:val="24"/>
                <w:szCs w:val="24"/>
              </w:rPr>
              <w:t>BSEd</w:t>
            </w:r>
            <w:proofErr w:type="spellEnd"/>
            <w:r w:rsidRPr="004A7B4A">
              <w:rPr>
                <w:rFonts w:ascii="Times New Roman" w:hAnsi="Times New Roman" w:cs="Times New Roman"/>
                <w:color w:val="000000" w:themeColor="text1"/>
                <w:sz w:val="24"/>
                <w:szCs w:val="24"/>
              </w:rPr>
              <w:t>-Math</w:t>
            </w:r>
          </w:p>
        </w:tc>
        <w:tc>
          <w:tcPr>
            <w:tcW w:w="841" w:type="dxa"/>
          </w:tcPr>
          <w:p w14:paraId="72DF1030" w14:textId="372B362B"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22</w:t>
            </w:r>
          </w:p>
        </w:tc>
        <w:tc>
          <w:tcPr>
            <w:tcW w:w="814" w:type="dxa"/>
          </w:tcPr>
          <w:p w14:paraId="727CFE6A" w14:textId="0FC9E2B8"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F</w:t>
            </w:r>
          </w:p>
        </w:tc>
        <w:tc>
          <w:tcPr>
            <w:tcW w:w="1649" w:type="dxa"/>
          </w:tcPr>
          <w:p w14:paraId="403927D0" w14:textId="4F0B712E"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4</w:t>
            </w:r>
          </w:p>
        </w:tc>
      </w:tr>
      <w:tr w:rsidR="00750F76" w:rsidRPr="004A7B4A" w14:paraId="55866AB5" w14:textId="77777777" w:rsidTr="001C04CE">
        <w:trPr>
          <w:trHeight w:val="278"/>
        </w:trPr>
        <w:tc>
          <w:tcPr>
            <w:tcW w:w="815" w:type="dxa"/>
          </w:tcPr>
          <w:p w14:paraId="3AB5DF72" w14:textId="5F4DB4B1"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14</w:t>
            </w:r>
          </w:p>
        </w:tc>
        <w:tc>
          <w:tcPr>
            <w:tcW w:w="2220" w:type="dxa"/>
          </w:tcPr>
          <w:p w14:paraId="6E49DC4C" w14:textId="75601CAF"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Jaze</w:t>
            </w:r>
            <w:r w:rsidR="00065D7F" w:rsidRPr="004A7B4A">
              <w:rPr>
                <w:rFonts w:ascii="Times New Roman" w:hAnsi="Times New Roman" w:cs="Times New Roman"/>
                <w:color w:val="000000" w:themeColor="text1"/>
                <w:sz w:val="24"/>
                <w:szCs w:val="24"/>
              </w:rPr>
              <w:t>n</w:t>
            </w:r>
          </w:p>
        </w:tc>
        <w:tc>
          <w:tcPr>
            <w:tcW w:w="2024" w:type="dxa"/>
          </w:tcPr>
          <w:p w14:paraId="22953F2E" w14:textId="7B781AB0"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proofErr w:type="spellStart"/>
            <w:r w:rsidRPr="004A7B4A">
              <w:rPr>
                <w:rFonts w:ascii="Times New Roman" w:hAnsi="Times New Roman" w:cs="Times New Roman"/>
                <w:color w:val="000000" w:themeColor="text1"/>
                <w:sz w:val="24"/>
                <w:szCs w:val="24"/>
              </w:rPr>
              <w:t>BTLEd</w:t>
            </w:r>
            <w:proofErr w:type="spellEnd"/>
            <w:r w:rsidRPr="004A7B4A">
              <w:rPr>
                <w:rFonts w:ascii="Times New Roman" w:hAnsi="Times New Roman" w:cs="Times New Roman"/>
                <w:color w:val="000000" w:themeColor="text1"/>
                <w:sz w:val="24"/>
                <w:szCs w:val="24"/>
              </w:rPr>
              <w:t>-AFA</w:t>
            </w:r>
          </w:p>
        </w:tc>
        <w:tc>
          <w:tcPr>
            <w:tcW w:w="841" w:type="dxa"/>
          </w:tcPr>
          <w:p w14:paraId="52A58D05" w14:textId="5249CA65"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18</w:t>
            </w:r>
          </w:p>
        </w:tc>
        <w:tc>
          <w:tcPr>
            <w:tcW w:w="814" w:type="dxa"/>
          </w:tcPr>
          <w:p w14:paraId="341FD355" w14:textId="73E66319"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F</w:t>
            </w:r>
          </w:p>
        </w:tc>
        <w:tc>
          <w:tcPr>
            <w:tcW w:w="1649" w:type="dxa"/>
          </w:tcPr>
          <w:p w14:paraId="43FB278A" w14:textId="6874B130"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5B4B7DF7" w14:textId="77777777" w:rsidTr="001C04CE">
        <w:trPr>
          <w:trHeight w:val="278"/>
        </w:trPr>
        <w:tc>
          <w:tcPr>
            <w:tcW w:w="815" w:type="dxa"/>
          </w:tcPr>
          <w:p w14:paraId="7447A9E4" w14:textId="114E2D30"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15</w:t>
            </w:r>
          </w:p>
        </w:tc>
        <w:tc>
          <w:tcPr>
            <w:tcW w:w="2220" w:type="dxa"/>
          </w:tcPr>
          <w:p w14:paraId="7C4D8B88" w14:textId="3D06493F"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Nano</w:t>
            </w:r>
          </w:p>
        </w:tc>
        <w:tc>
          <w:tcPr>
            <w:tcW w:w="2024" w:type="dxa"/>
          </w:tcPr>
          <w:p w14:paraId="45EEDC6A" w14:textId="27F4C872"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proofErr w:type="spellStart"/>
            <w:r w:rsidRPr="004A7B4A">
              <w:rPr>
                <w:rFonts w:ascii="Times New Roman" w:hAnsi="Times New Roman" w:cs="Times New Roman"/>
                <w:color w:val="000000" w:themeColor="text1"/>
                <w:sz w:val="24"/>
                <w:szCs w:val="24"/>
              </w:rPr>
              <w:t>BSEd</w:t>
            </w:r>
            <w:proofErr w:type="spellEnd"/>
            <w:r w:rsidRPr="004A7B4A">
              <w:rPr>
                <w:rFonts w:ascii="Times New Roman" w:hAnsi="Times New Roman" w:cs="Times New Roman"/>
                <w:color w:val="000000" w:themeColor="text1"/>
                <w:sz w:val="24"/>
                <w:szCs w:val="24"/>
              </w:rPr>
              <w:t>-Math</w:t>
            </w:r>
          </w:p>
        </w:tc>
        <w:tc>
          <w:tcPr>
            <w:tcW w:w="841" w:type="dxa"/>
          </w:tcPr>
          <w:p w14:paraId="778A99A8" w14:textId="318C355A"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20</w:t>
            </w:r>
          </w:p>
        </w:tc>
        <w:tc>
          <w:tcPr>
            <w:tcW w:w="814" w:type="dxa"/>
          </w:tcPr>
          <w:p w14:paraId="1B35C95B" w14:textId="6AE78E64"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797A5D54" w14:textId="504E8438"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3</w:t>
            </w:r>
          </w:p>
        </w:tc>
      </w:tr>
    </w:tbl>
    <w:p w14:paraId="183900D2" w14:textId="77777777" w:rsidR="004020E8" w:rsidRPr="004A7B4A" w:rsidRDefault="004020E8" w:rsidP="00F06779">
      <w:pPr>
        <w:spacing w:after="0"/>
        <w:ind w:left="238"/>
        <w:jc w:val="both"/>
        <w:rPr>
          <w:rFonts w:ascii="Times New Roman" w:hAnsi="Times New Roman" w:cs="Times New Roman"/>
          <w:b/>
          <w:bCs/>
          <w:sz w:val="24"/>
          <w:szCs w:val="24"/>
        </w:rPr>
      </w:pPr>
    </w:p>
    <w:p w14:paraId="145BA0FD" w14:textId="5619009A" w:rsidR="003E38E5" w:rsidRPr="004A7B4A" w:rsidRDefault="003E38E5" w:rsidP="00F06779">
      <w:pPr>
        <w:spacing w:after="0"/>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Data Collection</w:t>
      </w:r>
    </w:p>
    <w:p w14:paraId="372F6163" w14:textId="77777777" w:rsidR="00011A2F" w:rsidRPr="004A7B4A" w:rsidRDefault="00011A2F" w:rsidP="00F06779">
      <w:pPr>
        <w:spacing w:after="0"/>
        <w:ind w:left="238"/>
        <w:jc w:val="both"/>
        <w:rPr>
          <w:rFonts w:ascii="Times New Roman" w:hAnsi="Times New Roman" w:cs="Times New Roman"/>
          <w:b/>
          <w:bCs/>
          <w:sz w:val="24"/>
          <w:szCs w:val="24"/>
        </w:rPr>
      </w:pPr>
    </w:p>
    <w:p w14:paraId="78F41CD8" w14:textId="7768EF99" w:rsidR="00712134" w:rsidRPr="004A7B4A" w:rsidRDefault="00712134"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To explore students' attitudes toward learning mathematics in a dynamic learning setting, the researcher employed a systematic approach to data collection. The process began with the development of an interview guide specifically designed to elicit students' perceptions and experiences in varied learning environments. This guide was reviewed and validated by five expert evaluators. Their feedback</w:t>
      </w:r>
      <w:r w:rsidR="00FF6A20"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consisting of suggestions for clarity, relevance, and appropriateness</w:t>
      </w:r>
      <w:r w:rsidR="00FF6A20"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was thoroughly considered and integrated into the final version of the instrument.</w:t>
      </w:r>
    </w:p>
    <w:p w14:paraId="0A5E962D"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rPr>
      </w:pPr>
    </w:p>
    <w:p w14:paraId="49538C98" w14:textId="03405600" w:rsidR="00712134" w:rsidRPr="004A7B4A" w:rsidRDefault="00712134"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Prior to data collection, ethical approval and administrative consent were secured from the college president, ensuring compliance with institutional protocols. Informed consent was also obtained from all participants. They were briefed about the purpose of the study, assured of confidentiality, and informed that interviews would be audio-recorded to ensure accuracy in data transcription. Although the interview guide was written in English, participants were allowed to request clarification in either English or the vernacular, and they were also encouraged to express their responses in the language they felt most comfortable using. This linguistic </w:t>
      </w:r>
      <w:r w:rsidRPr="004A7B4A">
        <w:rPr>
          <w:rFonts w:ascii="Times New Roman" w:eastAsia="Times New Roman" w:hAnsi="Times New Roman" w:cs="Times New Roman"/>
          <w:sz w:val="24"/>
          <w:szCs w:val="24"/>
        </w:rPr>
        <w:lastRenderedPageBreak/>
        <w:t>flexibility was vital in facilitating open, genuine responses and encouraging students to articulate their attitudes freely.</w:t>
      </w:r>
    </w:p>
    <w:p w14:paraId="6A0E8447"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rPr>
      </w:pPr>
    </w:p>
    <w:p w14:paraId="25458D52" w14:textId="77777777" w:rsidR="00712134" w:rsidRPr="004A7B4A" w:rsidRDefault="00712134"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Individual interviews were conducted face-to-face on campus, scheduled during students’ free time such as breaks or after class hours. Each session began with a brief orientation and lasted approximately 25 to 60 minutes, depending on the depth of the responses. The interviews aimed to uncover patterns in students’ affective, behavioral, and cognitive attitudes toward learning mathematics, especially within the shifting contexts brought about by events like the pandemic, transitions to online learning, and other academic disruptions.</w:t>
      </w:r>
    </w:p>
    <w:p w14:paraId="600A0911"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rPr>
      </w:pPr>
    </w:p>
    <w:p w14:paraId="784B3E0E" w14:textId="77777777" w:rsidR="00712134" w:rsidRPr="004A7B4A" w:rsidRDefault="00712134"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To complement the individual interviews, a focus group discussion (FGD) was also held, involving a separate group of fifteen students. This collective session provided additional insights into shared and contrasting experiences regarding mathematics learning in various settings. The same set of core questions was used in both the interviews and the FGD to ensure consistency and enable comparative thematic analysis. Emphasis was placed on understanding how students perceived mathematics instruction, engaged with mathematical content, and responded to challenges across both traditional and evolving educational contexts.</w:t>
      </w:r>
    </w:p>
    <w:p w14:paraId="1890037E"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rPr>
      </w:pPr>
    </w:p>
    <w:p w14:paraId="01D1A5A6" w14:textId="77777777" w:rsidR="003E38E5" w:rsidRPr="004A7B4A" w:rsidRDefault="003E38E5" w:rsidP="00F06779">
      <w:pPr>
        <w:spacing w:after="0"/>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Data Analysis</w:t>
      </w:r>
    </w:p>
    <w:p w14:paraId="40049005" w14:textId="77777777" w:rsidR="00011A2F" w:rsidRPr="004A7B4A" w:rsidRDefault="00011A2F" w:rsidP="00F06779">
      <w:pPr>
        <w:spacing w:after="0"/>
        <w:ind w:left="238"/>
        <w:jc w:val="both"/>
        <w:rPr>
          <w:rFonts w:ascii="Times New Roman" w:hAnsi="Times New Roman" w:cs="Times New Roman"/>
          <w:b/>
          <w:bCs/>
          <w:sz w:val="24"/>
          <w:szCs w:val="24"/>
        </w:rPr>
      </w:pPr>
    </w:p>
    <w:p w14:paraId="4D001C46" w14:textId="5345FE7E" w:rsidR="00B6580E" w:rsidRPr="004A7B4A" w:rsidRDefault="00B6580E" w:rsidP="00F06779">
      <w:pPr>
        <w:pStyle w:val="NormalWeb"/>
        <w:spacing w:before="0" w:beforeAutospacing="0" w:after="0" w:afterAutospacing="0"/>
        <w:ind w:left="238"/>
        <w:jc w:val="both"/>
      </w:pPr>
      <w:r w:rsidRPr="004A7B4A">
        <w:t xml:space="preserve">The analysis of data from individual interviews (IDIs) and focus group discussions (FGDs) followed Braun and Clarke’s (2006) six-phase framework for thematic analysis. This approach provided both flexibility and rigor, enabling the researcher to explore patterns in the data while staying true to the voices of the participants. All interviews were first transcribed in the local language to preserve </w:t>
      </w:r>
      <w:r w:rsidR="00FF6A20" w:rsidRPr="004A7B4A">
        <w:t>authenticity and</w:t>
      </w:r>
      <w:r w:rsidRPr="004A7B4A">
        <w:t xml:space="preserve"> then translated into English to retain meaning while making the content accessible for coding and interpretation. This careful process allowed a deeper connection with the participants’ stories and made it possible to capture the nuances of their lived experiences.</w:t>
      </w:r>
    </w:p>
    <w:p w14:paraId="27CB02D6" w14:textId="77777777" w:rsidR="00011A2F" w:rsidRPr="004A7B4A" w:rsidRDefault="00011A2F" w:rsidP="00F06779">
      <w:pPr>
        <w:pStyle w:val="NormalWeb"/>
        <w:spacing w:before="0" w:beforeAutospacing="0" w:after="0" w:afterAutospacing="0"/>
        <w:ind w:left="238"/>
        <w:jc w:val="both"/>
      </w:pPr>
    </w:p>
    <w:p w14:paraId="0A25B553"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Phase 1: Familiarization with the data involved multiple rounds of transcript reading, enabling the researcher to immerse in the content and gain a holistic understanding of the emotional tones, contextual narratives, and behavioral patterns described by participants. During this stage, initial reflections and preliminary observations were noted to guide the next steps of analysis.</w:t>
      </w:r>
    </w:p>
    <w:p w14:paraId="63A9EAFF"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p>
    <w:p w14:paraId="08A91B2C" w14:textId="4CD11A42" w:rsidR="00DF42E3" w:rsidRPr="004A7B4A" w:rsidRDefault="00DF42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Phase 2: Generating initial codes was conducted through a systematic coding of meaningful features of the data across the entire dataset. This involved identifying repeated ideas, phrases, and expressions related to students’ attitudes, emotional responses, learning behaviors, instructional challenges, and experiences across various modes of delivery</w:t>
      </w:r>
      <w:r w:rsidR="002843B7"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face-to-face, online, and blended settings. Codes were both semantic and latent, capturing explicit content and underlying assumptions.</w:t>
      </w:r>
    </w:p>
    <w:p w14:paraId="5A8414FD"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p>
    <w:p w14:paraId="18261BFC"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Phase 3: Searching for themes involved organizing the initial codes into broader thematic categories. Codes were clustered based on conceptual similarities and their relevance to the research focus on mathematics engagement. Emerging themes reflected affective responses (e.g., anxiety, confidence), behavioral dispositions (e.g., class participation, avoidance), and cognitive dimensions (e.g., perceptions of difficulty, problem-solving strategies), aligning with the ABC (Affective–Behavioral–Cognitive) model of attitude.</w:t>
      </w:r>
    </w:p>
    <w:p w14:paraId="090C3F82"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p>
    <w:p w14:paraId="35ED111B" w14:textId="7258FB32" w:rsidR="00DF42E3" w:rsidRPr="004A7B4A" w:rsidRDefault="00DF42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Phase 4: Reviewing themes </w:t>
      </w:r>
      <w:proofErr w:type="gramStart"/>
      <w:r w:rsidRPr="004A7B4A">
        <w:rPr>
          <w:rFonts w:ascii="Times New Roman" w:eastAsia="Times New Roman" w:hAnsi="Times New Roman" w:cs="Times New Roman"/>
          <w:sz w:val="24"/>
          <w:szCs w:val="24"/>
        </w:rPr>
        <w:t>required</w:t>
      </w:r>
      <w:proofErr w:type="gramEnd"/>
      <w:r w:rsidRPr="004A7B4A">
        <w:rPr>
          <w:rFonts w:ascii="Times New Roman" w:eastAsia="Times New Roman" w:hAnsi="Times New Roman" w:cs="Times New Roman"/>
          <w:sz w:val="24"/>
          <w:szCs w:val="24"/>
        </w:rPr>
        <w:t xml:space="preserve"> a rigorous re-examination of the coded data in relation to the identified themes. At this stage, some themes were refined, merged, or discarded to ensure internal coherence and conceptual clarity. Themes were checked against the full data to ensure they accurately reflected the breadth and depth of participants’ experiences.</w:t>
      </w:r>
    </w:p>
    <w:p w14:paraId="62B5F918"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p>
    <w:p w14:paraId="7A220813"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Phase 5: Defining and naming themes entailed clearly articulating the essence of each theme and its contribution to understanding students’ engagement with mathematics. Descriptions were refined to highlight key psychological and pedagogical insights, such as how emotional challenges, peer influences, teacher support, and access to technology shaped students’ learning attitudes during both stable and disrupted academic periods, including the COVID-19 pandemic.</w:t>
      </w:r>
    </w:p>
    <w:p w14:paraId="069CB27F"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p>
    <w:p w14:paraId="447873B3"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Phase 6: Producing the report involved synthesizing the thematic insights into a coherent narrative that captured the complex interplay between student attitudes and their learning environments. Rich, illustrative quotes were incorporated to substantiate each theme and preserve the authenticity of participants’ voices. This final write-up not only addressed the research questions but also situated the findings within broader theoretical and educational contexts.</w:t>
      </w:r>
    </w:p>
    <w:p w14:paraId="5BFB7164"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p>
    <w:p w14:paraId="583A0196"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To enhance the credibility of the analysis, a process of member checking was conducted, wherein selected participants reviewed the preliminary themes and confirmed that the interpretations accurately represented their perspectives. This validation step reinforced the trustworthiness and ethical rigor of the study (Lincoln &amp; Guba, 1985). Through Braun and Clarke’s (2006) framework, the study uncovered how shifts in instructional delivery, emotional landscapes, and external crises influenced students’ evolving attitudes toward learning mathematics.</w:t>
      </w:r>
    </w:p>
    <w:p w14:paraId="0CF59F3C" w14:textId="77777777" w:rsidR="0074723A" w:rsidRPr="004A7B4A" w:rsidRDefault="0074723A" w:rsidP="00F06779">
      <w:pPr>
        <w:spacing w:after="0" w:line="240" w:lineRule="auto"/>
        <w:ind w:left="238"/>
        <w:jc w:val="both"/>
        <w:rPr>
          <w:rFonts w:ascii="Times New Roman" w:eastAsia="Times New Roman" w:hAnsi="Times New Roman" w:cs="Times New Roman"/>
          <w:sz w:val="24"/>
          <w:szCs w:val="24"/>
        </w:rPr>
      </w:pPr>
    </w:p>
    <w:p w14:paraId="103E89F5" w14:textId="227F736B" w:rsidR="002A083C" w:rsidRPr="004A7B4A" w:rsidRDefault="002A083C"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Establishing Trustworthiness</w:t>
      </w:r>
    </w:p>
    <w:p w14:paraId="0E7BA19F" w14:textId="77777777" w:rsidR="002365D2" w:rsidRPr="004A7B4A" w:rsidRDefault="002365D2" w:rsidP="00F06779">
      <w:pPr>
        <w:pStyle w:val="NoSpacing"/>
        <w:ind w:left="238"/>
        <w:jc w:val="both"/>
        <w:rPr>
          <w:rFonts w:ascii="Times New Roman" w:hAnsi="Times New Roman" w:cs="Times New Roman"/>
          <w:b/>
          <w:bCs/>
          <w:sz w:val="24"/>
          <w:szCs w:val="24"/>
        </w:rPr>
      </w:pPr>
    </w:p>
    <w:p w14:paraId="20E16963" w14:textId="77777777" w:rsidR="002365D2" w:rsidRPr="004A7B4A" w:rsidRDefault="002365D2" w:rsidP="00F06779">
      <w:pPr>
        <w:pStyle w:val="NoSpacing"/>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To ensure that the findings authentically reflected </w:t>
      </w:r>
      <w:proofErr w:type="gramStart"/>
      <w:r w:rsidRPr="004A7B4A">
        <w:rPr>
          <w:rFonts w:ascii="Times New Roman" w:eastAsia="Times New Roman" w:hAnsi="Times New Roman" w:cs="Times New Roman"/>
          <w:sz w:val="24"/>
          <w:szCs w:val="24"/>
        </w:rPr>
        <w:t>students’</w:t>
      </w:r>
      <w:proofErr w:type="gramEnd"/>
      <w:r w:rsidRPr="004A7B4A">
        <w:rPr>
          <w:rFonts w:ascii="Times New Roman" w:eastAsia="Times New Roman" w:hAnsi="Times New Roman" w:cs="Times New Roman"/>
          <w:sz w:val="24"/>
          <w:szCs w:val="24"/>
        </w:rPr>
        <w:t xml:space="preserve"> lived experiences in mathematics classroom activities across dynamic learning environments, this study rigorously adhered to the principles of trustworthiness as outlined by Lincoln and Guba (1985). Trustworthiness was established through the integration of four essential criteria: credibility, transferability, dependability, and confirmability, each contributing to the methodological integrity and rigor of the qualitative inquiry.</w:t>
      </w:r>
    </w:p>
    <w:p w14:paraId="0294AD3F" w14:textId="77777777" w:rsidR="002365D2" w:rsidRPr="004A7B4A" w:rsidRDefault="002365D2" w:rsidP="00F06779">
      <w:pPr>
        <w:pStyle w:val="NoSpacing"/>
        <w:ind w:left="238"/>
        <w:jc w:val="both"/>
        <w:rPr>
          <w:rFonts w:ascii="Times New Roman" w:eastAsia="Times New Roman" w:hAnsi="Times New Roman" w:cs="Times New Roman"/>
          <w:sz w:val="24"/>
          <w:szCs w:val="24"/>
        </w:rPr>
      </w:pPr>
    </w:p>
    <w:p w14:paraId="69BAFF90" w14:textId="5DF0D996" w:rsidR="002365D2" w:rsidRPr="004A7B4A" w:rsidRDefault="002365D2" w:rsidP="00F06779">
      <w:pPr>
        <w:pStyle w:val="NoSpacing"/>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Credibility was strengthened through prolonged engagement and methodological transparency. The use of both individual interviews (IDIs) and focus group discussions (FGDs) enabled data triangulation, thereby enriching the depth and accuracy of insights into students’ affective, behavioral, and cognitive attitudes toward mathematics. Additionally, member checking was employed, allowing selected participants to review and validate the thematic interpretations to ensure that the findings accurately represented their experiences and perspectives.</w:t>
      </w:r>
      <w:r w:rsidR="00FE02C3"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Transferability was achieved by providing thick, contextual descriptions of the instructional environments</w:t>
      </w:r>
      <w:r w:rsidR="007236AD"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face-to-face, online, and blended</w:t>
      </w:r>
      <w:r w:rsidR="007236AD"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as well as detailed participant profiles. These rich descriptions allow readers and future researchers to evaluate the applicability of the findings to similar educational settings, particularly those affected by instructional disruptions due to crises such as pandemics or natural disasters.</w:t>
      </w:r>
    </w:p>
    <w:p w14:paraId="45EB3258" w14:textId="77777777" w:rsidR="002365D2" w:rsidRPr="004A7B4A" w:rsidRDefault="002365D2" w:rsidP="00F06779">
      <w:pPr>
        <w:pStyle w:val="NoSpacing"/>
        <w:ind w:left="238"/>
        <w:jc w:val="both"/>
        <w:rPr>
          <w:rFonts w:ascii="Times New Roman" w:eastAsia="Times New Roman" w:hAnsi="Times New Roman" w:cs="Times New Roman"/>
          <w:sz w:val="24"/>
          <w:szCs w:val="24"/>
        </w:rPr>
      </w:pPr>
    </w:p>
    <w:p w14:paraId="3D2E2138" w14:textId="2648D11C" w:rsidR="00D20896" w:rsidRPr="004A7B4A" w:rsidRDefault="002365D2" w:rsidP="00F06779">
      <w:pPr>
        <w:pStyle w:val="NoSpacing"/>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Dependability was established through thorough documentation of the research process, including the development and expert validation of the interview guide, transcription protocols, and iterative coding procedures following Braun and Clarke’s (2006) thematic analysis framework. Confirmability was upheld through ongoing reflexivity and systematic safeguards to minimize researcher bias. The researcher bracketed personal assumptions and ensured that data interpretations were grounded in verbatim quotations and emergent themes rather than preconceived notions. The use of audio-recorded interviews captured participants’ exact words, tone, and emphasis, thereby minimizing interpretive distortion during transcription and analysis (</w:t>
      </w:r>
      <w:r w:rsidR="00C75AF7" w:rsidRPr="004A7B4A">
        <w:rPr>
          <w:rFonts w:ascii="Times New Roman" w:hAnsi="Times New Roman" w:cs="Times New Roman"/>
          <w:color w:val="222222"/>
          <w:sz w:val="24"/>
          <w:szCs w:val="24"/>
          <w:shd w:val="clear" w:color="auto" w:fill="FFFFFF"/>
        </w:rPr>
        <w:t>McMullin</w:t>
      </w:r>
      <w:r w:rsidRPr="004A7B4A">
        <w:rPr>
          <w:rFonts w:ascii="Times New Roman" w:eastAsia="Times New Roman" w:hAnsi="Times New Roman" w:cs="Times New Roman"/>
          <w:sz w:val="24"/>
          <w:szCs w:val="24"/>
        </w:rPr>
        <w:t xml:space="preserve">, </w:t>
      </w:r>
      <w:r w:rsidR="00C75AF7" w:rsidRPr="004A7B4A">
        <w:rPr>
          <w:rFonts w:ascii="Times New Roman" w:eastAsia="Times New Roman" w:hAnsi="Times New Roman" w:cs="Times New Roman"/>
          <w:sz w:val="24"/>
          <w:szCs w:val="24"/>
        </w:rPr>
        <w:t>2023</w:t>
      </w:r>
      <w:r w:rsidR="007236AD" w:rsidRPr="004A7B4A">
        <w:rPr>
          <w:rFonts w:ascii="Times New Roman" w:eastAsia="Times New Roman" w:hAnsi="Times New Roman" w:cs="Times New Roman"/>
          <w:sz w:val="24"/>
          <w:szCs w:val="24"/>
        </w:rPr>
        <w:t>; Cañeda et al., 2024</w:t>
      </w:r>
      <w:r w:rsidR="00C75AF7" w:rsidRPr="004A7B4A">
        <w:rPr>
          <w:rFonts w:ascii="Times New Roman" w:eastAsia="Times New Roman" w:hAnsi="Times New Roman" w:cs="Times New Roman"/>
          <w:sz w:val="24"/>
          <w:szCs w:val="24"/>
        </w:rPr>
        <w:t>)</w:t>
      </w:r>
      <w:r w:rsidRPr="004A7B4A">
        <w:rPr>
          <w:rFonts w:ascii="Times New Roman" w:eastAsia="Times New Roman" w:hAnsi="Times New Roman" w:cs="Times New Roman"/>
          <w:sz w:val="24"/>
          <w:szCs w:val="24"/>
        </w:rPr>
        <w:t>. These recordings provided a verifiable evidence trail, enhancing the authenticity of the responses (</w:t>
      </w:r>
      <w:r w:rsidR="00D20896" w:rsidRPr="004A7B4A">
        <w:rPr>
          <w:rFonts w:ascii="Times New Roman" w:hAnsi="Times New Roman" w:cs="Times New Roman"/>
          <w:sz w:val="24"/>
          <w:szCs w:val="24"/>
        </w:rPr>
        <w:t>Ahmed</w:t>
      </w:r>
      <w:r w:rsidRPr="004A7B4A">
        <w:rPr>
          <w:rFonts w:ascii="Times New Roman" w:eastAsia="Times New Roman" w:hAnsi="Times New Roman" w:cs="Times New Roman"/>
          <w:sz w:val="24"/>
          <w:szCs w:val="24"/>
        </w:rPr>
        <w:t>, 20</w:t>
      </w:r>
      <w:r w:rsidR="00D20896" w:rsidRPr="004A7B4A">
        <w:rPr>
          <w:rFonts w:ascii="Times New Roman" w:eastAsia="Times New Roman" w:hAnsi="Times New Roman" w:cs="Times New Roman"/>
          <w:sz w:val="24"/>
          <w:szCs w:val="24"/>
        </w:rPr>
        <w:t>24</w:t>
      </w:r>
      <w:r w:rsidRPr="004A7B4A">
        <w:rPr>
          <w:rFonts w:ascii="Times New Roman" w:eastAsia="Times New Roman" w:hAnsi="Times New Roman" w:cs="Times New Roman"/>
          <w:sz w:val="24"/>
          <w:szCs w:val="24"/>
        </w:rPr>
        <w:t>).</w:t>
      </w:r>
    </w:p>
    <w:p w14:paraId="28DED7D5" w14:textId="074306A0" w:rsidR="00D20896" w:rsidRPr="004A7B4A" w:rsidRDefault="00D20896" w:rsidP="00F06779">
      <w:pPr>
        <w:pStyle w:val="NoSpacing"/>
        <w:ind w:left="238"/>
        <w:jc w:val="both"/>
        <w:rPr>
          <w:rFonts w:ascii="Times New Roman" w:eastAsia="Times New Roman" w:hAnsi="Times New Roman" w:cs="Times New Roman"/>
          <w:sz w:val="24"/>
          <w:szCs w:val="24"/>
        </w:rPr>
      </w:pPr>
    </w:p>
    <w:p w14:paraId="110B41AB" w14:textId="0BFE4C94" w:rsidR="002365D2" w:rsidRPr="004A7B4A" w:rsidRDefault="002365D2" w:rsidP="00F06779">
      <w:pPr>
        <w:pStyle w:val="NoSpacing"/>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Additionally, reflective journaling was employed throughout the data collection process to document the researcher’s thoughts, potential biases, and evolving interpretations. This practice supported the separation of participants’ voices from researcher influence, promoting neutrality and analytical clarity (</w:t>
      </w:r>
      <w:r w:rsidR="009220C6" w:rsidRPr="004A7B4A">
        <w:rPr>
          <w:rFonts w:ascii="Times New Roman" w:hAnsi="Times New Roman" w:cs="Times New Roman"/>
          <w:color w:val="1B1B1B"/>
          <w:sz w:val="24"/>
          <w:szCs w:val="24"/>
          <w:shd w:val="clear" w:color="auto" w:fill="FFFFFF"/>
        </w:rPr>
        <w:t>Peddle, 2022</w:t>
      </w:r>
      <w:r w:rsidRPr="004A7B4A">
        <w:rPr>
          <w:rFonts w:ascii="Times New Roman" w:eastAsia="Times New Roman" w:hAnsi="Times New Roman" w:cs="Times New Roman"/>
          <w:sz w:val="24"/>
          <w:szCs w:val="24"/>
        </w:rPr>
        <w:t>). The inclusion of member checking further bolstered confirmability, as participants were invited to review their transcripts or thematic summaries, allowing them to confirm or clarify their input and ensuring that their experiences were faithfully represented (</w:t>
      </w:r>
      <w:r w:rsidR="00F95086" w:rsidRPr="004A7B4A">
        <w:rPr>
          <w:rFonts w:ascii="Times New Roman" w:hAnsi="Times New Roman" w:cs="Times New Roman"/>
          <w:sz w:val="24"/>
          <w:szCs w:val="24"/>
        </w:rPr>
        <w:t>McLeod, 2024</w:t>
      </w:r>
      <w:r w:rsidRPr="004A7B4A">
        <w:rPr>
          <w:rFonts w:ascii="Times New Roman" w:eastAsia="Times New Roman" w:hAnsi="Times New Roman" w:cs="Times New Roman"/>
          <w:sz w:val="24"/>
          <w:szCs w:val="24"/>
        </w:rPr>
        <w:t>).</w:t>
      </w:r>
    </w:p>
    <w:p w14:paraId="77E2E97A" w14:textId="4CC9DC51" w:rsidR="002365D2" w:rsidRPr="004A7B4A" w:rsidRDefault="002365D2" w:rsidP="00F06779">
      <w:pPr>
        <w:pStyle w:val="NoSpacing"/>
        <w:ind w:left="238"/>
        <w:jc w:val="both"/>
        <w:rPr>
          <w:rFonts w:ascii="Times New Roman" w:eastAsia="Times New Roman" w:hAnsi="Times New Roman" w:cs="Times New Roman"/>
          <w:sz w:val="24"/>
          <w:szCs w:val="24"/>
        </w:rPr>
      </w:pPr>
    </w:p>
    <w:p w14:paraId="0691B838" w14:textId="77777777" w:rsidR="002365D2" w:rsidRPr="004A7B4A" w:rsidRDefault="002365D2" w:rsidP="00F06779">
      <w:pPr>
        <w:pStyle w:val="NoSpacing"/>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Collectively, these strategies ensured that the study presented a credible, transferable, dependable, and confirmable account of students’ attitudes toward learning mathematics amid evolving and often disrupted educational contexts.</w:t>
      </w:r>
    </w:p>
    <w:p w14:paraId="35BAA70D" w14:textId="77777777" w:rsidR="002365D2" w:rsidRPr="004A7B4A" w:rsidRDefault="002365D2" w:rsidP="00F06779">
      <w:pPr>
        <w:pStyle w:val="NoSpacing"/>
        <w:ind w:left="238"/>
        <w:jc w:val="both"/>
        <w:rPr>
          <w:rFonts w:ascii="Times New Roman" w:eastAsia="Times New Roman" w:hAnsi="Times New Roman" w:cs="Times New Roman"/>
          <w:sz w:val="24"/>
          <w:szCs w:val="24"/>
        </w:rPr>
      </w:pPr>
    </w:p>
    <w:p w14:paraId="42381397" w14:textId="1C6DA75F" w:rsidR="00E96C0B" w:rsidRPr="004A7B4A" w:rsidRDefault="00E96C0B"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lastRenderedPageBreak/>
        <w:t>Ethical Considerations</w:t>
      </w:r>
    </w:p>
    <w:p w14:paraId="560D64BE" w14:textId="77777777" w:rsidR="00011A2F" w:rsidRPr="004A7B4A" w:rsidRDefault="00011A2F" w:rsidP="00F06779">
      <w:pPr>
        <w:pStyle w:val="NoSpacing"/>
        <w:ind w:left="238"/>
        <w:jc w:val="both"/>
        <w:rPr>
          <w:rFonts w:ascii="Times New Roman" w:hAnsi="Times New Roman" w:cs="Times New Roman"/>
          <w:b/>
          <w:bCs/>
          <w:sz w:val="24"/>
          <w:szCs w:val="24"/>
        </w:rPr>
      </w:pPr>
    </w:p>
    <w:p w14:paraId="6A151DB9" w14:textId="61322C30" w:rsidR="00213184" w:rsidRPr="004A7B4A" w:rsidRDefault="00213184" w:rsidP="00F06779">
      <w:pPr>
        <w:spacing w:after="0"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In exploring students’ attitudes toward learning mathematics across dynamic instructional contexts</w:t>
      </w:r>
      <w:r w:rsidR="002D741B" w:rsidRPr="004A7B4A">
        <w:rPr>
          <w:rFonts w:ascii="Times New Roman" w:eastAsia="Times New Roman" w:hAnsi="Times New Roman" w:cs="Times New Roman"/>
          <w:sz w:val="24"/>
          <w:szCs w:val="24"/>
          <w:lang w:val="en-PH" w:eastAsia="en-PH"/>
        </w:rPr>
        <w:t xml:space="preserve">, </w:t>
      </w:r>
      <w:r w:rsidRPr="004A7B4A">
        <w:rPr>
          <w:rFonts w:ascii="Times New Roman" w:eastAsia="Times New Roman" w:hAnsi="Times New Roman" w:cs="Times New Roman"/>
          <w:sz w:val="24"/>
          <w:szCs w:val="24"/>
          <w:lang w:val="en-PH" w:eastAsia="en-PH"/>
        </w:rPr>
        <w:t>face-to-face, online, and blended environments</w:t>
      </w:r>
      <w:r w:rsidR="002D741B" w:rsidRPr="004A7B4A">
        <w:rPr>
          <w:rFonts w:ascii="Times New Roman" w:eastAsia="Times New Roman" w:hAnsi="Times New Roman" w:cs="Times New Roman"/>
          <w:sz w:val="24"/>
          <w:szCs w:val="24"/>
          <w:lang w:val="en-PH" w:eastAsia="en-PH"/>
        </w:rPr>
        <w:t xml:space="preserve">, </w:t>
      </w:r>
      <w:r w:rsidRPr="004A7B4A">
        <w:rPr>
          <w:rFonts w:ascii="Times New Roman" w:eastAsia="Times New Roman" w:hAnsi="Times New Roman" w:cs="Times New Roman"/>
          <w:sz w:val="24"/>
          <w:szCs w:val="24"/>
          <w:lang w:val="en-PH" w:eastAsia="en-PH"/>
        </w:rPr>
        <w:t xml:space="preserve">this study upheld the highest ethical standards to ensure the integrity of the research process and the well-being of all participants. Given the personal and potentially sensitive nature of the data, which involved reflections on academic performance, emotional experiences, and learning challenges, the study was grounded in the ethical principles of informed consent, voluntary participation, confidentiality, and non-maleficence (Creswell &amp; Poth, 2018; </w:t>
      </w:r>
      <w:proofErr w:type="spellStart"/>
      <w:r w:rsidR="000511CE" w:rsidRPr="004A7B4A">
        <w:rPr>
          <w:rFonts w:ascii="Times New Roman" w:hAnsi="Times New Roman" w:cs="Times New Roman"/>
          <w:color w:val="333333"/>
          <w:sz w:val="24"/>
          <w:szCs w:val="24"/>
          <w:shd w:val="clear" w:color="auto" w:fill="FFFFFF"/>
        </w:rPr>
        <w:t>Taquette</w:t>
      </w:r>
      <w:proofErr w:type="spellEnd"/>
      <w:r w:rsidR="000511CE" w:rsidRPr="004A7B4A">
        <w:rPr>
          <w:rFonts w:ascii="Times New Roman" w:hAnsi="Times New Roman" w:cs="Times New Roman"/>
          <w:color w:val="333333"/>
          <w:sz w:val="24"/>
          <w:szCs w:val="24"/>
          <w:shd w:val="clear" w:color="auto" w:fill="FFFFFF"/>
        </w:rPr>
        <w:t xml:space="preserve"> &amp; Borges da Matta Souza, 2022</w:t>
      </w:r>
      <w:r w:rsidRPr="004A7B4A">
        <w:rPr>
          <w:rFonts w:ascii="Times New Roman" w:eastAsia="Times New Roman" w:hAnsi="Times New Roman" w:cs="Times New Roman"/>
          <w:sz w:val="24"/>
          <w:szCs w:val="24"/>
          <w:lang w:val="en-PH" w:eastAsia="en-PH"/>
        </w:rPr>
        <w:t>).</w:t>
      </w:r>
    </w:p>
    <w:p w14:paraId="133FD0CD"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lang w:val="en-PH" w:eastAsia="en-PH"/>
        </w:rPr>
      </w:pPr>
    </w:p>
    <w:p w14:paraId="47222842" w14:textId="0E0679C3" w:rsidR="00213184" w:rsidRPr="004A7B4A" w:rsidRDefault="00213184" w:rsidP="00F06779">
      <w:pPr>
        <w:spacing w:after="0"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Participation was entirely voluntary, and each student received a clear, accessible explanation of the study’s goals, data collection procedures, and how their responses would be used. The researcher ensured that informed consent was secured through consent forms written in a language comprehensible to all participants. It was emphasized that participants could withdraw at any point without consequence to their academic standing or institutional relationship, thus reinforcing their autonomy and right to self-determination (</w:t>
      </w:r>
      <w:r w:rsidR="00CD4482" w:rsidRPr="004A7B4A">
        <w:rPr>
          <w:rFonts w:ascii="Times New Roman" w:eastAsia="Times New Roman" w:hAnsi="Times New Roman" w:cs="Times New Roman"/>
          <w:sz w:val="24"/>
          <w:szCs w:val="24"/>
          <w:lang w:val="en-PH" w:eastAsia="en-PH"/>
        </w:rPr>
        <w:t xml:space="preserve">Xu et al., 2020; </w:t>
      </w:r>
      <w:r w:rsidRPr="004A7B4A">
        <w:rPr>
          <w:rFonts w:ascii="Times New Roman" w:eastAsia="Times New Roman" w:hAnsi="Times New Roman" w:cs="Times New Roman"/>
          <w:sz w:val="24"/>
          <w:szCs w:val="24"/>
          <w:lang w:val="en-PH" w:eastAsia="en-PH"/>
        </w:rPr>
        <w:t>Tracy, 2020).</w:t>
      </w:r>
    </w:p>
    <w:p w14:paraId="349DB3A8"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lang w:val="en-PH" w:eastAsia="en-PH"/>
        </w:rPr>
      </w:pPr>
    </w:p>
    <w:p w14:paraId="046F54F4" w14:textId="1AFE28BF" w:rsidR="00213184" w:rsidRPr="004A7B4A" w:rsidRDefault="00213184" w:rsidP="00F06779">
      <w:pPr>
        <w:spacing w:after="0"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To maintain confidentiality and protect participants’ identities, all identifying information was removed from transcripts, and pseudonyms were used throughout the analysis and reporting process. Digital recordings and transcriptions were stored securely and accessed solely by the principal researcher. Recognizing the sensitivity of topics such as mathematics anxiety, low academic confidence, and disengagement</w:t>
      </w:r>
      <w:r w:rsidR="00FF6A20" w:rsidRPr="004A7B4A">
        <w:rPr>
          <w:rFonts w:ascii="Times New Roman" w:eastAsia="Times New Roman" w:hAnsi="Times New Roman" w:cs="Times New Roman"/>
          <w:sz w:val="24"/>
          <w:szCs w:val="24"/>
          <w:lang w:val="en-PH" w:eastAsia="en-PH"/>
        </w:rPr>
        <w:t xml:space="preserve">, </w:t>
      </w:r>
      <w:r w:rsidRPr="004A7B4A">
        <w:rPr>
          <w:rFonts w:ascii="Times New Roman" w:eastAsia="Times New Roman" w:hAnsi="Times New Roman" w:cs="Times New Roman"/>
          <w:sz w:val="24"/>
          <w:szCs w:val="24"/>
          <w:lang w:val="en-PH" w:eastAsia="en-PH"/>
        </w:rPr>
        <w:t>particularly in remote or disrupted learning settings</w:t>
      </w:r>
      <w:r w:rsidR="00FF6A20" w:rsidRPr="004A7B4A">
        <w:rPr>
          <w:rFonts w:ascii="Times New Roman" w:eastAsia="Times New Roman" w:hAnsi="Times New Roman" w:cs="Times New Roman"/>
          <w:sz w:val="24"/>
          <w:szCs w:val="24"/>
          <w:lang w:val="en-PH" w:eastAsia="en-PH"/>
        </w:rPr>
        <w:t xml:space="preserve">, </w:t>
      </w:r>
      <w:r w:rsidRPr="004A7B4A">
        <w:rPr>
          <w:rFonts w:ascii="Times New Roman" w:eastAsia="Times New Roman" w:hAnsi="Times New Roman" w:cs="Times New Roman"/>
          <w:sz w:val="24"/>
          <w:szCs w:val="24"/>
          <w:lang w:val="en-PH" w:eastAsia="en-PH"/>
        </w:rPr>
        <w:t xml:space="preserve">interviews were conducted in safe, supportive environments. </w:t>
      </w:r>
      <w:r w:rsidR="00094BDC" w:rsidRPr="004A7B4A">
        <w:rPr>
          <w:rFonts w:ascii="Times New Roman" w:eastAsia="Times New Roman" w:hAnsi="Times New Roman" w:cs="Times New Roman"/>
          <w:sz w:val="24"/>
          <w:szCs w:val="24"/>
          <w:lang w:val="en-PH" w:eastAsia="en-PH"/>
        </w:rPr>
        <w:t>During</w:t>
      </w:r>
      <w:r w:rsidRPr="004A7B4A">
        <w:rPr>
          <w:rFonts w:ascii="Times New Roman" w:eastAsia="Times New Roman" w:hAnsi="Times New Roman" w:cs="Times New Roman"/>
          <w:sz w:val="24"/>
          <w:szCs w:val="24"/>
          <w:lang w:val="en-PH" w:eastAsia="en-PH"/>
        </w:rPr>
        <w:t xml:space="preserve"> in-person </w:t>
      </w:r>
      <w:r w:rsidR="00094BDC" w:rsidRPr="004A7B4A">
        <w:rPr>
          <w:rFonts w:ascii="Times New Roman" w:eastAsia="Times New Roman" w:hAnsi="Times New Roman" w:cs="Times New Roman"/>
          <w:sz w:val="24"/>
          <w:szCs w:val="24"/>
          <w:lang w:val="en-PH" w:eastAsia="en-PH"/>
        </w:rPr>
        <w:t>interview</w:t>
      </w:r>
      <w:r w:rsidRPr="004A7B4A">
        <w:rPr>
          <w:rFonts w:ascii="Times New Roman" w:eastAsia="Times New Roman" w:hAnsi="Times New Roman" w:cs="Times New Roman"/>
          <w:sz w:val="24"/>
          <w:szCs w:val="24"/>
          <w:lang w:val="en-PH" w:eastAsia="en-PH"/>
        </w:rPr>
        <w:t>, each setting was designed to foster trust and psychological safety, and the researcher remained attentive to signs of emotional discomfort, pausing or ending sessions as needed to prioritize participants’ well-being (</w:t>
      </w:r>
      <w:r w:rsidR="005469F5" w:rsidRPr="004A7B4A">
        <w:rPr>
          <w:rFonts w:ascii="Times New Roman" w:hAnsi="Times New Roman" w:cs="Times New Roman"/>
          <w:sz w:val="24"/>
          <w:szCs w:val="24"/>
        </w:rPr>
        <w:t>Pascale et al., 2022; Subedi, 2025</w:t>
      </w:r>
      <w:r w:rsidRPr="004A7B4A">
        <w:rPr>
          <w:rFonts w:ascii="Times New Roman" w:eastAsia="Times New Roman" w:hAnsi="Times New Roman" w:cs="Times New Roman"/>
          <w:sz w:val="24"/>
          <w:szCs w:val="24"/>
          <w:lang w:val="en-PH" w:eastAsia="en-PH"/>
        </w:rPr>
        <w:t>).</w:t>
      </w:r>
    </w:p>
    <w:p w14:paraId="64AF7678"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lang w:val="en-PH" w:eastAsia="en-PH"/>
        </w:rPr>
      </w:pPr>
    </w:p>
    <w:p w14:paraId="3E1ADA79" w14:textId="36AEA99B" w:rsidR="00213184" w:rsidRPr="004A7B4A" w:rsidRDefault="00213184" w:rsidP="00F06779">
      <w:pPr>
        <w:spacing w:after="0"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Further reinforcing the study’s ethical rigor, member checking was implemented during the data validation stage. Selected participants were invited to review and confirm thematic interpretations derived from their responses. This process not only ensured the authenticity and accuracy of the data but also fostered a sense of collaborative ownership over the research outcomes (Birt et al., 2016</w:t>
      </w:r>
      <w:r w:rsidR="00F95086" w:rsidRPr="004A7B4A">
        <w:rPr>
          <w:rFonts w:ascii="Times New Roman" w:eastAsia="Times New Roman" w:hAnsi="Times New Roman" w:cs="Times New Roman"/>
          <w:sz w:val="24"/>
          <w:szCs w:val="24"/>
          <w:lang w:val="en-PH" w:eastAsia="en-PH"/>
        </w:rPr>
        <w:t xml:space="preserve">; </w:t>
      </w:r>
      <w:r w:rsidR="00F95086" w:rsidRPr="004A7B4A">
        <w:rPr>
          <w:rFonts w:ascii="Times New Roman" w:hAnsi="Times New Roman" w:cs="Times New Roman"/>
          <w:sz w:val="24"/>
          <w:szCs w:val="24"/>
        </w:rPr>
        <w:t>McLeod, 2024</w:t>
      </w:r>
      <w:r w:rsidRPr="004A7B4A">
        <w:rPr>
          <w:rFonts w:ascii="Times New Roman" w:eastAsia="Times New Roman" w:hAnsi="Times New Roman" w:cs="Times New Roman"/>
          <w:sz w:val="24"/>
          <w:szCs w:val="24"/>
          <w:lang w:val="en-PH" w:eastAsia="en-PH"/>
        </w:rPr>
        <w:t>).</w:t>
      </w:r>
    </w:p>
    <w:p w14:paraId="5733BFEA"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lang w:val="en-PH" w:eastAsia="en-PH"/>
        </w:rPr>
      </w:pPr>
    </w:p>
    <w:p w14:paraId="273C38E3" w14:textId="1DAD14C0" w:rsidR="00213184" w:rsidRPr="004A7B4A" w:rsidRDefault="00213184" w:rsidP="003A791B">
      <w:pPr>
        <w:pStyle w:val="NoSpacing"/>
        <w:ind w:left="284"/>
        <w:jc w:val="both"/>
        <w:rPr>
          <w:rFonts w:ascii="Times New Roman" w:hAnsi="Times New Roman" w:cs="Times New Roman"/>
          <w:sz w:val="24"/>
          <w:szCs w:val="24"/>
        </w:rPr>
      </w:pPr>
      <w:r w:rsidRPr="004A7B4A">
        <w:rPr>
          <w:rFonts w:ascii="Times New Roman" w:hAnsi="Times New Roman" w:cs="Times New Roman"/>
          <w:sz w:val="24"/>
          <w:szCs w:val="24"/>
        </w:rPr>
        <w:t>Institutional approval was formally obtained from the College President, and coordination with department heads ensured that recruitment practices were ethical and free from coercion. Through these measures, the research</w:t>
      </w:r>
      <w:r w:rsidR="000B0195" w:rsidRPr="004A7B4A">
        <w:rPr>
          <w:rFonts w:ascii="Times New Roman" w:hAnsi="Times New Roman" w:cs="Times New Roman"/>
          <w:sz w:val="24"/>
          <w:szCs w:val="24"/>
        </w:rPr>
        <w:t xml:space="preserve"> </w:t>
      </w:r>
      <w:r w:rsidRPr="004A7B4A">
        <w:rPr>
          <w:rFonts w:ascii="Times New Roman" w:hAnsi="Times New Roman" w:cs="Times New Roman"/>
          <w:sz w:val="24"/>
          <w:szCs w:val="24"/>
        </w:rPr>
        <w:t>maintained transparency, protected participant rights, and promoted equitable participation. By embedding ethical considerations throughout the research process, the study created a respectful and empowering space for students to share their experiences with confidence and dignity</w:t>
      </w:r>
      <w:r w:rsidR="00FF6A20" w:rsidRPr="004A7B4A">
        <w:rPr>
          <w:rFonts w:ascii="Times New Roman" w:hAnsi="Times New Roman" w:cs="Times New Roman"/>
          <w:sz w:val="24"/>
          <w:szCs w:val="24"/>
        </w:rPr>
        <w:t xml:space="preserve">, </w:t>
      </w:r>
      <w:r w:rsidRPr="004A7B4A">
        <w:rPr>
          <w:rFonts w:ascii="Times New Roman" w:hAnsi="Times New Roman" w:cs="Times New Roman"/>
          <w:sz w:val="24"/>
          <w:szCs w:val="24"/>
        </w:rPr>
        <w:t>principles that are essential in qualitative research focused on learner voice and educational equity.</w:t>
      </w:r>
    </w:p>
    <w:p w14:paraId="69E62B18"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lang w:val="en-PH" w:eastAsia="en-PH"/>
        </w:rPr>
      </w:pPr>
    </w:p>
    <w:p w14:paraId="53A78483" w14:textId="10339A44" w:rsidR="00B335CD" w:rsidRPr="004A7B4A" w:rsidRDefault="00B335CD" w:rsidP="00F06779">
      <w:pPr>
        <w:spacing w:after="0" w:line="240" w:lineRule="auto"/>
        <w:ind w:left="238"/>
        <w:jc w:val="both"/>
        <w:rPr>
          <w:rFonts w:ascii="Times New Roman" w:eastAsia="Times New Roman" w:hAnsi="Times New Roman" w:cs="Times New Roman"/>
          <w:b/>
          <w:bCs/>
          <w:sz w:val="28"/>
          <w:szCs w:val="28"/>
        </w:rPr>
      </w:pPr>
      <w:r w:rsidRPr="004A7B4A">
        <w:rPr>
          <w:rFonts w:ascii="Times New Roman" w:eastAsia="Times New Roman" w:hAnsi="Times New Roman" w:cs="Times New Roman"/>
          <w:b/>
          <w:bCs/>
          <w:sz w:val="28"/>
          <w:szCs w:val="28"/>
        </w:rPr>
        <w:t>RESULT AND DISCUSSION</w:t>
      </w:r>
    </w:p>
    <w:p w14:paraId="653379B6" w14:textId="77777777" w:rsidR="00011A2F" w:rsidRPr="004A7B4A" w:rsidRDefault="00011A2F" w:rsidP="00F06779">
      <w:pPr>
        <w:spacing w:after="0" w:line="240" w:lineRule="auto"/>
        <w:ind w:left="238"/>
        <w:jc w:val="both"/>
        <w:rPr>
          <w:rFonts w:ascii="Times New Roman" w:eastAsia="Times New Roman" w:hAnsi="Times New Roman" w:cs="Times New Roman"/>
          <w:b/>
          <w:bCs/>
          <w:sz w:val="24"/>
          <w:szCs w:val="24"/>
        </w:rPr>
      </w:pPr>
    </w:p>
    <w:p w14:paraId="5C9370ED" w14:textId="60165C51" w:rsidR="00B335CD" w:rsidRPr="004A7B4A" w:rsidRDefault="00B335CD"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Based on the thematic analysis of the IDI and FGD, shown in Table </w:t>
      </w:r>
      <w:r w:rsidR="00480CF8" w:rsidRPr="004A7B4A">
        <w:rPr>
          <w:rFonts w:ascii="Times New Roman" w:eastAsia="Times New Roman" w:hAnsi="Times New Roman" w:cs="Times New Roman"/>
          <w:sz w:val="24"/>
          <w:szCs w:val="24"/>
        </w:rPr>
        <w:t>3</w:t>
      </w:r>
      <w:r w:rsidRPr="004A7B4A">
        <w:rPr>
          <w:rFonts w:ascii="Times New Roman" w:eastAsia="Times New Roman" w:hAnsi="Times New Roman" w:cs="Times New Roman"/>
          <w:sz w:val="24"/>
          <w:szCs w:val="24"/>
        </w:rPr>
        <w:t xml:space="preserve"> is the breakdown of the main theme, </w:t>
      </w:r>
      <w:r w:rsidR="00592264" w:rsidRPr="004A7B4A">
        <w:rPr>
          <w:rFonts w:ascii="Times New Roman" w:eastAsia="Times New Roman" w:hAnsi="Times New Roman" w:cs="Times New Roman"/>
          <w:sz w:val="24"/>
          <w:szCs w:val="24"/>
        </w:rPr>
        <w:t xml:space="preserve">and </w:t>
      </w:r>
      <w:r w:rsidRPr="004A7B4A">
        <w:rPr>
          <w:rFonts w:ascii="Times New Roman" w:eastAsia="Times New Roman" w:hAnsi="Times New Roman" w:cs="Times New Roman"/>
          <w:sz w:val="24"/>
          <w:szCs w:val="24"/>
        </w:rPr>
        <w:t>subthemes.</w:t>
      </w:r>
    </w:p>
    <w:p w14:paraId="6F65CE76" w14:textId="77777777" w:rsidR="0032250D" w:rsidRPr="004A7B4A" w:rsidRDefault="0032250D" w:rsidP="00F06779">
      <w:pPr>
        <w:spacing w:after="0" w:line="240" w:lineRule="auto"/>
        <w:ind w:left="238"/>
        <w:jc w:val="both"/>
        <w:rPr>
          <w:rFonts w:ascii="Times New Roman" w:eastAsia="Times New Roman" w:hAnsi="Times New Roman" w:cs="Times New Roman"/>
          <w:sz w:val="24"/>
          <w:szCs w:val="24"/>
        </w:rPr>
      </w:pPr>
    </w:p>
    <w:p w14:paraId="05DEA438" w14:textId="77777777" w:rsidR="000C66AB" w:rsidRPr="004A7B4A" w:rsidRDefault="000C66AB" w:rsidP="00F06779">
      <w:pPr>
        <w:spacing w:after="0" w:line="240" w:lineRule="auto"/>
        <w:ind w:left="238"/>
        <w:jc w:val="both"/>
        <w:rPr>
          <w:rFonts w:ascii="Times New Roman" w:eastAsia="Times New Roman" w:hAnsi="Times New Roman" w:cs="Times New Roman"/>
          <w:b/>
          <w:bCs/>
          <w:sz w:val="24"/>
          <w:szCs w:val="24"/>
        </w:rPr>
      </w:pPr>
    </w:p>
    <w:p w14:paraId="45538115" w14:textId="7BE7C788" w:rsidR="00C22822" w:rsidRPr="004A7B4A" w:rsidRDefault="0032250D" w:rsidP="00F06779">
      <w:pPr>
        <w:spacing w:after="0" w:line="240" w:lineRule="auto"/>
        <w:ind w:left="238"/>
        <w:jc w:val="both"/>
        <w:rPr>
          <w:rFonts w:ascii="Times New Roman" w:eastAsia="Times New Roman" w:hAnsi="Times New Roman" w:cs="Times New Roman"/>
          <w:b/>
          <w:bCs/>
          <w:sz w:val="24"/>
          <w:szCs w:val="24"/>
        </w:rPr>
      </w:pPr>
      <w:r w:rsidRPr="004A7B4A">
        <w:rPr>
          <w:rFonts w:ascii="Times New Roman" w:eastAsia="Times New Roman" w:hAnsi="Times New Roman" w:cs="Times New Roman"/>
          <w:b/>
          <w:bCs/>
          <w:sz w:val="24"/>
          <w:szCs w:val="24"/>
        </w:rPr>
        <w:t xml:space="preserve"> Table </w:t>
      </w:r>
      <w:r w:rsidR="000D204E" w:rsidRPr="004A7B4A">
        <w:rPr>
          <w:rFonts w:ascii="Times New Roman" w:eastAsia="Times New Roman" w:hAnsi="Times New Roman" w:cs="Times New Roman"/>
          <w:b/>
          <w:bCs/>
          <w:sz w:val="24"/>
          <w:szCs w:val="24"/>
        </w:rPr>
        <w:t>3</w:t>
      </w:r>
      <w:r w:rsidR="001C04CE" w:rsidRPr="004A7B4A">
        <w:rPr>
          <w:rFonts w:ascii="Times New Roman" w:eastAsia="Times New Roman" w:hAnsi="Times New Roman" w:cs="Times New Roman"/>
          <w:b/>
          <w:bCs/>
          <w:sz w:val="24"/>
          <w:szCs w:val="24"/>
        </w:rPr>
        <w:t xml:space="preserve">. </w:t>
      </w:r>
      <w:r w:rsidR="00A51FC1" w:rsidRPr="004A7B4A">
        <w:rPr>
          <w:rFonts w:ascii="Times New Roman" w:eastAsia="Times New Roman" w:hAnsi="Times New Roman" w:cs="Times New Roman"/>
          <w:b/>
          <w:bCs/>
          <w:sz w:val="24"/>
          <w:szCs w:val="24"/>
        </w:rPr>
        <w:t>Breakdown of the Main Theme and Subthemes</w:t>
      </w:r>
    </w:p>
    <w:tbl>
      <w:tblPr>
        <w:tblStyle w:val="TableGrid"/>
        <w:tblW w:w="8325" w:type="dxa"/>
        <w:tblInd w:w="279" w:type="dxa"/>
        <w:tblLook w:val="04A0" w:firstRow="1" w:lastRow="0" w:firstColumn="1" w:lastColumn="0" w:noHBand="0" w:noVBand="1"/>
      </w:tblPr>
      <w:tblGrid>
        <w:gridCol w:w="8325"/>
      </w:tblGrid>
      <w:tr w:rsidR="00B335CD" w:rsidRPr="004A7B4A" w14:paraId="7FD85CE1" w14:textId="77777777" w:rsidTr="001C04CE">
        <w:trPr>
          <w:trHeight w:val="275"/>
        </w:trPr>
        <w:tc>
          <w:tcPr>
            <w:tcW w:w="8325" w:type="dxa"/>
          </w:tcPr>
          <w:p w14:paraId="15BC9CCF" w14:textId="0FB011CB" w:rsidR="00B335CD" w:rsidRPr="004A7B4A" w:rsidRDefault="00592264" w:rsidP="00F06779">
            <w:pPr>
              <w:spacing w:before="100" w:beforeAutospacing="1" w:after="100" w:afterAutospacing="1"/>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Theme</w:t>
            </w:r>
            <w:r w:rsidR="00B335CD" w:rsidRPr="004A7B4A">
              <w:rPr>
                <w:rFonts w:ascii="Times New Roman" w:hAnsi="Times New Roman" w:cs="Times New Roman"/>
                <w:sz w:val="24"/>
                <w:szCs w:val="24"/>
              </w:rPr>
              <w:t xml:space="preserve"> 1</w:t>
            </w:r>
            <w:proofErr w:type="gramStart"/>
            <w:r w:rsidR="00B335CD" w:rsidRPr="004A7B4A">
              <w:rPr>
                <w:rFonts w:ascii="Times New Roman" w:hAnsi="Times New Roman" w:cs="Times New Roman"/>
                <w:sz w:val="24"/>
                <w:szCs w:val="24"/>
              </w:rPr>
              <w:t xml:space="preserve">: </w:t>
            </w:r>
            <w:r w:rsidR="007B28DC" w:rsidRPr="004A7B4A">
              <w:rPr>
                <w:rFonts w:ascii="Times New Roman" w:hAnsi="Times New Roman" w:cs="Times New Roman"/>
                <w:sz w:val="24"/>
                <w:szCs w:val="24"/>
              </w:rPr>
              <w:t xml:space="preserve"> Learning</w:t>
            </w:r>
            <w:proofErr w:type="gramEnd"/>
            <w:r w:rsidR="007B28DC" w:rsidRPr="004A7B4A">
              <w:rPr>
                <w:rFonts w:ascii="Times New Roman" w:hAnsi="Times New Roman" w:cs="Times New Roman"/>
                <w:sz w:val="24"/>
                <w:szCs w:val="24"/>
              </w:rPr>
              <w:t xml:space="preserve"> Environment Dynamics</w:t>
            </w:r>
          </w:p>
        </w:tc>
      </w:tr>
      <w:tr w:rsidR="00B335CD" w:rsidRPr="004A7B4A" w14:paraId="2A874D3A" w14:textId="77777777" w:rsidTr="001C04CE">
        <w:trPr>
          <w:trHeight w:val="275"/>
        </w:trPr>
        <w:tc>
          <w:tcPr>
            <w:tcW w:w="8325" w:type="dxa"/>
          </w:tcPr>
          <w:p w14:paraId="2A701FF9" w14:textId="534BD088" w:rsidR="00B335CD" w:rsidRPr="004A7B4A" w:rsidRDefault="007B28DC" w:rsidP="00A51FC1">
            <w:pPr>
              <w:spacing w:before="100" w:beforeAutospacing="1" w:after="100" w:afterAutospacing="1"/>
              <w:ind w:left="455"/>
              <w:jc w:val="both"/>
              <w:rPr>
                <w:rFonts w:ascii="Times New Roman" w:eastAsia="Times New Roman" w:hAnsi="Times New Roman" w:cs="Times New Roman"/>
                <w:sz w:val="24"/>
                <w:szCs w:val="24"/>
              </w:rPr>
            </w:pPr>
            <w:r w:rsidRPr="004A7B4A">
              <w:rPr>
                <w:rFonts w:ascii="Times New Roman" w:hAnsi="Times New Roman" w:cs="Times New Roman"/>
                <w:sz w:val="24"/>
                <w:szCs w:val="24"/>
              </w:rPr>
              <w:t>Sub-Theme</w:t>
            </w:r>
            <w:r w:rsidR="00B335CD" w:rsidRPr="004A7B4A">
              <w:rPr>
                <w:rFonts w:ascii="Times New Roman" w:hAnsi="Times New Roman" w:cs="Times New Roman"/>
                <w:sz w:val="24"/>
                <w:szCs w:val="24"/>
              </w:rPr>
              <w:t xml:space="preserve"> </w:t>
            </w:r>
            <w:r w:rsidRPr="004A7B4A">
              <w:rPr>
                <w:rFonts w:ascii="Times New Roman" w:hAnsi="Times New Roman" w:cs="Times New Roman"/>
                <w:sz w:val="24"/>
                <w:szCs w:val="24"/>
              </w:rPr>
              <w:t>1.1 Face-to-Face Learning Preferences</w:t>
            </w:r>
          </w:p>
        </w:tc>
      </w:tr>
      <w:tr w:rsidR="00B335CD" w:rsidRPr="004A7B4A" w14:paraId="5FD57057" w14:textId="77777777" w:rsidTr="001C04CE">
        <w:trPr>
          <w:trHeight w:val="275"/>
        </w:trPr>
        <w:tc>
          <w:tcPr>
            <w:tcW w:w="8325" w:type="dxa"/>
          </w:tcPr>
          <w:p w14:paraId="23AA85A2" w14:textId="636DAFBC" w:rsidR="00B335CD" w:rsidRPr="004A7B4A" w:rsidRDefault="007B28DC" w:rsidP="00A51FC1">
            <w:pPr>
              <w:spacing w:before="100" w:beforeAutospacing="1" w:after="100" w:afterAutospacing="1"/>
              <w:ind w:left="455"/>
              <w:jc w:val="both"/>
              <w:rPr>
                <w:rFonts w:ascii="Times New Roman" w:eastAsia="Times New Roman" w:hAnsi="Times New Roman" w:cs="Times New Roman"/>
                <w:sz w:val="24"/>
                <w:szCs w:val="24"/>
              </w:rPr>
            </w:pPr>
            <w:r w:rsidRPr="004A7B4A">
              <w:rPr>
                <w:rFonts w:ascii="Times New Roman" w:hAnsi="Times New Roman" w:cs="Times New Roman"/>
                <w:sz w:val="24"/>
                <w:szCs w:val="24"/>
              </w:rPr>
              <w:t>Sub-Theme</w:t>
            </w:r>
            <w:r w:rsidR="00B335CD" w:rsidRPr="004A7B4A">
              <w:rPr>
                <w:rFonts w:ascii="Times New Roman" w:hAnsi="Times New Roman" w:cs="Times New Roman"/>
                <w:sz w:val="24"/>
                <w:szCs w:val="24"/>
              </w:rPr>
              <w:t xml:space="preserve"> </w:t>
            </w:r>
            <w:r w:rsidRPr="004A7B4A">
              <w:rPr>
                <w:rFonts w:ascii="Times New Roman" w:hAnsi="Times New Roman" w:cs="Times New Roman"/>
                <w:sz w:val="24"/>
                <w:szCs w:val="24"/>
              </w:rPr>
              <w:t>1.2 Online Learning</w:t>
            </w:r>
          </w:p>
        </w:tc>
      </w:tr>
      <w:tr w:rsidR="00B335CD" w:rsidRPr="004A7B4A" w14:paraId="30760BD1" w14:textId="77777777" w:rsidTr="001C04CE">
        <w:trPr>
          <w:trHeight w:val="275"/>
        </w:trPr>
        <w:tc>
          <w:tcPr>
            <w:tcW w:w="8325" w:type="dxa"/>
          </w:tcPr>
          <w:p w14:paraId="1A43A74E" w14:textId="70BEFEC2" w:rsidR="00B335CD" w:rsidRPr="004A7B4A" w:rsidRDefault="007B28DC" w:rsidP="00A51FC1">
            <w:pPr>
              <w:spacing w:before="100" w:beforeAutospacing="1" w:after="100" w:afterAutospacing="1"/>
              <w:ind w:left="455"/>
              <w:jc w:val="both"/>
              <w:rPr>
                <w:rFonts w:ascii="Times New Roman" w:hAnsi="Times New Roman" w:cs="Times New Roman"/>
                <w:sz w:val="24"/>
                <w:szCs w:val="24"/>
              </w:rPr>
            </w:pPr>
            <w:r w:rsidRPr="004A7B4A">
              <w:rPr>
                <w:rFonts w:ascii="Times New Roman" w:hAnsi="Times New Roman" w:cs="Times New Roman"/>
                <w:sz w:val="24"/>
                <w:szCs w:val="24"/>
              </w:rPr>
              <w:t>Sub-Theme</w:t>
            </w:r>
            <w:r w:rsidR="00B335CD" w:rsidRPr="004A7B4A">
              <w:rPr>
                <w:rFonts w:ascii="Times New Roman" w:hAnsi="Times New Roman" w:cs="Times New Roman"/>
                <w:sz w:val="24"/>
                <w:szCs w:val="24"/>
              </w:rPr>
              <w:t xml:space="preserve"> </w:t>
            </w:r>
            <w:r w:rsidRPr="004A7B4A">
              <w:rPr>
                <w:rFonts w:ascii="Times New Roman" w:hAnsi="Times New Roman" w:cs="Times New Roman"/>
                <w:sz w:val="24"/>
                <w:szCs w:val="24"/>
              </w:rPr>
              <w:t xml:space="preserve">1.3 Technology Integration </w:t>
            </w:r>
          </w:p>
        </w:tc>
      </w:tr>
      <w:tr w:rsidR="00B335CD" w:rsidRPr="004A7B4A" w14:paraId="6DA5328F" w14:textId="77777777" w:rsidTr="001C04CE">
        <w:trPr>
          <w:trHeight w:val="275"/>
        </w:trPr>
        <w:tc>
          <w:tcPr>
            <w:tcW w:w="8325" w:type="dxa"/>
          </w:tcPr>
          <w:p w14:paraId="3BB01868" w14:textId="214F91CE" w:rsidR="00B335CD" w:rsidRPr="004A7B4A" w:rsidRDefault="007B28DC" w:rsidP="00A51FC1">
            <w:pPr>
              <w:spacing w:before="100" w:beforeAutospacing="1" w:after="100" w:afterAutospacing="1"/>
              <w:ind w:left="171"/>
              <w:jc w:val="both"/>
              <w:rPr>
                <w:rFonts w:ascii="Times New Roman" w:eastAsia="Times New Roman" w:hAnsi="Times New Roman" w:cs="Times New Roman"/>
                <w:sz w:val="24"/>
                <w:szCs w:val="24"/>
              </w:rPr>
            </w:pPr>
            <w:r w:rsidRPr="004A7B4A">
              <w:rPr>
                <w:rFonts w:ascii="Times New Roman" w:hAnsi="Times New Roman" w:cs="Times New Roman"/>
                <w:sz w:val="24"/>
                <w:szCs w:val="24"/>
              </w:rPr>
              <w:t xml:space="preserve"> Theme</w:t>
            </w:r>
            <w:r w:rsidR="00B335CD" w:rsidRPr="004A7B4A">
              <w:rPr>
                <w:rFonts w:ascii="Times New Roman" w:hAnsi="Times New Roman" w:cs="Times New Roman"/>
                <w:sz w:val="24"/>
                <w:szCs w:val="24"/>
              </w:rPr>
              <w:t xml:space="preserve"> 2</w:t>
            </w:r>
            <w:proofErr w:type="gramStart"/>
            <w:r w:rsidR="00B335CD" w:rsidRPr="004A7B4A">
              <w:rPr>
                <w:rFonts w:ascii="Times New Roman" w:hAnsi="Times New Roman" w:cs="Times New Roman"/>
                <w:sz w:val="24"/>
                <w:szCs w:val="24"/>
              </w:rPr>
              <w:t xml:space="preserve">: </w:t>
            </w:r>
            <w:r w:rsidRPr="004A7B4A">
              <w:rPr>
                <w:rFonts w:ascii="Times New Roman" w:hAnsi="Times New Roman" w:cs="Times New Roman"/>
                <w:sz w:val="24"/>
                <w:szCs w:val="24"/>
              </w:rPr>
              <w:t xml:space="preserve"> Influential</w:t>
            </w:r>
            <w:proofErr w:type="gramEnd"/>
            <w:r w:rsidRPr="004A7B4A">
              <w:rPr>
                <w:rFonts w:ascii="Times New Roman" w:hAnsi="Times New Roman" w:cs="Times New Roman"/>
                <w:sz w:val="24"/>
                <w:szCs w:val="24"/>
              </w:rPr>
              <w:t xml:space="preserve"> Factors in Mathematical Attitudes</w:t>
            </w:r>
          </w:p>
        </w:tc>
      </w:tr>
      <w:tr w:rsidR="00B335CD" w:rsidRPr="004A7B4A" w14:paraId="698A6FC0" w14:textId="77777777" w:rsidTr="001C04CE">
        <w:trPr>
          <w:trHeight w:val="275"/>
        </w:trPr>
        <w:tc>
          <w:tcPr>
            <w:tcW w:w="8325" w:type="dxa"/>
          </w:tcPr>
          <w:p w14:paraId="75917D8D" w14:textId="2D09280D" w:rsidR="00B335CD" w:rsidRPr="004A7B4A" w:rsidRDefault="007B28DC" w:rsidP="00A51FC1">
            <w:pPr>
              <w:tabs>
                <w:tab w:val="left" w:pos="1830"/>
              </w:tabs>
              <w:spacing w:before="100" w:beforeAutospacing="1" w:after="100" w:afterAutospacing="1"/>
              <w:ind w:left="238" w:firstLine="217"/>
              <w:jc w:val="both"/>
              <w:rPr>
                <w:rFonts w:ascii="Times New Roman" w:eastAsia="Times New Roman" w:hAnsi="Times New Roman" w:cs="Times New Roman"/>
                <w:sz w:val="24"/>
                <w:szCs w:val="24"/>
              </w:rPr>
            </w:pPr>
            <w:r w:rsidRPr="004A7B4A">
              <w:rPr>
                <w:rFonts w:ascii="Times New Roman" w:hAnsi="Times New Roman" w:cs="Times New Roman"/>
                <w:sz w:val="24"/>
                <w:szCs w:val="24"/>
              </w:rPr>
              <w:t>Sub-Theme 2.1 Environment (School</w:t>
            </w:r>
            <w:r w:rsidR="001339D9" w:rsidRPr="004A7B4A">
              <w:rPr>
                <w:rFonts w:ascii="Times New Roman" w:hAnsi="Times New Roman" w:cs="Times New Roman"/>
                <w:sz w:val="24"/>
                <w:szCs w:val="24"/>
              </w:rPr>
              <w:t xml:space="preserve"> and</w:t>
            </w:r>
            <w:r w:rsidRPr="004A7B4A">
              <w:rPr>
                <w:rFonts w:ascii="Times New Roman" w:hAnsi="Times New Roman" w:cs="Times New Roman"/>
                <w:sz w:val="24"/>
                <w:szCs w:val="24"/>
              </w:rPr>
              <w:t xml:space="preserve"> outside School)</w:t>
            </w:r>
          </w:p>
        </w:tc>
      </w:tr>
      <w:tr w:rsidR="00B335CD" w:rsidRPr="004A7B4A" w14:paraId="0A385441" w14:textId="77777777" w:rsidTr="001C04CE">
        <w:trPr>
          <w:trHeight w:val="275"/>
        </w:trPr>
        <w:tc>
          <w:tcPr>
            <w:tcW w:w="8325" w:type="dxa"/>
          </w:tcPr>
          <w:p w14:paraId="7EEDF762" w14:textId="138CEC82" w:rsidR="00B335CD" w:rsidRPr="004A7B4A" w:rsidRDefault="007B28DC" w:rsidP="00A51FC1">
            <w:pPr>
              <w:spacing w:before="100" w:beforeAutospacing="1" w:after="100" w:afterAutospacing="1"/>
              <w:ind w:left="238" w:firstLine="217"/>
              <w:jc w:val="both"/>
              <w:rPr>
                <w:rFonts w:ascii="Times New Roman" w:hAnsi="Times New Roman" w:cs="Times New Roman"/>
                <w:sz w:val="24"/>
                <w:szCs w:val="24"/>
              </w:rPr>
            </w:pPr>
            <w:r w:rsidRPr="004A7B4A">
              <w:rPr>
                <w:rFonts w:ascii="Times New Roman" w:hAnsi="Times New Roman" w:cs="Times New Roman"/>
                <w:sz w:val="24"/>
                <w:szCs w:val="24"/>
              </w:rPr>
              <w:t>Sub-Theme 2.2 Past Experiences (Successes and Failures, Teacher Influence)</w:t>
            </w:r>
          </w:p>
        </w:tc>
      </w:tr>
      <w:tr w:rsidR="00B335CD" w:rsidRPr="004A7B4A" w14:paraId="0FE7BD45" w14:textId="77777777" w:rsidTr="001C04CE">
        <w:trPr>
          <w:trHeight w:val="290"/>
        </w:trPr>
        <w:tc>
          <w:tcPr>
            <w:tcW w:w="8325" w:type="dxa"/>
          </w:tcPr>
          <w:p w14:paraId="2E04F996" w14:textId="78B9B255" w:rsidR="00B335CD" w:rsidRPr="004A7B4A" w:rsidRDefault="007B28DC" w:rsidP="00F06779">
            <w:pPr>
              <w:spacing w:before="100" w:beforeAutospacing="1" w:after="100" w:afterAutospacing="1"/>
              <w:ind w:left="238"/>
              <w:jc w:val="both"/>
              <w:rPr>
                <w:rFonts w:ascii="Times New Roman" w:eastAsia="Times New Roman" w:hAnsi="Times New Roman" w:cs="Times New Roman"/>
                <w:sz w:val="24"/>
                <w:szCs w:val="24"/>
              </w:rPr>
            </w:pPr>
            <w:r w:rsidRPr="004A7B4A">
              <w:rPr>
                <w:rFonts w:ascii="Times New Roman" w:hAnsi="Times New Roman" w:cs="Times New Roman"/>
                <w:sz w:val="24"/>
                <w:szCs w:val="24"/>
              </w:rPr>
              <w:t>Theme 3: General Attitude Towards Mathematics</w:t>
            </w:r>
          </w:p>
        </w:tc>
      </w:tr>
      <w:tr w:rsidR="00B335CD" w:rsidRPr="004A7B4A" w14:paraId="7797C936" w14:textId="77777777" w:rsidTr="001C04CE">
        <w:trPr>
          <w:trHeight w:val="275"/>
        </w:trPr>
        <w:tc>
          <w:tcPr>
            <w:tcW w:w="8325" w:type="dxa"/>
          </w:tcPr>
          <w:p w14:paraId="4854C85F" w14:textId="18D68E5A" w:rsidR="00B335CD" w:rsidRPr="004A7B4A" w:rsidRDefault="00B335CD" w:rsidP="00A51FC1">
            <w:pPr>
              <w:spacing w:before="100" w:beforeAutospacing="1" w:after="100" w:afterAutospacing="1"/>
              <w:ind w:left="455"/>
              <w:jc w:val="both"/>
              <w:rPr>
                <w:rFonts w:ascii="Times New Roman" w:eastAsia="Times New Roman" w:hAnsi="Times New Roman" w:cs="Times New Roman"/>
                <w:sz w:val="24"/>
                <w:szCs w:val="24"/>
              </w:rPr>
            </w:pPr>
            <w:r w:rsidRPr="004A7B4A">
              <w:rPr>
                <w:rFonts w:ascii="Times New Roman" w:hAnsi="Times New Roman" w:cs="Times New Roman"/>
                <w:sz w:val="24"/>
                <w:szCs w:val="24"/>
              </w:rPr>
              <w:t>Subtheme 3</w:t>
            </w:r>
            <w:r w:rsidR="007B28DC" w:rsidRPr="004A7B4A">
              <w:rPr>
                <w:rFonts w:ascii="Times New Roman" w:hAnsi="Times New Roman" w:cs="Times New Roman"/>
                <w:sz w:val="24"/>
                <w:szCs w:val="24"/>
              </w:rPr>
              <w:t>.1 Emotional Responses to Mathematics</w:t>
            </w:r>
          </w:p>
        </w:tc>
      </w:tr>
      <w:tr w:rsidR="00B335CD" w:rsidRPr="004A7B4A" w14:paraId="00896DC3" w14:textId="77777777" w:rsidTr="001C04CE">
        <w:trPr>
          <w:trHeight w:val="275"/>
        </w:trPr>
        <w:tc>
          <w:tcPr>
            <w:tcW w:w="8325" w:type="dxa"/>
          </w:tcPr>
          <w:p w14:paraId="150F219E" w14:textId="62780C4E" w:rsidR="00B335CD" w:rsidRPr="004A7B4A" w:rsidRDefault="007B28DC" w:rsidP="00A51FC1">
            <w:pPr>
              <w:spacing w:before="100" w:beforeAutospacing="1" w:after="100" w:afterAutospacing="1"/>
              <w:ind w:left="455"/>
              <w:jc w:val="both"/>
              <w:rPr>
                <w:rFonts w:ascii="Times New Roman" w:eastAsia="Times New Roman" w:hAnsi="Times New Roman" w:cs="Times New Roman"/>
                <w:sz w:val="24"/>
                <w:szCs w:val="24"/>
              </w:rPr>
            </w:pPr>
            <w:r w:rsidRPr="004A7B4A">
              <w:rPr>
                <w:rFonts w:ascii="Times New Roman" w:hAnsi="Times New Roman" w:cs="Times New Roman"/>
                <w:sz w:val="24"/>
                <w:szCs w:val="24"/>
              </w:rPr>
              <w:t xml:space="preserve">Subtheme </w:t>
            </w:r>
            <w:proofErr w:type="gramStart"/>
            <w:r w:rsidRPr="004A7B4A">
              <w:rPr>
                <w:rFonts w:ascii="Times New Roman" w:hAnsi="Times New Roman" w:cs="Times New Roman"/>
                <w:sz w:val="24"/>
                <w:szCs w:val="24"/>
              </w:rPr>
              <w:t xml:space="preserve">3.2 </w:t>
            </w:r>
            <w:r w:rsidR="00B335CD" w:rsidRPr="004A7B4A">
              <w:rPr>
                <w:rFonts w:ascii="Times New Roman" w:hAnsi="Times New Roman" w:cs="Times New Roman"/>
                <w:sz w:val="24"/>
                <w:szCs w:val="24"/>
              </w:rPr>
              <w:t xml:space="preserve"> </w:t>
            </w:r>
            <w:r w:rsidRPr="004A7B4A">
              <w:rPr>
                <w:rFonts w:ascii="Times New Roman" w:hAnsi="Times New Roman" w:cs="Times New Roman"/>
                <w:sz w:val="24"/>
                <w:szCs w:val="24"/>
              </w:rPr>
              <w:t>Behavioral</w:t>
            </w:r>
            <w:proofErr w:type="gramEnd"/>
            <w:r w:rsidRPr="004A7B4A">
              <w:rPr>
                <w:rFonts w:ascii="Times New Roman" w:hAnsi="Times New Roman" w:cs="Times New Roman"/>
                <w:sz w:val="24"/>
                <w:szCs w:val="24"/>
              </w:rPr>
              <w:t xml:space="preserve"> Engagement in Mathematics</w:t>
            </w:r>
          </w:p>
        </w:tc>
      </w:tr>
    </w:tbl>
    <w:p w14:paraId="00E55305"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rPr>
      </w:pPr>
    </w:p>
    <w:p w14:paraId="700C3BDF" w14:textId="280B5943" w:rsidR="005F41EC" w:rsidRPr="004A7B4A" w:rsidRDefault="00F811EF"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This structured thematic analysis, informed by Braun and Clarke’s (2006) phenomenological approach, offers a comprehensive understanding of the emotional, behavioral, and cognitive aspects of students’ attitudes toward mathematics within learning environments influenced by technological advancement and changes in instructional delivery. The themes were developed using the ABC model of attitude proposed by Breckler (1984), which explains attitudes through three interconnected dimensions: affective responses, behavioral tendencies, and cognitive beliefs or perceptions.</w:t>
      </w:r>
    </w:p>
    <w:p w14:paraId="10283367" w14:textId="77777777" w:rsidR="00F811EF" w:rsidRPr="004A7B4A" w:rsidRDefault="00F811EF" w:rsidP="00F06779">
      <w:pPr>
        <w:spacing w:after="0" w:line="240" w:lineRule="auto"/>
        <w:ind w:left="238"/>
        <w:jc w:val="both"/>
        <w:rPr>
          <w:rFonts w:ascii="Times New Roman" w:eastAsia="Times New Roman" w:hAnsi="Times New Roman" w:cs="Times New Roman"/>
          <w:sz w:val="24"/>
          <w:szCs w:val="24"/>
        </w:rPr>
      </w:pPr>
    </w:p>
    <w:p w14:paraId="63765350" w14:textId="2F677853" w:rsidR="005F41EC" w:rsidRPr="004A7B4A" w:rsidRDefault="005F41EC" w:rsidP="00F06779">
      <w:pPr>
        <w:spacing w:after="0" w:line="240" w:lineRule="auto"/>
        <w:ind w:left="238"/>
        <w:jc w:val="both"/>
        <w:rPr>
          <w:rFonts w:ascii="Times New Roman" w:hAnsi="Times New Roman" w:cs="Times New Roman"/>
          <w:b/>
          <w:bCs/>
          <w:sz w:val="24"/>
          <w:szCs w:val="24"/>
        </w:rPr>
      </w:pPr>
      <w:r w:rsidRPr="004A7B4A">
        <w:rPr>
          <w:rFonts w:ascii="Times New Roman" w:eastAsia="Times New Roman" w:hAnsi="Times New Roman" w:cs="Times New Roman"/>
          <w:b/>
          <w:bCs/>
          <w:sz w:val="24"/>
          <w:szCs w:val="24"/>
        </w:rPr>
        <w:t>Theme</w:t>
      </w:r>
      <w:r w:rsidRPr="004A7B4A">
        <w:rPr>
          <w:rFonts w:ascii="Times New Roman" w:hAnsi="Times New Roman" w:cs="Times New Roman"/>
          <w:b/>
          <w:bCs/>
          <w:sz w:val="24"/>
          <w:szCs w:val="24"/>
        </w:rPr>
        <w:t xml:space="preserve"> 1:  Learning Environment Dynamics</w:t>
      </w:r>
    </w:p>
    <w:p w14:paraId="1EFEE11D" w14:textId="77777777" w:rsidR="00F811EF" w:rsidRPr="004A7B4A" w:rsidRDefault="00F811EF" w:rsidP="00F06779">
      <w:pPr>
        <w:spacing w:after="0" w:line="240" w:lineRule="auto"/>
        <w:ind w:left="238"/>
        <w:jc w:val="both"/>
        <w:rPr>
          <w:rFonts w:ascii="Times New Roman" w:hAnsi="Times New Roman" w:cs="Times New Roman"/>
          <w:b/>
          <w:bCs/>
          <w:sz w:val="24"/>
          <w:szCs w:val="24"/>
        </w:rPr>
      </w:pPr>
    </w:p>
    <w:p w14:paraId="02BE8FD6" w14:textId="2E3770CC" w:rsidR="00F811EF" w:rsidRPr="004A7B4A" w:rsidRDefault="00F811E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This presents how students’ attitudes toward mathematics are shaped by the learning conditions, instructional modality, and technological tools they experience. Across the narratives, students described the learning environment as a significant factor affecting their emotional comfort, classroom participation, and understanding of mathematical concepts. This theme highlights that students’ engagement in mathematics is not shaped by content alone, but also by the quality of the learning environment, the mode of instruction, and the extent to which technology supports rather than replaces meaningful learning.</w:t>
      </w:r>
    </w:p>
    <w:p w14:paraId="5BF14ADA" w14:textId="77777777" w:rsidR="00F811EF" w:rsidRPr="004A7B4A" w:rsidRDefault="00F811EF" w:rsidP="00F06779">
      <w:pPr>
        <w:spacing w:after="0" w:line="240" w:lineRule="auto"/>
        <w:ind w:left="238"/>
        <w:jc w:val="both"/>
        <w:rPr>
          <w:rFonts w:ascii="Times New Roman" w:eastAsia="Times New Roman" w:hAnsi="Times New Roman" w:cs="Times New Roman"/>
          <w:b/>
          <w:bCs/>
          <w:sz w:val="24"/>
          <w:szCs w:val="24"/>
        </w:rPr>
      </w:pPr>
    </w:p>
    <w:p w14:paraId="4BCBAC68" w14:textId="77777777" w:rsidR="004F1D27" w:rsidRPr="004A7B4A" w:rsidRDefault="004F1D27"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Sub-theme 1.1: Preferences for Face-to-Face Learning</w:t>
      </w:r>
    </w:p>
    <w:p w14:paraId="1037DCF6" w14:textId="77777777" w:rsidR="004F1D27" w:rsidRPr="004A7B4A" w:rsidRDefault="004F1D27" w:rsidP="00F06779">
      <w:pPr>
        <w:pStyle w:val="NoSpacing"/>
        <w:ind w:left="238"/>
        <w:jc w:val="both"/>
        <w:rPr>
          <w:rFonts w:ascii="Times New Roman" w:hAnsi="Times New Roman" w:cs="Times New Roman"/>
          <w:sz w:val="24"/>
          <w:szCs w:val="24"/>
        </w:rPr>
      </w:pPr>
    </w:p>
    <w:p w14:paraId="4DCCD09E" w14:textId="77777777" w:rsidR="009D1BBF" w:rsidRPr="004A7B4A" w:rsidRDefault="009D1BBF" w:rsidP="00F06779">
      <w:pPr>
        <w:spacing w:after="0" w:line="240" w:lineRule="auto"/>
        <w:ind w:left="238"/>
        <w:jc w:val="both"/>
        <w:rPr>
          <w:rFonts w:ascii="Times New Roman" w:hAnsi="Times New Roman" w:cs="Times New Roman"/>
          <w:sz w:val="24"/>
          <w:szCs w:val="24"/>
        </w:rPr>
      </w:pPr>
      <w:r w:rsidRPr="004A7B4A">
        <w:rPr>
          <w:rFonts w:ascii="Times New Roman" w:hAnsi="Times New Roman" w:cs="Times New Roman"/>
          <w:sz w:val="24"/>
          <w:szCs w:val="24"/>
        </w:rPr>
        <w:t>Students’ narratives revealed a clear preference for face-to-face learning as a more supportive modality for mathematics instruction. They associated in-person classes with stronger emotional security, active participation, and clearer understanding of mathematical concepts. This suggests that students’ attitudes toward mathematics were shaped not only by the subject’s difficulty but also by the instructional environment, particularly the availability of direct teacher guidance, peer interaction, immediate feedback, and classroom structure. Such findings are consistent with studies showing that instructional context, engagement, and teacher support influence students’ mathematics learning experiences and performance (</w:t>
      </w:r>
      <w:proofErr w:type="spellStart"/>
      <w:r w:rsidRPr="004A7B4A">
        <w:rPr>
          <w:rFonts w:ascii="Times New Roman" w:hAnsi="Times New Roman" w:cs="Times New Roman"/>
          <w:sz w:val="24"/>
          <w:szCs w:val="24"/>
        </w:rPr>
        <w:t>Alabdulaziz</w:t>
      </w:r>
      <w:proofErr w:type="spellEnd"/>
      <w:r w:rsidRPr="004A7B4A">
        <w:rPr>
          <w:rFonts w:ascii="Times New Roman" w:hAnsi="Times New Roman" w:cs="Times New Roman"/>
          <w:sz w:val="24"/>
          <w:szCs w:val="24"/>
        </w:rPr>
        <w:t xml:space="preserve"> &amp; </w:t>
      </w:r>
      <w:proofErr w:type="spellStart"/>
      <w:r w:rsidRPr="004A7B4A">
        <w:rPr>
          <w:rFonts w:ascii="Times New Roman" w:hAnsi="Times New Roman" w:cs="Times New Roman"/>
          <w:sz w:val="24"/>
          <w:szCs w:val="24"/>
        </w:rPr>
        <w:t>Tayfour</w:t>
      </w:r>
      <w:proofErr w:type="spellEnd"/>
      <w:r w:rsidRPr="004A7B4A">
        <w:rPr>
          <w:rFonts w:ascii="Times New Roman" w:hAnsi="Times New Roman" w:cs="Times New Roman"/>
          <w:sz w:val="24"/>
          <w:szCs w:val="24"/>
        </w:rPr>
        <w:t>, 2023; Sabanal et al., 2024).</w:t>
      </w:r>
    </w:p>
    <w:p w14:paraId="456C1CB5" w14:textId="77777777" w:rsidR="009D1BBF" w:rsidRPr="004A7B4A" w:rsidRDefault="009D1BBF" w:rsidP="00F06779">
      <w:pPr>
        <w:spacing w:after="0" w:line="240" w:lineRule="auto"/>
        <w:ind w:left="238"/>
        <w:jc w:val="both"/>
        <w:rPr>
          <w:rFonts w:ascii="Times New Roman" w:hAnsi="Times New Roman" w:cs="Times New Roman"/>
          <w:sz w:val="24"/>
          <w:szCs w:val="24"/>
        </w:rPr>
      </w:pPr>
    </w:p>
    <w:p w14:paraId="5F962764" w14:textId="77777777" w:rsidR="009D1BBF" w:rsidRPr="004A7B4A" w:rsidRDefault="009D1BBF" w:rsidP="00F06779">
      <w:pPr>
        <w:spacing w:after="0" w:line="240" w:lineRule="auto"/>
        <w:ind w:left="238"/>
        <w:jc w:val="both"/>
        <w:rPr>
          <w:rFonts w:ascii="Times New Roman" w:hAnsi="Times New Roman" w:cs="Times New Roman"/>
          <w:sz w:val="24"/>
          <w:szCs w:val="24"/>
        </w:rPr>
      </w:pPr>
      <w:r w:rsidRPr="004A7B4A">
        <w:rPr>
          <w:rFonts w:ascii="Times New Roman" w:hAnsi="Times New Roman" w:cs="Times New Roman"/>
          <w:sz w:val="24"/>
          <w:szCs w:val="24"/>
        </w:rPr>
        <w:t xml:space="preserve">Affectively, face-to-face learning strengthened students’ confidence and reduced discomfort in learning mathematics. Robi shared, “For me, it seems like my confidence has increased,” while Cajo explained, “I prefer face-to-face because with online, I’m not very good; the signal fluctuates, and I can’t focus well.” These statements indicate that direct classroom interaction </w:t>
      </w:r>
      <w:proofErr w:type="gramStart"/>
      <w:r w:rsidRPr="004A7B4A">
        <w:rPr>
          <w:rFonts w:ascii="Times New Roman" w:hAnsi="Times New Roman" w:cs="Times New Roman"/>
          <w:sz w:val="24"/>
          <w:szCs w:val="24"/>
        </w:rPr>
        <w:t>gave</w:t>
      </w:r>
      <w:proofErr w:type="gramEnd"/>
      <w:r w:rsidRPr="004A7B4A">
        <w:rPr>
          <w:rFonts w:ascii="Times New Roman" w:hAnsi="Times New Roman" w:cs="Times New Roman"/>
          <w:sz w:val="24"/>
          <w:szCs w:val="24"/>
        </w:rPr>
        <w:t xml:space="preserve"> students a greater sense of control and emotional security. This aligns with Control-Value Theory, which explains that students experience more positive academic emotions when they perceive greater control and support in the learning environment (</w:t>
      </w:r>
      <w:proofErr w:type="spellStart"/>
      <w:r w:rsidRPr="004A7B4A">
        <w:rPr>
          <w:rFonts w:ascii="Times New Roman" w:hAnsi="Times New Roman" w:cs="Times New Roman"/>
          <w:sz w:val="24"/>
          <w:szCs w:val="24"/>
        </w:rPr>
        <w:t>Pekrun</w:t>
      </w:r>
      <w:proofErr w:type="spellEnd"/>
      <w:r w:rsidRPr="004A7B4A">
        <w:rPr>
          <w:rFonts w:ascii="Times New Roman" w:hAnsi="Times New Roman" w:cs="Times New Roman"/>
          <w:sz w:val="24"/>
          <w:szCs w:val="24"/>
        </w:rPr>
        <w:t>, 2006). Recent evidence also suggests that students’ attitudes toward mathematics are closely linked to how they experience the instructional modality and learning environment (Schmitt-Cerna et al., 2024).</w:t>
      </w:r>
    </w:p>
    <w:p w14:paraId="1E7206CA" w14:textId="77777777" w:rsidR="009D1BBF" w:rsidRPr="004A7B4A" w:rsidRDefault="009D1BBF" w:rsidP="00F06779">
      <w:pPr>
        <w:spacing w:after="0" w:line="240" w:lineRule="auto"/>
        <w:ind w:left="238"/>
        <w:jc w:val="both"/>
        <w:rPr>
          <w:rFonts w:ascii="Times New Roman" w:hAnsi="Times New Roman" w:cs="Times New Roman"/>
          <w:sz w:val="24"/>
          <w:szCs w:val="24"/>
        </w:rPr>
      </w:pPr>
    </w:p>
    <w:p w14:paraId="177B3699" w14:textId="655F8061" w:rsidR="009D1BBF" w:rsidRPr="004A7B4A" w:rsidRDefault="009D1BBF" w:rsidP="00F06779">
      <w:pPr>
        <w:spacing w:after="0" w:line="240" w:lineRule="auto"/>
        <w:ind w:left="238"/>
        <w:jc w:val="both"/>
        <w:rPr>
          <w:rFonts w:ascii="Times New Roman" w:hAnsi="Times New Roman" w:cs="Times New Roman"/>
          <w:sz w:val="24"/>
          <w:szCs w:val="24"/>
        </w:rPr>
      </w:pPr>
      <w:r w:rsidRPr="004A7B4A">
        <w:rPr>
          <w:rFonts w:ascii="Times New Roman" w:hAnsi="Times New Roman" w:cs="Times New Roman"/>
          <w:sz w:val="24"/>
          <w:szCs w:val="24"/>
        </w:rPr>
        <w:t>Behaviorally, students reported that face-to-face classes encouraged more active engagement and help-seeking. Jeta stated, “I favor face-to-face classes because I can ask the instructor and classmates questions,” showing the importance of immediate clarification in mathematics learning. Paril added, “My method is to write it down, then follow a step-by-step process to dissect the problem,” reflecting a more systematic approach to problem solving. These responses support Social Learning Theory, which emphasizes that learning is strengthened through observation, interaction, modeling, and guided participation (Bandura, 1977</w:t>
      </w:r>
      <w:r w:rsidR="000B0195" w:rsidRPr="004A7B4A">
        <w:rPr>
          <w:rFonts w:ascii="Times New Roman" w:hAnsi="Times New Roman" w:cs="Times New Roman"/>
          <w:sz w:val="24"/>
          <w:szCs w:val="24"/>
        </w:rPr>
        <w:t>a</w:t>
      </w:r>
      <w:r w:rsidRPr="004A7B4A">
        <w:rPr>
          <w:rFonts w:ascii="Times New Roman" w:hAnsi="Times New Roman" w:cs="Times New Roman"/>
          <w:sz w:val="24"/>
          <w:szCs w:val="24"/>
        </w:rPr>
        <w:t>). Empirical studies similarly highlight that feedback and direct interaction help students improve their mathematical understanding and engagement (Sandal &amp; Sperle, 2024).</w:t>
      </w:r>
    </w:p>
    <w:p w14:paraId="6CEA3C6F" w14:textId="77777777" w:rsidR="009D1BBF" w:rsidRPr="004A7B4A" w:rsidRDefault="009D1BBF" w:rsidP="00F06779">
      <w:pPr>
        <w:spacing w:after="0" w:line="240" w:lineRule="auto"/>
        <w:ind w:left="238"/>
        <w:jc w:val="both"/>
        <w:rPr>
          <w:rFonts w:ascii="Times New Roman" w:hAnsi="Times New Roman" w:cs="Times New Roman"/>
          <w:sz w:val="24"/>
          <w:szCs w:val="24"/>
        </w:rPr>
      </w:pPr>
    </w:p>
    <w:p w14:paraId="711D58A5" w14:textId="77777777" w:rsidR="009D1BBF" w:rsidRPr="004A7B4A" w:rsidRDefault="009D1BBF" w:rsidP="00F06779">
      <w:pPr>
        <w:spacing w:after="0" w:line="240" w:lineRule="auto"/>
        <w:ind w:left="238"/>
        <w:jc w:val="both"/>
        <w:rPr>
          <w:rFonts w:ascii="Times New Roman" w:hAnsi="Times New Roman" w:cs="Times New Roman"/>
          <w:sz w:val="24"/>
          <w:szCs w:val="24"/>
        </w:rPr>
      </w:pPr>
      <w:r w:rsidRPr="004A7B4A">
        <w:rPr>
          <w:rFonts w:ascii="Times New Roman" w:hAnsi="Times New Roman" w:cs="Times New Roman"/>
          <w:sz w:val="24"/>
          <w:szCs w:val="24"/>
        </w:rPr>
        <w:t>Cognitively, students perceived face-to-face instruction as more effective for understanding mathematical concepts because it allowed clearer explanations and step-by-step guidance. Anta noted, “It was very difficult to understand math online… even with the formula, it’s just different from face-to-face,” while Jolo stated, “Math is challenging, but it’s easy to understand if done step by step.” These accounts suggest that in-person instruction reduced confusion and supported focused learning. This is consistent with Cognitive Load Theory, which argues that well-structured instruction reduces unnecessary mental demands and allows learners to focus on essential mathematical processes (</w:t>
      </w:r>
      <w:proofErr w:type="spellStart"/>
      <w:r w:rsidRPr="004A7B4A">
        <w:rPr>
          <w:rFonts w:ascii="Times New Roman" w:hAnsi="Times New Roman" w:cs="Times New Roman"/>
          <w:sz w:val="24"/>
          <w:szCs w:val="24"/>
        </w:rPr>
        <w:t>Sweller</w:t>
      </w:r>
      <w:proofErr w:type="spellEnd"/>
      <w:r w:rsidRPr="004A7B4A">
        <w:rPr>
          <w:rFonts w:ascii="Times New Roman" w:hAnsi="Times New Roman" w:cs="Times New Roman"/>
          <w:sz w:val="24"/>
          <w:szCs w:val="24"/>
        </w:rPr>
        <w:t>, 1988). Recent empirical findings also indicate that face-</w:t>
      </w:r>
      <w:r w:rsidRPr="004A7B4A">
        <w:rPr>
          <w:rFonts w:ascii="Times New Roman" w:hAnsi="Times New Roman" w:cs="Times New Roman"/>
          <w:sz w:val="24"/>
          <w:szCs w:val="24"/>
        </w:rPr>
        <w:lastRenderedPageBreak/>
        <w:t>to-face learning may better support the acquisition of mathematical concepts that require procedural and conceptual guidance (</w:t>
      </w:r>
      <w:proofErr w:type="spellStart"/>
      <w:r w:rsidRPr="004A7B4A">
        <w:rPr>
          <w:rFonts w:ascii="Times New Roman" w:hAnsi="Times New Roman" w:cs="Times New Roman"/>
          <w:sz w:val="24"/>
          <w:szCs w:val="24"/>
        </w:rPr>
        <w:t>Alabdulaziz</w:t>
      </w:r>
      <w:proofErr w:type="spellEnd"/>
      <w:r w:rsidRPr="004A7B4A">
        <w:rPr>
          <w:rFonts w:ascii="Times New Roman" w:hAnsi="Times New Roman" w:cs="Times New Roman"/>
          <w:sz w:val="24"/>
          <w:szCs w:val="24"/>
        </w:rPr>
        <w:t xml:space="preserve"> &amp; </w:t>
      </w:r>
      <w:proofErr w:type="spellStart"/>
      <w:r w:rsidRPr="004A7B4A">
        <w:rPr>
          <w:rFonts w:ascii="Times New Roman" w:hAnsi="Times New Roman" w:cs="Times New Roman"/>
          <w:sz w:val="24"/>
          <w:szCs w:val="24"/>
        </w:rPr>
        <w:t>Tayfour</w:t>
      </w:r>
      <w:proofErr w:type="spellEnd"/>
      <w:r w:rsidRPr="004A7B4A">
        <w:rPr>
          <w:rFonts w:ascii="Times New Roman" w:hAnsi="Times New Roman" w:cs="Times New Roman"/>
          <w:sz w:val="24"/>
          <w:szCs w:val="24"/>
        </w:rPr>
        <w:t>, 2023).</w:t>
      </w:r>
    </w:p>
    <w:p w14:paraId="288D17AE" w14:textId="77777777" w:rsidR="009D1BBF" w:rsidRPr="004A7B4A" w:rsidRDefault="009D1BBF" w:rsidP="00F06779">
      <w:pPr>
        <w:spacing w:after="0" w:line="240" w:lineRule="auto"/>
        <w:ind w:left="238"/>
        <w:jc w:val="both"/>
        <w:rPr>
          <w:rFonts w:ascii="Times New Roman" w:hAnsi="Times New Roman" w:cs="Times New Roman"/>
          <w:sz w:val="24"/>
          <w:szCs w:val="24"/>
        </w:rPr>
      </w:pPr>
    </w:p>
    <w:p w14:paraId="0DDEA88E" w14:textId="54F953DE" w:rsidR="009D1BBF" w:rsidRPr="004A7B4A" w:rsidRDefault="00CC380F" w:rsidP="00F06779">
      <w:pPr>
        <w:spacing w:after="0" w:line="240" w:lineRule="auto"/>
        <w:ind w:left="238"/>
        <w:jc w:val="both"/>
        <w:rPr>
          <w:rFonts w:ascii="Times New Roman" w:hAnsi="Times New Roman" w:cs="Times New Roman"/>
          <w:sz w:val="24"/>
          <w:szCs w:val="24"/>
        </w:rPr>
      </w:pPr>
      <w:r w:rsidRPr="004A7B4A">
        <w:rPr>
          <w:rFonts w:ascii="Times New Roman" w:hAnsi="Times New Roman" w:cs="Times New Roman"/>
          <w:sz w:val="24"/>
          <w:szCs w:val="24"/>
        </w:rPr>
        <w:t>Collectively</w:t>
      </w:r>
      <w:r w:rsidR="009D1BBF" w:rsidRPr="004A7B4A">
        <w:rPr>
          <w:rFonts w:ascii="Times New Roman" w:hAnsi="Times New Roman" w:cs="Times New Roman"/>
          <w:sz w:val="24"/>
          <w:szCs w:val="24"/>
        </w:rPr>
        <w:t>, students’ preference for face-to-face learning reflects the interrelated affective, behavioral, and cognitive dimensions of their attitudes toward mathematics. Face-to-face instruction provided emotional reassurance, encouraged active participation, and supported clearer conceptual understanding. While this does not diminish the value of online or technology-mediated learning, the findings suggest that alternative modalities should intentionally incorporate the strengths of face-to-face instruction, particularly immediate feedback, guided explanation, peer interaction, and structured support, to sustain students’ engagement and comprehension in mathematics.</w:t>
      </w:r>
    </w:p>
    <w:p w14:paraId="31F517BE" w14:textId="77777777" w:rsidR="009D1BBF" w:rsidRPr="004A7B4A" w:rsidRDefault="009D1BBF" w:rsidP="00F06779">
      <w:pPr>
        <w:spacing w:after="0" w:line="240" w:lineRule="auto"/>
        <w:ind w:left="238"/>
        <w:jc w:val="both"/>
        <w:rPr>
          <w:rFonts w:ascii="Times New Roman" w:hAnsi="Times New Roman" w:cs="Times New Roman"/>
          <w:sz w:val="24"/>
          <w:szCs w:val="24"/>
        </w:rPr>
      </w:pPr>
    </w:p>
    <w:p w14:paraId="67E9175B" w14:textId="77777777" w:rsidR="004F1D27" w:rsidRPr="004A7B4A" w:rsidRDefault="004F1D27"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Sub-theme 1.2: Online Learning Adaptation</w:t>
      </w:r>
    </w:p>
    <w:p w14:paraId="1C590E4B" w14:textId="77777777" w:rsidR="00011A2F" w:rsidRPr="004A7B4A" w:rsidRDefault="00011A2F" w:rsidP="00F06779">
      <w:pPr>
        <w:pStyle w:val="NoSpacing"/>
        <w:ind w:left="238"/>
        <w:jc w:val="both"/>
        <w:rPr>
          <w:rFonts w:ascii="Times New Roman" w:hAnsi="Times New Roman" w:cs="Times New Roman"/>
          <w:b/>
          <w:bCs/>
          <w:sz w:val="24"/>
          <w:szCs w:val="24"/>
        </w:rPr>
      </w:pPr>
    </w:p>
    <w:p w14:paraId="78C16ED9" w14:textId="77777777" w:rsidR="009D1BBF" w:rsidRPr="004A7B4A" w:rsidRDefault="009D1BB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Online Learning Adaptation reflects how students adjusted to the shift from face-to-face to online mathematics learning. The narratives show that online learning affected students’ emotional security, participation, and comprehension, particularly because mathematics requires guided explanation, immediate feedback, and sustained attention. While online learning offered continuity during disrupted schooling, students’ accounts suggest that the modality became difficult when technological access, teacher interaction, and peer collaboration were limited. Recent studies similarly report that distance mathematics learning is shaped by connectivity, interaction, feedback, motivation, and students’ capacity for self-regulated learning (Abdulah et al., 2025; Chiu, 2022).</w:t>
      </w:r>
    </w:p>
    <w:p w14:paraId="2FC680CE" w14:textId="77777777" w:rsidR="009D1BBF" w:rsidRPr="004A7B4A" w:rsidRDefault="009D1BBF" w:rsidP="00F06779">
      <w:pPr>
        <w:pStyle w:val="NoSpacing"/>
        <w:ind w:left="238"/>
        <w:jc w:val="both"/>
        <w:rPr>
          <w:rFonts w:ascii="Times New Roman" w:hAnsi="Times New Roman" w:cs="Times New Roman"/>
          <w:sz w:val="24"/>
          <w:szCs w:val="24"/>
        </w:rPr>
      </w:pPr>
    </w:p>
    <w:p w14:paraId="6D482FFB" w14:textId="77777777" w:rsidR="009D1BBF" w:rsidRPr="004A7B4A" w:rsidRDefault="009D1BB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 xml:space="preserve">Affectively, students experienced fear, frustration, and isolation during online mathematics classes. Anta shared, “I </w:t>
      </w:r>
      <w:proofErr w:type="gramStart"/>
      <w:r w:rsidRPr="004A7B4A">
        <w:rPr>
          <w:rFonts w:ascii="Times New Roman" w:hAnsi="Times New Roman" w:cs="Times New Roman"/>
          <w:sz w:val="24"/>
          <w:szCs w:val="24"/>
        </w:rPr>
        <w:t>have fear</w:t>
      </w:r>
      <w:proofErr w:type="gramEnd"/>
      <w:r w:rsidRPr="004A7B4A">
        <w:rPr>
          <w:rFonts w:ascii="Times New Roman" w:hAnsi="Times New Roman" w:cs="Times New Roman"/>
          <w:sz w:val="24"/>
          <w:szCs w:val="24"/>
        </w:rPr>
        <w:t xml:space="preserve"> in Math… I stopped during the pandemic because it’s online,” suggesting that the online modality intensified anxiety toward mathematics. Baer similarly explained, “I couldn’t learn much online, because although the answers were all there, I had to digest everything myself… without anyone to ask how it was done.” These statements indicate that online learning reduced students’ emotional assurance because immediate support was less available. This aligns with Control-Value Theory, which explains that negative achievement emotions may increase when students perceive low control over learning tasks (</w:t>
      </w:r>
      <w:proofErr w:type="spellStart"/>
      <w:r w:rsidRPr="004A7B4A">
        <w:rPr>
          <w:rFonts w:ascii="Times New Roman" w:hAnsi="Times New Roman" w:cs="Times New Roman"/>
          <w:sz w:val="24"/>
          <w:szCs w:val="24"/>
        </w:rPr>
        <w:t>Pekrun</w:t>
      </w:r>
      <w:proofErr w:type="spellEnd"/>
      <w:r w:rsidRPr="004A7B4A">
        <w:rPr>
          <w:rFonts w:ascii="Times New Roman" w:hAnsi="Times New Roman" w:cs="Times New Roman"/>
          <w:sz w:val="24"/>
          <w:szCs w:val="24"/>
        </w:rPr>
        <w:t>, 2006). Empirical evidence likewise shows that online learning engagement depends on students’ perceived support, competence, and connection with teachers and peers (Chiu, 2022).</w:t>
      </w:r>
    </w:p>
    <w:p w14:paraId="0565A586" w14:textId="77777777" w:rsidR="009D1BBF" w:rsidRPr="004A7B4A" w:rsidRDefault="009D1BB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 xml:space="preserve">  </w:t>
      </w:r>
    </w:p>
    <w:p w14:paraId="278BCA8A" w14:textId="77777777" w:rsidR="009D1BBF" w:rsidRPr="004A7B4A" w:rsidRDefault="009D1BB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 xml:space="preserve">Behaviorally, online learning weakened students’ participation and sustained engagement. </w:t>
      </w:r>
      <w:proofErr w:type="spellStart"/>
      <w:r w:rsidRPr="004A7B4A">
        <w:rPr>
          <w:rFonts w:ascii="Times New Roman" w:hAnsi="Times New Roman" w:cs="Times New Roman"/>
          <w:sz w:val="24"/>
          <w:szCs w:val="24"/>
        </w:rPr>
        <w:t>Harbe</w:t>
      </w:r>
      <w:proofErr w:type="spellEnd"/>
      <w:r w:rsidRPr="004A7B4A">
        <w:rPr>
          <w:rFonts w:ascii="Times New Roman" w:hAnsi="Times New Roman" w:cs="Times New Roman"/>
          <w:sz w:val="24"/>
          <w:szCs w:val="24"/>
        </w:rPr>
        <w:t xml:space="preserve"> admitted, “I struggled even during face-to-face classes. I was already weak, and with online formats it just got worse,” while Jaal and Robi pointed out, “Also the signal is weak in our barangay.” These accounts show that disengagement was not merely a matter of personal effort but was also influenced by unstable connectivity, reduced accountability, and limited classroom routines. From the lens of Self-Determination Theory, online learning may reduce engagement when students’ needs for competence, relatedness, and support are not sufficiently met (Deci &amp; Ryan, 2000). This is consistent with recent findings that students’ engagement in online learning is strengthened when digital environments provide instructional support, interaction, and motivational conditions (Chiu, 2022; Abdulah et al., 2025).  </w:t>
      </w:r>
    </w:p>
    <w:p w14:paraId="38E5E733" w14:textId="77777777" w:rsidR="009D1BBF" w:rsidRPr="004A7B4A" w:rsidRDefault="009D1BBF" w:rsidP="00F06779">
      <w:pPr>
        <w:pStyle w:val="NoSpacing"/>
        <w:ind w:left="238"/>
        <w:jc w:val="both"/>
        <w:rPr>
          <w:rFonts w:ascii="Times New Roman" w:hAnsi="Times New Roman" w:cs="Times New Roman"/>
          <w:sz w:val="24"/>
          <w:szCs w:val="24"/>
        </w:rPr>
      </w:pPr>
    </w:p>
    <w:p w14:paraId="66E36BE9" w14:textId="77777777" w:rsidR="009D1BBF" w:rsidRPr="004A7B4A" w:rsidRDefault="009D1BB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 xml:space="preserve">Cognitively, students perceived online mathematics learning as more difficult because they had to process concepts with less guidance and fewer opportunities for clarification. Cajo stated, “I really don’t prefer online because I just can’t understand it. I also don’t listen because I am working,” while Robi admitted, “It takes me a long time to understand online.” </w:t>
      </w:r>
      <w:proofErr w:type="spellStart"/>
      <w:r w:rsidRPr="004A7B4A">
        <w:rPr>
          <w:rFonts w:ascii="Times New Roman" w:hAnsi="Times New Roman" w:cs="Times New Roman"/>
          <w:sz w:val="24"/>
          <w:szCs w:val="24"/>
        </w:rPr>
        <w:t>Zulo</w:t>
      </w:r>
      <w:proofErr w:type="spellEnd"/>
      <w:r w:rsidRPr="004A7B4A">
        <w:rPr>
          <w:rFonts w:ascii="Times New Roman" w:hAnsi="Times New Roman" w:cs="Times New Roman"/>
          <w:sz w:val="24"/>
          <w:szCs w:val="24"/>
        </w:rPr>
        <w:t xml:space="preserve"> further noted that online learning was hindered by “internet connection issues, inability to engage with classmates, and no collaborative learning,” and Jeta added, “I didn’t learn much because I just relied on AI apps.” These statements suggest that online learning increased cognitive burden because students had to manage distractions, weak connectivity, independent processing, and limited interaction. This supports Cognitive Load Theory, which argues that poorly supported learning environments can increase unnecessary mental effort and reduce students’ capacity to process essential content (</w:t>
      </w:r>
      <w:proofErr w:type="spellStart"/>
      <w:r w:rsidRPr="004A7B4A">
        <w:rPr>
          <w:rFonts w:ascii="Times New Roman" w:hAnsi="Times New Roman" w:cs="Times New Roman"/>
          <w:sz w:val="24"/>
          <w:szCs w:val="24"/>
        </w:rPr>
        <w:t>Sweller</w:t>
      </w:r>
      <w:proofErr w:type="spellEnd"/>
      <w:r w:rsidRPr="004A7B4A">
        <w:rPr>
          <w:rFonts w:ascii="Times New Roman" w:hAnsi="Times New Roman" w:cs="Times New Roman"/>
          <w:sz w:val="24"/>
          <w:szCs w:val="24"/>
        </w:rPr>
        <w:t xml:space="preserve">, 1988). </w:t>
      </w:r>
    </w:p>
    <w:p w14:paraId="3DAFC86C" w14:textId="77777777" w:rsidR="009D1BBF" w:rsidRPr="004A7B4A" w:rsidRDefault="009D1BBF" w:rsidP="00F06779">
      <w:pPr>
        <w:pStyle w:val="NoSpacing"/>
        <w:ind w:left="238"/>
        <w:jc w:val="both"/>
        <w:rPr>
          <w:rFonts w:ascii="Times New Roman" w:hAnsi="Times New Roman" w:cs="Times New Roman"/>
          <w:sz w:val="24"/>
          <w:szCs w:val="24"/>
        </w:rPr>
      </w:pPr>
    </w:p>
    <w:p w14:paraId="1BA8BDF7" w14:textId="7C13487B" w:rsidR="009D1BBF" w:rsidRPr="004A7B4A" w:rsidRDefault="00CC380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lastRenderedPageBreak/>
        <w:t>Put together</w:t>
      </w:r>
      <w:r w:rsidR="009D1BBF" w:rsidRPr="004A7B4A">
        <w:rPr>
          <w:rFonts w:ascii="Times New Roman" w:hAnsi="Times New Roman" w:cs="Times New Roman"/>
          <w:sz w:val="24"/>
          <w:szCs w:val="24"/>
        </w:rPr>
        <w:t>, students’ adaptation to online mathematics learning was marked by emotional difficulty, reduced behavioral engagement, and cognitive overload. The findings suggest that online mathematics instruction requires more than access to digital platforms; it must include clear explanations, timely feedback, interactive support, and opportunities for guided practice. For publication purposes, this sub-theme may be framed as evidence that students’ attitudes toward mathematics are strongly affected by the quality of instructional support within online learning environments. Thus, online and blended modalities should intentionally integrate social presence, teacher feedback, peer interaction, and structured scaffolding to make mathematics learning more emotionally supportive, behaviorally engaging, and cognitively manageable.</w:t>
      </w:r>
    </w:p>
    <w:p w14:paraId="04A6148B" w14:textId="77777777" w:rsidR="009D1BBF" w:rsidRPr="004A7B4A" w:rsidRDefault="009D1BBF" w:rsidP="00F06779">
      <w:pPr>
        <w:pStyle w:val="NoSpacing"/>
        <w:ind w:left="238"/>
        <w:jc w:val="both"/>
        <w:rPr>
          <w:rFonts w:ascii="Times New Roman" w:hAnsi="Times New Roman" w:cs="Times New Roman"/>
          <w:sz w:val="24"/>
          <w:szCs w:val="24"/>
        </w:rPr>
      </w:pPr>
    </w:p>
    <w:p w14:paraId="6EFC534D" w14:textId="77777777" w:rsidR="00F4278E" w:rsidRPr="004A7B4A" w:rsidRDefault="00F4278E"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Sub-theme 1.3: Technology Integration</w:t>
      </w:r>
    </w:p>
    <w:p w14:paraId="2C4EC46C" w14:textId="77777777" w:rsidR="00011A2F" w:rsidRPr="004A7B4A" w:rsidRDefault="00011A2F" w:rsidP="00F06779">
      <w:pPr>
        <w:spacing w:after="0" w:line="240" w:lineRule="auto"/>
        <w:ind w:left="238"/>
        <w:jc w:val="both"/>
        <w:outlineLvl w:val="2"/>
        <w:rPr>
          <w:rFonts w:ascii="Times New Roman" w:eastAsia="Times New Roman" w:hAnsi="Times New Roman" w:cs="Times New Roman"/>
          <w:b/>
          <w:bCs/>
          <w:sz w:val="24"/>
          <w:szCs w:val="24"/>
        </w:rPr>
      </w:pPr>
    </w:p>
    <w:p w14:paraId="6694B303" w14:textId="742E1C87" w:rsidR="0092045F" w:rsidRPr="004A7B4A" w:rsidRDefault="0092045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Technology Integration reflects students’ mixed experiences in using digital tools, online resources, calculators, and AI-based platforms in learning mathematics. Students recognized that technology made learning more accessible and convenient, particularly when they needed quick explanations, computations, or supplementary resources. However, their narratives also revealed concerns about overdependence, reduced effort, and weakened conceptual understanding. This suggests that technology functioned both as a support and a challenge in mathematics learning. Recent literature similarly emphasizes that digital tools can enhance engagement and conceptual understanding when used intentionally, but their effectiveness depends on guided integration, learner regulation, and meaningful instructional design (</w:t>
      </w:r>
      <w:proofErr w:type="spellStart"/>
      <w:r w:rsidRPr="004A7B4A">
        <w:rPr>
          <w:rFonts w:ascii="Times New Roman" w:hAnsi="Times New Roman" w:cs="Times New Roman"/>
          <w:sz w:val="24"/>
          <w:szCs w:val="24"/>
        </w:rPr>
        <w:t>Sofroniou</w:t>
      </w:r>
      <w:proofErr w:type="spellEnd"/>
      <w:r w:rsidR="00277742" w:rsidRPr="004A7B4A">
        <w:rPr>
          <w:rFonts w:ascii="Times New Roman" w:hAnsi="Times New Roman" w:cs="Times New Roman"/>
          <w:sz w:val="24"/>
          <w:szCs w:val="24"/>
        </w:rPr>
        <w:t xml:space="preserve"> et al.</w:t>
      </w:r>
      <w:r w:rsidRPr="004A7B4A">
        <w:rPr>
          <w:rFonts w:ascii="Times New Roman" w:hAnsi="Times New Roman" w:cs="Times New Roman"/>
          <w:sz w:val="24"/>
          <w:szCs w:val="24"/>
        </w:rPr>
        <w:t xml:space="preserve">, 2025).  </w:t>
      </w:r>
    </w:p>
    <w:p w14:paraId="71A46F0D" w14:textId="77777777" w:rsidR="0092045F" w:rsidRPr="004A7B4A" w:rsidRDefault="0092045F" w:rsidP="00F06779">
      <w:pPr>
        <w:pStyle w:val="NoSpacing"/>
        <w:ind w:left="238"/>
        <w:jc w:val="both"/>
        <w:rPr>
          <w:rFonts w:ascii="Times New Roman" w:hAnsi="Times New Roman" w:cs="Times New Roman"/>
          <w:sz w:val="24"/>
          <w:szCs w:val="24"/>
        </w:rPr>
      </w:pPr>
    </w:p>
    <w:p w14:paraId="4C453451" w14:textId="699B24EE" w:rsidR="0092045F" w:rsidRPr="004A7B4A" w:rsidRDefault="00CC380F"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T</w:t>
      </w:r>
      <w:r w:rsidR="0092045F" w:rsidRPr="004A7B4A">
        <w:rPr>
          <w:rFonts w:ascii="Times New Roman" w:eastAsia="Times New Roman" w:hAnsi="Times New Roman" w:cs="Times New Roman"/>
          <w:sz w:val="24"/>
          <w:szCs w:val="24"/>
        </w:rPr>
        <w:t xml:space="preserve">echnology helped reduce students’ frustration and anxiety by making mathematics appear more manageable. </w:t>
      </w:r>
      <w:proofErr w:type="spellStart"/>
      <w:r w:rsidR="0092045F" w:rsidRPr="004A7B4A">
        <w:rPr>
          <w:rFonts w:ascii="Times New Roman" w:eastAsia="Times New Roman" w:hAnsi="Times New Roman" w:cs="Times New Roman"/>
          <w:sz w:val="24"/>
          <w:szCs w:val="24"/>
        </w:rPr>
        <w:t>Zulo</w:t>
      </w:r>
      <w:proofErr w:type="spellEnd"/>
      <w:r w:rsidR="0092045F" w:rsidRPr="004A7B4A">
        <w:rPr>
          <w:rFonts w:ascii="Times New Roman" w:eastAsia="Times New Roman" w:hAnsi="Times New Roman" w:cs="Times New Roman"/>
          <w:sz w:val="24"/>
          <w:szCs w:val="24"/>
        </w:rPr>
        <w:t xml:space="preserve"> shared, “My learning has become easier because there is technology available. I can research online,” while Robi added, “Learning is greatly enhanced when using technology, you can learn a lot.” Navi expressed a similar view, stating, “I use technology in Math because I find it difficult… It feels like I’m being tutored to understand more easily.” These statements suggest that technology provided emotional relief because students could access explanations, examples, and computational assistance when they struggled with mathematical tasks. From the perspective of Control-Value Theory, such tools may increase students’ perceived control over learning when they help clarify difficult content and reduce feelings of helplessness (</w:t>
      </w:r>
      <w:proofErr w:type="spellStart"/>
      <w:r w:rsidR="0092045F" w:rsidRPr="004A7B4A">
        <w:rPr>
          <w:rFonts w:ascii="Times New Roman" w:eastAsia="Times New Roman" w:hAnsi="Times New Roman" w:cs="Times New Roman"/>
          <w:sz w:val="24"/>
          <w:szCs w:val="24"/>
        </w:rPr>
        <w:t>Pekrun</w:t>
      </w:r>
      <w:proofErr w:type="spellEnd"/>
      <w:r w:rsidR="0092045F" w:rsidRPr="004A7B4A">
        <w:rPr>
          <w:rFonts w:ascii="Times New Roman" w:eastAsia="Times New Roman" w:hAnsi="Times New Roman" w:cs="Times New Roman"/>
          <w:sz w:val="24"/>
          <w:szCs w:val="24"/>
        </w:rPr>
        <w:t xml:space="preserve">, 2006). </w:t>
      </w:r>
    </w:p>
    <w:p w14:paraId="15F4E52A" w14:textId="77777777" w:rsidR="0092045F" w:rsidRPr="004A7B4A" w:rsidRDefault="0092045F" w:rsidP="00F06779">
      <w:pPr>
        <w:spacing w:after="0" w:line="240" w:lineRule="auto"/>
        <w:ind w:left="238"/>
        <w:jc w:val="both"/>
        <w:rPr>
          <w:rFonts w:ascii="Times New Roman" w:eastAsia="Times New Roman" w:hAnsi="Times New Roman" w:cs="Times New Roman"/>
          <w:sz w:val="24"/>
          <w:szCs w:val="24"/>
        </w:rPr>
      </w:pPr>
    </w:p>
    <w:p w14:paraId="6F0838A6" w14:textId="66865F29" w:rsidR="0092045F" w:rsidRPr="004A7B4A" w:rsidRDefault="00CC380F"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H</w:t>
      </w:r>
      <w:r w:rsidR="0092045F" w:rsidRPr="004A7B4A">
        <w:rPr>
          <w:rFonts w:ascii="Times New Roman" w:eastAsia="Times New Roman" w:hAnsi="Times New Roman" w:cs="Times New Roman"/>
          <w:sz w:val="24"/>
          <w:szCs w:val="24"/>
        </w:rPr>
        <w:t xml:space="preserve">owever, students also admitted that technology sometimes </w:t>
      </w:r>
      <w:proofErr w:type="gramStart"/>
      <w:r w:rsidR="0092045F" w:rsidRPr="004A7B4A">
        <w:rPr>
          <w:rFonts w:ascii="Times New Roman" w:eastAsia="Times New Roman" w:hAnsi="Times New Roman" w:cs="Times New Roman"/>
          <w:sz w:val="24"/>
          <w:szCs w:val="24"/>
        </w:rPr>
        <w:t>encouraged</w:t>
      </w:r>
      <w:proofErr w:type="gramEnd"/>
      <w:r w:rsidR="0092045F" w:rsidRPr="004A7B4A">
        <w:rPr>
          <w:rFonts w:ascii="Times New Roman" w:eastAsia="Times New Roman" w:hAnsi="Times New Roman" w:cs="Times New Roman"/>
          <w:sz w:val="24"/>
          <w:szCs w:val="24"/>
        </w:rPr>
        <w:t xml:space="preserve"> dependence rather than active engagement. </w:t>
      </w:r>
      <w:proofErr w:type="spellStart"/>
      <w:r w:rsidR="0092045F" w:rsidRPr="004A7B4A">
        <w:rPr>
          <w:rFonts w:ascii="Times New Roman" w:eastAsia="Times New Roman" w:hAnsi="Times New Roman" w:cs="Times New Roman"/>
          <w:sz w:val="24"/>
          <w:szCs w:val="24"/>
        </w:rPr>
        <w:t>Benrea</w:t>
      </w:r>
      <w:proofErr w:type="spellEnd"/>
      <w:r w:rsidR="0092045F" w:rsidRPr="004A7B4A">
        <w:rPr>
          <w:rFonts w:ascii="Times New Roman" w:eastAsia="Times New Roman" w:hAnsi="Times New Roman" w:cs="Times New Roman"/>
          <w:sz w:val="24"/>
          <w:szCs w:val="24"/>
        </w:rPr>
        <w:t xml:space="preserve"> acknowledged, “It helps to make things easier, but on the other hand, it makes me dependent. I don’t learn anymore because I just keep using it.” </w:t>
      </w:r>
      <w:proofErr w:type="spellStart"/>
      <w:r w:rsidR="0092045F" w:rsidRPr="004A7B4A">
        <w:rPr>
          <w:rFonts w:ascii="Times New Roman" w:eastAsia="Times New Roman" w:hAnsi="Times New Roman" w:cs="Times New Roman"/>
          <w:sz w:val="24"/>
          <w:szCs w:val="24"/>
        </w:rPr>
        <w:t>Harbe</w:t>
      </w:r>
      <w:proofErr w:type="spellEnd"/>
      <w:r w:rsidR="0092045F" w:rsidRPr="004A7B4A">
        <w:rPr>
          <w:rFonts w:ascii="Times New Roman" w:eastAsia="Times New Roman" w:hAnsi="Times New Roman" w:cs="Times New Roman"/>
          <w:sz w:val="24"/>
          <w:szCs w:val="24"/>
        </w:rPr>
        <w:t xml:space="preserve"> expressed a similar concern, noting, “It’s nice because it helps, but the disadvantage is you rely on it too much.” These accounts show that students were aware of the behavioral risk of using technology as a shortcut instead of a learning scaffold. This aligns with Self-Regulated Learning Theory, which emphasizes that effective learners must actively plan, monitor, and evaluate their learning rather than rely passively on external aids (Zimmerman, 2002). Recent discussions on AI and digital tools in education likewise caution that overreliance may weaken independent thinking, critical engagement, and learning responsibility if students use technology mainly to obtain answers rather than understand processes (Wang et al., 2024</w:t>
      </w:r>
      <w:r w:rsidR="003311D9" w:rsidRPr="004A7B4A">
        <w:rPr>
          <w:rFonts w:ascii="Times New Roman" w:eastAsia="Times New Roman" w:hAnsi="Times New Roman" w:cs="Times New Roman"/>
          <w:sz w:val="24"/>
          <w:szCs w:val="24"/>
        </w:rPr>
        <w:t>b</w:t>
      </w:r>
      <w:r w:rsidR="0092045F" w:rsidRPr="004A7B4A">
        <w:rPr>
          <w:rFonts w:ascii="Times New Roman" w:eastAsia="Times New Roman" w:hAnsi="Times New Roman" w:cs="Times New Roman"/>
          <w:sz w:val="24"/>
          <w:szCs w:val="24"/>
        </w:rPr>
        <w:t xml:space="preserve">). </w:t>
      </w:r>
    </w:p>
    <w:p w14:paraId="29722195" w14:textId="77777777" w:rsidR="0092045F" w:rsidRPr="004A7B4A" w:rsidRDefault="0092045F" w:rsidP="00F06779">
      <w:pPr>
        <w:spacing w:after="0" w:line="240" w:lineRule="auto"/>
        <w:ind w:left="238"/>
        <w:jc w:val="both"/>
        <w:rPr>
          <w:rFonts w:ascii="Times New Roman" w:eastAsia="Times New Roman" w:hAnsi="Times New Roman" w:cs="Times New Roman"/>
          <w:sz w:val="24"/>
          <w:szCs w:val="24"/>
        </w:rPr>
      </w:pPr>
    </w:p>
    <w:p w14:paraId="1A7F0C8D" w14:textId="03FF8541" w:rsidR="0092045F" w:rsidRPr="004A7B4A" w:rsidRDefault="004715A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S</w:t>
      </w:r>
      <w:r w:rsidR="0092045F" w:rsidRPr="004A7B4A">
        <w:rPr>
          <w:rFonts w:ascii="Times New Roman" w:eastAsia="Times New Roman" w:hAnsi="Times New Roman" w:cs="Times New Roman"/>
          <w:sz w:val="24"/>
          <w:szCs w:val="24"/>
        </w:rPr>
        <w:t xml:space="preserve">tudents recognized that technology could support procedural fluency but might limit deeper conceptual understanding. Anta explained, “Calculator or online resources are helpful for quickly solving data, gathering equations, and using formulas, but the downside is I don’t like to study or jot down information or write out steps properly.” This statement indicates that while technology helped </w:t>
      </w:r>
      <w:proofErr w:type="gramStart"/>
      <w:r w:rsidR="0092045F" w:rsidRPr="004A7B4A">
        <w:rPr>
          <w:rFonts w:ascii="Times New Roman" w:eastAsia="Times New Roman" w:hAnsi="Times New Roman" w:cs="Times New Roman"/>
          <w:sz w:val="24"/>
          <w:szCs w:val="24"/>
        </w:rPr>
        <w:t>students</w:t>
      </w:r>
      <w:proofErr w:type="gramEnd"/>
      <w:r w:rsidR="0092045F" w:rsidRPr="004A7B4A">
        <w:rPr>
          <w:rFonts w:ascii="Times New Roman" w:eastAsia="Times New Roman" w:hAnsi="Times New Roman" w:cs="Times New Roman"/>
          <w:sz w:val="24"/>
          <w:szCs w:val="24"/>
        </w:rPr>
        <w:t xml:space="preserve"> complete mathematical tasks more efficiently, it sometimes reduced their attention to reasoning, note-taking, and step-by-step solution processes. This may be interpreted through Cognitive Constructivism, which views learning as an active process of constructing understanding rather than simply receiving answers (Piaget, 1972). It also resonates with Cognitive Load Theory, which suggests that tools can support learning when they reduce unnecessary difficulty, but may hinder learning when they replace essential cognitive processing (</w:t>
      </w:r>
      <w:proofErr w:type="spellStart"/>
      <w:r w:rsidR="0092045F" w:rsidRPr="004A7B4A">
        <w:rPr>
          <w:rFonts w:ascii="Times New Roman" w:eastAsia="Times New Roman" w:hAnsi="Times New Roman" w:cs="Times New Roman"/>
          <w:sz w:val="24"/>
          <w:szCs w:val="24"/>
        </w:rPr>
        <w:t>Sweller</w:t>
      </w:r>
      <w:proofErr w:type="spellEnd"/>
      <w:r w:rsidR="0092045F" w:rsidRPr="004A7B4A">
        <w:rPr>
          <w:rFonts w:ascii="Times New Roman" w:eastAsia="Times New Roman" w:hAnsi="Times New Roman" w:cs="Times New Roman"/>
          <w:sz w:val="24"/>
          <w:szCs w:val="24"/>
        </w:rPr>
        <w:t xml:space="preserve">, 1988). </w:t>
      </w:r>
    </w:p>
    <w:p w14:paraId="17113246" w14:textId="77777777" w:rsidR="0092045F" w:rsidRPr="004A7B4A" w:rsidRDefault="0092045F" w:rsidP="00F06779">
      <w:pPr>
        <w:spacing w:after="0" w:line="240" w:lineRule="auto"/>
        <w:ind w:left="238"/>
        <w:jc w:val="both"/>
        <w:rPr>
          <w:rFonts w:ascii="Times New Roman" w:eastAsia="Times New Roman" w:hAnsi="Times New Roman" w:cs="Times New Roman"/>
          <w:sz w:val="24"/>
          <w:szCs w:val="24"/>
        </w:rPr>
      </w:pPr>
    </w:p>
    <w:p w14:paraId="09C271FD" w14:textId="77777777" w:rsidR="0092045F" w:rsidRPr="004A7B4A" w:rsidRDefault="0092045F"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Overall, students viewed technology integration as both beneficial and problematic in mathematics learning. It provided emotional support by making difficult tasks less intimidating, encouraged access to resources, and helped students work through mathematical problems. At the same time, students recognized that excessive </w:t>
      </w:r>
      <w:r w:rsidRPr="004A7B4A">
        <w:rPr>
          <w:rFonts w:ascii="Times New Roman" w:eastAsia="Times New Roman" w:hAnsi="Times New Roman" w:cs="Times New Roman"/>
          <w:sz w:val="24"/>
          <w:szCs w:val="24"/>
        </w:rPr>
        <w:lastRenderedPageBreak/>
        <w:t>reliance on calculators, online resources, and AI tools could reduce persistence, independent problem solving, and conceptual understanding. Thus, the findings suggest that technology should not be treated as a substitute for mathematical thinking but as a scaffold for reasoning, verification, and guided practice. For mathematics instruction, this implies the need for balanced technology integration where students are taught not only how to use digital tools, but also how to evaluate solutions, explain procedures, and remain cognitively engaged in the learning process.</w:t>
      </w:r>
    </w:p>
    <w:p w14:paraId="039BA020" w14:textId="77777777" w:rsidR="0092045F" w:rsidRPr="004A7B4A" w:rsidRDefault="0092045F" w:rsidP="00F06779">
      <w:pPr>
        <w:spacing w:after="0" w:line="240" w:lineRule="auto"/>
        <w:ind w:left="238"/>
        <w:jc w:val="both"/>
        <w:rPr>
          <w:rFonts w:ascii="Times New Roman" w:eastAsia="Times New Roman" w:hAnsi="Times New Roman" w:cs="Times New Roman"/>
          <w:sz w:val="24"/>
          <w:szCs w:val="24"/>
        </w:rPr>
      </w:pPr>
    </w:p>
    <w:p w14:paraId="36B2E469" w14:textId="77777777" w:rsidR="00696E10" w:rsidRPr="004A7B4A" w:rsidRDefault="00696E10"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Theme 2: Influential Factors in Mathematical Attitudes</w:t>
      </w:r>
    </w:p>
    <w:p w14:paraId="4AA3D14C" w14:textId="77777777" w:rsidR="00011A2F" w:rsidRPr="004A7B4A" w:rsidRDefault="00011A2F" w:rsidP="00F06779">
      <w:pPr>
        <w:pStyle w:val="NoSpacing"/>
        <w:ind w:left="238"/>
        <w:jc w:val="both"/>
        <w:rPr>
          <w:rFonts w:ascii="Times New Roman" w:hAnsi="Times New Roman" w:cs="Times New Roman"/>
          <w:b/>
          <w:bCs/>
          <w:sz w:val="24"/>
          <w:szCs w:val="24"/>
        </w:rPr>
      </w:pPr>
    </w:p>
    <w:p w14:paraId="07F168B7" w14:textId="0BB60FB3" w:rsidR="00696E10" w:rsidRPr="004A7B4A" w:rsidRDefault="00696E10"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This theme encapsulates the broader context</w:t>
      </w:r>
      <w:r w:rsidR="002A2A82"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within and beyond the classroom</w:t>
      </w:r>
      <w:r w:rsidR="002A2A82"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that shapes students’ orientation toward mathematics.</w:t>
      </w:r>
    </w:p>
    <w:p w14:paraId="3301C7A1"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rPr>
      </w:pPr>
    </w:p>
    <w:p w14:paraId="3E5591E1" w14:textId="7F82F21C" w:rsidR="00696E10" w:rsidRPr="004A7B4A" w:rsidRDefault="00696E10"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Sub-theme 2.1: Environmental In</w:t>
      </w:r>
      <w:r w:rsidR="00E2485A" w:rsidRPr="004A7B4A">
        <w:rPr>
          <w:rFonts w:ascii="Times New Roman" w:hAnsi="Times New Roman" w:cs="Times New Roman"/>
          <w:b/>
          <w:bCs/>
          <w:sz w:val="24"/>
          <w:szCs w:val="24"/>
        </w:rPr>
        <w:t>fluences</w:t>
      </w:r>
    </w:p>
    <w:p w14:paraId="6EBEFD22" w14:textId="77777777" w:rsidR="00011A2F" w:rsidRPr="004A7B4A" w:rsidRDefault="00011A2F" w:rsidP="00F06779">
      <w:pPr>
        <w:pStyle w:val="NoSpacing"/>
        <w:ind w:left="238"/>
        <w:jc w:val="both"/>
        <w:rPr>
          <w:rFonts w:ascii="Times New Roman" w:hAnsi="Times New Roman" w:cs="Times New Roman"/>
          <w:b/>
          <w:bCs/>
          <w:sz w:val="24"/>
          <w:szCs w:val="24"/>
        </w:rPr>
      </w:pPr>
    </w:p>
    <w:p w14:paraId="7D8E2451" w14:textId="04ADE973" w:rsidR="008B7CE3" w:rsidRPr="004A7B4A" w:rsidRDefault="008B7C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Environmental Influences describes how students’ attitudes toward mathematics were shaped by the people and conditions surrounding their learning, particularly teachers, peers, and family members. The narratives show that students’ emotional responses, learning behaviors, and beliefs about their mathematical ability were not formed in isolation but were influenced by expectations, classroom interactions, peer modeling, and academic support. This finding is consistent with recent studies showing that teacher support, parental involvement, and social learning conditions are linked to students’ mathematics engagement, self-efficacy, anxiety, and performance (Wang et al., 2024a; </w:t>
      </w:r>
      <w:r w:rsidR="0063095D" w:rsidRPr="004A7B4A">
        <w:rPr>
          <w:rFonts w:ascii="Times New Roman" w:eastAsia="Times New Roman" w:hAnsi="Times New Roman" w:cs="Times New Roman"/>
          <w:sz w:val="24"/>
          <w:szCs w:val="24"/>
        </w:rPr>
        <w:t>Wang &amp; Wei</w:t>
      </w:r>
      <w:r w:rsidR="0063095D" w:rsidRPr="004A7B4A">
        <w:rPr>
          <w:rFonts w:ascii="Times New Roman" w:eastAsia="Times New Roman" w:hAnsi="Times New Roman" w:cs="Times New Roman"/>
          <w:sz w:val="24"/>
          <w:szCs w:val="24"/>
        </w:rPr>
        <w:t xml:space="preserve">, </w:t>
      </w:r>
      <w:r w:rsidR="0063095D" w:rsidRPr="004A7B4A">
        <w:rPr>
          <w:rFonts w:ascii="Times New Roman" w:eastAsia="Times New Roman" w:hAnsi="Times New Roman" w:cs="Times New Roman"/>
          <w:sz w:val="24"/>
          <w:szCs w:val="24"/>
        </w:rPr>
        <w:t>2024</w:t>
      </w:r>
      <w:r w:rsidRPr="004A7B4A">
        <w:rPr>
          <w:rFonts w:ascii="Times New Roman" w:eastAsia="Times New Roman" w:hAnsi="Times New Roman" w:cs="Times New Roman"/>
          <w:sz w:val="24"/>
          <w:szCs w:val="24"/>
        </w:rPr>
        <w:t>).</w:t>
      </w:r>
    </w:p>
    <w:p w14:paraId="51142E30" w14:textId="77777777" w:rsidR="008B7CE3" w:rsidRPr="004A7B4A" w:rsidRDefault="008B7CE3" w:rsidP="00F06779">
      <w:pPr>
        <w:spacing w:after="0" w:line="240" w:lineRule="auto"/>
        <w:ind w:left="238"/>
        <w:jc w:val="both"/>
        <w:rPr>
          <w:rFonts w:ascii="Times New Roman" w:eastAsia="Times New Roman" w:hAnsi="Times New Roman" w:cs="Times New Roman"/>
          <w:sz w:val="24"/>
          <w:szCs w:val="24"/>
        </w:rPr>
      </w:pPr>
    </w:p>
    <w:p w14:paraId="0E3CBD89" w14:textId="4C49870B" w:rsidR="008B7CE3" w:rsidRPr="004A7B4A" w:rsidRDefault="008B7C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Students experienced both encouragement and pressure from their social environment. Jolo shared, “The parental expectations, especially knowing my mom is an accountant, are quite high… I would cry because I really didn’t like math. I wished there could be no math subject at all.” This statement shows how family expectations can create emotional pressure, anxiety, and avoidance when students feel unable to meet perceived standards. In contrast, positive teacher influence appeared to strengthen comfort and motivation. Jeta stated, “I was influenced because she was good at teaching,” while Marba recalled, “I experienced a teacher who didn’t read books in front, and we enjoy sessions with him.” These accounts suggest that teacher competence, enthusiasm, and interactive strategies can make mathematics less intimidating. This aligns with Expectancy-Value Theory, which explains that students’ motivation is shaped by their beliefs about success and the value attached to a task, both of which may be influenced by family and classroom experiences (</w:t>
      </w:r>
      <w:r w:rsidR="00B22341" w:rsidRPr="004A7B4A">
        <w:rPr>
          <w:rFonts w:ascii="Times New Roman" w:eastAsia="Times New Roman" w:hAnsi="Times New Roman" w:cs="Times New Roman"/>
          <w:sz w:val="24"/>
          <w:szCs w:val="24"/>
        </w:rPr>
        <w:t>Eccles &amp; Wigfield, 2002</w:t>
      </w:r>
      <w:r w:rsidRPr="004A7B4A">
        <w:rPr>
          <w:rFonts w:ascii="Times New Roman" w:eastAsia="Times New Roman" w:hAnsi="Times New Roman" w:cs="Times New Roman"/>
          <w:sz w:val="24"/>
          <w:szCs w:val="24"/>
        </w:rPr>
        <w:t>)</w:t>
      </w:r>
      <w:r w:rsidR="00B22341" w:rsidRPr="004A7B4A">
        <w:rPr>
          <w:rFonts w:ascii="Times New Roman" w:eastAsia="Times New Roman" w:hAnsi="Times New Roman" w:cs="Times New Roman"/>
          <w:sz w:val="24"/>
          <w:szCs w:val="24"/>
        </w:rPr>
        <w:t>; Wigfield &amp; Eccles, 2000)</w:t>
      </w:r>
      <w:r w:rsidRPr="004A7B4A">
        <w:rPr>
          <w:rFonts w:ascii="Times New Roman" w:eastAsia="Times New Roman" w:hAnsi="Times New Roman" w:cs="Times New Roman"/>
          <w:sz w:val="24"/>
          <w:szCs w:val="24"/>
        </w:rPr>
        <w:t>.</w:t>
      </w:r>
    </w:p>
    <w:p w14:paraId="4B3FD8EE" w14:textId="77777777" w:rsidR="008B7CE3" w:rsidRPr="004A7B4A" w:rsidRDefault="008B7CE3" w:rsidP="00F06779">
      <w:pPr>
        <w:spacing w:after="0" w:line="240" w:lineRule="auto"/>
        <w:ind w:left="238"/>
        <w:jc w:val="both"/>
        <w:rPr>
          <w:rFonts w:ascii="Times New Roman" w:eastAsia="Times New Roman" w:hAnsi="Times New Roman" w:cs="Times New Roman"/>
          <w:sz w:val="24"/>
          <w:szCs w:val="24"/>
        </w:rPr>
      </w:pPr>
    </w:p>
    <w:p w14:paraId="6B720A16" w14:textId="77777777" w:rsidR="008B7CE3" w:rsidRPr="004A7B4A" w:rsidRDefault="008B7C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Peer groups also influenced students’ engagement, effort, and willingness to participate in mathematics. Baer explained, “If you’re in a circle of friends who are interested in math, you’ll be influenced and start liking math too because you learn from them and adopt their interests.” Similarly, Bjay shared, “When I see my classmates or friends learning like that, it motivates me to learn too, so I don’t get left behind.” These statements indicate that students’ learning behaviors were shaped by peer modeling, shared interest, and constructive academic comparison. This supports Social Cognitive Theory, which emphasizes that learners acquire behaviors, attitudes, and beliefs through observation, modeling, and social interaction (Bandura, 1986). Recent literature likewise emphasizes that teacher and social support contribute to students’ mathematics engagement and attitudes by strengthening motivation and reducing negative emotional responses (Wang et al., 2024a).</w:t>
      </w:r>
    </w:p>
    <w:p w14:paraId="10F9CFDA" w14:textId="77777777" w:rsidR="008B7CE3" w:rsidRPr="004A7B4A" w:rsidRDefault="008B7CE3" w:rsidP="00F06779">
      <w:pPr>
        <w:spacing w:after="0" w:line="240" w:lineRule="auto"/>
        <w:ind w:left="238"/>
        <w:jc w:val="both"/>
        <w:rPr>
          <w:rFonts w:ascii="Times New Roman" w:eastAsia="Times New Roman" w:hAnsi="Times New Roman" w:cs="Times New Roman"/>
          <w:sz w:val="24"/>
          <w:szCs w:val="24"/>
        </w:rPr>
      </w:pPr>
    </w:p>
    <w:p w14:paraId="5AA79A5D" w14:textId="7BC23441" w:rsidR="008B7CE3" w:rsidRPr="004A7B4A" w:rsidRDefault="008B7C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Students’ beliefs about their mathematical ability improved when they received support from classmates or observed peers succeeding in mathematics. </w:t>
      </w:r>
      <w:proofErr w:type="spellStart"/>
      <w:r w:rsidRPr="004A7B4A">
        <w:rPr>
          <w:rFonts w:ascii="Times New Roman" w:eastAsia="Times New Roman" w:hAnsi="Times New Roman" w:cs="Times New Roman"/>
          <w:sz w:val="24"/>
          <w:szCs w:val="24"/>
        </w:rPr>
        <w:t>Harbe</w:t>
      </w:r>
      <w:proofErr w:type="spellEnd"/>
      <w:r w:rsidRPr="004A7B4A">
        <w:rPr>
          <w:rFonts w:ascii="Times New Roman" w:eastAsia="Times New Roman" w:hAnsi="Times New Roman" w:cs="Times New Roman"/>
          <w:sz w:val="24"/>
          <w:szCs w:val="24"/>
        </w:rPr>
        <w:t xml:space="preserve"> stated, “If I have a friend who excels in math and teaches me</w:t>
      </w:r>
      <w:r w:rsidR="004715A3"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especially since I’m a slow learner</w:t>
      </w:r>
      <w:r w:rsidR="004715A3"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 xml:space="preserve">I feel proud because I can solve something I thought was too difficult.” Jolo also shared, “My classmates helped me in math... I was more encouraged to actively learn math rather than passively.” These statements show a shift from perceiving mathematics as difficult to seeing it as learnable through assistance and shared understanding. This reflects Sociocultural Theory, which views learning as socially mediated through interaction with more knowledgeable others, including teachers and peers (Vygotsky, 1978). Parental expectations also shaped students’ academic orientation, as shown in Nano’s statement, “My mom has high expectations, so I strive hard,” indicating that family values may influence </w:t>
      </w:r>
      <w:r w:rsidRPr="004A7B4A">
        <w:rPr>
          <w:rFonts w:ascii="Times New Roman" w:eastAsia="Times New Roman" w:hAnsi="Times New Roman" w:cs="Times New Roman"/>
          <w:sz w:val="24"/>
          <w:szCs w:val="24"/>
        </w:rPr>
        <w:lastRenderedPageBreak/>
        <w:t>students’ effort and perception of the importance of mathematics. This is also consistent with recent evidence that parental involvement is associated with students’ mathematics performance and academic development (Wang et al., 2024</w:t>
      </w:r>
      <w:r w:rsidR="00FD634E" w:rsidRPr="004A7B4A">
        <w:rPr>
          <w:rFonts w:ascii="Times New Roman" w:eastAsia="Times New Roman" w:hAnsi="Times New Roman" w:cs="Times New Roman"/>
          <w:sz w:val="24"/>
          <w:szCs w:val="24"/>
        </w:rPr>
        <w:t>a</w:t>
      </w:r>
      <w:r w:rsidRPr="004A7B4A">
        <w:rPr>
          <w:rFonts w:ascii="Times New Roman" w:eastAsia="Times New Roman" w:hAnsi="Times New Roman" w:cs="Times New Roman"/>
          <w:sz w:val="24"/>
          <w:szCs w:val="24"/>
        </w:rPr>
        <w:t>).</w:t>
      </w:r>
    </w:p>
    <w:p w14:paraId="6AD9B627" w14:textId="77777777" w:rsidR="008B7CE3" w:rsidRPr="004A7B4A" w:rsidRDefault="008B7CE3" w:rsidP="00F06779">
      <w:pPr>
        <w:spacing w:after="0" w:line="240" w:lineRule="auto"/>
        <w:ind w:left="238"/>
        <w:jc w:val="both"/>
        <w:rPr>
          <w:rFonts w:ascii="Times New Roman" w:eastAsia="Times New Roman" w:hAnsi="Times New Roman" w:cs="Times New Roman"/>
          <w:sz w:val="24"/>
          <w:szCs w:val="24"/>
        </w:rPr>
      </w:pPr>
    </w:p>
    <w:p w14:paraId="3D2DE43D" w14:textId="2E1D5C46" w:rsidR="008B7CE3" w:rsidRPr="004A7B4A" w:rsidRDefault="004715A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Environmental</w:t>
      </w:r>
      <w:r w:rsidR="008B7CE3" w:rsidRPr="004A7B4A">
        <w:rPr>
          <w:rFonts w:ascii="Times New Roman" w:eastAsia="Times New Roman" w:hAnsi="Times New Roman" w:cs="Times New Roman"/>
          <w:sz w:val="24"/>
          <w:szCs w:val="24"/>
        </w:rPr>
        <w:t xml:space="preserve"> Influences shows that students’ mathematical attitudes were shaped by the interaction of family expectations, teacher practices, and peer support. Family expectations could either motivate students or produce emotional pressure, while teachers’ instructional strategies influenced students’ comfort, interest, and willingness to engage. Peers also served as important sources of motivation, modeling, and academic assistance. Thus, cultivating positive attitudes toward mathematics requires a supportive learning ecology where teachers provide clear and encouraging instruction, peers promote collaborative learning, and families communicate expectations in ways that motivate rather than intimidate learners (Bandura, 1986; Vygotsky, 1978; Wang et al., 2024a; Wang et al., 2024b; Wigfield &amp; Eccles, 2000).</w:t>
      </w:r>
    </w:p>
    <w:p w14:paraId="2499CB8F" w14:textId="77777777" w:rsidR="008B7CE3" w:rsidRPr="004A7B4A" w:rsidRDefault="008B7CE3" w:rsidP="00F06779">
      <w:pPr>
        <w:spacing w:after="0" w:line="240" w:lineRule="auto"/>
        <w:ind w:left="238"/>
        <w:jc w:val="both"/>
        <w:rPr>
          <w:rFonts w:ascii="Times New Roman" w:eastAsia="Times New Roman" w:hAnsi="Times New Roman" w:cs="Times New Roman"/>
          <w:sz w:val="24"/>
          <w:szCs w:val="24"/>
        </w:rPr>
      </w:pPr>
    </w:p>
    <w:p w14:paraId="07DB4073" w14:textId="77777777" w:rsidR="00CF3522" w:rsidRPr="004A7B4A" w:rsidRDefault="00CF3522"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Sub-theme 2.2: Impact of Past Experiences</w:t>
      </w:r>
    </w:p>
    <w:p w14:paraId="01443973" w14:textId="77777777" w:rsidR="00CF3522" w:rsidRPr="004A7B4A" w:rsidRDefault="00CF3522" w:rsidP="00F06779">
      <w:pPr>
        <w:pStyle w:val="NoSpacing"/>
        <w:ind w:left="238"/>
        <w:jc w:val="both"/>
        <w:rPr>
          <w:rFonts w:ascii="Times New Roman" w:hAnsi="Times New Roman" w:cs="Times New Roman"/>
          <w:sz w:val="24"/>
          <w:szCs w:val="24"/>
        </w:rPr>
      </w:pPr>
    </w:p>
    <w:p w14:paraId="315C90B3" w14:textId="3D02C07E" w:rsidR="00CF3522" w:rsidRPr="004A7B4A" w:rsidRDefault="004715A3"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This</w:t>
      </w:r>
      <w:r w:rsidR="00CF3522" w:rsidRPr="004A7B4A">
        <w:rPr>
          <w:rFonts w:ascii="Times New Roman" w:hAnsi="Times New Roman" w:cs="Times New Roman"/>
          <w:sz w:val="24"/>
          <w:szCs w:val="24"/>
        </w:rPr>
        <w:t xml:space="preserve"> describes how students’ previous encounters with mathematics shaped their present attitudes, confidence, and willingness to engage with the subject. Their narratives show that past experiences with teachers, grades, competitions, encouragement, and classroom climate became lasting reference points in how they interpreted mathematics as either enjoyable, manageable, intimidating, or discouraging. This supports the view that students’ mathematical attitudes are cumulative, as earlier emotional and academic experiences may influence later self-efficacy, anxiety, motivation, and engagement (Bandura, 1997</w:t>
      </w:r>
      <w:r w:rsidR="00215DEA" w:rsidRPr="004A7B4A">
        <w:rPr>
          <w:rFonts w:ascii="Times New Roman" w:hAnsi="Times New Roman" w:cs="Times New Roman"/>
          <w:sz w:val="24"/>
          <w:szCs w:val="24"/>
        </w:rPr>
        <w:t>b</w:t>
      </w:r>
      <w:r w:rsidR="00CF3522" w:rsidRPr="004A7B4A">
        <w:rPr>
          <w:rFonts w:ascii="Times New Roman" w:hAnsi="Times New Roman" w:cs="Times New Roman"/>
          <w:sz w:val="24"/>
          <w:szCs w:val="24"/>
        </w:rPr>
        <w:t xml:space="preserve">; </w:t>
      </w:r>
      <w:proofErr w:type="spellStart"/>
      <w:r w:rsidR="00CF3522" w:rsidRPr="004A7B4A">
        <w:rPr>
          <w:rFonts w:ascii="Times New Roman" w:hAnsi="Times New Roman" w:cs="Times New Roman"/>
          <w:sz w:val="24"/>
          <w:szCs w:val="24"/>
        </w:rPr>
        <w:t>Pekrun</w:t>
      </w:r>
      <w:proofErr w:type="spellEnd"/>
      <w:r w:rsidR="00CF3522" w:rsidRPr="004A7B4A">
        <w:rPr>
          <w:rFonts w:ascii="Times New Roman" w:hAnsi="Times New Roman" w:cs="Times New Roman"/>
          <w:sz w:val="24"/>
          <w:szCs w:val="24"/>
        </w:rPr>
        <w:t>, 2006). Recent empirical evidence also shows that teacher interactions and experiences with mathematical content are significantly related to students’ mathematics anxiety, while perceived teacher support is associated with stronger mathematics self-efficacy and lower anxiety (</w:t>
      </w:r>
      <w:proofErr w:type="spellStart"/>
      <w:r w:rsidR="00CF3522" w:rsidRPr="004A7B4A">
        <w:rPr>
          <w:rFonts w:ascii="Times New Roman" w:hAnsi="Times New Roman" w:cs="Times New Roman"/>
          <w:sz w:val="24"/>
          <w:szCs w:val="24"/>
        </w:rPr>
        <w:t>Ongcoy</w:t>
      </w:r>
      <w:proofErr w:type="spellEnd"/>
      <w:r w:rsidR="00CF3522" w:rsidRPr="004A7B4A">
        <w:rPr>
          <w:rFonts w:ascii="Times New Roman" w:hAnsi="Times New Roman" w:cs="Times New Roman"/>
          <w:sz w:val="24"/>
          <w:szCs w:val="24"/>
        </w:rPr>
        <w:t xml:space="preserve"> et al., 2023; Wang et al., 2024</w:t>
      </w:r>
      <w:r w:rsidR="003311D9" w:rsidRPr="004A7B4A">
        <w:rPr>
          <w:rFonts w:ascii="Times New Roman" w:hAnsi="Times New Roman" w:cs="Times New Roman"/>
          <w:sz w:val="24"/>
          <w:szCs w:val="24"/>
        </w:rPr>
        <w:t>a</w:t>
      </w:r>
      <w:r w:rsidR="00CF3522" w:rsidRPr="004A7B4A">
        <w:rPr>
          <w:rFonts w:ascii="Times New Roman" w:hAnsi="Times New Roman" w:cs="Times New Roman"/>
          <w:sz w:val="24"/>
          <w:szCs w:val="24"/>
        </w:rPr>
        <w:t xml:space="preserve">).  </w:t>
      </w:r>
    </w:p>
    <w:p w14:paraId="4727E50A" w14:textId="77777777" w:rsidR="00CF3522" w:rsidRPr="004A7B4A" w:rsidRDefault="00CF3522" w:rsidP="00F06779">
      <w:pPr>
        <w:pStyle w:val="NoSpacing"/>
        <w:ind w:left="238"/>
        <w:jc w:val="both"/>
        <w:rPr>
          <w:rFonts w:ascii="Times New Roman" w:hAnsi="Times New Roman" w:cs="Times New Roman"/>
          <w:sz w:val="24"/>
          <w:szCs w:val="24"/>
        </w:rPr>
      </w:pPr>
    </w:p>
    <w:p w14:paraId="608A96F2" w14:textId="77777777" w:rsidR="00CF3522" w:rsidRPr="004A7B4A" w:rsidRDefault="00CF3522"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Students recalled emotionally powerful experiences with former mathematics teachers, which either strengthened or weakened their interest in the subject. Baer described a negative experience, stating, “I had a teacher who was traumatic; the classroom vibes would change when she entered… she didn’t entertain weaker students, only the bright ones.” This statement suggests that unsupportive teacher behavior may create fear, exclusion, and avoidance among students who already struggle in mathematics. However, Baer contrasted this with a more positive senior high school experience: “The teacher in senior high was the opposite… I would get excited because learning math was fun during her sessions.” Similarly, Paril shared, “My high school teachers were good, they taught well… I still carry what they taught me.” These narratives indicate that emotionally supportive, inclusive, and engaging teachers can transform students’ feelings toward mathematics. This aligns with Control-Value Theory, which explains that students’ achievement emotions are shaped by their perceived control over learning and the value they attach to the subject, both of which are influenced by classroom experiences and teacher support (</w:t>
      </w:r>
      <w:proofErr w:type="spellStart"/>
      <w:r w:rsidRPr="004A7B4A">
        <w:rPr>
          <w:rFonts w:ascii="Times New Roman" w:hAnsi="Times New Roman" w:cs="Times New Roman"/>
          <w:sz w:val="24"/>
          <w:szCs w:val="24"/>
        </w:rPr>
        <w:t>Pekrun</w:t>
      </w:r>
      <w:proofErr w:type="spellEnd"/>
      <w:r w:rsidRPr="004A7B4A">
        <w:rPr>
          <w:rFonts w:ascii="Times New Roman" w:hAnsi="Times New Roman" w:cs="Times New Roman"/>
          <w:sz w:val="24"/>
          <w:szCs w:val="24"/>
        </w:rPr>
        <w:t xml:space="preserve">, 2006). Empirically, </w:t>
      </w:r>
      <w:proofErr w:type="spellStart"/>
      <w:r w:rsidRPr="004A7B4A">
        <w:rPr>
          <w:rFonts w:ascii="Times New Roman" w:hAnsi="Times New Roman" w:cs="Times New Roman"/>
          <w:sz w:val="24"/>
          <w:szCs w:val="24"/>
        </w:rPr>
        <w:t>Ongcoy</w:t>
      </w:r>
      <w:proofErr w:type="spellEnd"/>
      <w:r w:rsidRPr="004A7B4A">
        <w:rPr>
          <w:rFonts w:ascii="Times New Roman" w:hAnsi="Times New Roman" w:cs="Times New Roman"/>
          <w:sz w:val="24"/>
          <w:szCs w:val="24"/>
        </w:rPr>
        <w:t xml:space="preserve"> et al. (2023) found that students’ experiences with teacher interactions and mathematical content were significantly and negatively correlated with mathematics anxiety, suggesting that positive experiences may help reduce anxiety in mathematics.  </w:t>
      </w:r>
    </w:p>
    <w:p w14:paraId="3FCDB00F" w14:textId="77777777" w:rsidR="00CF3522" w:rsidRPr="004A7B4A" w:rsidRDefault="00CF3522" w:rsidP="00F06779">
      <w:pPr>
        <w:pStyle w:val="NoSpacing"/>
        <w:ind w:left="238"/>
        <w:jc w:val="both"/>
        <w:rPr>
          <w:rFonts w:ascii="Times New Roman" w:hAnsi="Times New Roman" w:cs="Times New Roman"/>
          <w:sz w:val="24"/>
          <w:szCs w:val="24"/>
        </w:rPr>
      </w:pPr>
    </w:p>
    <w:p w14:paraId="50E809BD" w14:textId="375977C9" w:rsidR="00CF3522" w:rsidRPr="004A7B4A" w:rsidRDefault="00CF3522"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Students’ previous success or failure also influenced their learning behaviors and persistence in mathematics. Nano explained that participation in mathematics competitions strengthened his confidence: “In the math challenges I’ve experienced, I was more advanced compared to my classmates… so I was truly confident in math.” This reflects how success experiences can reinforce effort, participation, and willingness to take on mathematical tasks. In contrast, Anta stated, “Because my scores decreased, I lost interest, which is why I don’t like math,” showing how repeated or noticeable academic decline can weaken motivation and lead to disengagement. These accounts are consistent with Self-Regulated Learning Theory, which emphasizes that learners’ prior performance experiences influence their goal setting, persistence, strategy use, and help-seeking behaviors (Zimmerman, 2002). They are also supported by Social Cognitive Theory, particularly the concept of mastery experience, where previous success becomes a strong source of self-efficacy, while repeated failure may weaken confidence and future engagement (Bandura, 1997). Recent studies similarly show that mathematics self-efficacy plays a central role in students’ anxiety, feedback literacy, and engagement with mathematics learning (Chen et al., 2024; Wang et al., 2024</w:t>
      </w:r>
      <w:r w:rsidR="003311D9" w:rsidRPr="004A7B4A">
        <w:rPr>
          <w:rFonts w:ascii="Times New Roman" w:hAnsi="Times New Roman" w:cs="Times New Roman"/>
          <w:sz w:val="24"/>
          <w:szCs w:val="24"/>
        </w:rPr>
        <w:t>a</w:t>
      </w:r>
      <w:r w:rsidRPr="004A7B4A">
        <w:rPr>
          <w:rFonts w:ascii="Times New Roman" w:hAnsi="Times New Roman" w:cs="Times New Roman"/>
          <w:sz w:val="24"/>
          <w:szCs w:val="24"/>
        </w:rPr>
        <w:t xml:space="preserve">).  </w:t>
      </w:r>
    </w:p>
    <w:p w14:paraId="70CA6CC7" w14:textId="77777777" w:rsidR="00CF3522" w:rsidRPr="004A7B4A" w:rsidRDefault="00CF3522" w:rsidP="00F06779">
      <w:pPr>
        <w:pStyle w:val="NoSpacing"/>
        <w:ind w:left="238"/>
        <w:jc w:val="both"/>
        <w:rPr>
          <w:rFonts w:ascii="Times New Roman" w:hAnsi="Times New Roman" w:cs="Times New Roman"/>
          <w:sz w:val="24"/>
          <w:szCs w:val="24"/>
        </w:rPr>
      </w:pPr>
    </w:p>
    <w:p w14:paraId="20BBF552" w14:textId="589A6D21" w:rsidR="00CF3522" w:rsidRPr="004A7B4A" w:rsidRDefault="00CF3522"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 xml:space="preserve">Students also described how past teacher encouragement shaped their beliefs about their mathematical ability and even their academic identity. </w:t>
      </w:r>
      <w:proofErr w:type="spellStart"/>
      <w:r w:rsidRPr="004A7B4A">
        <w:rPr>
          <w:rFonts w:ascii="Times New Roman" w:hAnsi="Times New Roman" w:cs="Times New Roman"/>
          <w:sz w:val="24"/>
          <w:szCs w:val="24"/>
        </w:rPr>
        <w:t>Jevil</w:t>
      </w:r>
      <w:proofErr w:type="spellEnd"/>
      <w:r w:rsidRPr="004A7B4A">
        <w:rPr>
          <w:rFonts w:ascii="Times New Roman" w:hAnsi="Times New Roman" w:cs="Times New Roman"/>
          <w:sz w:val="24"/>
          <w:szCs w:val="24"/>
        </w:rPr>
        <w:t xml:space="preserve"> shared, “In high school, I liked my math teacher because I saw that he was very bright in math, which is why I also majored in math.” This statement suggests that teachers can serve as intellectual models who influence students’ academic interests and future choices. Jeta similarly recalled, “There was a time when I answered a problem quickly and my teacher commended me… that really boosted my confidence.” Such experiences show how recognition and encouragement can help students internalize the belief that they </w:t>
      </w:r>
      <w:proofErr w:type="gramStart"/>
      <w:r w:rsidRPr="004A7B4A">
        <w:rPr>
          <w:rFonts w:ascii="Times New Roman" w:hAnsi="Times New Roman" w:cs="Times New Roman"/>
          <w:sz w:val="24"/>
          <w:szCs w:val="24"/>
        </w:rPr>
        <w:t>are capable of doing</w:t>
      </w:r>
      <w:proofErr w:type="gramEnd"/>
      <w:r w:rsidRPr="004A7B4A">
        <w:rPr>
          <w:rFonts w:ascii="Times New Roman" w:hAnsi="Times New Roman" w:cs="Times New Roman"/>
          <w:sz w:val="24"/>
          <w:szCs w:val="24"/>
        </w:rPr>
        <w:t xml:space="preserve"> mathematics. This is consistent with Sociocultural Theory, which views learning and identity formation as socially mediated through meaningful interaction with teachers and more knowledgeable others (Vygotsky, 1978). Recent evidence supports this interpretation, as perceived mathematics teacher support has been found to positively predict teacher–student relationships and mathematics self-efficacy, while self-efficacy significantly reduces mathematics anxiety (Wang et al., 2024</w:t>
      </w:r>
      <w:r w:rsidR="003311D9" w:rsidRPr="004A7B4A">
        <w:rPr>
          <w:rFonts w:ascii="Times New Roman" w:hAnsi="Times New Roman" w:cs="Times New Roman"/>
          <w:sz w:val="24"/>
          <w:szCs w:val="24"/>
        </w:rPr>
        <w:t>a</w:t>
      </w:r>
      <w:r w:rsidRPr="004A7B4A">
        <w:rPr>
          <w:rFonts w:ascii="Times New Roman" w:hAnsi="Times New Roman" w:cs="Times New Roman"/>
          <w:sz w:val="24"/>
          <w:szCs w:val="24"/>
        </w:rPr>
        <w:t xml:space="preserve">).  </w:t>
      </w:r>
    </w:p>
    <w:p w14:paraId="65BF1B56" w14:textId="77777777" w:rsidR="00CF3522" w:rsidRPr="004A7B4A" w:rsidRDefault="00CF3522" w:rsidP="00F06779">
      <w:pPr>
        <w:pStyle w:val="NoSpacing"/>
        <w:ind w:left="238"/>
        <w:jc w:val="both"/>
        <w:rPr>
          <w:rFonts w:ascii="Times New Roman" w:hAnsi="Times New Roman" w:cs="Times New Roman"/>
          <w:sz w:val="24"/>
          <w:szCs w:val="24"/>
        </w:rPr>
      </w:pPr>
    </w:p>
    <w:p w14:paraId="6F889632" w14:textId="3C058657" w:rsidR="00CF3522" w:rsidRPr="004A7B4A" w:rsidRDefault="0070470A"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S</w:t>
      </w:r>
      <w:r w:rsidR="00CF3522" w:rsidRPr="004A7B4A">
        <w:rPr>
          <w:rFonts w:ascii="Times New Roman" w:hAnsi="Times New Roman" w:cs="Times New Roman"/>
          <w:sz w:val="24"/>
          <w:szCs w:val="24"/>
        </w:rPr>
        <w:t>tudents’ past experiences in mathematics were not isolated memories but enduring influences that shaped how they currently feel, behave, and think about the subject. Encouraging teachers, successful performances, and affirming feedback strengthened confidence, persistence, and interest, while discouraging teacher behavior, declining scores, and exclusionary classroom climates contributed to anxiety, avoidance, and reduced motivation. These findings suggest that mathematics teachers play a critical role not only in delivering content but also in shaping students’ long-term mathematical self-</w:t>
      </w:r>
      <w:proofErr w:type="gramStart"/>
      <w:r w:rsidR="00CF3522" w:rsidRPr="004A7B4A">
        <w:rPr>
          <w:rFonts w:ascii="Times New Roman" w:hAnsi="Times New Roman" w:cs="Times New Roman"/>
          <w:sz w:val="24"/>
          <w:szCs w:val="24"/>
        </w:rPr>
        <w:t>beliefs</w:t>
      </w:r>
      <w:proofErr w:type="gramEnd"/>
      <w:r w:rsidR="00CF3522" w:rsidRPr="004A7B4A">
        <w:rPr>
          <w:rFonts w:ascii="Times New Roman" w:hAnsi="Times New Roman" w:cs="Times New Roman"/>
          <w:sz w:val="24"/>
          <w:szCs w:val="24"/>
        </w:rPr>
        <w:t>. For mathematics instruction, this implies the need for supportive feedback, inclusive classroom practices, constructive responses to errors, and opportunities for successful participation so that students can build more positive and resilient mathematical identities.</w:t>
      </w:r>
    </w:p>
    <w:p w14:paraId="65F6E1D7" w14:textId="77777777" w:rsidR="00CF3522" w:rsidRPr="004A7B4A" w:rsidRDefault="00CF3522" w:rsidP="00F06779">
      <w:pPr>
        <w:pStyle w:val="NoSpacing"/>
        <w:ind w:left="238"/>
        <w:jc w:val="both"/>
        <w:rPr>
          <w:rFonts w:ascii="Times New Roman" w:hAnsi="Times New Roman" w:cs="Times New Roman"/>
          <w:sz w:val="24"/>
          <w:szCs w:val="24"/>
        </w:rPr>
      </w:pPr>
    </w:p>
    <w:p w14:paraId="37F941AC" w14:textId="77777777" w:rsidR="00A11665" w:rsidRPr="004A7B4A" w:rsidRDefault="00A11665"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Theme 3: General Attitudes Toward Mathematics</w:t>
      </w:r>
    </w:p>
    <w:p w14:paraId="705943D7" w14:textId="77777777" w:rsidR="00A11665" w:rsidRPr="004A7B4A" w:rsidRDefault="00A11665" w:rsidP="00F06779">
      <w:pPr>
        <w:spacing w:before="100" w:beforeAutospacing="1" w:after="100" w:afterAutospacing="1"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This theme illustrates students’ internal perceptions, emotional tendencies, and classroom behaviors related to mathematics learning.</w:t>
      </w:r>
    </w:p>
    <w:p w14:paraId="0D5E1F9F" w14:textId="77777777" w:rsidR="00CC380F" w:rsidRPr="004A7B4A" w:rsidRDefault="00CC380F"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Sub-theme 3.1: Emotional Responses</w:t>
      </w:r>
    </w:p>
    <w:p w14:paraId="6EEFDB65" w14:textId="77777777" w:rsidR="00CC380F" w:rsidRPr="004A7B4A" w:rsidRDefault="00CC380F" w:rsidP="00F06779">
      <w:pPr>
        <w:pStyle w:val="NoSpacing"/>
        <w:ind w:left="238"/>
        <w:jc w:val="both"/>
        <w:rPr>
          <w:rFonts w:ascii="Times New Roman" w:hAnsi="Times New Roman" w:cs="Times New Roman"/>
          <w:sz w:val="24"/>
          <w:szCs w:val="24"/>
        </w:rPr>
      </w:pPr>
    </w:p>
    <w:p w14:paraId="02C09A38" w14:textId="77777777" w:rsidR="00CC380F" w:rsidRPr="004A7B4A" w:rsidRDefault="00CC380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 xml:space="preserve">Emotional Responses captures how students’ feelings toward mathematics </w:t>
      </w:r>
      <w:proofErr w:type="gramStart"/>
      <w:r w:rsidRPr="004A7B4A">
        <w:rPr>
          <w:rFonts w:ascii="Times New Roman" w:hAnsi="Times New Roman" w:cs="Times New Roman"/>
          <w:sz w:val="24"/>
          <w:szCs w:val="24"/>
        </w:rPr>
        <w:t>ranged</w:t>
      </w:r>
      <w:proofErr w:type="gramEnd"/>
      <w:r w:rsidRPr="004A7B4A">
        <w:rPr>
          <w:rFonts w:ascii="Times New Roman" w:hAnsi="Times New Roman" w:cs="Times New Roman"/>
          <w:sz w:val="24"/>
          <w:szCs w:val="24"/>
        </w:rPr>
        <w:t xml:space="preserve"> from fear, frustration, and avoidance to curiosity, satisfaction, and renewed confidence. The narratives show that mathematics was not experienced merely as an academic subject but as an emotionally charged learning domain shaped by prior achievement, teacher treatment, classroom interactions, and opportunities for success. Some students described mathematics as a source of anxiety and low confidence, while others showed that positive experiences, peer support, and successful problem-solving could gradually transform their attitudes. This finding is consistent with recent mathematics education literature emphasizing that emotions and motivation are central to students’ learning, engagement, and achievement in mathematics (</w:t>
      </w:r>
      <w:proofErr w:type="spellStart"/>
      <w:r w:rsidRPr="004A7B4A">
        <w:rPr>
          <w:rFonts w:ascii="Times New Roman" w:hAnsi="Times New Roman" w:cs="Times New Roman"/>
          <w:sz w:val="24"/>
          <w:szCs w:val="24"/>
        </w:rPr>
        <w:t>Schukajlow</w:t>
      </w:r>
      <w:proofErr w:type="spellEnd"/>
      <w:r w:rsidRPr="004A7B4A">
        <w:rPr>
          <w:rFonts w:ascii="Times New Roman" w:hAnsi="Times New Roman" w:cs="Times New Roman"/>
          <w:sz w:val="24"/>
          <w:szCs w:val="24"/>
        </w:rPr>
        <w:t xml:space="preserve"> et al., 2023; Hanin &amp; Gay, 2023).</w:t>
      </w:r>
    </w:p>
    <w:p w14:paraId="31E918CE" w14:textId="77777777" w:rsidR="00CC380F" w:rsidRPr="004A7B4A" w:rsidRDefault="00CC380F" w:rsidP="00F06779">
      <w:pPr>
        <w:pStyle w:val="NoSpacing"/>
        <w:ind w:left="238"/>
        <w:jc w:val="both"/>
        <w:rPr>
          <w:rFonts w:ascii="Times New Roman" w:hAnsi="Times New Roman" w:cs="Times New Roman"/>
          <w:sz w:val="24"/>
          <w:szCs w:val="24"/>
        </w:rPr>
      </w:pPr>
    </w:p>
    <w:p w14:paraId="56697519" w14:textId="77777777" w:rsidR="00CC380F" w:rsidRPr="004A7B4A" w:rsidRDefault="00CC380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 xml:space="preserve">Several students expressed strong negative emotions toward mathematics, often rooted in repeated difficulty or discouraging experiences. </w:t>
      </w:r>
      <w:proofErr w:type="spellStart"/>
      <w:r w:rsidRPr="004A7B4A">
        <w:rPr>
          <w:rFonts w:ascii="Times New Roman" w:hAnsi="Times New Roman" w:cs="Times New Roman"/>
          <w:sz w:val="24"/>
          <w:szCs w:val="24"/>
        </w:rPr>
        <w:t>Mobo</w:t>
      </w:r>
      <w:proofErr w:type="spellEnd"/>
      <w:r w:rsidRPr="004A7B4A">
        <w:rPr>
          <w:rFonts w:ascii="Times New Roman" w:hAnsi="Times New Roman" w:cs="Times New Roman"/>
          <w:sz w:val="24"/>
          <w:szCs w:val="24"/>
        </w:rPr>
        <w:t xml:space="preserve"> stated, “I hate math. Since elementary, my grades haven’t been great, just average… My level of confidence in math is low,” while </w:t>
      </w:r>
      <w:proofErr w:type="spellStart"/>
      <w:r w:rsidRPr="004A7B4A">
        <w:rPr>
          <w:rFonts w:ascii="Times New Roman" w:hAnsi="Times New Roman" w:cs="Times New Roman"/>
          <w:sz w:val="24"/>
          <w:szCs w:val="24"/>
        </w:rPr>
        <w:t>Harbe</w:t>
      </w:r>
      <w:proofErr w:type="spellEnd"/>
      <w:r w:rsidRPr="004A7B4A">
        <w:rPr>
          <w:rFonts w:ascii="Times New Roman" w:hAnsi="Times New Roman" w:cs="Times New Roman"/>
          <w:sz w:val="24"/>
          <w:szCs w:val="24"/>
        </w:rPr>
        <w:t xml:space="preserve"> shared, “I’ve never liked math. From elementary to college, I just don’t like it… I always anticipate failing.” Bjay also recalled, “Back in elementary school, we had a math teacher who would punish us if we got a wrong answer,” suggesting that fear-based classroom experiences may contribute to long-term anxiety and avoidance. Jazen’s statement, “I can’t see myself taking a math major,” further reflects how negative emotional histories can influence students’ academic self-concept and future choices. These accounts may be interpreted through Attribution Theory, which explains that repeated failure can lead learners to attribute poor performance to stable internal causes, weakening confidence and effort (Weiner, 1985). Recent studies similarly show that mathematics anxiety is negatively associated with achievement, self-concept, interest, and enjoyment, making emotional difficulty a significant barrier to mathematics learning (Broda et al., 2023; Möhring et al., 2024).</w:t>
      </w:r>
    </w:p>
    <w:p w14:paraId="26BE1DE5" w14:textId="77777777" w:rsidR="00CC380F" w:rsidRPr="004A7B4A" w:rsidRDefault="00CC380F" w:rsidP="00F06779">
      <w:pPr>
        <w:pStyle w:val="NoSpacing"/>
        <w:ind w:left="238"/>
        <w:jc w:val="both"/>
        <w:rPr>
          <w:rFonts w:ascii="Times New Roman" w:hAnsi="Times New Roman" w:cs="Times New Roman"/>
          <w:sz w:val="24"/>
          <w:szCs w:val="24"/>
        </w:rPr>
      </w:pPr>
    </w:p>
    <w:p w14:paraId="668D9D8D" w14:textId="77777777" w:rsidR="00CC380F" w:rsidRPr="004A7B4A" w:rsidRDefault="00CC380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lastRenderedPageBreak/>
        <w:t>The emotional difficulty students experienced also shaped their learning habits and classroom participation. Daji admitted, “I’m not participative, I don’t understand no matter how the teacher explains… my grades are okay, but maybe my teacher just pities me,” indicating a sense of helplessness and low academic agency. Anta similarly shared, “I tend to study only because there’s an exam the next day… I don’t pay much attention unless there’s a quiz,” which suggests that anxiety and low interest may lead to minimal, assessment-driven engagement rather than sustained learning. These patterns are aligned with Control-Value Theory, which explains that students’ emotions influence motivation, cognitive resources, strategy use, and self-regulation; when learners feel low control or low task value, disengagement and avoidance are more likely (</w:t>
      </w:r>
      <w:proofErr w:type="spellStart"/>
      <w:r w:rsidRPr="004A7B4A">
        <w:rPr>
          <w:rFonts w:ascii="Times New Roman" w:hAnsi="Times New Roman" w:cs="Times New Roman"/>
          <w:sz w:val="24"/>
          <w:szCs w:val="24"/>
        </w:rPr>
        <w:t>Pekrun</w:t>
      </w:r>
      <w:proofErr w:type="spellEnd"/>
      <w:r w:rsidRPr="004A7B4A">
        <w:rPr>
          <w:rFonts w:ascii="Times New Roman" w:hAnsi="Times New Roman" w:cs="Times New Roman"/>
          <w:sz w:val="24"/>
          <w:szCs w:val="24"/>
        </w:rPr>
        <w:t>, 2006; Hanin &amp; Gay, 2023). In this sense, students’ emotional responses did not remain internal feelings alone but were translated into observable behaviors such as silence, limited participation, delayed studying, and reduced persistence.</w:t>
      </w:r>
    </w:p>
    <w:p w14:paraId="61E20F60" w14:textId="77777777" w:rsidR="00CC380F" w:rsidRPr="004A7B4A" w:rsidRDefault="00CC380F" w:rsidP="00F06779">
      <w:pPr>
        <w:pStyle w:val="NoSpacing"/>
        <w:ind w:left="238"/>
        <w:jc w:val="both"/>
        <w:rPr>
          <w:rFonts w:ascii="Times New Roman" w:hAnsi="Times New Roman" w:cs="Times New Roman"/>
          <w:sz w:val="24"/>
          <w:szCs w:val="24"/>
        </w:rPr>
      </w:pPr>
    </w:p>
    <w:p w14:paraId="3874B7F5" w14:textId="284C99E0" w:rsidR="00CC380F" w:rsidRPr="004A7B4A" w:rsidRDefault="00CC380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Despite these negative experiences, some students demonstrated emotional ambivalence and the possibility of attitude change. Jeta reflected, “When I solve a difficult problem and find an answer, I say to myself that I can handle it after all. It improves my confidence,” showing that successful problem-solving can rebuild self-belief. Paril similarly noted, “Math is easy if you practice the procedures. It’s mixed emotions</w:t>
      </w:r>
      <w:r w:rsidR="003C3071" w:rsidRPr="004A7B4A">
        <w:rPr>
          <w:rFonts w:ascii="Times New Roman" w:hAnsi="Times New Roman" w:cs="Times New Roman"/>
          <w:sz w:val="24"/>
          <w:szCs w:val="24"/>
        </w:rPr>
        <w:t xml:space="preserve">, </w:t>
      </w:r>
      <w:r w:rsidRPr="004A7B4A">
        <w:rPr>
          <w:rFonts w:ascii="Times New Roman" w:hAnsi="Times New Roman" w:cs="Times New Roman"/>
          <w:sz w:val="24"/>
          <w:szCs w:val="24"/>
        </w:rPr>
        <w:t xml:space="preserve">I’m happy when I can solve problems,” suggesting that satisfaction emerges when students experience mastery. Peer support also softened negative emotions. </w:t>
      </w:r>
      <w:proofErr w:type="spellStart"/>
      <w:r w:rsidRPr="004A7B4A">
        <w:rPr>
          <w:rFonts w:ascii="Times New Roman" w:hAnsi="Times New Roman" w:cs="Times New Roman"/>
          <w:sz w:val="24"/>
          <w:szCs w:val="24"/>
        </w:rPr>
        <w:t>Bonfra</w:t>
      </w:r>
      <w:proofErr w:type="spellEnd"/>
      <w:r w:rsidRPr="004A7B4A">
        <w:rPr>
          <w:rFonts w:ascii="Times New Roman" w:hAnsi="Times New Roman" w:cs="Times New Roman"/>
          <w:sz w:val="24"/>
          <w:szCs w:val="24"/>
        </w:rPr>
        <w:t xml:space="preserve"> shared, “I don’t like math, but when it comes to group work it seems alright because you have someone to share the task with,” while JB remarked that “Math is difficult to understand but interesting, and it can be understood if properly discussed.” Magel’s account also illustrates emotional growth over time: “In college I no longer fear math, but during elementary division was </w:t>
      </w:r>
      <w:proofErr w:type="gramStart"/>
      <w:r w:rsidRPr="004A7B4A">
        <w:rPr>
          <w:rFonts w:ascii="Times New Roman" w:hAnsi="Times New Roman" w:cs="Times New Roman"/>
          <w:sz w:val="24"/>
          <w:szCs w:val="24"/>
        </w:rPr>
        <w:t>really difficult</w:t>
      </w:r>
      <w:proofErr w:type="gramEnd"/>
      <w:r w:rsidRPr="004A7B4A">
        <w:rPr>
          <w:rFonts w:ascii="Times New Roman" w:hAnsi="Times New Roman" w:cs="Times New Roman"/>
          <w:sz w:val="24"/>
          <w:szCs w:val="24"/>
        </w:rPr>
        <w:t>. It motivated me to get a medal. There were times I felt ashamed because I was made to stand up when I couldn’t answer.” These statements show that students’ emotional responses are dynamic rather than fixed; confidence may improve when learners experience success, support, and meaningful explanation. This is consistent with Mindset Theory, which emphasizes that students who come to view ability as improvable are more likely to persist through challenge (Kapasi &amp; Pei, 2022</w:t>
      </w:r>
      <w:r w:rsidR="00B22341" w:rsidRPr="004A7B4A">
        <w:rPr>
          <w:rFonts w:ascii="Times New Roman" w:hAnsi="Times New Roman" w:cs="Times New Roman"/>
          <w:sz w:val="24"/>
          <w:szCs w:val="24"/>
        </w:rPr>
        <w:t xml:space="preserve">; </w:t>
      </w:r>
      <w:r w:rsidR="00B22341" w:rsidRPr="004A7B4A">
        <w:rPr>
          <w:rFonts w:ascii="Times New Roman" w:eastAsia="Times New Roman" w:hAnsi="Times New Roman" w:cs="Times New Roman"/>
          <w:sz w:val="24"/>
          <w:szCs w:val="24"/>
        </w:rPr>
        <w:t>Dweck, 2006</w:t>
      </w:r>
      <w:r w:rsidRPr="004A7B4A">
        <w:rPr>
          <w:rFonts w:ascii="Times New Roman" w:hAnsi="Times New Roman" w:cs="Times New Roman"/>
          <w:sz w:val="24"/>
          <w:szCs w:val="24"/>
        </w:rPr>
        <w:t>).</w:t>
      </w:r>
    </w:p>
    <w:p w14:paraId="70C202EC" w14:textId="77777777" w:rsidR="00CC380F" w:rsidRPr="004A7B4A" w:rsidRDefault="00CC380F" w:rsidP="00F06779">
      <w:pPr>
        <w:pStyle w:val="NoSpacing"/>
        <w:ind w:left="238"/>
        <w:jc w:val="both"/>
        <w:rPr>
          <w:rFonts w:ascii="Times New Roman" w:hAnsi="Times New Roman" w:cs="Times New Roman"/>
          <w:sz w:val="24"/>
          <w:szCs w:val="24"/>
        </w:rPr>
      </w:pPr>
    </w:p>
    <w:p w14:paraId="5DF71E87" w14:textId="167AC38F" w:rsidR="00CC380F" w:rsidRPr="004A7B4A" w:rsidRDefault="00CC380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Altogether, students’ emotional responses toward mathematics strongly influenced how they viewed themselves as learners and how they engaged with mathematical tasks. Fear, shame, and repeated failure contributed to avoidance and low confidence, while moments of success, peer support, and clear instruction helped generate confidence, interest, and resilience. These findings suggest that improving mathematics learning requires more than procedural instruction; it also requires emotionally supportive classrooms where mistakes are treated as part of learning, students receive constructive feedback, and opportunities for successful problem-solving are intentionally built into instruction. In this way, emotional support becomes a necessary condition for developing more positive, confident, and sustained engagement with mathematics.</w:t>
      </w:r>
    </w:p>
    <w:p w14:paraId="6C5B188D" w14:textId="77777777" w:rsidR="00CC380F" w:rsidRPr="004A7B4A" w:rsidRDefault="00CC380F" w:rsidP="00F06779">
      <w:pPr>
        <w:pStyle w:val="NoSpacing"/>
        <w:ind w:left="238"/>
        <w:jc w:val="both"/>
        <w:rPr>
          <w:rFonts w:ascii="Times New Roman" w:hAnsi="Times New Roman" w:cs="Times New Roman"/>
          <w:sz w:val="24"/>
          <w:szCs w:val="24"/>
        </w:rPr>
      </w:pPr>
    </w:p>
    <w:p w14:paraId="3230C7B8" w14:textId="77777777" w:rsidR="00701DA1" w:rsidRPr="004A7B4A" w:rsidRDefault="00701DA1"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Sub-theme 3.2: Behavioral Engagement</w:t>
      </w:r>
    </w:p>
    <w:p w14:paraId="146AAB3F" w14:textId="77777777" w:rsidR="00701DA1" w:rsidRPr="004A7B4A" w:rsidRDefault="00701DA1" w:rsidP="00F06779">
      <w:pPr>
        <w:pStyle w:val="NoSpacing"/>
        <w:ind w:left="238"/>
        <w:jc w:val="both"/>
        <w:rPr>
          <w:rFonts w:ascii="Times New Roman" w:hAnsi="Times New Roman" w:cs="Times New Roman"/>
          <w:sz w:val="24"/>
          <w:szCs w:val="24"/>
        </w:rPr>
      </w:pPr>
    </w:p>
    <w:p w14:paraId="5B385BB6" w14:textId="049ECCF5" w:rsidR="00701DA1" w:rsidRPr="004A7B4A" w:rsidRDefault="00701DA1"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Behavioral Engagement describes how students actively participated in mathematics learning through problem-solving routines, persistence, note-taking, independent study, peer collaboration, and use of learning tools. The narratives suggest that students’ engagement was strengthened when instruction was clear, tasks were meaningful, and the learning environment supported concentration. Rather than being passive recipients of instruction, students showed that their participation depended on how well they could follow procedures, understand expectations, and access support during mathematical tasks. This aligns with engagement literature, which views behavioral engagement as students’ effort, participation, attention, and persistence in learning activities (</w:t>
      </w:r>
      <w:proofErr w:type="spellStart"/>
      <w:r w:rsidRPr="004A7B4A">
        <w:rPr>
          <w:rFonts w:ascii="Times New Roman" w:hAnsi="Times New Roman" w:cs="Times New Roman"/>
          <w:sz w:val="24"/>
          <w:szCs w:val="24"/>
        </w:rPr>
        <w:t>Cevikbas</w:t>
      </w:r>
      <w:proofErr w:type="spellEnd"/>
      <w:r w:rsidRPr="004A7B4A">
        <w:rPr>
          <w:rFonts w:ascii="Times New Roman" w:hAnsi="Times New Roman" w:cs="Times New Roman"/>
          <w:sz w:val="24"/>
          <w:szCs w:val="24"/>
        </w:rPr>
        <w:t xml:space="preserve"> &amp; Kaiser, 2022). Recent evidence also shows that classroom environment, teacher competency, facilities, and ICT resources significantly predict student engagement and academic performance (</w:t>
      </w:r>
      <w:proofErr w:type="spellStart"/>
      <w:r w:rsidRPr="004A7B4A">
        <w:rPr>
          <w:rFonts w:ascii="Times New Roman" w:hAnsi="Times New Roman" w:cs="Times New Roman"/>
          <w:sz w:val="24"/>
          <w:szCs w:val="24"/>
        </w:rPr>
        <w:t>Hanaysha</w:t>
      </w:r>
      <w:proofErr w:type="spellEnd"/>
      <w:r w:rsidRPr="004A7B4A">
        <w:rPr>
          <w:rFonts w:ascii="Times New Roman" w:hAnsi="Times New Roman" w:cs="Times New Roman"/>
          <w:sz w:val="24"/>
          <w:szCs w:val="24"/>
        </w:rPr>
        <w:t xml:space="preserve"> et al., 2023).</w:t>
      </w:r>
    </w:p>
    <w:p w14:paraId="1C234E6E" w14:textId="77777777" w:rsidR="00701DA1" w:rsidRPr="004A7B4A" w:rsidRDefault="00701DA1" w:rsidP="00F06779">
      <w:pPr>
        <w:pStyle w:val="NoSpacing"/>
        <w:ind w:left="238"/>
        <w:jc w:val="both"/>
        <w:rPr>
          <w:rFonts w:ascii="Times New Roman" w:hAnsi="Times New Roman" w:cs="Times New Roman"/>
          <w:sz w:val="24"/>
          <w:szCs w:val="24"/>
        </w:rPr>
      </w:pPr>
    </w:p>
    <w:p w14:paraId="1184885D" w14:textId="6AC8CE3B" w:rsidR="00701DA1" w:rsidRPr="004A7B4A" w:rsidRDefault="00701DA1"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 xml:space="preserve">Students emphasized the importance of clear, step-by-step instruction in sustaining their participation in mathematics. Jolo explained, “Math is challenging, but it’s easy to understand if done step by step. Some instructors skip steps when they explain, making it hard for me to follow </w:t>
      </w:r>
      <w:proofErr w:type="gramStart"/>
      <w:r w:rsidRPr="004A7B4A">
        <w:rPr>
          <w:rFonts w:ascii="Times New Roman" w:hAnsi="Times New Roman" w:cs="Times New Roman"/>
          <w:sz w:val="24"/>
          <w:szCs w:val="24"/>
        </w:rPr>
        <w:t>along.”</w:t>
      </w:r>
      <w:proofErr w:type="gramEnd"/>
      <w:r w:rsidRPr="004A7B4A">
        <w:rPr>
          <w:rFonts w:ascii="Times New Roman" w:hAnsi="Times New Roman" w:cs="Times New Roman"/>
          <w:sz w:val="24"/>
          <w:szCs w:val="24"/>
        </w:rPr>
        <w:t xml:space="preserve"> Similarly, Paril shared, “My method is to write it down, then follow a step-by-step process to dissect the problem to get the correct answer.” These statements show that students were more willing to engage when mathematical procedures were broken </w:t>
      </w:r>
      <w:r w:rsidRPr="004A7B4A">
        <w:rPr>
          <w:rFonts w:ascii="Times New Roman" w:hAnsi="Times New Roman" w:cs="Times New Roman"/>
          <w:sz w:val="24"/>
          <w:szCs w:val="24"/>
        </w:rPr>
        <w:lastRenderedPageBreak/>
        <w:t>down into manageable parts. This interpretation is consistent with Cognitive Load Theory, which explains that structured instruction reduces unnecessary mental effort and allows learners to focus on essential problem-solving processes (</w:t>
      </w:r>
      <w:proofErr w:type="spellStart"/>
      <w:r w:rsidRPr="004A7B4A">
        <w:rPr>
          <w:rFonts w:ascii="Times New Roman" w:hAnsi="Times New Roman" w:cs="Times New Roman"/>
          <w:sz w:val="24"/>
          <w:szCs w:val="24"/>
        </w:rPr>
        <w:t>Sweller</w:t>
      </w:r>
      <w:proofErr w:type="spellEnd"/>
      <w:r w:rsidRPr="004A7B4A">
        <w:rPr>
          <w:rFonts w:ascii="Times New Roman" w:hAnsi="Times New Roman" w:cs="Times New Roman"/>
          <w:sz w:val="24"/>
          <w:szCs w:val="24"/>
        </w:rPr>
        <w:t>, 1988). It also supports recent findings that interactive and well-designed mathematics instruction can strengthen students’ behavioral, cognitive, and emotional engagement (</w:t>
      </w:r>
      <w:proofErr w:type="spellStart"/>
      <w:r w:rsidRPr="004A7B4A">
        <w:rPr>
          <w:rFonts w:ascii="Times New Roman" w:hAnsi="Times New Roman" w:cs="Times New Roman"/>
          <w:sz w:val="24"/>
          <w:szCs w:val="24"/>
        </w:rPr>
        <w:t>Cevikbas</w:t>
      </w:r>
      <w:proofErr w:type="spellEnd"/>
      <w:r w:rsidRPr="004A7B4A">
        <w:rPr>
          <w:rFonts w:ascii="Times New Roman" w:hAnsi="Times New Roman" w:cs="Times New Roman"/>
          <w:sz w:val="24"/>
          <w:szCs w:val="24"/>
        </w:rPr>
        <w:t xml:space="preserve"> &amp; Kaiser, 2022</w:t>
      </w:r>
      <w:r w:rsidR="00B22341" w:rsidRPr="004A7B4A">
        <w:rPr>
          <w:rFonts w:ascii="Times New Roman" w:hAnsi="Times New Roman" w:cs="Times New Roman"/>
          <w:sz w:val="24"/>
          <w:szCs w:val="24"/>
        </w:rPr>
        <w:t>; Fredricks, et al., 2019</w:t>
      </w:r>
      <w:r w:rsidRPr="004A7B4A">
        <w:rPr>
          <w:rFonts w:ascii="Times New Roman" w:hAnsi="Times New Roman" w:cs="Times New Roman"/>
          <w:sz w:val="24"/>
          <w:szCs w:val="24"/>
        </w:rPr>
        <w:t>).</w:t>
      </w:r>
    </w:p>
    <w:p w14:paraId="24700651" w14:textId="77777777" w:rsidR="00701DA1" w:rsidRPr="004A7B4A" w:rsidRDefault="00701DA1" w:rsidP="00F06779">
      <w:pPr>
        <w:pStyle w:val="NoSpacing"/>
        <w:ind w:left="238"/>
        <w:jc w:val="both"/>
        <w:rPr>
          <w:rFonts w:ascii="Times New Roman" w:hAnsi="Times New Roman" w:cs="Times New Roman"/>
          <w:sz w:val="24"/>
          <w:szCs w:val="24"/>
        </w:rPr>
      </w:pPr>
    </w:p>
    <w:p w14:paraId="78AF238B" w14:textId="77777777" w:rsidR="00701DA1" w:rsidRPr="004A7B4A" w:rsidRDefault="00701DA1"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 xml:space="preserve">Students also demonstrated self-directed learning behaviors when faced with mathematical challenges. </w:t>
      </w:r>
      <w:proofErr w:type="spellStart"/>
      <w:r w:rsidRPr="004A7B4A">
        <w:rPr>
          <w:rFonts w:ascii="Times New Roman" w:hAnsi="Times New Roman" w:cs="Times New Roman"/>
          <w:sz w:val="24"/>
          <w:szCs w:val="24"/>
        </w:rPr>
        <w:t>Jevil</w:t>
      </w:r>
      <w:proofErr w:type="spellEnd"/>
      <w:r w:rsidRPr="004A7B4A">
        <w:rPr>
          <w:rFonts w:ascii="Times New Roman" w:hAnsi="Times New Roman" w:cs="Times New Roman"/>
          <w:sz w:val="24"/>
          <w:szCs w:val="24"/>
        </w:rPr>
        <w:t xml:space="preserve"> stated, “Assignments and tasks helped me become more independent... I research solutions on my own,” while Marba noted, “Using technology is helpful, it makes visualizing equations easier.” These accounts indicate that behavioral engagement was reflected not only in classroom participation but also in students’ efforts to seek resources, use technology, and continue learning beyond direct instruction. This aligns with Self-Regulated Learning Theory, which emphasizes that engaged learners actively plan, monitor, and evaluate their learning strategies (Zimmerman, 2002). In this sense, assignments, technology, and independent research became tools that helped students sustain effort and develop greater responsibility for their mathematics learning.</w:t>
      </w:r>
    </w:p>
    <w:p w14:paraId="71F38EB1" w14:textId="77777777" w:rsidR="00701DA1" w:rsidRPr="004A7B4A" w:rsidRDefault="00701DA1" w:rsidP="00F06779">
      <w:pPr>
        <w:pStyle w:val="NoSpacing"/>
        <w:ind w:left="238"/>
        <w:jc w:val="both"/>
        <w:rPr>
          <w:rFonts w:ascii="Times New Roman" w:hAnsi="Times New Roman" w:cs="Times New Roman"/>
          <w:sz w:val="24"/>
          <w:szCs w:val="24"/>
        </w:rPr>
      </w:pPr>
    </w:p>
    <w:p w14:paraId="27B61E9A" w14:textId="77777777" w:rsidR="00701DA1" w:rsidRPr="004A7B4A" w:rsidRDefault="00701DA1"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 xml:space="preserve">The quality of instructional tasks also shaped students’ willingness to persist. </w:t>
      </w:r>
      <w:proofErr w:type="spellStart"/>
      <w:r w:rsidRPr="004A7B4A">
        <w:rPr>
          <w:rFonts w:ascii="Times New Roman" w:hAnsi="Times New Roman" w:cs="Times New Roman"/>
          <w:sz w:val="24"/>
          <w:szCs w:val="24"/>
        </w:rPr>
        <w:t>Zulo</w:t>
      </w:r>
      <w:proofErr w:type="spellEnd"/>
      <w:r w:rsidRPr="004A7B4A">
        <w:rPr>
          <w:rFonts w:ascii="Times New Roman" w:hAnsi="Times New Roman" w:cs="Times New Roman"/>
          <w:sz w:val="24"/>
          <w:szCs w:val="24"/>
        </w:rPr>
        <w:t xml:space="preserve"> shared, “Assignments that emphasize critical thinking pose more challenges for me. They make me eager to learn,” while Baer explained, “I identify what needs to be solved, then proceed step by step.” These statements suggest that challenging but purposeful tasks encouraged students to think more deeply and participate more actively. Such responses are consistent with social constructivist views of mathematics learning, where students become more engaged when they are given opportunities to inquire, discuss, collaborate, and construct understanding through meaningful tasks (Vygotsky, 1978). Empirical work on mathematics engagement also indicates that interactive design, social interaction, and guided participation can positively influence students’ engagement in mathematics classrooms (</w:t>
      </w:r>
      <w:proofErr w:type="spellStart"/>
      <w:r w:rsidRPr="004A7B4A">
        <w:rPr>
          <w:rFonts w:ascii="Times New Roman" w:hAnsi="Times New Roman" w:cs="Times New Roman"/>
          <w:sz w:val="24"/>
          <w:szCs w:val="24"/>
        </w:rPr>
        <w:t>Cevikbas</w:t>
      </w:r>
      <w:proofErr w:type="spellEnd"/>
      <w:r w:rsidRPr="004A7B4A">
        <w:rPr>
          <w:rFonts w:ascii="Times New Roman" w:hAnsi="Times New Roman" w:cs="Times New Roman"/>
          <w:sz w:val="24"/>
          <w:szCs w:val="24"/>
        </w:rPr>
        <w:t xml:space="preserve"> &amp; Kaiser, 2022).</w:t>
      </w:r>
    </w:p>
    <w:p w14:paraId="10C0CEFE" w14:textId="77777777" w:rsidR="00701DA1" w:rsidRPr="004A7B4A" w:rsidRDefault="00701DA1" w:rsidP="00F06779">
      <w:pPr>
        <w:pStyle w:val="NoSpacing"/>
        <w:ind w:left="238"/>
        <w:jc w:val="both"/>
        <w:rPr>
          <w:rFonts w:ascii="Times New Roman" w:hAnsi="Times New Roman" w:cs="Times New Roman"/>
          <w:sz w:val="24"/>
          <w:szCs w:val="24"/>
        </w:rPr>
      </w:pPr>
    </w:p>
    <w:p w14:paraId="4FD19FF8" w14:textId="6602FB80" w:rsidR="00701DA1" w:rsidRPr="004A7B4A" w:rsidRDefault="00701DA1" w:rsidP="00F06779">
      <w:pPr>
        <w:pStyle w:val="NoSpacing"/>
        <w:ind w:left="238"/>
        <w:jc w:val="both"/>
        <w:rPr>
          <w:rFonts w:ascii="Times New Roman" w:hAnsi="Times New Roman" w:cs="Times New Roman"/>
          <w:sz w:val="28"/>
          <w:szCs w:val="28"/>
        </w:rPr>
      </w:pPr>
      <w:r w:rsidRPr="004A7B4A">
        <w:rPr>
          <w:rFonts w:ascii="Times New Roman" w:hAnsi="Times New Roman" w:cs="Times New Roman"/>
          <w:sz w:val="24"/>
          <w:szCs w:val="24"/>
        </w:rPr>
        <w:t xml:space="preserve">The physical classroom environment further influenced students’ behavioral engagement. </w:t>
      </w:r>
      <w:proofErr w:type="spellStart"/>
      <w:r w:rsidRPr="004A7B4A">
        <w:rPr>
          <w:rFonts w:ascii="Times New Roman" w:hAnsi="Times New Roman" w:cs="Times New Roman"/>
          <w:sz w:val="24"/>
          <w:szCs w:val="24"/>
        </w:rPr>
        <w:t>Jevil</w:t>
      </w:r>
      <w:proofErr w:type="spellEnd"/>
      <w:r w:rsidRPr="004A7B4A">
        <w:rPr>
          <w:rFonts w:ascii="Times New Roman" w:hAnsi="Times New Roman" w:cs="Times New Roman"/>
          <w:sz w:val="24"/>
          <w:szCs w:val="24"/>
        </w:rPr>
        <w:t xml:space="preserve"> admitted, “Noise and heat may affect,” while Tumar explained, “Sometimes the classroom gets very hot, making it hard to focus on learning or listening because you’re constantly distracted by the heat.” These reflections show that engagement is affected not only by instructional strategies but also by environmental conditions that influence attention and comfort. However, Miku offered a contrasting view, stating, “The classroom environment has no impact on my study of math,” suggesting that some students may remain engaged despite unfavorable physical conditions. This variation indicates that while classroom comfort can support engagement, students’ individual coping strategies and motivation may also mediate how strongly the environment affects learning behavior. Recent research on higher education learning </w:t>
      </w:r>
      <w:r w:rsidR="00B22341" w:rsidRPr="004A7B4A">
        <w:rPr>
          <w:rFonts w:ascii="Times New Roman" w:hAnsi="Times New Roman" w:cs="Times New Roman"/>
          <w:sz w:val="24"/>
          <w:szCs w:val="24"/>
        </w:rPr>
        <w:t>spaces</w:t>
      </w:r>
      <w:r w:rsidRPr="004A7B4A">
        <w:rPr>
          <w:rFonts w:ascii="Times New Roman" w:hAnsi="Times New Roman" w:cs="Times New Roman"/>
          <w:sz w:val="24"/>
          <w:szCs w:val="24"/>
        </w:rPr>
        <w:t xml:space="preserve"> emphasizes that classroom environments influence student comfort, wellbeing, and learning experiences </w:t>
      </w:r>
      <w:r w:rsidR="00215DEA" w:rsidRPr="004A7B4A">
        <w:rPr>
          <w:rFonts w:ascii="Times New Roman" w:hAnsi="Times New Roman" w:cs="Times New Roman"/>
          <w:sz w:val="24"/>
          <w:szCs w:val="24"/>
        </w:rPr>
        <w:t>(</w:t>
      </w:r>
      <w:proofErr w:type="spellStart"/>
      <w:r w:rsidRPr="004A7B4A">
        <w:rPr>
          <w:rFonts w:ascii="Times New Roman" w:hAnsi="Times New Roman" w:cs="Times New Roman"/>
          <w:sz w:val="24"/>
          <w:szCs w:val="24"/>
        </w:rPr>
        <w:t>Makaremi</w:t>
      </w:r>
      <w:proofErr w:type="spellEnd"/>
      <w:r w:rsidRPr="004A7B4A">
        <w:rPr>
          <w:rFonts w:ascii="Times New Roman" w:hAnsi="Times New Roman" w:cs="Times New Roman"/>
          <w:sz w:val="24"/>
          <w:szCs w:val="24"/>
        </w:rPr>
        <w:t xml:space="preserve"> et al.,2024</w:t>
      </w:r>
      <w:r w:rsidR="00B22341" w:rsidRPr="004A7B4A">
        <w:rPr>
          <w:rFonts w:ascii="Times New Roman" w:hAnsi="Times New Roman" w:cs="Times New Roman"/>
          <w:sz w:val="24"/>
          <w:szCs w:val="24"/>
        </w:rPr>
        <w:t>; Barrett et al., 2019</w:t>
      </w:r>
      <w:r w:rsidRPr="004A7B4A">
        <w:rPr>
          <w:rFonts w:ascii="Times New Roman" w:hAnsi="Times New Roman" w:cs="Times New Roman"/>
          <w:sz w:val="28"/>
          <w:szCs w:val="28"/>
        </w:rPr>
        <w:t>).</w:t>
      </w:r>
    </w:p>
    <w:p w14:paraId="37F2C1B0" w14:textId="77777777" w:rsidR="00701DA1" w:rsidRPr="004A7B4A" w:rsidRDefault="00701DA1" w:rsidP="00F06779">
      <w:pPr>
        <w:pStyle w:val="NoSpacing"/>
        <w:ind w:left="238"/>
        <w:jc w:val="both"/>
        <w:rPr>
          <w:rFonts w:ascii="Times New Roman" w:hAnsi="Times New Roman" w:cs="Times New Roman"/>
          <w:sz w:val="28"/>
          <w:szCs w:val="28"/>
        </w:rPr>
      </w:pPr>
    </w:p>
    <w:p w14:paraId="76FD598C" w14:textId="77777777" w:rsidR="00701DA1" w:rsidRPr="004A7B4A" w:rsidRDefault="00701DA1"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Taken together, Behavioral Engagement shows that students’ participation in mathematics was shaped by the clarity of instruction, structure of tasks, availability of support, use of technology, and physical learning conditions. Students became more engaged when they could follow step-by-step explanations, use strategies to solve problems, access helpful resources, and work in environments that supported concentration. These findings suggest that mathematics teachers can strengthen behavioral engagement by providing scaffolded explanations, meaningful problem-solving tasks, constructive feedback, and supportive classroom conditions. In doing so, students are more likely to persist, participate, and take active responsibility for their learning.</w:t>
      </w:r>
    </w:p>
    <w:p w14:paraId="5950821C" w14:textId="77777777" w:rsidR="009872A4" w:rsidRPr="004A7B4A" w:rsidRDefault="009872A4" w:rsidP="00F06779">
      <w:pPr>
        <w:pStyle w:val="NormalWeb"/>
        <w:ind w:left="238"/>
        <w:jc w:val="both"/>
        <w:rPr>
          <w:rStyle w:val="Strong"/>
          <w:sz w:val="28"/>
          <w:szCs w:val="28"/>
        </w:rPr>
      </w:pPr>
    </w:p>
    <w:p w14:paraId="20FC112D" w14:textId="5743A652" w:rsidR="00EC13C5" w:rsidRPr="004A7B4A" w:rsidRDefault="001A660F" w:rsidP="00F06779">
      <w:pPr>
        <w:pStyle w:val="NormalWeb"/>
        <w:ind w:left="238"/>
        <w:jc w:val="both"/>
        <w:rPr>
          <w:rStyle w:val="Strong"/>
          <w:sz w:val="28"/>
          <w:szCs w:val="28"/>
        </w:rPr>
      </w:pPr>
      <w:r w:rsidRPr="004A7B4A">
        <w:rPr>
          <w:rStyle w:val="Strong"/>
          <w:sz w:val="28"/>
          <w:szCs w:val="28"/>
        </w:rPr>
        <w:t>EMPIRICAL INSIGHTS</w:t>
      </w:r>
    </w:p>
    <w:p w14:paraId="67C2D84C" w14:textId="2E6DB2C2" w:rsidR="00EC13C5" w:rsidRPr="004A7B4A" w:rsidRDefault="00EC13C5" w:rsidP="00F06779">
      <w:pPr>
        <w:pStyle w:val="NormalWeb"/>
        <w:ind w:left="238"/>
        <w:jc w:val="both"/>
        <w:rPr>
          <w:rStyle w:val="Strong"/>
        </w:rPr>
      </w:pPr>
      <w:r w:rsidRPr="004A7B4A">
        <w:t xml:space="preserve">The analysis of students’ narratives revealed that their attitudes toward mathematics are shaped by both immediate learning contexts and the accumulation of past experiences. Many participants expressed a strong preference for face-to-face learning, citing clearer explanations, emotional reassurance, and opportunities for real-time interaction. Online and blended modalities, particularly during crises such as the COVID-19 pandemic and recurring floods, often led to emotional disengagement, reduced participation, and cognitive </w:t>
      </w:r>
      <w:r w:rsidRPr="004A7B4A">
        <w:lastRenderedPageBreak/>
        <w:t>strain, especially when technological access and instructional clarity were limited. At the same time, enduring attitudes toward mathematics</w:t>
      </w:r>
      <w:r w:rsidR="00F06779" w:rsidRPr="004A7B4A">
        <w:t xml:space="preserve">, </w:t>
      </w:r>
      <w:r w:rsidRPr="004A7B4A">
        <w:t>whether positive or negative</w:t>
      </w:r>
      <w:r w:rsidR="00F06779" w:rsidRPr="004A7B4A">
        <w:t xml:space="preserve">, </w:t>
      </w:r>
      <w:r w:rsidRPr="004A7B4A">
        <w:t>were closely linked to formative experiences, including the influence of teachers, peer interactions, and prior academic successes or failures. These findings underscore that adaptive responses to changes in learning environments cannot be fully understood without considering the long-term attitudinal foundations students carry with them.</w:t>
      </w:r>
    </w:p>
    <w:p w14:paraId="4B823C48" w14:textId="0B5FBE69" w:rsidR="00EC13C5" w:rsidRPr="004A7B4A" w:rsidRDefault="001A660F" w:rsidP="001A660F">
      <w:pPr>
        <w:pStyle w:val="NoSpacing"/>
        <w:ind w:left="284"/>
        <w:jc w:val="both"/>
        <w:rPr>
          <w:rFonts w:ascii="Times New Roman" w:hAnsi="Times New Roman" w:cs="Times New Roman"/>
          <w:b/>
          <w:bCs/>
          <w:sz w:val="28"/>
          <w:szCs w:val="28"/>
          <w:lang w:val="en-PH" w:eastAsia="en-PH"/>
        </w:rPr>
      </w:pPr>
      <w:r w:rsidRPr="004A7B4A">
        <w:rPr>
          <w:rFonts w:ascii="Times New Roman" w:hAnsi="Times New Roman" w:cs="Times New Roman"/>
          <w:b/>
          <w:bCs/>
          <w:sz w:val="28"/>
          <w:szCs w:val="28"/>
          <w:lang w:val="en-PH" w:eastAsia="en-PH"/>
        </w:rPr>
        <w:t>IMPLICATIONS FOR EDUCATIONAL PRACTICE</w:t>
      </w:r>
    </w:p>
    <w:p w14:paraId="5E4F862C" w14:textId="77777777" w:rsidR="00EC13C5" w:rsidRPr="004A7B4A" w:rsidRDefault="00EC13C5" w:rsidP="00F06779">
      <w:pPr>
        <w:spacing w:before="100" w:beforeAutospacing="1" w:after="100" w:afterAutospacing="1"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The findings of this study provide meaningful perspectives that can guide and enhance instructional approaches in mathematics education. The following points highlight some of these key insights.</w:t>
      </w:r>
    </w:p>
    <w:p w14:paraId="2BDB3508" w14:textId="77777777" w:rsidR="00EC13C5" w:rsidRPr="004A7B4A" w:rsidRDefault="00EC13C5" w:rsidP="00F06779">
      <w:pPr>
        <w:spacing w:before="100" w:beforeAutospacing="1" w:after="100" w:afterAutospacing="1"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1. Instructional Clarity and Scaffolding Are Essential in Mathematics Learning. The study found that students strongly prefer face-to-face learning due to the clarity, step-by-step guidance, and immediate feedback it provides. This highlights the need for explicit scaffolding in instructional design, particularly in mathematics, where students rely on procedural understanding to build conceptual mastery. Whether teaching in person or online, educators must adopt teaching strategies that break down complex tasks into manageable steps and provide clear modeling of problem-solving processes.</w:t>
      </w:r>
    </w:p>
    <w:p w14:paraId="138E2EBA" w14:textId="77777777" w:rsidR="00EC13C5" w:rsidRPr="004A7B4A" w:rsidRDefault="00EC13C5" w:rsidP="00F06779">
      <w:pPr>
        <w:spacing w:before="100" w:beforeAutospacing="1" w:after="100" w:afterAutospacing="1"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2. Technology Integration Must Be Balanced and Purposeful. While students acknowledged that technology tools, such as calculators and AI-powered apps, offered convenience, they also recognized that overreliance hindered deep learning. This suggests that digital tools should be used as scaffolds rather than substitutes. Educators must teach students when and how to use technology meaningfully and ensure that tech-supported learning reinforces rather than replaces mathematical reasoning.</w:t>
      </w:r>
    </w:p>
    <w:p w14:paraId="50A35F99" w14:textId="77777777" w:rsidR="00EC13C5" w:rsidRPr="004A7B4A" w:rsidRDefault="00EC13C5" w:rsidP="00F06779">
      <w:pPr>
        <w:spacing w:before="100" w:beforeAutospacing="1" w:after="100" w:afterAutospacing="1"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3. Addressing Math Anxiety and Emotional Barriers Is Crucial. Many students expressed feelings of anxiety, frustration, and low confidence in mathematics, often rooted in past negative experiences or inconsistent instructional quality. This underlines the importance of creating emotionally supportive classrooms, where positive reinforcement, growth mindset practices, and teacher-student rapport can reduce anxiety and promote engagement. Integrating socio-emotional learning (SEL) into mathematics instruction could help students better manage academic stress.</w:t>
      </w:r>
    </w:p>
    <w:p w14:paraId="26975C1B" w14:textId="77777777" w:rsidR="00EC13C5" w:rsidRPr="004A7B4A" w:rsidRDefault="00EC13C5" w:rsidP="00F06779">
      <w:pPr>
        <w:spacing w:before="100" w:beforeAutospacing="1" w:after="100" w:afterAutospacing="1"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4. Peer and Family Influence Should Be Leveraged in Math Engagement. The findings revealed that students’ attitudes toward mathematics are often shaped by peer interactions and familial expectations. Teachers can build on this by encouraging collaborative learning, peer tutoring, and group-based problem solving, which can promote motivation through social modeling. Schools may also consider involving parents in math-related initiatives, such as workshops or take-home activities, to align home and school support systems.</w:t>
      </w:r>
    </w:p>
    <w:p w14:paraId="17B54463" w14:textId="77777777" w:rsidR="00EC13C5" w:rsidRPr="004A7B4A" w:rsidRDefault="00EC13C5" w:rsidP="00F06779">
      <w:pPr>
        <w:spacing w:before="100" w:beforeAutospacing="1" w:after="100" w:afterAutospacing="1"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5. Crisis-Responsive Pedagogy Should Be Institutionalized. Given the recurring challenges posed by pandemics, natural disasters, and sudden shifts to remote learning, the study emphasizes the importance of preparing educators to adapt teaching strategies to flexible or disrupted learning contexts. Teacher training programs should include components on remote instruction, hybrid learning design, and supporting student well-being in crisis scenarios.</w:t>
      </w:r>
    </w:p>
    <w:p w14:paraId="200D55DF" w14:textId="77777777" w:rsidR="00EC13C5" w:rsidRPr="004A7B4A" w:rsidRDefault="00EC13C5" w:rsidP="00F06779">
      <w:pPr>
        <w:spacing w:before="100" w:beforeAutospacing="1" w:after="100" w:afterAutospacing="1"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 xml:space="preserve">6. Phenomenological Insights Can Inform Student-Centered Curriculum Development. By capturing students’ voices and interpreting their emotional, behavioral, and cognitive engagement with mathematics, this study offers valuable insights that can inform curriculum refinement. Mathematics education should not only focus on content mastery but also address </w:t>
      </w:r>
      <w:proofErr w:type="gramStart"/>
      <w:r w:rsidRPr="004A7B4A">
        <w:rPr>
          <w:rFonts w:ascii="Times New Roman" w:eastAsia="Times New Roman" w:hAnsi="Times New Roman" w:cs="Times New Roman"/>
          <w:sz w:val="24"/>
          <w:szCs w:val="24"/>
          <w:lang w:val="en-PH" w:eastAsia="en-PH"/>
        </w:rPr>
        <w:t>students’</w:t>
      </w:r>
      <w:proofErr w:type="gramEnd"/>
      <w:r w:rsidRPr="004A7B4A">
        <w:rPr>
          <w:rFonts w:ascii="Times New Roman" w:eastAsia="Times New Roman" w:hAnsi="Times New Roman" w:cs="Times New Roman"/>
          <w:sz w:val="24"/>
          <w:szCs w:val="24"/>
          <w:lang w:val="en-PH" w:eastAsia="en-PH"/>
        </w:rPr>
        <w:t xml:space="preserve"> lived experiences, learning preferences, and emotional needs, ensuring that instructional practices are inclusive, reflective, and responsive to diverse learning contexts.</w:t>
      </w:r>
    </w:p>
    <w:p w14:paraId="3AA3FF90" w14:textId="39E057DE" w:rsidR="00EC13C5" w:rsidRPr="004A7B4A" w:rsidRDefault="00EC13C5" w:rsidP="00F06779">
      <w:pPr>
        <w:pStyle w:val="NoSpacing"/>
        <w:ind w:left="238"/>
        <w:jc w:val="both"/>
        <w:rPr>
          <w:rFonts w:ascii="Times New Roman" w:hAnsi="Times New Roman" w:cs="Times New Roman"/>
          <w:bCs/>
          <w:sz w:val="24"/>
          <w:szCs w:val="24"/>
        </w:rPr>
      </w:pPr>
      <w:r w:rsidRPr="004A7B4A">
        <w:rPr>
          <w:rFonts w:ascii="Times New Roman" w:hAnsi="Times New Roman" w:cs="Times New Roman"/>
          <w:bCs/>
          <w:sz w:val="24"/>
          <w:szCs w:val="24"/>
        </w:rPr>
        <w:t>By adopting these, educators, administrators, and policymakers can cultivate more inclusive, resilient, and emotionally responsive mathematics learning environments</w:t>
      </w:r>
      <w:r w:rsidR="002D741B" w:rsidRPr="004A7B4A">
        <w:rPr>
          <w:rFonts w:ascii="Times New Roman" w:hAnsi="Times New Roman" w:cs="Times New Roman"/>
          <w:bCs/>
          <w:sz w:val="24"/>
          <w:szCs w:val="24"/>
        </w:rPr>
        <w:t xml:space="preserve">, </w:t>
      </w:r>
      <w:r w:rsidRPr="004A7B4A">
        <w:rPr>
          <w:rFonts w:ascii="Times New Roman" w:hAnsi="Times New Roman" w:cs="Times New Roman"/>
          <w:bCs/>
          <w:sz w:val="24"/>
          <w:szCs w:val="24"/>
        </w:rPr>
        <w:t>particularly for students in crisis-affected or rural regions like Agusan del Sur.</w:t>
      </w:r>
    </w:p>
    <w:p w14:paraId="40900FF4" w14:textId="77777777" w:rsidR="00EC13C5" w:rsidRPr="004A7B4A" w:rsidRDefault="00EC13C5" w:rsidP="00F06779">
      <w:pPr>
        <w:pStyle w:val="NoSpacing"/>
        <w:ind w:left="238"/>
        <w:jc w:val="both"/>
        <w:rPr>
          <w:rFonts w:ascii="Times New Roman" w:hAnsi="Times New Roman" w:cs="Times New Roman"/>
          <w:bCs/>
          <w:sz w:val="24"/>
          <w:szCs w:val="24"/>
        </w:rPr>
      </w:pPr>
    </w:p>
    <w:p w14:paraId="71C0D8E8" w14:textId="703534CC" w:rsidR="00EC13C5" w:rsidRPr="004A7B4A" w:rsidRDefault="001A660F" w:rsidP="00F06779">
      <w:pPr>
        <w:pStyle w:val="NoSpacing"/>
        <w:ind w:left="238"/>
        <w:jc w:val="both"/>
        <w:rPr>
          <w:rFonts w:ascii="Times New Roman" w:hAnsi="Times New Roman" w:cs="Times New Roman"/>
          <w:b/>
          <w:bCs/>
          <w:sz w:val="28"/>
          <w:szCs w:val="28"/>
        </w:rPr>
      </w:pPr>
      <w:r w:rsidRPr="004A7B4A">
        <w:rPr>
          <w:rFonts w:ascii="Times New Roman" w:hAnsi="Times New Roman" w:cs="Times New Roman"/>
          <w:b/>
          <w:bCs/>
          <w:sz w:val="28"/>
          <w:szCs w:val="28"/>
        </w:rPr>
        <w:t>THEORETICAL CONTRIBUTION</w:t>
      </w:r>
    </w:p>
    <w:p w14:paraId="0E4E313F" w14:textId="77777777" w:rsidR="00EC13C5" w:rsidRPr="004A7B4A" w:rsidRDefault="00EC13C5" w:rsidP="00F06779">
      <w:pPr>
        <w:pStyle w:val="NoSpacing"/>
        <w:ind w:left="238"/>
        <w:jc w:val="both"/>
        <w:rPr>
          <w:rFonts w:ascii="Times New Roman" w:hAnsi="Times New Roman" w:cs="Times New Roman"/>
          <w:b/>
          <w:bCs/>
          <w:sz w:val="24"/>
          <w:szCs w:val="24"/>
        </w:rPr>
      </w:pPr>
    </w:p>
    <w:p w14:paraId="68C40631" w14:textId="77777777" w:rsidR="00EC13C5" w:rsidRPr="004A7B4A" w:rsidRDefault="00EC13C5" w:rsidP="00F06779">
      <w:pPr>
        <w:pStyle w:val="NoSpacing"/>
        <w:ind w:left="238"/>
        <w:jc w:val="both"/>
        <w:rPr>
          <w:rFonts w:ascii="Times New Roman" w:hAnsi="Times New Roman" w:cs="Times New Roman"/>
          <w:bCs/>
          <w:sz w:val="24"/>
          <w:szCs w:val="24"/>
        </w:rPr>
      </w:pPr>
      <w:r w:rsidRPr="004A7B4A">
        <w:rPr>
          <w:rFonts w:ascii="Times New Roman" w:hAnsi="Times New Roman" w:cs="Times New Roman"/>
          <w:bCs/>
          <w:sz w:val="24"/>
          <w:szCs w:val="24"/>
        </w:rPr>
        <w:t>Building on the empirical findings of this study, two interrelated theoretical models are proposed to explain the processes through which students’ attitudes toward mathematics are formed and transformed. The Disruption–Response Attitude Development (DRAD) Theory accounts for short-term attitudinal shifts triggered by abrupt changes in the learning environment, such as pandemics, floods, or sudden transitions between instructional modalities. DRAD emphasizes how such disruptions can produce affective disturbances, prompt cognitive reframing, and lead to behavioral adjustments that either strengthen or weaken students’ engagement with mathematics.</w:t>
      </w:r>
    </w:p>
    <w:p w14:paraId="432E6A81" w14:textId="77777777" w:rsidR="00EC13C5" w:rsidRPr="004A7B4A" w:rsidRDefault="00EC13C5" w:rsidP="00F06779">
      <w:pPr>
        <w:pStyle w:val="NoSpacing"/>
        <w:ind w:left="238"/>
        <w:jc w:val="both"/>
        <w:rPr>
          <w:rFonts w:ascii="Times New Roman" w:hAnsi="Times New Roman" w:cs="Times New Roman"/>
          <w:bCs/>
          <w:sz w:val="24"/>
          <w:szCs w:val="24"/>
        </w:rPr>
      </w:pPr>
    </w:p>
    <w:p w14:paraId="66B8B57F" w14:textId="77777777" w:rsidR="00EC13C5" w:rsidRPr="004A7B4A" w:rsidRDefault="00EC13C5" w:rsidP="00F06779">
      <w:pPr>
        <w:pStyle w:val="NoSpacing"/>
        <w:ind w:left="238"/>
        <w:jc w:val="both"/>
        <w:rPr>
          <w:rFonts w:ascii="Times New Roman" w:hAnsi="Times New Roman" w:cs="Times New Roman"/>
          <w:bCs/>
          <w:sz w:val="24"/>
          <w:szCs w:val="24"/>
        </w:rPr>
      </w:pPr>
      <w:r w:rsidRPr="004A7B4A">
        <w:rPr>
          <w:rFonts w:ascii="Times New Roman" w:hAnsi="Times New Roman" w:cs="Times New Roman"/>
          <w:bCs/>
          <w:sz w:val="24"/>
          <w:szCs w:val="24"/>
        </w:rPr>
        <w:t>In contrast, the Experience–Shaped Attitude Formation (ESAF) Theory explains the long-term shaping of mathematics attitudes through the cumulative influence of past learning experiences. These include the quality of teacher–student interactions, the role of peer support, and personal histories of success or failure in mathematics. ESAF positions these accumulated experiences as the baseline attitudinal dispositions students bring into any new learning context.</w:t>
      </w:r>
    </w:p>
    <w:p w14:paraId="5717B2C9" w14:textId="77777777" w:rsidR="00EC13C5" w:rsidRPr="004A7B4A" w:rsidRDefault="00EC13C5" w:rsidP="00F06779">
      <w:pPr>
        <w:pStyle w:val="NoSpacing"/>
        <w:ind w:left="238"/>
        <w:jc w:val="both"/>
        <w:rPr>
          <w:rFonts w:ascii="Times New Roman" w:hAnsi="Times New Roman" w:cs="Times New Roman"/>
          <w:bCs/>
          <w:sz w:val="24"/>
          <w:szCs w:val="24"/>
        </w:rPr>
      </w:pPr>
    </w:p>
    <w:p w14:paraId="4332A734" w14:textId="77777777" w:rsidR="00EC13C5" w:rsidRPr="004A7B4A" w:rsidRDefault="00EC13C5" w:rsidP="00F06779">
      <w:pPr>
        <w:pStyle w:val="NoSpacing"/>
        <w:ind w:left="238"/>
        <w:jc w:val="both"/>
        <w:rPr>
          <w:rFonts w:ascii="Times New Roman" w:hAnsi="Times New Roman" w:cs="Times New Roman"/>
          <w:bCs/>
          <w:sz w:val="24"/>
          <w:szCs w:val="24"/>
        </w:rPr>
      </w:pPr>
      <w:r w:rsidRPr="004A7B4A">
        <w:rPr>
          <w:rFonts w:ascii="Times New Roman" w:hAnsi="Times New Roman" w:cs="Times New Roman"/>
          <w:bCs/>
          <w:sz w:val="24"/>
          <w:szCs w:val="24"/>
        </w:rPr>
        <w:t>Viewed together, ESAF describes the foundational attitudes that develop over time, while DRAD explains how those foundations are reshaped under disruptive conditions. This dual-lens framework enriches the theoretical landscape of mathematics education by integrating both chronic and acute influences on student attitudes. Beyond contributing to scholarly understanding, these models also offer practical direction for designing interventions that address both the long-term cultivation of positive mathematical dispositions and the immediate adaptive needs of students during times of change. The extended theoretical, methodological, and practical implications of DRAD and ESAF will be elaborated further in the next publication.</w:t>
      </w:r>
    </w:p>
    <w:p w14:paraId="6465915E" w14:textId="267370D2" w:rsidR="00EC13C5" w:rsidRPr="004A7B4A" w:rsidRDefault="001A660F" w:rsidP="00F06779">
      <w:pPr>
        <w:pStyle w:val="NormalWeb"/>
        <w:ind w:left="238"/>
        <w:jc w:val="both"/>
        <w:rPr>
          <w:rStyle w:val="Strong"/>
          <w:sz w:val="28"/>
          <w:szCs w:val="28"/>
        </w:rPr>
      </w:pPr>
      <w:r w:rsidRPr="004A7B4A">
        <w:rPr>
          <w:rStyle w:val="Strong"/>
          <w:sz w:val="28"/>
          <w:szCs w:val="28"/>
        </w:rPr>
        <w:t>LIMITATIONS AND FUTURE RESEARCH</w:t>
      </w:r>
    </w:p>
    <w:p w14:paraId="024993E7" w14:textId="5C0A4EBC" w:rsidR="00EC13C5" w:rsidRPr="004A7B4A" w:rsidRDefault="00EC13C5" w:rsidP="00F06779">
      <w:pPr>
        <w:pStyle w:val="NormalWeb"/>
        <w:ind w:left="238"/>
        <w:jc w:val="both"/>
      </w:pPr>
      <w:r w:rsidRPr="004A7B4A">
        <w:t>While this study offers valuable insights into the formation and transformation of students’ attitudes toward mathematics, its findings should be interpreted within certain limitations. First, the qualitative design focused on a specific institutional and geographical context</w:t>
      </w:r>
      <w:r w:rsidR="002A2A82" w:rsidRPr="004A7B4A">
        <w:t xml:space="preserve">, </w:t>
      </w:r>
      <w:r w:rsidRPr="004A7B4A">
        <w:t>students with mathematics-related courses at A</w:t>
      </w:r>
      <w:r w:rsidR="002A2A82" w:rsidRPr="004A7B4A">
        <w:t>DSSU,</w:t>
      </w:r>
      <w:r w:rsidR="009872A4" w:rsidRPr="004A7B4A">
        <w:t xml:space="preserve"> </w:t>
      </w:r>
      <w:r w:rsidRPr="004A7B4A">
        <w:t>which may limit the transferability of results to other settings. Second, the data were drawn from self-reported experiences during in-depth interviews and focus group discussions, which, while rich in detail, may be influenced by selective recall or social desirability bias. Third, the sample size, though adequate for qualitative analysis, does not allow for broad generalization of the patterns observed.</w:t>
      </w:r>
    </w:p>
    <w:p w14:paraId="5BBBA523" w14:textId="77777777" w:rsidR="00EC13C5" w:rsidRPr="004A7B4A" w:rsidRDefault="00EC13C5" w:rsidP="00F06779">
      <w:pPr>
        <w:pStyle w:val="NormalWeb"/>
        <w:ind w:left="238"/>
        <w:jc w:val="both"/>
      </w:pPr>
      <w:r w:rsidRPr="004A7B4A">
        <w:t xml:space="preserve">Future research could address these limitations by validating the proposed </w:t>
      </w:r>
      <w:r w:rsidRPr="004A7B4A">
        <w:rPr>
          <w:rStyle w:val="Strong"/>
          <w:b w:val="0"/>
          <w:bCs w:val="0"/>
        </w:rPr>
        <w:t>Disruption–Response Attitude Development (DRAD)</w:t>
      </w:r>
      <w:r w:rsidRPr="004A7B4A">
        <w:rPr>
          <w:b/>
          <w:bCs/>
        </w:rPr>
        <w:t xml:space="preserve"> </w:t>
      </w:r>
      <w:r w:rsidRPr="004A7B4A">
        <w:t>and</w:t>
      </w:r>
      <w:r w:rsidRPr="004A7B4A">
        <w:rPr>
          <w:b/>
          <w:bCs/>
        </w:rPr>
        <w:t xml:space="preserve"> </w:t>
      </w:r>
      <w:r w:rsidRPr="004A7B4A">
        <w:rPr>
          <w:rStyle w:val="Strong"/>
          <w:b w:val="0"/>
          <w:bCs w:val="0"/>
        </w:rPr>
        <w:t>Experience–Shaped Attitude Formation (ESAF)</w:t>
      </w:r>
      <w:r w:rsidRPr="004A7B4A">
        <w:t xml:space="preserve"> theories using larger and more diverse samples, including quantitative and mixed-methods approaches. Longitudinal studies could explore how attitudes evolve over time across multiple educational transitions and disruptions, while cross-context comparative studies could examine the applicability of these frameworks in different cultural and institutional environments. Further, experimental or quasi-experimental research could test intervention strategies informed by DRAD and ESAF, assessing their effectiveness in both crisis-responsive teaching and long-term attitudinal development in mathematics education.</w:t>
      </w:r>
    </w:p>
    <w:p w14:paraId="04D582BB" w14:textId="256253A6" w:rsidR="00403461" w:rsidRPr="004A7B4A" w:rsidRDefault="001A660F" w:rsidP="00F06779">
      <w:pPr>
        <w:pStyle w:val="NoSpacing"/>
        <w:ind w:left="238"/>
        <w:jc w:val="both"/>
        <w:rPr>
          <w:rFonts w:ascii="Times New Roman" w:hAnsi="Times New Roman" w:cs="Times New Roman"/>
          <w:b/>
          <w:sz w:val="28"/>
          <w:szCs w:val="28"/>
          <w:lang w:val="en-PH" w:eastAsia="en-PH"/>
        </w:rPr>
      </w:pPr>
      <w:r w:rsidRPr="004A7B4A">
        <w:rPr>
          <w:rFonts w:ascii="Times New Roman" w:hAnsi="Times New Roman" w:cs="Times New Roman"/>
          <w:b/>
          <w:sz w:val="28"/>
          <w:szCs w:val="28"/>
          <w:lang w:val="en-PH" w:eastAsia="en-PH"/>
        </w:rPr>
        <w:t>CONCLUSION</w:t>
      </w:r>
    </w:p>
    <w:p w14:paraId="30D6B1EB" w14:textId="13FC1F34" w:rsidR="00C85AD8" w:rsidRPr="004A7B4A" w:rsidRDefault="00C85AD8" w:rsidP="00F06779">
      <w:pPr>
        <w:spacing w:before="100" w:beforeAutospacing="1" w:after="100" w:afterAutospacing="1"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This study provided a comprehensive exploration of how college students at </w:t>
      </w:r>
      <w:r w:rsidR="00965535" w:rsidRPr="004A7B4A">
        <w:rPr>
          <w:rFonts w:ascii="Times New Roman" w:eastAsia="Times New Roman" w:hAnsi="Times New Roman" w:cs="Times New Roman"/>
          <w:sz w:val="24"/>
          <w:szCs w:val="24"/>
        </w:rPr>
        <w:t>ADSSU</w:t>
      </w:r>
      <w:r w:rsidRPr="004A7B4A">
        <w:rPr>
          <w:rFonts w:ascii="Times New Roman" w:eastAsia="Times New Roman" w:hAnsi="Times New Roman" w:cs="Times New Roman"/>
          <w:sz w:val="24"/>
          <w:szCs w:val="24"/>
        </w:rPr>
        <w:t xml:space="preserve"> experienced and adapted to mathematics learning across face-to-face, online, and blended environments, particularly in the face of educational disruptions brought about by crises such as the COVID-19 pandemic and natural calamities. Anchored in the Affective-Behavioral-Cognitive (ABC) model of attitudes and analyzed through Braun and Clarke’s (2006) thematic analysis, the findings illuminate the dynamic nature of students’ emotional, behavioral, and cognitive engagements with mathematics.</w:t>
      </w:r>
    </w:p>
    <w:p w14:paraId="057A58DD" w14:textId="77777777" w:rsidR="00C85AD8" w:rsidRPr="004A7B4A" w:rsidRDefault="00C85AD8" w:rsidP="00F06779">
      <w:pPr>
        <w:spacing w:before="100" w:beforeAutospacing="1" w:after="100" w:afterAutospacing="1"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Face-to-face learning was consistently preferred by students due to its ability to foster emotional reassurance, behavioral participation, and cognitive clarity. In contrast, the abrupt transition to online learning resulted in heightened anxiety, diminished motivation, and fragmented comprehension. While technology served as a </w:t>
      </w:r>
      <w:r w:rsidRPr="004A7B4A">
        <w:rPr>
          <w:rFonts w:ascii="Times New Roman" w:eastAsia="Times New Roman" w:hAnsi="Times New Roman" w:cs="Times New Roman"/>
          <w:sz w:val="24"/>
          <w:szCs w:val="24"/>
        </w:rPr>
        <w:lastRenderedPageBreak/>
        <w:t>valuable aid in navigating these transitions, students also reported cognitive disengagement and overreliance, signaling the need for more thoughtful, balanced integration of digital tools into mathematics instruction.</w:t>
      </w:r>
    </w:p>
    <w:p w14:paraId="0F8013A7" w14:textId="087D50E4" w:rsidR="00C85AD8" w:rsidRPr="004A7B4A" w:rsidRDefault="00C85AD8" w:rsidP="00F06779">
      <w:pPr>
        <w:spacing w:before="100" w:beforeAutospacing="1" w:after="100" w:afterAutospacing="1"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Social and environmental factors</w:t>
      </w:r>
      <w:r w:rsidR="005F6F47"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particularly the roles of teachers, peers, and family</w:t>
      </w:r>
      <w:r w:rsidR="005F6F47"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emerged as significant influencers of students’ mathematical attitudes. Supportive classroom climates, collaborative learning, and encouragement from teachers and family were found to enhance self-efficacy and engagement, whereas negative experiences contributed to long-term avoidance, anxiety, and disengagement from mathematics.</w:t>
      </w:r>
    </w:p>
    <w:p w14:paraId="6C93C1E3" w14:textId="30E6194B" w:rsidR="005B0187" w:rsidRPr="004A7B4A" w:rsidRDefault="00BE177C" w:rsidP="00F06779">
      <w:pPr>
        <w:spacing w:before="100" w:beforeAutospacing="1" w:after="100" w:afterAutospacing="1"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rPr>
        <w:t>T</w:t>
      </w:r>
      <w:r w:rsidR="00C85AD8" w:rsidRPr="004A7B4A">
        <w:rPr>
          <w:rFonts w:ascii="Times New Roman" w:eastAsia="Times New Roman" w:hAnsi="Times New Roman" w:cs="Times New Roman"/>
          <w:sz w:val="24"/>
          <w:szCs w:val="24"/>
        </w:rPr>
        <w:t>he findings underscore the complexity and fluidity of students’ attitudes toward mathematics in crisis-prone and resource-constrained contexts. This underscores the need for pedagogical approaches that are not only content-driven but also emotionally responsive, socially attuned, and adaptable to fluctuating learning environments. As educational landscapes continue to shift in response to global and local crises, insights from phenomenological inquiry</w:t>
      </w:r>
      <w:r w:rsidR="005F6F47" w:rsidRPr="004A7B4A">
        <w:rPr>
          <w:rFonts w:ascii="Times New Roman" w:eastAsia="Times New Roman" w:hAnsi="Times New Roman" w:cs="Times New Roman"/>
          <w:sz w:val="24"/>
          <w:szCs w:val="24"/>
        </w:rPr>
        <w:t xml:space="preserve">, </w:t>
      </w:r>
      <w:r w:rsidR="00C85AD8" w:rsidRPr="004A7B4A">
        <w:rPr>
          <w:rFonts w:ascii="Times New Roman" w:eastAsia="Times New Roman" w:hAnsi="Times New Roman" w:cs="Times New Roman"/>
          <w:sz w:val="24"/>
          <w:szCs w:val="24"/>
        </w:rPr>
        <w:t>such as those offered in this study</w:t>
      </w:r>
      <w:r w:rsidR="005F6F47" w:rsidRPr="004A7B4A">
        <w:rPr>
          <w:rFonts w:ascii="Times New Roman" w:eastAsia="Times New Roman" w:hAnsi="Times New Roman" w:cs="Times New Roman"/>
          <w:sz w:val="24"/>
          <w:szCs w:val="24"/>
        </w:rPr>
        <w:t xml:space="preserve">, </w:t>
      </w:r>
      <w:r w:rsidR="00C85AD8" w:rsidRPr="004A7B4A">
        <w:rPr>
          <w:rFonts w:ascii="Times New Roman" w:eastAsia="Times New Roman" w:hAnsi="Times New Roman" w:cs="Times New Roman"/>
          <w:sz w:val="24"/>
          <w:szCs w:val="24"/>
        </w:rPr>
        <w:t xml:space="preserve">are vital in designing resilient, inclusive, and empowering models of mathematics education that genuinely reflect and support </w:t>
      </w:r>
      <w:r w:rsidR="002D741B" w:rsidRPr="004A7B4A">
        <w:rPr>
          <w:rFonts w:ascii="Times New Roman" w:eastAsia="Times New Roman" w:hAnsi="Times New Roman" w:cs="Times New Roman"/>
          <w:sz w:val="24"/>
          <w:szCs w:val="24"/>
        </w:rPr>
        <w:t>students</w:t>
      </w:r>
      <w:r w:rsidR="00C85AD8" w:rsidRPr="004A7B4A">
        <w:rPr>
          <w:rFonts w:ascii="Times New Roman" w:eastAsia="Times New Roman" w:hAnsi="Times New Roman" w:cs="Times New Roman"/>
          <w:sz w:val="24"/>
          <w:szCs w:val="24"/>
        </w:rPr>
        <w:t xml:space="preserve"> lived realities.</w:t>
      </w:r>
    </w:p>
    <w:p w14:paraId="61B61935" w14:textId="6F953D58" w:rsidR="00D64286" w:rsidRPr="004A7B4A" w:rsidRDefault="001A660F" w:rsidP="00F06779">
      <w:pPr>
        <w:pStyle w:val="NoSpacing"/>
        <w:ind w:left="238"/>
        <w:jc w:val="both"/>
        <w:rPr>
          <w:rFonts w:ascii="Times New Roman" w:hAnsi="Times New Roman" w:cs="Times New Roman"/>
          <w:b/>
          <w:bCs/>
          <w:sz w:val="28"/>
          <w:szCs w:val="28"/>
        </w:rPr>
      </w:pPr>
      <w:r w:rsidRPr="004A7B4A">
        <w:rPr>
          <w:rFonts w:ascii="Times New Roman" w:hAnsi="Times New Roman" w:cs="Times New Roman"/>
          <w:b/>
          <w:bCs/>
          <w:sz w:val="28"/>
          <w:szCs w:val="28"/>
        </w:rPr>
        <w:t>REFERENCES</w:t>
      </w:r>
    </w:p>
    <w:p w14:paraId="5F8F9F10" w14:textId="77777777" w:rsidR="0070470A" w:rsidRPr="004A7B4A" w:rsidRDefault="0070470A" w:rsidP="00F06779">
      <w:pPr>
        <w:pStyle w:val="NoSpacing"/>
        <w:ind w:left="238" w:hanging="426"/>
        <w:jc w:val="both"/>
        <w:rPr>
          <w:rFonts w:ascii="Times New Roman" w:hAnsi="Times New Roman" w:cs="Times New Roman"/>
          <w:sz w:val="24"/>
          <w:szCs w:val="24"/>
          <w:lang w:val="en-PH" w:eastAsia="en-PH"/>
        </w:rPr>
      </w:pPr>
    </w:p>
    <w:p w14:paraId="5023BDF5" w14:textId="2D0424E9" w:rsidR="001A660F" w:rsidRPr="004A7B4A" w:rsidRDefault="001A660F" w:rsidP="00A51FC1">
      <w:pPr>
        <w:pStyle w:val="NormalWeb"/>
        <w:numPr>
          <w:ilvl w:val="0"/>
          <w:numId w:val="46"/>
        </w:numPr>
        <w:spacing w:before="0" w:beforeAutospacing="0" w:after="0" w:afterAutospacing="0"/>
        <w:jc w:val="both"/>
      </w:pPr>
      <w:r w:rsidRPr="004A7B4A">
        <w:t xml:space="preserve">Abdulah, N. N., Bahari, S. S. F., &amp; Mahmud, M. S. (2025). Perspectives and challenges in distance learning of mathematics: A survey among mathematics students in public tertiary education. </w:t>
      </w:r>
      <w:r w:rsidRPr="004A7B4A">
        <w:rPr>
          <w:i/>
          <w:iCs/>
        </w:rPr>
        <w:t>EURASIA Journal of Mathematics, Science and Technology Education</w:t>
      </w:r>
      <w:r w:rsidRPr="004A7B4A">
        <w:t>, 21(8), em2683. https://doi.org/10.29333/ejmste/16717</w:t>
      </w:r>
    </w:p>
    <w:p w14:paraId="063B2F6F" w14:textId="3223D5EF" w:rsidR="001A660F" w:rsidRPr="004A7B4A" w:rsidRDefault="001A660F" w:rsidP="00A51FC1">
      <w:pPr>
        <w:pStyle w:val="ListParagraph"/>
        <w:numPr>
          <w:ilvl w:val="0"/>
          <w:numId w:val="46"/>
        </w:numPr>
        <w:spacing w:after="0" w:line="240" w:lineRule="auto"/>
        <w:jc w:val="both"/>
        <w:rPr>
          <w:rFonts w:ascii="Times New Roman" w:hAnsi="Times New Roman" w:cs="Times New Roman"/>
          <w:sz w:val="24"/>
          <w:szCs w:val="24"/>
        </w:rPr>
      </w:pPr>
      <w:proofErr w:type="spellStart"/>
      <w:r w:rsidRPr="004A7B4A">
        <w:rPr>
          <w:rFonts w:ascii="Times New Roman" w:hAnsi="Times New Roman" w:cs="Times New Roman"/>
          <w:sz w:val="24"/>
          <w:szCs w:val="24"/>
        </w:rPr>
        <w:t>Acido</w:t>
      </w:r>
      <w:proofErr w:type="spellEnd"/>
      <w:r w:rsidRPr="004A7B4A">
        <w:rPr>
          <w:rFonts w:ascii="Times New Roman" w:hAnsi="Times New Roman" w:cs="Times New Roman"/>
          <w:sz w:val="24"/>
          <w:szCs w:val="24"/>
        </w:rPr>
        <w:t xml:space="preserve">, J.V., &amp; Caballes, D.G. (2024). Assessing educational progress: A comparative analysis of PISA results (2018 vs. 2022) and HDI correlation in the Philippines. </w:t>
      </w:r>
      <w:r w:rsidRPr="004A7B4A">
        <w:rPr>
          <w:rFonts w:ascii="Times New Roman" w:hAnsi="Times New Roman" w:cs="Times New Roman"/>
          <w:i/>
          <w:iCs/>
          <w:sz w:val="24"/>
          <w:szCs w:val="24"/>
        </w:rPr>
        <w:t>World Journal of Advanced Research and Reviews, 21</w:t>
      </w:r>
      <w:r w:rsidRPr="004A7B4A">
        <w:rPr>
          <w:rFonts w:ascii="Times New Roman" w:hAnsi="Times New Roman" w:cs="Times New Roman"/>
          <w:sz w:val="24"/>
          <w:szCs w:val="24"/>
        </w:rPr>
        <w:t xml:space="preserve">(1), 462–474. </w:t>
      </w:r>
      <w:hyperlink r:id="rId8" w:tgtFrame="_new" w:history="1">
        <w:r w:rsidRPr="004A7B4A">
          <w:rPr>
            <w:rFonts w:ascii="Times New Roman" w:hAnsi="Times New Roman" w:cs="Times New Roman"/>
            <w:sz w:val="24"/>
            <w:szCs w:val="24"/>
          </w:rPr>
          <w:t>https://doi.org/10.30574/wjarr.2024.21.1.0020</w:t>
        </w:r>
      </w:hyperlink>
    </w:p>
    <w:p w14:paraId="2797571E" w14:textId="60843926" w:rsidR="001A660F" w:rsidRPr="004A7B4A" w:rsidRDefault="001A660F" w:rsidP="00A51FC1">
      <w:pPr>
        <w:pStyle w:val="NoSpacing"/>
        <w:numPr>
          <w:ilvl w:val="0"/>
          <w:numId w:val="46"/>
        </w:numPr>
        <w:jc w:val="both"/>
        <w:rPr>
          <w:rFonts w:ascii="Times New Roman" w:eastAsia="Times New Roman" w:hAnsi="Times New Roman" w:cs="Times New Roman"/>
          <w:sz w:val="24"/>
          <w:szCs w:val="24"/>
        </w:rPr>
      </w:pPr>
      <w:r w:rsidRPr="004A7B4A">
        <w:rPr>
          <w:rFonts w:ascii="Times New Roman" w:hAnsi="Times New Roman" w:cs="Times New Roman"/>
          <w:sz w:val="24"/>
          <w:szCs w:val="24"/>
        </w:rPr>
        <w:t xml:space="preserve">Ahmed, S. K. (2024). The pillars of trustworthiness in qualitative research. </w:t>
      </w:r>
      <w:r w:rsidRPr="004A7B4A">
        <w:rPr>
          <w:rFonts w:ascii="Times New Roman" w:hAnsi="Times New Roman" w:cs="Times New Roman"/>
          <w:i/>
          <w:iCs/>
          <w:sz w:val="24"/>
          <w:szCs w:val="24"/>
        </w:rPr>
        <w:t>Journal of Medicine, Surgery, and Public Health</w:t>
      </w:r>
      <w:r w:rsidRPr="004A7B4A">
        <w:rPr>
          <w:rFonts w:ascii="Times New Roman" w:hAnsi="Times New Roman" w:cs="Times New Roman"/>
          <w:sz w:val="24"/>
          <w:szCs w:val="24"/>
        </w:rPr>
        <w:t xml:space="preserve">, 2, 100051. </w:t>
      </w:r>
      <w:hyperlink r:id="rId9" w:tgtFrame="_new" w:history="1">
        <w:r w:rsidRPr="004A7B4A">
          <w:rPr>
            <w:rFonts w:ascii="Times New Roman" w:hAnsi="Times New Roman" w:cs="Times New Roman"/>
            <w:sz w:val="24"/>
            <w:szCs w:val="24"/>
          </w:rPr>
          <w:t>https://doi.org/10.1016/j.glmedi.2024.100051</w:t>
        </w:r>
      </w:hyperlink>
    </w:p>
    <w:p w14:paraId="73F5F0AA" w14:textId="35622B96" w:rsidR="001A660F" w:rsidRPr="004A7B4A" w:rsidRDefault="001A660F" w:rsidP="00A51FC1">
      <w:pPr>
        <w:pStyle w:val="ListParagraph"/>
        <w:numPr>
          <w:ilvl w:val="0"/>
          <w:numId w:val="46"/>
        </w:numPr>
        <w:spacing w:after="0" w:line="240" w:lineRule="auto"/>
        <w:jc w:val="both"/>
        <w:rPr>
          <w:rFonts w:ascii="Times New Roman" w:hAnsi="Times New Roman" w:cs="Times New Roman"/>
          <w:sz w:val="24"/>
          <w:szCs w:val="24"/>
        </w:rPr>
      </w:pPr>
      <w:proofErr w:type="spellStart"/>
      <w:r w:rsidRPr="004A7B4A">
        <w:rPr>
          <w:rFonts w:ascii="Times New Roman" w:hAnsi="Times New Roman" w:cs="Times New Roman"/>
          <w:sz w:val="24"/>
          <w:szCs w:val="24"/>
        </w:rPr>
        <w:t>Alabdulaziz</w:t>
      </w:r>
      <w:proofErr w:type="spellEnd"/>
      <w:r w:rsidRPr="004A7B4A">
        <w:rPr>
          <w:rFonts w:ascii="Times New Roman" w:hAnsi="Times New Roman" w:cs="Times New Roman"/>
          <w:sz w:val="24"/>
          <w:szCs w:val="24"/>
        </w:rPr>
        <w:t xml:space="preserve">, M. S., &amp; </w:t>
      </w:r>
      <w:proofErr w:type="spellStart"/>
      <w:r w:rsidRPr="004A7B4A">
        <w:rPr>
          <w:rFonts w:ascii="Times New Roman" w:hAnsi="Times New Roman" w:cs="Times New Roman"/>
          <w:sz w:val="24"/>
          <w:szCs w:val="24"/>
        </w:rPr>
        <w:t>Tayfour</w:t>
      </w:r>
      <w:proofErr w:type="spellEnd"/>
      <w:r w:rsidRPr="004A7B4A">
        <w:rPr>
          <w:rFonts w:ascii="Times New Roman" w:hAnsi="Times New Roman" w:cs="Times New Roman"/>
          <w:sz w:val="24"/>
          <w:szCs w:val="24"/>
        </w:rPr>
        <w:t xml:space="preserve">, E. A. (2023). A comparative study of the effects of distance learning and face-to-face learning during the COVID-19 pandemic on learning mathematical concepts in primary students of the Kingdom of Bahrain. </w:t>
      </w:r>
      <w:r w:rsidRPr="004A7B4A">
        <w:rPr>
          <w:rFonts w:ascii="Times New Roman" w:hAnsi="Times New Roman" w:cs="Times New Roman"/>
          <w:i/>
          <w:iCs/>
          <w:sz w:val="24"/>
          <w:szCs w:val="24"/>
        </w:rPr>
        <w:t>Education Sciences</w:t>
      </w:r>
      <w:r w:rsidRPr="004A7B4A">
        <w:rPr>
          <w:rFonts w:ascii="Times New Roman" w:hAnsi="Times New Roman" w:cs="Times New Roman"/>
          <w:sz w:val="24"/>
          <w:szCs w:val="24"/>
        </w:rPr>
        <w:t xml:space="preserve">, 13(2), 133. </w:t>
      </w:r>
      <w:r w:rsidR="003D40B0" w:rsidRPr="004A7B4A">
        <w:rPr>
          <w:rFonts w:ascii="Times New Roman" w:hAnsi="Times New Roman" w:cs="Times New Roman"/>
          <w:sz w:val="24"/>
          <w:szCs w:val="24"/>
        </w:rPr>
        <w:t>https://doi.org/10.3390/educsci13020133</w:t>
      </w:r>
    </w:p>
    <w:p w14:paraId="0E08C82C" w14:textId="67754E7E" w:rsidR="003D40B0" w:rsidRPr="004A7B4A" w:rsidRDefault="003D40B0" w:rsidP="00A51FC1">
      <w:pPr>
        <w:pStyle w:val="ListParagraph"/>
        <w:numPr>
          <w:ilvl w:val="0"/>
          <w:numId w:val="46"/>
        </w:numPr>
        <w:spacing w:after="0" w:line="240" w:lineRule="auto"/>
        <w:jc w:val="both"/>
        <w:rPr>
          <w:rFonts w:ascii="Times New Roman" w:hAnsi="Times New Roman" w:cs="Times New Roman"/>
          <w:sz w:val="24"/>
          <w:szCs w:val="24"/>
        </w:rPr>
      </w:pPr>
      <w:proofErr w:type="spellStart"/>
      <w:r w:rsidRPr="004A7B4A">
        <w:rPr>
          <w:rFonts w:ascii="Times New Roman" w:hAnsi="Times New Roman" w:cs="Times New Roman"/>
          <w:sz w:val="24"/>
          <w:szCs w:val="24"/>
        </w:rPr>
        <w:t>Alshaboul</w:t>
      </w:r>
      <w:proofErr w:type="spellEnd"/>
      <w:r w:rsidRPr="004A7B4A">
        <w:rPr>
          <w:rFonts w:ascii="Times New Roman" w:hAnsi="Times New Roman" w:cs="Times New Roman"/>
          <w:sz w:val="24"/>
          <w:szCs w:val="24"/>
        </w:rPr>
        <w:t xml:space="preserve">, Y. M., </w:t>
      </w:r>
      <w:proofErr w:type="spellStart"/>
      <w:r w:rsidRPr="004A7B4A">
        <w:rPr>
          <w:rFonts w:ascii="Times New Roman" w:hAnsi="Times New Roman" w:cs="Times New Roman"/>
          <w:sz w:val="24"/>
          <w:szCs w:val="24"/>
        </w:rPr>
        <w:t>Alazaizeh</w:t>
      </w:r>
      <w:proofErr w:type="spellEnd"/>
      <w:r w:rsidRPr="004A7B4A">
        <w:rPr>
          <w:rFonts w:ascii="Times New Roman" w:hAnsi="Times New Roman" w:cs="Times New Roman"/>
          <w:sz w:val="24"/>
          <w:szCs w:val="24"/>
        </w:rPr>
        <w:t>, M. A., Sellami, A. L., Abu-</w:t>
      </w:r>
      <w:proofErr w:type="spellStart"/>
      <w:r w:rsidRPr="004A7B4A">
        <w:rPr>
          <w:rFonts w:ascii="Times New Roman" w:hAnsi="Times New Roman" w:cs="Times New Roman"/>
          <w:sz w:val="24"/>
          <w:szCs w:val="24"/>
        </w:rPr>
        <w:t>Tineh</w:t>
      </w:r>
      <w:proofErr w:type="spellEnd"/>
      <w:r w:rsidRPr="004A7B4A">
        <w:rPr>
          <w:rFonts w:ascii="Times New Roman" w:hAnsi="Times New Roman" w:cs="Times New Roman"/>
          <w:sz w:val="24"/>
          <w:szCs w:val="24"/>
        </w:rPr>
        <w:t xml:space="preserve">, A. M., </w:t>
      </w:r>
      <w:proofErr w:type="spellStart"/>
      <w:r w:rsidRPr="004A7B4A">
        <w:rPr>
          <w:rFonts w:ascii="Times New Roman" w:hAnsi="Times New Roman" w:cs="Times New Roman"/>
          <w:sz w:val="24"/>
          <w:szCs w:val="24"/>
        </w:rPr>
        <w:t>Ghamrawi</w:t>
      </w:r>
      <w:proofErr w:type="spellEnd"/>
      <w:r w:rsidRPr="004A7B4A">
        <w:rPr>
          <w:rFonts w:ascii="Times New Roman" w:hAnsi="Times New Roman" w:cs="Times New Roman"/>
          <w:sz w:val="24"/>
          <w:szCs w:val="24"/>
        </w:rPr>
        <w:t xml:space="preserve">, N., &amp; Shal, T. (2024). The perceived challenges to online learning during the COVID-19 pandemic: A nationwide study of K-12 parental perspectives (Arab and other parents) in Qatar. </w:t>
      </w:r>
      <w:proofErr w:type="spellStart"/>
      <w:r w:rsidRPr="004A7B4A">
        <w:rPr>
          <w:rFonts w:ascii="Times New Roman" w:hAnsi="Times New Roman" w:cs="Times New Roman"/>
          <w:sz w:val="24"/>
          <w:szCs w:val="24"/>
        </w:rPr>
        <w:t>Heliyon</w:t>
      </w:r>
      <w:proofErr w:type="spellEnd"/>
      <w:r w:rsidRPr="004A7B4A">
        <w:rPr>
          <w:rFonts w:ascii="Times New Roman" w:hAnsi="Times New Roman" w:cs="Times New Roman"/>
          <w:sz w:val="24"/>
          <w:szCs w:val="24"/>
        </w:rPr>
        <w:t>, 10(7), e28578. https://doi.org/10.1016/j.heliyon.2024.e28578</w:t>
      </w:r>
    </w:p>
    <w:p w14:paraId="3D1E90A3" w14:textId="26C9AD29" w:rsidR="001A660F" w:rsidRPr="004A7B4A" w:rsidRDefault="001A660F" w:rsidP="00A51FC1">
      <w:pPr>
        <w:pStyle w:val="ListParagraph"/>
        <w:numPr>
          <w:ilvl w:val="0"/>
          <w:numId w:val="46"/>
        </w:numPr>
        <w:spacing w:after="0" w:line="240" w:lineRule="auto"/>
        <w:jc w:val="both"/>
        <w:rPr>
          <w:rFonts w:ascii="Times New Roman" w:hAnsi="Times New Roman" w:cs="Times New Roman"/>
          <w:sz w:val="24"/>
          <w:szCs w:val="24"/>
        </w:rPr>
      </w:pPr>
      <w:r w:rsidRPr="004A7B4A">
        <w:rPr>
          <w:rFonts w:ascii="Times New Roman" w:hAnsi="Times New Roman" w:cs="Times New Roman"/>
          <w:sz w:val="24"/>
          <w:szCs w:val="24"/>
        </w:rPr>
        <w:t xml:space="preserve">Bandura, A. (1977a). </w:t>
      </w:r>
      <w:r w:rsidRPr="004A7B4A">
        <w:rPr>
          <w:rFonts w:ascii="Times New Roman" w:hAnsi="Times New Roman" w:cs="Times New Roman"/>
          <w:i/>
          <w:iCs/>
          <w:sz w:val="24"/>
          <w:szCs w:val="24"/>
        </w:rPr>
        <w:t>Social learning theory</w:t>
      </w:r>
      <w:r w:rsidRPr="004A7B4A">
        <w:rPr>
          <w:rFonts w:ascii="Times New Roman" w:hAnsi="Times New Roman" w:cs="Times New Roman"/>
          <w:sz w:val="24"/>
          <w:szCs w:val="24"/>
        </w:rPr>
        <w:t>. Prentice Hall.</w:t>
      </w:r>
    </w:p>
    <w:p w14:paraId="589F7FD3" w14:textId="76F416CE" w:rsidR="001A660F" w:rsidRPr="004A7B4A" w:rsidRDefault="001A660F" w:rsidP="00A51FC1">
      <w:pPr>
        <w:pStyle w:val="NormalWeb"/>
        <w:numPr>
          <w:ilvl w:val="0"/>
          <w:numId w:val="46"/>
        </w:numPr>
        <w:shd w:val="clear" w:color="auto" w:fill="FFFFFF"/>
        <w:spacing w:before="0" w:beforeAutospacing="0" w:after="0" w:afterAutospacing="0"/>
        <w:jc w:val="both"/>
        <w:textAlignment w:val="baseline"/>
      </w:pPr>
      <w:r w:rsidRPr="004A7B4A">
        <w:t>Bandura, A. (1977b). </w:t>
      </w:r>
      <w:r w:rsidRPr="004A7B4A">
        <w:rPr>
          <w:rStyle w:val="Emphasis"/>
          <w:i w:val="0"/>
          <w:iCs w:val="0"/>
          <w:bdr w:val="none" w:sz="0" w:space="0" w:color="auto" w:frame="1"/>
        </w:rPr>
        <w:t>Self-efficacy: Toward a unifying theory of behavioral change</w:t>
      </w:r>
      <w:r w:rsidRPr="004A7B4A">
        <w:t xml:space="preserve">. </w:t>
      </w:r>
      <w:r w:rsidRPr="004A7B4A">
        <w:rPr>
          <w:i/>
          <w:iCs/>
        </w:rPr>
        <w:t>Psychological Review</w:t>
      </w:r>
      <w:r w:rsidRPr="004A7B4A">
        <w:t>, 84(2), 191-215.</w:t>
      </w:r>
    </w:p>
    <w:p w14:paraId="79F7ADD8" w14:textId="1CFAA119" w:rsidR="001A660F" w:rsidRPr="004A7B4A" w:rsidRDefault="001A660F" w:rsidP="00A51FC1">
      <w:pPr>
        <w:pStyle w:val="NormalWeb"/>
        <w:numPr>
          <w:ilvl w:val="0"/>
          <w:numId w:val="46"/>
        </w:numPr>
        <w:shd w:val="clear" w:color="auto" w:fill="FFFFFF"/>
        <w:spacing w:before="0" w:beforeAutospacing="0" w:after="0" w:afterAutospacing="0"/>
        <w:jc w:val="both"/>
        <w:textAlignment w:val="baseline"/>
      </w:pPr>
      <w:r w:rsidRPr="004A7B4A">
        <w:t>Bandura, A. (1986). </w:t>
      </w:r>
      <w:r w:rsidRPr="004A7B4A">
        <w:rPr>
          <w:rStyle w:val="Emphasis"/>
          <w:bdr w:val="none" w:sz="0" w:space="0" w:color="auto" w:frame="1"/>
        </w:rPr>
        <w:t>Social foundations of thought and action: A social cognitive theory</w:t>
      </w:r>
      <w:r w:rsidRPr="004A7B4A">
        <w:t>. Englewood Cliffs, NJ: Prentice-Hall.</w:t>
      </w:r>
    </w:p>
    <w:p w14:paraId="2DD542C3" w14:textId="5ED3FEA5" w:rsidR="001A660F" w:rsidRPr="004A7B4A" w:rsidRDefault="001A660F" w:rsidP="00A51FC1">
      <w:pPr>
        <w:pStyle w:val="NoSpacing"/>
        <w:numPr>
          <w:ilvl w:val="0"/>
          <w:numId w:val="46"/>
        </w:numPr>
        <w:jc w:val="both"/>
        <w:rPr>
          <w:rFonts w:ascii="Times New Roman" w:hAnsi="Times New Roman" w:cs="Times New Roman"/>
          <w:sz w:val="24"/>
          <w:szCs w:val="24"/>
        </w:rPr>
      </w:pPr>
      <w:r w:rsidRPr="004A7B4A">
        <w:rPr>
          <w:rFonts w:ascii="Times New Roman" w:hAnsi="Times New Roman" w:cs="Times New Roman"/>
          <w:sz w:val="24"/>
          <w:szCs w:val="24"/>
        </w:rPr>
        <w:t xml:space="preserve">Bandura, A. (1997). </w:t>
      </w:r>
      <w:r w:rsidRPr="004A7B4A">
        <w:rPr>
          <w:rFonts w:ascii="Times New Roman" w:hAnsi="Times New Roman" w:cs="Times New Roman"/>
          <w:i/>
          <w:iCs/>
          <w:sz w:val="24"/>
          <w:szCs w:val="24"/>
        </w:rPr>
        <w:t>Self-efficacy: The exercise of control</w:t>
      </w:r>
      <w:r w:rsidRPr="004A7B4A">
        <w:rPr>
          <w:rFonts w:ascii="Times New Roman" w:hAnsi="Times New Roman" w:cs="Times New Roman"/>
          <w:sz w:val="24"/>
          <w:szCs w:val="24"/>
        </w:rPr>
        <w:t>. W. H. Freeman.</w:t>
      </w:r>
    </w:p>
    <w:p w14:paraId="696F0017" w14:textId="34EF50D7" w:rsidR="001A660F" w:rsidRPr="004A7B4A" w:rsidRDefault="001A660F" w:rsidP="00A51FC1">
      <w:pPr>
        <w:pStyle w:val="NormalWeb"/>
        <w:numPr>
          <w:ilvl w:val="0"/>
          <w:numId w:val="46"/>
        </w:numPr>
        <w:spacing w:before="0" w:beforeAutospacing="0" w:after="0" w:afterAutospacing="0"/>
        <w:jc w:val="both"/>
      </w:pPr>
      <w:r w:rsidRPr="004A7B4A">
        <w:t xml:space="preserve">Barrett, P., Treves, A., </w:t>
      </w:r>
      <w:proofErr w:type="spellStart"/>
      <w:r w:rsidRPr="004A7B4A">
        <w:t>Shmis</w:t>
      </w:r>
      <w:proofErr w:type="spellEnd"/>
      <w:r w:rsidRPr="004A7B4A">
        <w:t xml:space="preserve">, T., </w:t>
      </w:r>
      <w:proofErr w:type="spellStart"/>
      <w:r w:rsidRPr="004A7B4A">
        <w:t>Ambasz</w:t>
      </w:r>
      <w:proofErr w:type="spellEnd"/>
      <w:r w:rsidRPr="004A7B4A">
        <w:t xml:space="preserve">, D., &amp; Ustinova, M. (2019). </w:t>
      </w:r>
      <w:r w:rsidRPr="004A7B4A">
        <w:rPr>
          <w:rStyle w:val="Emphasis"/>
        </w:rPr>
        <w:t>The impact of school infrastructure on learning: A synthesis of the evidence</w:t>
      </w:r>
      <w:r w:rsidRPr="004A7B4A">
        <w:t>. World Bank Group. https://doi.org/10.1596/978-1-4648-1378-8</w:t>
      </w:r>
    </w:p>
    <w:p w14:paraId="6263569C" w14:textId="62F442E5" w:rsidR="001A660F" w:rsidRPr="004A7B4A" w:rsidRDefault="001A660F" w:rsidP="00A51FC1">
      <w:pPr>
        <w:pStyle w:val="ListParagraph"/>
        <w:numPr>
          <w:ilvl w:val="0"/>
          <w:numId w:val="46"/>
        </w:numPr>
        <w:spacing w:after="0" w:line="240" w:lineRule="auto"/>
        <w:jc w:val="both"/>
        <w:rPr>
          <w:rFonts w:ascii="Times New Roman" w:hAnsi="Times New Roman" w:cs="Times New Roman"/>
          <w:sz w:val="24"/>
          <w:szCs w:val="24"/>
        </w:rPr>
      </w:pPr>
      <w:r w:rsidRPr="004A7B4A">
        <w:rPr>
          <w:rFonts w:ascii="Times New Roman" w:hAnsi="Times New Roman" w:cs="Times New Roman"/>
          <w:sz w:val="24"/>
          <w:szCs w:val="24"/>
          <w:shd w:val="clear" w:color="auto" w:fill="FFFFFF"/>
        </w:rPr>
        <w:t xml:space="preserve">Bernardo, A. B. I., Cordel, M. O., II, </w:t>
      </w:r>
      <w:proofErr w:type="spellStart"/>
      <w:r w:rsidRPr="004A7B4A">
        <w:rPr>
          <w:rFonts w:ascii="Times New Roman" w:hAnsi="Times New Roman" w:cs="Times New Roman"/>
          <w:sz w:val="24"/>
          <w:szCs w:val="24"/>
          <w:shd w:val="clear" w:color="auto" w:fill="FFFFFF"/>
        </w:rPr>
        <w:t>Lapinid</w:t>
      </w:r>
      <w:proofErr w:type="spellEnd"/>
      <w:r w:rsidRPr="004A7B4A">
        <w:rPr>
          <w:rFonts w:ascii="Times New Roman" w:hAnsi="Times New Roman" w:cs="Times New Roman"/>
          <w:sz w:val="24"/>
          <w:szCs w:val="24"/>
          <w:shd w:val="clear" w:color="auto" w:fill="FFFFFF"/>
        </w:rPr>
        <w:t xml:space="preserve">, M. R. C., Teves, J. M. M., Yap, S. A., &amp; Chua, U. C. (2022). </w:t>
      </w:r>
      <w:r w:rsidRPr="004A7B4A">
        <w:rPr>
          <w:rFonts w:ascii="Times New Roman" w:hAnsi="Times New Roman" w:cs="Times New Roman"/>
          <w:iCs/>
          <w:sz w:val="24"/>
          <w:szCs w:val="24"/>
          <w:shd w:val="clear" w:color="auto" w:fill="FFFFFF"/>
        </w:rPr>
        <w:t xml:space="preserve">Contrasting profiles of low-performing mathematics students in public and private schools in the </w:t>
      </w:r>
      <w:r w:rsidR="0070634C" w:rsidRPr="004A7B4A">
        <w:rPr>
          <w:rFonts w:ascii="Times New Roman" w:hAnsi="Times New Roman" w:cs="Times New Roman"/>
          <w:iCs/>
          <w:sz w:val="24"/>
          <w:szCs w:val="24"/>
          <w:shd w:val="clear" w:color="auto" w:fill="FFFFFF"/>
        </w:rPr>
        <w:t>Philippines</w:t>
      </w:r>
      <w:r w:rsidRPr="004A7B4A">
        <w:rPr>
          <w:rFonts w:ascii="Times New Roman" w:hAnsi="Times New Roman" w:cs="Times New Roman"/>
          <w:iCs/>
          <w:sz w:val="24"/>
          <w:szCs w:val="24"/>
          <w:shd w:val="clear" w:color="auto" w:fill="FFFFFF"/>
        </w:rPr>
        <w:t>: Insights from machine learning.</w:t>
      </w:r>
      <w:r w:rsidRPr="004A7B4A">
        <w:rPr>
          <w:rFonts w:ascii="Times New Roman" w:hAnsi="Times New Roman" w:cs="Times New Roman"/>
          <w:sz w:val="24"/>
          <w:szCs w:val="24"/>
          <w:shd w:val="clear" w:color="auto" w:fill="FFFFFF"/>
        </w:rPr>
        <w:t> </w:t>
      </w:r>
      <w:r w:rsidRPr="004A7B4A">
        <w:rPr>
          <w:rStyle w:val="Emphasis"/>
          <w:rFonts w:ascii="Times New Roman" w:hAnsi="Times New Roman" w:cs="Times New Roman"/>
          <w:sz w:val="24"/>
          <w:szCs w:val="24"/>
          <w:shd w:val="clear" w:color="auto" w:fill="FFFFFF"/>
        </w:rPr>
        <w:t>Journal of Intelligence</w:t>
      </w:r>
      <w:r w:rsidRPr="004A7B4A">
        <w:rPr>
          <w:rFonts w:ascii="Times New Roman" w:hAnsi="Times New Roman" w:cs="Times New Roman"/>
          <w:sz w:val="24"/>
          <w:szCs w:val="24"/>
          <w:shd w:val="clear" w:color="auto" w:fill="FFFFFF"/>
        </w:rPr>
        <w:t>, </w:t>
      </w:r>
      <w:r w:rsidRPr="004A7B4A">
        <w:rPr>
          <w:rStyle w:val="Emphasis"/>
          <w:rFonts w:ascii="Times New Roman" w:hAnsi="Times New Roman" w:cs="Times New Roman"/>
          <w:sz w:val="24"/>
          <w:szCs w:val="24"/>
          <w:shd w:val="clear" w:color="auto" w:fill="FFFFFF"/>
        </w:rPr>
        <w:t>10</w:t>
      </w:r>
      <w:r w:rsidRPr="004A7B4A">
        <w:rPr>
          <w:rFonts w:ascii="Times New Roman" w:hAnsi="Times New Roman" w:cs="Times New Roman"/>
          <w:sz w:val="24"/>
          <w:szCs w:val="24"/>
          <w:shd w:val="clear" w:color="auto" w:fill="FFFFFF"/>
        </w:rPr>
        <w:t>(3), 61. https://doi.org/10.3390/jintelligence10030061</w:t>
      </w:r>
    </w:p>
    <w:p w14:paraId="17FE79DD" w14:textId="057A268F"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 xml:space="preserve">Birt, L., Scott, S., Cavers, D., Campbell, C., &amp; Walter, F. (2016). Member checking: A tool to enhance trustworthiness or merely a nod to validation? </w:t>
      </w:r>
      <w:r w:rsidRPr="004A7B4A">
        <w:rPr>
          <w:rFonts w:ascii="Times New Roman" w:eastAsia="Times New Roman" w:hAnsi="Times New Roman" w:cs="Times New Roman"/>
          <w:i/>
          <w:iCs/>
          <w:sz w:val="24"/>
          <w:szCs w:val="24"/>
          <w:lang w:val="en-PH" w:eastAsia="en-PH"/>
        </w:rPr>
        <w:t>Qualitative Health Research, 26</w:t>
      </w:r>
      <w:r w:rsidRPr="004A7B4A">
        <w:rPr>
          <w:rFonts w:ascii="Times New Roman" w:eastAsia="Times New Roman" w:hAnsi="Times New Roman" w:cs="Times New Roman"/>
          <w:sz w:val="24"/>
          <w:szCs w:val="24"/>
          <w:lang w:val="en-PH" w:eastAsia="en-PH"/>
        </w:rPr>
        <w:t xml:space="preserve">(13), 1802–1811. </w:t>
      </w:r>
      <w:hyperlink r:id="rId10" w:history="1">
        <w:r w:rsidRPr="004A7B4A">
          <w:rPr>
            <w:rStyle w:val="Hyperlink"/>
            <w:rFonts w:ascii="Times New Roman" w:eastAsia="Times New Roman" w:hAnsi="Times New Roman" w:cs="Times New Roman"/>
            <w:color w:val="auto"/>
            <w:sz w:val="24"/>
            <w:szCs w:val="24"/>
            <w:u w:val="none"/>
            <w:lang w:val="en-PH" w:eastAsia="en-PH"/>
          </w:rPr>
          <w:t>https://doi.org/10.1177/1049732316654870</w:t>
        </w:r>
      </w:hyperlink>
    </w:p>
    <w:p w14:paraId="1895C8F0" w14:textId="543A5E19"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Braun, V., &amp; Clarke, V. (2006). Using thematic analysis in psychology</w:t>
      </w:r>
      <w:r w:rsidRPr="004A7B4A">
        <w:rPr>
          <w:rFonts w:ascii="Times New Roman" w:eastAsia="Times New Roman" w:hAnsi="Times New Roman" w:cs="Times New Roman"/>
          <w:i/>
          <w:iCs/>
          <w:sz w:val="24"/>
          <w:szCs w:val="24"/>
        </w:rPr>
        <w:t>. Qualitative Research in Psychology</w:t>
      </w:r>
      <w:r w:rsidRPr="004A7B4A">
        <w:rPr>
          <w:rFonts w:ascii="Times New Roman" w:eastAsia="Times New Roman" w:hAnsi="Times New Roman" w:cs="Times New Roman"/>
          <w:sz w:val="24"/>
          <w:szCs w:val="24"/>
        </w:rPr>
        <w:t xml:space="preserve">, 3(2), 77–101. </w:t>
      </w:r>
      <w:hyperlink r:id="rId11" w:history="1">
        <w:r w:rsidRPr="004A7B4A">
          <w:rPr>
            <w:rStyle w:val="Hyperlink"/>
            <w:rFonts w:ascii="Times New Roman" w:eastAsia="Times New Roman" w:hAnsi="Times New Roman" w:cs="Times New Roman"/>
            <w:color w:val="auto"/>
            <w:sz w:val="24"/>
            <w:szCs w:val="24"/>
            <w:u w:val="none"/>
          </w:rPr>
          <w:t>https://doi.org/10.1191/1478088706qp063oa</w:t>
        </w:r>
      </w:hyperlink>
    </w:p>
    <w:p w14:paraId="454A54C3" w14:textId="5C0360C7" w:rsidR="001A660F" w:rsidRPr="004A7B4A" w:rsidRDefault="001A660F" w:rsidP="00A51FC1">
      <w:pPr>
        <w:pStyle w:val="ListParagraph"/>
        <w:numPr>
          <w:ilvl w:val="0"/>
          <w:numId w:val="46"/>
        </w:numPr>
        <w:spacing w:after="0" w:line="240" w:lineRule="auto"/>
        <w:jc w:val="both"/>
        <w:rPr>
          <w:rStyle w:val="Hyperlink"/>
          <w:rFonts w:ascii="Times New Roman" w:eastAsia="Times New Roman" w:hAnsi="Times New Roman" w:cs="Times New Roman"/>
          <w:color w:val="auto"/>
          <w:sz w:val="24"/>
          <w:szCs w:val="24"/>
          <w:u w:val="none"/>
        </w:rPr>
      </w:pPr>
      <w:r w:rsidRPr="004A7B4A">
        <w:rPr>
          <w:rFonts w:ascii="Times New Roman" w:eastAsia="Times New Roman" w:hAnsi="Times New Roman" w:cs="Times New Roman"/>
          <w:sz w:val="24"/>
          <w:szCs w:val="24"/>
        </w:rPr>
        <w:t xml:space="preserve">Breckler, S. J. (1984). Empirical validation of affect, behavior, and cognition as distinct components of attitude. </w:t>
      </w:r>
      <w:r w:rsidRPr="004A7B4A">
        <w:rPr>
          <w:rFonts w:ascii="Times New Roman" w:eastAsia="Times New Roman" w:hAnsi="Times New Roman" w:cs="Times New Roman"/>
          <w:i/>
          <w:iCs/>
          <w:sz w:val="24"/>
          <w:szCs w:val="24"/>
        </w:rPr>
        <w:t>Journal of Personality and Social Psychology, 47</w:t>
      </w:r>
      <w:r w:rsidRPr="004A7B4A">
        <w:rPr>
          <w:rFonts w:ascii="Times New Roman" w:eastAsia="Times New Roman" w:hAnsi="Times New Roman" w:cs="Times New Roman"/>
          <w:sz w:val="24"/>
          <w:szCs w:val="24"/>
        </w:rPr>
        <w:t xml:space="preserve">(6), 1191–1205. </w:t>
      </w:r>
      <w:hyperlink r:id="rId12" w:history="1">
        <w:r w:rsidRPr="004A7B4A">
          <w:rPr>
            <w:rStyle w:val="Hyperlink"/>
            <w:rFonts w:ascii="Times New Roman" w:eastAsia="Times New Roman" w:hAnsi="Times New Roman" w:cs="Times New Roman"/>
            <w:color w:val="auto"/>
            <w:sz w:val="24"/>
            <w:szCs w:val="24"/>
            <w:u w:val="none"/>
          </w:rPr>
          <w:t>https://doi.org/10.1037/0022-3514.47.6.1191</w:t>
        </w:r>
      </w:hyperlink>
    </w:p>
    <w:p w14:paraId="0DE7D68E" w14:textId="736E439A" w:rsidR="007236AD" w:rsidRPr="004A7B4A" w:rsidRDefault="001A660F" w:rsidP="007236AD">
      <w:pPr>
        <w:pStyle w:val="NoSpacing"/>
        <w:numPr>
          <w:ilvl w:val="0"/>
          <w:numId w:val="46"/>
        </w:numPr>
        <w:jc w:val="both"/>
        <w:rPr>
          <w:rFonts w:ascii="Times New Roman" w:hAnsi="Times New Roman" w:cs="Times New Roman"/>
          <w:sz w:val="24"/>
          <w:szCs w:val="24"/>
        </w:rPr>
      </w:pPr>
      <w:r w:rsidRPr="004A7B4A">
        <w:rPr>
          <w:rFonts w:ascii="Times New Roman" w:hAnsi="Times New Roman" w:cs="Times New Roman"/>
          <w:sz w:val="24"/>
          <w:szCs w:val="24"/>
        </w:rPr>
        <w:lastRenderedPageBreak/>
        <w:t xml:space="preserve">Broda, M. D., Ross, E., </w:t>
      </w:r>
      <w:proofErr w:type="spellStart"/>
      <w:r w:rsidRPr="004A7B4A">
        <w:rPr>
          <w:rFonts w:ascii="Times New Roman" w:hAnsi="Times New Roman" w:cs="Times New Roman"/>
          <w:sz w:val="24"/>
          <w:szCs w:val="24"/>
        </w:rPr>
        <w:t>Sorhagen</w:t>
      </w:r>
      <w:proofErr w:type="spellEnd"/>
      <w:r w:rsidRPr="004A7B4A">
        <w:rPr>
          <w:rFonts w:ascii="Times New Roman" w:hAnsi="Times New Roman" w:cs="Times New Roman"/>
          <w:sz w:val="24"/>
          <w:szCs w:val="24"/>
        </w:rPr>
        <w:t xml:space="preserve">, N., &amp; Ekholm, E. (2023). Exploring control-value motivational profiles of mathematics anxiety, self-concept, and interest in adolescents. </w:t>
      </w:r>
      <w:r w:rsidRPr="004A7B4A">
        <w:rPr>
          <w:rFonts w:ascii="Times New Roman" w:hAnsi="Times New Roman" w:cs="Times New Roman"/>
          <w:i/>
          <w:iCs/>
          <w:sz w:val="24"/>
          <w:szCs w:val="24"/>
        </w:rPr>
        <w:t>Frontiers in Psychology</w:t>
      </w:r>
      <w:r w:rsidRPr="004A7B4A">
        <w:rPr>
          <w:rFonts w:ascii="Times New Roman" w:hAnsi="Times New Roman" w:cs="Times New Roman"/>
          <w:sz w:val="24"/>
          <w:szCs w:val="24"/>
        </w:rPr>
        <w:t xml:space="preserve">, 14, 1140924. </w:t>
      </w:r>
      <w:r w:rsidR="007236AD" w:rsidRPr="004A7B4A">
        <w:rPr>
          <w:rFonts w:ascii="Times New Roman" w:hAnsi="Times New Roman" w:cs="Times New Roman"/>
          <w:sz w:val="24"/>
          <w:szCs w:val="24"/>
        </w:rPr>
        <w:t>https://doi.org/10.3389/fpsyg.2023.1140924</w:t>
      </w:r>
    </w:p>
    <w:p w14:paraId="24006F49" w14:textId="68245890" w:rsidR="007236AD" w:rsidRPr="004A7B4A" w:rsidRDefault="007236AD" w:rsidP="007236AD">
      <w:pPr>
        <w:pStyle w:val="NoSpacing"/>
        <w:numPr>
          <w:ilvl w:val="0"/>
          <w:numId w:val="46"/>
        </w:numPr>
        <w:jc w:val="both"/>
        <w:rPr>
          <w:rFonts w:ascii="Times New Roman" w:hAnsi="Times New Roman" w:cs="Times New Roman"/>
          <w:sz w:val="24"/>
          <w:szCs w:val="24"/>
        </w:rPr>
      </w:pPr>
      <w:r w:rsidRPr="004A7B4A">
        <w:rPr>
          <w:rFonts w:ascii="Times New Roman" w:hAnsi="Times New Roman" w:cs="Times New Roman"/>
          <w:color w:val="000000" w:themeColor="text1"/>
          <w:sz w:val="24"/>
          <w:szCs w:val="24"/>
        </w:rPr>
        <w:t xml:space="preserve">Cañeda, M.E., Mata, L.P., &amp; </w:t>
      </w:r>
      <w:proofErr w:type="spellStart"/>
      <w:r w:rsidRPr="004A7B4A">
        <w:rPr>
          <w:rFonts w:ascii="Times New Roman" w:hAnsi="Times New Roman" w:cs="Times New Roman"/>
          <w:color w:val="000000" w:themeColor="text1"/>
          <w:sz w:val="24"/>
          <w:szCs w:val="24"/>
        </w:rPr>
        <w:t>Bedrijo</w:t>
      </w:r>
      <w:proofErr w:type="spellEnd"/>
      <w:r w:rsidRPr="004A7B4A">
        <w:rPr>
          <w:rFonts w:ascii="Times New Roman" w:hAnsi="Times New Roman" w:cs="Times New Roman"/>
          <w:color w:val="000000" w:themeColor="text1"/>
          <w:sz w:val="24"/>
          <w:szCs w:val="24"/>
        </w:rPr>
        <w:t xml:space="preserve">, R.W. (2024). Investigating Students’ Lived Experiences in Mathematics Classroom Activities. </w:t>
      </w:r>
      <w:r w:rsidRPr="004A7B4A">
        <w:rPr>
          <w:rFonts w:ascii="Times New Roman" w:hAnsi="Times New Roman" w:cs="Times New Roman"/>
          <w:i/>
          <w:iCs/>
          <w:color w:val="000000" w:themeColor="text1"/>
          <w:sz w:val="24"/>
          <w:szCs w:val="24"/>
        </w:rPr>
        <w:t>International Journal of Research and Innovation in Social Science</w:t>
      </w:r>
      <w:r w:rsidRPr="004A7B4A">
        <w:rPr>
          <w:rFonts w:ascii="Times New Roman" w:hAnsi="Times New Roman" w:cs="Times New Roman"/>
          <w:color w:val="000000" w:themeColor="text1"/>
          <w:sz w:val="24"/>
          <w:szCs w:val="24"/>
        </w:rPr>
        <w:t>, 8(11), 1508-1525.  https://doi.org/10.47772/IJRISS.2024.8110122</w:t>
      </w:r>
    </w:p>
    <w:p w14:paraId="2AC08B4A" w14:textId="0B9017FB" w:rsidR="001A660F" w:rsidRPr="004A7B4A" w:rsidRDefault="001A660F" w:rsidP="00A51FC1">
      <w:pPr>
        <w:pStyle w:val="NoSpacing"/>
        <w:numPr>
          <w:ilvl w:val="0"/>
          <w:numId w:val="46"/>
        </w:numPr>
        <w:jc w:val="both"/>
        <w:rPr>
          <w:rFonts w:ascii="Times New Roman" w:hAnsi="Times New Roman" w:cs="Times New Roman"/>
          <w:sz w:val="24"/>
          <w:szCs w:val="24"/>
          <w:lang w:val="en-PH" w:eastAsia="en-PH"/>
        </w:rPr>
      </w:pPr>
      <w:proofErr w:type="spellStart"/>
      <w:r w:rsidRPr="004A7B4A">
        <w:rPr>
          <w:rFonts w:ascii="Times New Roman" w:hAnsi="Times New Roman" w:cs="Times New Roman"/>
          <w:sz w:val="24"/>
          <w:szCs w:val="24"/>
          <w:lang w:val="en-PH" w:eastAsia="en-PH"/>
        </w:rPr>
        <w:t>Cevikbas</w:t>
      </w:r>
      <w:proofErr w:type="spellEnd"/>
      <w:r w:rsidRPr="004A7B4A">
        <w:rPr>
          <w:rFonts w:ascii="Times New Roman" w:hAnsi="Times New Roman" w:cs="Times New Roman"/>
          <w:sz w:val="24"/>
          <w:szCs w:val="24"/>
          <w:lang w:val="en-PH" w:eastAsia="en-PH"/>
        </w:rPr>
        <w:t xml:space="preserve">, M., &amp; Kaiser, G. (2022). Student engagement in a flipped secondary mathematics classroom. </w:t>
      </w:r>
      <w:r w:rsidRPr="004A7B4A">
        <w:rPr>
          <w:rFonts w:ascii="Times New Roman" w:hAnsi="Times New Roman" w:cs="Times New Roman"/>
          <w:i/>
          <w:iCs/>
          <w:sz w:val="24"/>
          <w:szCs w:val="24"/>
          <w:lang w:val="en-PH" w:eastAsia="en-PH"/>
        </w:rPr>
        <w:t>International Journal of Science and Mathematics Education</w:t>
      </w:r>
      <w:r w:rsidRPr="004A7B4A">
        <w:rPr>
          <w:rFonts w:ascii="Times New Roman" w:hAnsi="Times New Roman" w:cs="Times New Roman"/>
          <w:sz w:val="24"/>
          <w:szCs w:val="24"/>
          <w:lang w:val="en-PH" w:eastAsia="en-PH"/>
        </w:rPr>
        <w:t xml:space="preserve">, 20, 1455–1480. </w:t>
      </w:r>
      <w:r w:rsidR="0070634C" w:rsidRPr="004A7B4A">
        <w:rPr>
          <w:rFonts w:ascii="Times New Roman" w:hAnsi="Times New Roman" w:cs="Times New Roman"/>
          <w:sz w:val="24"/>
          <w:szCs w:val="24"/>
          <w:lang w:val="en-PH" w:eastAsia="en-PH"/>
        </w:rPr>
        <w:t>https://doi.org/</w:t>
      </w:r>
      <w:r w:rsidRPr="004A7B4A">
        <w:rPr>
          <w:rFonts w:ascii="Times New Roman" w:hAnsi="Times New Roman" w:cs="Times New Roman"/>
          <w:sz w:val="24"/>
          <w:szCs w:val="24"/>
          <w:lang w:val="en-PH" w:eastAsia="en-PH"/>
        </w:rPr>
        <w:t>10.1007/s10763-021-10213-x</w:t>
      </w:r>
    </w:p>
    <w:p w14:paraId="60CD466C" w14:textId="1ADF6D1B" w:rsidR="00015D1C" w:rsidRPr="004A7B4A" w:rsidRDefault="00015D1C" w:rsidP="00A51FC1">
      <w:pPr>
        <w:pStyle w:val="NormalWeb"/>
        <w:numPr>
          <w:ilvl w:val="0"/>
          <w:numId w:val="46"/>
        </w:numPr>
        <w:spacing w:before="0" w:beforeAutospacing="0" w:after="0" w:afterAutospacing="0"/>
        <w:jc w:val="both"/>
      </w:pPr>
      <w:r w:rsidRPr="004A7B4A">
        <w:rPr>
          <w:rFonts w:eastAsiaTheme="minorHAnsi"/>
        </w:rPr>
        <w:t>Chen, H., Xu, Y., Wang, D., Zhang, X.Q., Ma, J., &amp; Tang, S. (2024). The mediating role of self-efficacy between high school students’ perceived teacher support and mathematics feedback literacy. Learning and Motivation, 88, 102065. https://doi.org/10.1016/j.lmot.2024.102065</w:t>
      </w:r>
    </w:p>
    <w:p w14:paraId="6D1BBFD1" w14:textId="62122098" w:rsidR="001A660F" w:rsidRPr="004A7B4A" w:rsidRDefault="001A660F" w:rsidP="00A51FC1">
      <w:pPr>
        <w:pStyle w:val="NormalWeb"/>
        <w:numPr>
          <w:ilvl w:val="0"/>
          <w:numId w:val="46"/>
        </w:numPr>
        <w:spacing w:before="0" w:beforeAutospacing="0" w:after="0" w:afterAutospacing="0"/>
        <w:jc w:val="both"/>
      </w:pPr>
      <w:r w:rsidRPr="004A7B4A">
        <w:t xml:space="preserve">Chiu, T.K.F. (2022). Applying the self-determination theory to explain student engagement in online learning during the COVID-19 pandemic. </w:t>
      </w:r>
      <w:r w:rsidRPr="004A7B4A">
        <w:rPr>
          <w:i/>
          <w:iCs/>
        </w:rPr>
        <w:t>Journal of Research on Technology in Education</w:t>
      </w:r>
      <w:r w:rsidRPr="004A7B4A">
        <w:t>, 54(S1), S14–S30. https://doi.org/10.1080/15391523.2021.1891998</w:t>
      </w:r>
    </w:p>
    <w:p w14:paraId="5C9AA5C4" w14:textId="4F246761" w:rsidR="001A660F" w:rsidRPr="004A7B4A" w:rsidRDefault="001A660F" w:rsidP="00A51FC1">
      <w:pPr>
        <w:pStyle w:val="ListParagraph"/>
        <w:numPr>
          <w:ilvl w:val="0"/>
          <w:numId w:val="46"/>
        </w:numPr>
        <w:spacing w:after="0" w:line="240" w:lineRule="auto"/>
        <w:jc w:val="both"/>
        <w:rPr>
          <w:rStyle w:val="Hyperlink"/>
          <w:rFonts w:ascii="Times New Roman" w:eastAsia="Times New Roman" w:hAnsi="Times New Roman" w:cs="Times New Roman"/>
          <w:color w:val="auto"/>
          <w:sz w:val="24"/>
          <w:szCs w:val="24"/>
          <w:u w:val="none"/>
        </w:rPr>
      </w:pPr>
      <w:r w:rsidRPr="004A7B4A">
        <w:rPr>
          <w:rFonts w:ascii="Times New Roman" w:eastAsia="Times New Roman" w:hAnsi="Times New Roman" w:cs="Times New Roman"/>
          <w:sz w:val="24"/>
          <w:szCs w:val="24"/>
        </w:rPr>
        <w:t xml:space="preserve">Creswell, J. W., &amp; Creswell, J.D. (2023). </w:t>
      </w:r>
      <w:r w:rsidRPr="004A7B4A">
        <w:rPr>
          <w:rFonts w:ascii="Times New Roman" w:eastAsia="Times New Roman" w:hAnsi="Times New Roman" w:cs="Times New Roman"/>
          <w:i/>
          <w:iCs/>
          <w:sz w:val="24"/>
          <w:szCs w:val="24"/>
        </w:rPr>
        <w:t xml:space="preserve">Research design: Qualitative, quantitative, and mixed methods </w:t>
      </w:r>
      <w:proofErr w:type="gramStart"/>
      <w:r w:rsidRPr="004A7B4A">
        <w:rPr>
          <w:rFonts w:ascii="Times New Roman" w:eastAsia="Times New Roman" w:hAnsi="Times New Roman" w:cs="Times New Roman"/>
          <w:i/>
          <w:iCs/>
          <w:sz w:val="24"/>
          <w:szCs w:val="24"/>
        </w:rPr>
        <w:t>approaches</w:t>
      </w:r>
      <w:proofErr w:type="gramEnd"/>
      <w:r w:rsidRPr="004A7B4A">
        <w:rPr>
          <w:rFonts w:ascii="Times New Roman" w:eastAsia="Times New Roman" w:hAnsi="Times New Roman" w:cs="Times New Roman"/>
          <w:sz w:val="24"/>
          <w:szCs w:val="24"/>
        </w:rPr>
        <w:t xml:space="preserve"> (Sixth Edition). Sage Publications, Inc.</w:t>
      </w:r>
    </w:p>
    <w:p w14:paraId="33D63F53" w14:textId="0A086324"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Creswell, J. W., &amp; Poth, C. N. (2018). </w:t>
      </w:r>
      <w:r w:rsidRPr="004A7B4A">
        <w:rPr>
          <w:rFonts w:ascii="Times New Roman" w:eastAsia="Times New Roman" w:hAnsi="Times New Roman" w:cs="Times New Roman"/>
          <w:i/>
          <w:iCs/>
          <w:sz w:val="24"/>
          <w:szCs w:val="24"/>
        </w:rPr>
        <w:t>Qualitative inquiry and research design: Choosing among five approaches</w:t>
      </w:r>
      <w:r w:rsidRPr="004A7B4A">
        <w:rPr>
          <w:rFonts w:ascii="Times New Roman" w:eastAsia="Times New Roman" w:hAnsi="Times New Roman" w:cs="Times New Roman"/>
          <w:sz w:val="24"/>
          <w:szCs w:val="24"/>
        </w:rPr>
        <w:t xml:space="preserve"> (4th ed.). Sage Publications.</w:t>
      </w:r>
    </w:p>
    <w:p w14:paraId="3D4814F1" w14:textId="1046FF65" w:rsidR="001A660F" w:rsidRPr="004A7B4A" w:rsidRDefault="001A660F" w:rsidP="00A51FC1">
      <w:pPr>
        <w:pStyle w:val="ListParagraph"/>
        <w:numPr>
          <w:ilvl w:val="0"/>
          <w:numId w:val="46"/>
        </w:numPr>
        <w:spacing w:after="0" w:line="240" w:lineRule="auto"/>
        <w:jc w:val="both"/>
        <w:rPr>
          <w:rFonts w:ascii="Times New Roman" w:hAnsi="Times New Roman" w:cs="Times New Roman"/>
          <w:sz w:val="24"/>
          <w:szCs w:val="24"/>
        </w:rPr>
      </w:pPr>
      <w:r w:rsidRPr="004A7B4A">
        <w:rPr>
          <w:rFonts w:ascii="Times New Roman" w:hAnsi="Times New Roman" w:cs="Times New Roman"/>
          <w:sz w:val="24"/>
          <w:szCs w:val="24"/>
        </w:rPr>
        <w:t xml:space="preserve">Daker, R. J., Gattas, S. U., Sokolowski, H. M., Green, A. E., &amp; Lyons, I. M. (2021). First-year students’ math anxiety predicts STEM avoidance and underperformance throughout university, independently of math ability. </w:t>
      </w:r>
      <w:proofErr w:type="spellStart"/>
      <w:r w:rsidRPr="004A7B4A">
        <w:rPr>
          <w:rFonts w:ascii="Times New Roman" w:hAnsi="Times New Roman" w:cs="Times New Roman"/>
          <w:i/>
          <w:iCs/>
          <w:sz w:val="24"/>
          <w:szCs w:val="24"/>
        </w:rPr>
        <w:t>npj</w:t>
      </w:r>
      <w:proofErr w:type="spellEnd"/>
      <w:r w:rsidRPr="004A7B4A">
        <w:rPr>
          <w:rFonts w:ascii="Times New Roman" w:hAnsi="Times New Roman" w:cs="Times New Roman"/>
          <w:i/>
          <w:iCs/>
          <w:sz w:val="24"/>
          <w:szCs w:val="24"/>
        </w:rPr>
        <w:t xml:space="preserve"> Science of Learning, 6</w:t>
      </w:r>
      <w:r w:rsidRPr="004A7B4A">
        <w:rPr>
          <w:rFonts w:ascii="Times New Roman" w:hAnsi="Times New Roman" w:cs="Times New Roman"/>
          <w:sz w:val="24"/>
          <w:szCs w:val="24"/>
        </w:rPr>
        <w:t xml:space="preserve">(17). </w:t>
      </w:r>
      <w:hyperlink r:id="rId13" w:tgtFrame="_new" w:history="1">
        <w:r w:rsidRPr="004A7B4A">
          <w:rPr>
            <w:rFonts w:ascii="Times New Roman" w:hAnsi="Times New Roman" w:cs="Times New Roman"/>
            <w:sz w:val="24"/>
            <w:szCs w:val="24"/>
          </w:rPr>
          <w:t>https://doi.org/10.1038/s41539-021-00095-7</w:t>
        </w:r>
      </w:hyperlink>
    </w:p>
    <w:p w14:paraId="11582776" w14:textId="5B586F5B"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Deci, E. L., &amp; Ryan, R. M. (2000). The “what” and “why” of goal pursuits: Human needs and the self-determination of behavior. </w:t>
      </w:r>
      <w:r w:rsidRPr="004A7B4A">
        <w:rPr>
          <w:rFonts w:ascii="Times New Roman" w:eastAsia="Times New Roman" w:hAnsi="Times New Roman" w:cs="Times New Roman"/>
          <w:i/>
          <w:iCs/>
          <w:sz w:val="24"/>
          <w:szCs w:val="24"/>
        </w:rPr>
        <w:t>Psychological Inquiry, 11</w:t>
      </w:r>
      <w:r w:rsidRPr="004A7B4A">
        <w:rPr>
          <w:rFonts w:ascii="Times New Roman" w:eastAsia="Times New Roman" w:hAnsi="Times New Roman" w:cs="Times New Roman"/>
          <w:sz w:val="24"/>
          <w:szCs w:val="24"/>
        </w:rPr>
        <w:t xml:space="preserve">(4), 227–268. </w:t>
      </w:r>
      <w:hyperlink r:id="rId14" w:history="1">
        <w:r w:rsidRPr="004A7B4A">
          <w:rPr>
            <w:rStyle w:val="Hyperlink"/>
            <w:rFonts w:ascii="Times New Roman" w:eastAsia="Times New Roman" w:hAnsi="Times New Roman" w:cs="Times New Roman"/>
            <w:color w:val="auto"/>
            <w:sz w:val="24"/>
            <w:szCs w:val="24"/>
            <w:u w:val="none"/>
          </w:rPr>
          <w:t>https://doi.org/10.1207/S15327965PLI1104_01</w:t>
        </w:r>
      </w:hyperlink>
    </w:p>
    <w:p w14:paraId="7DEE9F66" w14:textId="3C9F9635"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Dweck, C. S. (2006). </w:t>
      </w:r>
      <w:r w:rsidRPr="004A7B4A">
        <w:rPr>
          <w:rFonts w:ascii="Times New Roman" w:eastAsia="Times New Roman" w:hAnsi="Times New Roman" w:cs="Times New Roman"/>
          <w:i/>
          <w:iCs/>
          <w:sz w:val="24"/>
          <w:szCs w:val="24"/>
        </w:rPr>
        <w:t>Mindset: The new psychology of success</w:t>
      </w:r>
      <w:r w:rsidRPr="004A7B4A">
        <w:rPr>
          <w:rFonts w:ascii="Times New Roman" w:eastAsia="Times New Roman" w:hAnsi="Times New Roman" w:cs="Times New Roman"/>
          <w:sz w:val="24"/>
          <w:szCs w:val="24"/>
        </w:rPr>
        <w:t>. Random House.</w:t>
      </w:r>
    </w:p>
    <w:p w14:paraId="4665FB79" w14:textId="43370240"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Eccles, J. S., &amp; Wigfield, A. (2002). Motivational beliefs, values, and goals. </w:t>
      </w:r>
      <w:r w:rsidRPr="004A7B4A">
        <w:rPr>
          <w:rFonts w:ascii="Times New Roman" w:eastAsia="Times New Roman" w:hAnsi="Times New Roman" w:cs="Times New Roman"/>
          <w:i/>
          <w:iCs/>
          <w:sz w:val="24"/>
          <w:szCs w:val="24"/>
        </w:rPr>
        <w:t>Annual Review of Psychology, 53</w:t>
      </w:r>
      <w:r w:rsidRPr="004A7B4A">
        <w:rPr>
          <w:rFonts w:ascii="Times New Roman" w:eastAsia="Times New Roman" w:hAnsi="Times New Roman" w:cs="Times New Roman"/>
          <w:sz w:val="24"/>
          <w:szCs w:val="24"/>
        </w:rPr>
        <w:t xml:space="preserve">, 109–132. </w:t>
      </w:r>
      <w:hyperlink r:id="rId15" w:history="1">
        <w:r w:rsidRPr="004A7B4A">
          <w:rPr>
            <w:rStyle w:val="Hyperlink"/>
            <w:rFonts w:ascii="Times New Roman" w:eastAsia="Times New Roman" w:hAnsi="Times New Roman" w:cs="Times New Roman"/>
            <w:color w:val="auto"/>
            <w:sz w:val="24"/>
            <w:szCs w:val="24"/>
            <w:u w:val="none"/>
          </w:rPr>
          <w:t>https://doi.org/10.1146/annurev.psych.53.100901.135153</w:t>
        </w:r>
      </w:hyperlink>
    </w:p>
    <w:p w14:paraId="516D2EB1" w14:textId="5D67D46C" w:rsidR="001A660F" w:rsidRPr="004A7B4A" w:rsidRDefault="001A660F" w:rsidP="00A51FC1">
      <w:pPr>
        <w:pStyle w:val="NormalWeb"/>
        <w:numPr>
          <w:ilvl w:val="0"/>
          <w:numId w:val="46"/>
        </w:numPr>
        <w:spacing w:before="0" w:beforeAutospacing="0" w:after="0" w:afterAutospacing="0"/>
        <w:jc w:val="both"/>
      </w:pPr>
      <w:r w:rsidRPr="004A7B4A">
        <w:t xml:space="preserve">Fredricks, J. A., Reschly, A. L., &amp; Christenson, S. L. (2019). </w:t>
      </w:r>
      <w:r w:rsidRPr="004A7B4A">
        <w:rPr>
          <w:rStyle w:val="Emphasis"/>
        </w:rPr>
        <w:t xml:space="preserve">Handbook of student engagement interventions: Working with disengaged </w:t>
      </w:r>
      <w:r w:rsidR="0016750E" w:rsidRPr="004A7B4A">
        <w:rPr>
          <w:rStyle w:val="Emphasis"/>
        </w:rPr>
        <w:t>Students</w:t>
      </w:r>
      <w:r w:rsidRPr="004A7B4A">
        <w:t>. Academic Press.</w:t>
      </w:r>
    </w:p>
    <w:p w14:paraId="64A51F0E" w14:textId="26EB8DB1" w:rsidR="001A660F" w:rsidRPr="004A7B4A" w:rsidRDefault="001A660F" w:rsidP="00A51FC1">
      <w:pPr>
        <w:pStyle w:val="NoSpacing"/>
        <w:numPr>
          <w:ilvl w:val="0"/>
          <w:numId w:val="46"/>
        </w:numPr>
        <w:jc w:val="both"/>
        <w:rPr>
          <w:rFonts w:ascii="Times New Roman" w:hAnsi="Times New Roman" w:cs="Times New Roman"/>
          <w:sz w:val="24"/>
          <w:szCs w:val="24"/>
          <w:lang w:val="en-PH" w:eastAsia="en-PH"/>
        </w:rPr>
      </w:pPr>
      <w:proofErr w:type="spellStart"/>
      <w:r w:rsidRPr="004A7B4A">
        <w:rPr>
          <w:rFonts w:ascii="Times New Roman" w:hAnsi="Times New Roman" w:cs="Times New Roman"/>
          <w:sz w:val="24"/>
          <w:szCs w:val="24"/>
          <w:lang w:val="en-PH" w:eastAsia="en-PH"/>
        </w:rPr>
        <w:t>Hanaysha</w:t>
      </w:r>
      <w:proofErr w:type="spellEnd"/>
      <w:r w:rsidRPr="004A7B4A">
        <w:rPr>
          <w:rFonts w:ascii="Times New Roman" w:hAnsi="Times New Roman" w:cs="Times New Roman"/>
          <w:sz w:val="24"/>
          <w:szCs w:val="24"/>
          <w:lang w:val="en-PH" w:eastAsia="en-PH"/>
        </w:rPr>
        <w:t xml:space="preserve">, J. R., </w:t>
      </w:r>
      <w:proofErr w:type="spellStart"/>
      <w:r w:rsidRPr="004A7B4A">
        <w:rPr>
          <w:rFonts w:ascii="Times New Roman" w:hAnsi="Times New Roman" w:cs="Times New Roman"/>
          <w:sz w:val="24"/>
          <w:szCs w:val="24"/>
          <w:lang w:val="en-PH" w:eastAsia="en-PH"/>
        </w:rPr>
        <w:t>Shriedeh</w:t>
      </w:r>
      <w:proofErr w:type="spellEnd"/>
      <w:r w:rsidRPr="004A7B4A">
        <w:rPr>
          <w:rFonts w:ascii="Times New Roman" w:hAnsi="Times New Roman" w:cs="Times New Roman"/>
          <w:sz w:val="24"/>
          <w:szCs w:val="24"/>
          <w:lang w:val="en-PH" w:eastAsia="en-PH"/>
        </w:rPr>
        <w:t xml:space="preserve">, F. B., &amp; </w:t>
      </w:r>
      <w:proofErr w:type="spellStart"/>
      <w:r w:rsidRPr="004A7B4A">
        <w:rPr>
          <w:rFonts w:ascii="Times New Roman" w:hAnsi="Times New Roman" w:cs="Times New Roman"/>
          <w:sz w:val="24"/>
          <w:szCs w:val="24"/>
          <w:lang w:val="en-PH" w:eastAsia="en-PH"/>
        </w:rPr>
        <w:t>In’airat</w:t>
      </w:r>
      <w:proofErr w:type="spellEnd"/>
      <w:r w:rsidRPr="004A7B4A">
        <w:rPr>
          <w:rFonts w:ascii="Times New Roman" w:hAnsi="Times New Roman" w:cs="Times New Roman"/>
          <w:sz w:val="24"/>
          <w:szCs w:val="24"/>
          <w:lang w:val="en-PH" w:eastAsia="en-PH"/>
        </w:rPr>
        <w:t xml:space="preserve">, M. (2023). Impact of classroom environment, teacher competency, information and communication technology resources, and university facilities on student engagement and academic performance. </w:t>
      </w:r>
      <w:r w:rsidRPr="004A7B4A">
        <w:rPr>
          <w:rFonts w:ascii="Times New Roman" w:hAnsi="Times New Roman" w:cs="Times New Roman"/>
          <w:i/>
          <w:iCs/>
          <w:sz w:val="24"/>
          <w:szCs w:val="24"/>
          <w:lang w:val="en-PH" w:eastAsia="en-PH"/>
        </w:rPr>
        <w:t>International Journal of Information Management Data Insights</w:t>
      </w:r>
      <w:r w:rsidRPr="004A7B4A">
        <w:rPr>
          <w:rFonts w:ascii="Times New Roman" w:hAnsi="Times New Roman" w:cs="Times New Roman"/>
          <w:sz w:val="24"/>
          <w:szCs w:val="24"/>
          <w:lang w:val="en-PH" w:eastAsia="en-PH"/>
        </w:rPr>
        <w:t xml:space="preserve">, 3(2), 100188. </w:t>
      </w:r>
      <w:r w:rsidR="007236AD" w:rsidRPr="004A7B4A">
        <w:rPr>
          <w:rFonts w:ascii="Times New Roman" w:hAnsi="Times New Roman" w:cs="Times New Roman"/>
          <w:sz w:val="24"/>
          <w:szCs w:val="24"/>
          <w:lang w:val="en-PH" w:eastAsia="en-PH"/>
        </w:rPr>
        <w:t>https://doi.org/</w:t>
      </w:r>
      <w:r w:rsidRPr="004A7B4A">
        <w:rPr>
          <w:rFonts w:ascii="Times New Roman" w:hAnsi="Times New Roman" w:cs="Times New Roman"/>
          <w:sz w:val="24"/>
          <w:szCs w:val="24"/>
          <w:lang w:val="en-PH" w:eastAsia="en-PH"/>
        </w:rPr>
        <w:t>10.1016/j.jjimei.2023.100188</w:t>
      </w:r>
    </w:p>
    <w:p w14:paraId="2DA5455D" w14:textId="577ECFA9" w:rsidR="001A660F" w:rsidRPr="004A7B4A" w:rsidRDefault="001A660F" w:rsidP="00A51FC1">
      <w:pPr>
        <w:pStyle w:val="NoSpacing"/>
        <w:numPr>
          <w:ilvl w:val="0"/>
          <w:numId w:val="46"/>
        </w:numPr>
        <w:jc w:val="both"/>
        <w:rPr>
          <w:rFonts w:ascii="Times New Roman" w:hAnsi="Times New Roman" w:cs="Times New Roman"/>
          <w:sz w:val="24"/>
          <w:szCs w:val="24"/>
        </w:rPr>
      </w:pPr>
      <w:r w:rsidRPr="004A7B4A">
        <w:rPr>
          <w:rFonts w:ascii="Times New Roman" w:hAnsi="Times New Roman" w:cs="Times New Roman"/>
          <w:sz w:val="24"/>
          <w:szCs w:val="24"/>
        </w:rPr>
        <w:t xml:space="preserve">Hanin, V., &amp; Gay, P. (2023). Comparative analysis of students’ emotional and motivational profiles in mathematics in grades 1–6. </w:t>
      </w:r>
      <w:r w:rsidRPr="004A7B4A">
        <w:rPr>
          <w:rFonts w:ascii="Times New Roman" w:hAnsi="Times New Roman" w:cs="Times New Roman"/>
          <w:i/>
          <w:iCs/>
          <w:sz w:val="24"/>
          <w:szCs w:val="24"/>
        </w:rPr>
        <w:t>Frontiers in Education</w:t>
      </w:r>
      <w:r w:rsidRPr="004A7B4A">
        <w:rPr>
          <w:rFonts w:ascii="Times New Roman" w:hAnsi="Times New Roman" w:cs="Times New Roman"/>
          <w:sz w:val="24"/>
          <w:szCs w:val="24"/>
        </w:rPr>
        <w:t>, 8, 1117676. https://doi.org/10.3389/feduc.2023.1117676</w:t>
      </w:r>
    </w:p>
    <w:p w14:paraId="3862BC21" w14:textId="77802891"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Kapasi, A., &amp; Pei, J. (2022). Mindset theory and school psychology. </w:t>
      </w:r>
      <w:r w:rsidRPr="004A7B4A">
        <w:rPr>
          <w:rFonts w:ascii="Times New Roman" w:eastAsia="Times New Roman" w:hAnsi="Times New Roman" w:cs="Times New Roman"/>
          <w:i/>
          <w:iCs/>
          <w:sz w:val="24"/>
          <w:szCs w:val="24"/>
        </w:rPr>
        <w:t>Canadian Journal of School Psychology</w:t>
      </w:r>
      <w:r w:rsidRPr="004A7B4A">
        <w:rPr>
          <w:rFonts w:ascii="Times New Roman" w:eastAsia="Times New Roman" w:hAnsi="Times New Roman" w:cs="Times New Roman"/>
          <w:sz w:val="24"/>
          <w:szCs w:val="24"/>
        </w:rPr>
        <w:t xml:space="preserve">, 37(1), 57–74. </w:t>
      </w:r>
      <w:hyperlink r:id="rId16" w:history="1">
        <w:r w:rsidRPr="004A7B4A">
          <w:rPr>
            <w:rStyle w:val="Hyperlink"/>
            <w:rFonts w:ascii="Times New Roman" w:eastAsia="Times New Roman" w:hAnsi="Times New Roman" w:cs="Times New Roman"/>
            <w:color w:val="auto"/>
            <w:sz w:val="24"/>
            <w:szCs w:val="24"/>
            <w:u w:val="none"/>
          </w:rPr>
          <w:t>https://doi.org/10.1177/08295735211053961</w:t>
        </w:r>
      </w:hyperlink>
    </w:p>
    <w:p w14:paraId="3ED8126F" w14:textId="25E36D0E" w:rsidR="001A660F" w:rsidRPr="004A7B4A" w:rsidRDefault="001A660F" w:rsidP="00A51FC1">
      <w:pPr>
        <w:pStyle w:val="NormalWeb"/>
        <w:numPr>
          <w:ilvl w:val="0"/>
          <w:numId w:val="46"/>
        </w:numPr>
        <w:spacing w:before="0" w:beforeAutospacing="0" w:after="0" w:afterAutospacing="0"/>
        <w:jc w:val="both"/>
      </w:pPr>
      <w:r w:rsidRPr="004A7B4A">
        <w:t xml:space="preserve">Lincoln, Y. S., &amp; Guba, E. G. (1985). </w:t>
      </w:r>
      <w:r w:rsidRPr="004A7B4A">
        <w:rPr>
          <w:i/>
          <w:iCs/>
        </w:rPr>
        <w:t>Naturalistic inquiry</w:t>
      </w:r>
      <w:r w:rsidRPr="004A7B4A">
        <w:t>. Sage Publications.</w:t>
      </w:r>
    </w:p>
    <w:p w14:paraId="0247FB01" w14:textId="6AA100A5" w:rsidR="001A660F" w:rsidRPr="004A7B4A" w:rsidRDefault="001A660F" w:rsidP="00A51FC1">
      <w:pPr>
        <w:pStyle w:val="NoSpacing"/>
        <w:numPr>
          <w:ilvl w:val="0"/>
          <w:numId w:val="46"/>
        </w:numPr>
        <w:jc w:val="both"/>
        <w:rPr>
          <w:rFonts w:ascii="Times New Roman" w:hAnsi="Times New Roman" w:cs="Times New Roman"/>
          <w:sz w:val="24"/>
          <w:szCs w:val="24"/>
          <w:lang w:val="en-PH" w:eastAsia="en-PH"/>
        </w:rPr>
      </w:pPr>
      <w:r w:rsidRPr="004A7B4A">
        <w:rPr>
          <w:rFonts w:ascii="Times New Roman" w:hAnsi="Times New Roman" w:cs="Times New Roman"/>
          <w:sz w:val="24"/>
          <w:szCs w:val="24"/>
          <w:lang w:val="en-PH" w:eastAsia="en-PH"/>
        </w:rPr>
        <w:t xml:space="preserve">Makaremi, N., Yildirim, S., Morgan, G. T., Touchie, M. F., Jakubiec, J. A., &amp; Robinson, J. B. (2024). Impact of classroom environment on student wellbeing in higher education: Review and future directions. </w:t>
      </w:r>
      <w:r w:rsidRPr="004A7B4A">
        <w:rPr>
          <w:rFonts w:ascii="Times New Roman" w:hAnsi="Times New Roman" w:cs="Times New Roman"/>
          <w:i/>
          <w:iCs/>
          <w:sz w:val="24"/>
          <w:szCs w:val="24"/>
          <w:lang w:val="en-PH" w:eastAsia="en-PH"/>
        </w:rPr>
        <w:t>Building and Environment</w:t>
      </w:r>
      <w:r w:rsidRPr="004A7B4A">
        <w:rPr>
          <w:rFonts w:ascii="Times New Roman" w:hAnsi="Times New Roman" w:cs="Times New Roman"/>
          <w:sz w:val="24"/>
          <w:szCs w:val="24"/>
          <w:lang w:val="en-PH" w:eastAsia="en-PH"/>
        </w:rPr>
        <w:t xml:space="preserve">, 265, 111958. </w:t>
      </w:r>
      <w:r w:rsidR="007236AD" w:rsidRPr="004A7B4A">
        <w:rPr>
          <w:rFonts w:ascii="Times New Roman" w:hAnsi="Times New Roman" w:cs="Times New Roman"/>
          <w:sz w:val="24"/>
          <w:szCs w:val="24"/>
          <w:lang w:val="en-PH" w:eastAsia="en-PH"/>
        </w:rPr>
        <w:t>https://doi.org/</w:t>
      </w:r>
      <w:r w:rsidRPr="004A7B4A">
        <w:rPr>
          <w:rFonts w:ascii="Times New Roman" w:hAnsi="Times New Roman" w:cs="Times New Roman"/>
          <w:sz w:val="24"/>
          <w:szCs w:val="24"/>
          <w:lang w:val="en-PH" w:eastAsia="en-PH"/>
        </w:rPr>
        <w:t>10.1016/j.buildenv.2024.111958</w:t>
      </w:r>
    </w:p>
    <w:p w14:paraId="1E74FE34" w14:textId="3C741801" w:rsidR="001A660F" w:rsidRPr="004A7B4A" w:rsidRDefault="001A660F" w:rsidP="00A51FC1">
      <w:pPr>
        <w:pStyle w:val="ListParagraph"/>
        <w:numPr>
          <w:ilvl w:val="0"/>
          <w:numId w:val="46"/>
        </w:numPr>
        <w:shd w:val="clear" w:color="auto" w:fill="FFFFFF"/>
        <w:spacing w:after="0" w:line="240" w:lineRule="auto"/>
        <w:jc w:val="both"/>
        <w:rPr>
          <w:rFonts w:ascii="Times New Roman" w:eastAsia="Times New Roman" w:hAnsi="Times New Roman" w:cs="Times New Roman"/>
          <w:sz w:val="24"/>
          <w:szCs w:val="24"/>
          <w:lang w:val="en-PH" w:eastAsia="en-PH"/>
        </w:rPr>
      </w:pPr>
      <w:r w:rsidRPr="004A7B4A">
        <w:rPr>
          <w:rFonts w:ascii="Times New Roman" w:hAnsi="Times New Roman" w:cs="Times New Roman"/>
          <w:sz w:val="24"/>
          <w:szCs w:val="24"/>
        </w:rPr>
        <w:t xml:space="preserve">McLeod, S. (2024). Member checking in qualitative research. </w:t>
      </w:r>
      <w:r w:rsidRPr="004A7B4A">
        <w:rPr>
          <w:rFonts w:ascii="Times New Roman" w:hAnsi="Times New Roman" w:cs="Times New Roman"/>
          <w:i/>
          <w:iCs/>
          <w:sz w:val="24"/>
          <w:szCs w:val="24"/>
        </w:rPr>
        <w:t>Simply Psychology</w:t>
      </w:r>
      <w:r w:rsidRPr="004A7B4A">
        <w:rPr>
          <w:rFonts w:ascii="Times New Roman" w:hAnsi="Times New Roman" w:cs="Times New Roman"/>
          <w:sz w:val="24"/>
          <w:szCs w:val="24"/>
        </w:rPr>
        <w:t xml:space="preserve">. </w:t>
      </w:r>
      <w:r w:rsidRPr="004A7B4A">
        <w:rPr>
          <w:rFonts w:ascii="Times New Roman" w:eastAsia="Times New Roman" w:hAnsi="Times New Roman" w:cs="Times New Roman"/>
          <w:sz w:val="24"/>
          <w:szCs w:val="24"/>
          <w:lang w:val="en-PH" w:eastAsia="en-PH"/>
        </w:rPr>
        <w:t>https://doi.org/</w:t>
      </w:r>
      <w:hyperlink r:id="rId17" w:tgtFrame="_blank" w:history="1">
        <w:r w:rsidRPr="004A7B4A">
          <w:rPr>
            <w:rFonts w:ascii="Times New Roman" w:eastAsia="Times New Roman" w:hAnsi="Times New Roman" w:cs="Times New Roman"/>
            <w:sz w:val="24"/>
            <w:szCs w:val="24"/>
            <w:bdr w:val="none" w:sz="0" w:space="0" w:color="auto" w:frame="1"/>
            <w:lang w:val="en-PH" w:eastAsia="en-PH"/>
          </w:rPr>
          <w:t>10.13140/RG.2.2.32221.73448</w:t>
        </w:r>
      </w:hyperlink>
    </w:p>
    <w:p w14:paraId="0948C426" w14:textId="74991A79" w:rsidR="001A660F" w:rsidRPr="004A7B4A" w:rsidRDefault="001A660F" w:rsidP="00A51FC1">
      <w:pPr>
        <w:pStyle w:val="NoSpacing"/>
        <w:numPr>
          <w:ilvl w:val="0"/>
          <w:numId w:val="46"/>
        </w:numPr>
        <w:jc w:val="both"/>
        <w:rPr>
          <w:rFonts w:ascii="Times New Roman" w:hAnsi="Times New Roman" w:cs="Times New Roman"/>
          <w:sz w:val="24"/>
          <w:szCs w:val="24"/>
          <w:shd w:val="clear" w:color="auto" w:fill="FFFFFF"/>
        </w:rPr>
      </w:pPr>
      <w:r w:rsidRPr="004A7B4A">
        <w:rPr>
          <w:rFonts w:ascii="Times New Roman" w:hAnsi="Times New Roman" w:cs="Times New Roman"/>
          <w:sz w:val="24"/>
          <w:szCs w:val="24"/>
          <w:shd w:val="clear" w:color="auto" w:fill="FFFFFF"/>
        </w:rPr>
        <w:t>McMullin, C. (2023). Transcription and Qualitative Methods: Implications for Third Sector Research. </w:t>
      </w:r>
      <w:proofErr w:type="spellStart"/>
      <w:r w:rsidR="00962CC9" w:rsidRPr="004A7B4A">
        <w:rPr>
          <w:rFonts w:ascii="Times New Roman" w:hAnsi="Times New Roman" w:cs="Times New Roman"/>
          <w:i/>
          <w:iCs/>
          <w:sz w:val="24"/>
          <w:szCs w:val="24"/>
          <w:shd w:val="clear" w:color="auto" w:fill="FFFFFF"/>
        </w:rPr>
        <w:t>Voluntas</w:t>
      </w:r>
      <w:proofErr w:type="spellEnd"/>
      <w:r w:rsidR="00962CC9" w:rsidRPr="004A7B4A">
        <w:rPr>
          <w:rFonts w:ascii="Times New Roman" w:hAnsi="Times New Roman" w:cs="Times New Roman"/>
          <w:i/>
          <w:iCs/>
          <w:sz w:val="24"/>
          <w:szCs w:val="24"/>
          <w:shd w:val="clear" w:color="auto" w:fill="FFFFFF"/>
        </w:rPr>
        <w:t>: International Journal of Voluntary and Nonprofit Organizations</w:t>
      </w:r>
      <w:r w:rsidR="00962CC9" w:rsidRPr="004A7B4A">
        <w:rPr>
          <w:rFonts w:ascii="Times New Roman" w:hAnsi="Times New Roman" w:cs="Times New Roman"/>
          <w:i/>
          <w:iCs/>
          <w:sz w:val="24"/>
          <w:szCs w:val="24"/>
          <w:shd w:val="clear" w:color="auto" w:fill="FFFFFF"/>
        </w:rPr>
        <w:t>,</w:t>
      </w:r>
      <w:r w:rsidRPr="004A7B4A">
        <w:rPr>
          <w:rFonts w:ascii="Times New Roman" w:hAnsi="Times New Roman" w:cs="Times New Roman"/>
          <w:sz w:val="24"/>
          <w:szCs w:val="24"/>
          <w:shd w:val="clear" w:color="auto" w:fill="FFFFFF"/>
        </w:rPr>
        <w:t> </w:t>
      </w:r>
      <w:r w:rsidR="00962CC9" w:rsidRPr="004A7B4A">
        <w:rPr>
          <w:rFonts w:ascii="Times New Roman" w:hAnsi="Times New Roman" w:cs="Times New Roman"/>
          <w:sz w:val="24"/>
          <w:szCs w:val="24"/>
          <w:shd w:val="clear" w:color="auto" w:fill="FFFFFF"/>
        </w:rPr>
        <w:t>34(1)</w:t>
      </w:r>
      <w:r w:rsidR="00962CC9" w:rsidRPr="004A7B4A">
        <w:rPr>
          <w:rFonts w:ascii="Times New Roman" w:hAnsi="Times New Roman" w:cs="Times New Roman"/>
          <w:sz w:val="24"/>
          <w:szCs w:val="24"/>
          <w:shd w:val="clear" w:color="auto" w:fill="FFFFFF"/>
        </w:rPr>
        <w:t>,</w:t>
      </w:r>
      <w:r w:rsidR="00962CC9" w:rsidRPr="004A7B4A">
        <w:rPr>
          <w:rFonts w:ascii="Times New Roman" w:hAnsi="Times New Roman" w:cs="Times New Roman"/>
          <w:sz w:val="24"/>
          <w:szCs w:val="24"/>
          <w:shd w:val="clear" w:color="auto" w:fill="FFFFFF"/>
        </w:rPr>
        <w:t>140-153</w:t>
      </w:r>
      <w:r w:rsidRPr="004A7B4A">
        <w:rPr>
          <w:rFonts w:ascii="Times New Roman" w:hAnsi="Times New Roman" w:cs="Times New Roman"/>
          <w:sz w:val="24"/>
          <w:szCs w:val="24"/>
          <w:shd w:val="clear" w:color="auto" w:fill="FFFFFF"/>
        </w:rPr>
        <w:t xml:space="preserve">. </w:t>
      </w:r>
      <w:hyperlink r:id="rId18" w:history="1">
        <w:r w:rsidRPr="004A7B4A">
          <w:rPr>
            <w:rStyle w:val="Hyperlink"/>
            <w:rFonts w:ascii="Times New Roman" w:hAnsi="Times New Roman" w:cs="Times New Roman"/>
            <w:color w:val="auto"/>
            <w:sz w:val="24"/>
            <w:szCs w:val="24"/>
            <w:u w:val="none"/>
            <w:shd w:val="clear" w:color="auto" w:fill="FFFFFF"/>
          </w:rPr>
          <w:t>https://doi.org/10.1007/s11266-021-00400-3</w:t>
        </w:r>
      </w:hyperlink>
    </w:p>
    <w:p w14:paraId="334EC905" w14:textId="3C3CEA65" w:rsidR="004A599A" w:rsidRPr="004A7B4A" w:rsidRDefault="004A599A" w:rsidP="00A51FC1">
      <w:pPr>
        <w:pStyle w:val="NoSpacing"/>
        <w:numPr>
          <w:ilvl w:val="0"/>
          <w:numId w:val="46"/>
        </w:numPr>
        <w:jc w:val="both"/>
        <w:rPr>
          <w:rFonts w:ascii="Times New Roman" w:hAnsi="Times New Roman" w:cs="Times New Roman"/>
          <w:sz w:val="24"/>
          <w:szCs w:val="24"/>
        </w:rPr>
      </w:pPr>
      <w:r w:rsidRPr="004A7B4A">
        <w:rPr>
          <w:rFonts w:ascii="Times New Roman" w:hAnsi="Times New Roman" w:cs="Times New Roman"/>
          <w:sz w:val="24"/>
          <w:szCs w:val="24"/>
        </w:rPr>
        <w:t xml:space="preserve">Möhring, W., Moll, L., &amp; </w:t>
      </w:r>
      <w:proofErr w:type="spellStart"/>
      <w:r w:rsidRPr="004A7B4A">
        <w:rPr>
          <w:rFonts w:ascii="Times New Roman" w:hAnsi="Times New Roman" w:cs="Times New Roman"/>
          <w:sz w:val="24"/>
          <w:szCs w:val="24"/>
        </w:rPr>
        <w:t>Szubielska</w:t>
      </w:r>
      <w:proofErr w:type="spellEnd"/>
      <w:r w:rsidRPr="004A7B4A">
        <w:rPr>
          <w:rFonts w:ascii="Times New Roman" w:hAnsi="Times New Roman" w:cs="Times New Roman"/>
          <w:sz w:val="24"/>
          <w:szCs w:val="24"/>
        </w:rPr>
        <w:t>, M. (2024). Mathematics anxiety and math achievement in primary school children: Testing different theoretical accounts. Journal of experimental child psychology, 247, 106038. https://doi.org/10.1016/j.jecp.2024.106038</w:t>
      </w:r>
    </w:p>
    <w:p w14:paraId="69B15B4D" w14:textId="018A108B" w:rsidR="001A660F" w:rsidRPr="004A7B4A" w:rsidRDefault="001A660F" w:rsidP="00A51FC1">
      <w:pPr>
        <w:pStyle w:val="NoSpacing"/>
        <w:numPr>
          <w:ilvl w:val="0"/>
          <w:numId w:val="46"/>
        </w:numPr>
        <w:jc w:val="both"/>
        <w:rPr>
          <w:rFonts w:ascii="Times New Roman" w:hAnsi="Times New Roman" w:cs="Times New Roman"/>
          <w:sz w:val="24"/>
          <w:szCs w:val="24"/>
        </w:rPr>
      </w:pPr>
      <w:proofErr w:type="spellStart"/>
      <w:r w:rsidRPr="004A7B4A">
        <w:rPr>
          <w:rFonts w:ascii="Times New Roman" w:hAnsi="Times New Roman" w:cs="Times New Roman"/>
          <w:sz w:val="24"/>
          <w:szCs w:val="24"/>
        </w:rPr>
        <w:t>Ongcoy</w:t>
      </w:r>
      <w:proofErr w:type="spellEnd"/>
      <w:r w:rsidRPr="004A7B4A">
        <w:rPr>
          <w:rFonts w:ascii="Times New Roman" w:hAnsi="Times New Roman" w:cs="Times New Roman"/>
          <w:sz w:val="24"/>
          <w:szCs w:val="24"/>
        </w:rPr>
        <w:t xml:space="preserve">, P.J.B., Jasmin, D.R.A., </w:t>
      </w:r>
      <w:proofErr w:type="spellStart"/>
      <w:r w:rsidRPr="004A7B4A">
        <w:rPr>
          <w:rFonts w:ascii="Times New Roman" w:hAnsi="Times New Roman" w:cs="Times New Roman"/>
          <w:sz w:val="24"/>
          <w:szCs w:val="24"/>
        </w:rPr>
        <w:t>Guiamal</w:t>
      </w:r>
      <w:proofErr w:type="spellEnd"/>
      <w:r w:rsidRPr="004A7B4A">
        <w:rPr>
          <w:rFonts w:ascii="Times New Roman" w:hAnsi="Times New Roman" w:cs="Times New Roman"/>
          <w:sz w:val="24"/>
          <w:szCs w:val="24"/>
        </w:rPr>
        <w:t xml:space="preserve">, I.P., </w:t>
      </w:r>
      <w:proofErr w:type="spellStart"/>
      <w:r w:rsidRPr="004A7B4A">
        <w:rPr>
          <w:rFonts w:ascii="Times New Roman" w:hAnsi="Times New Roman" w:cs="Times New Roman"/>
          <w:sz w:val="24"/>
          <w:szCs w:val="24"/>
        </w:rPr>
        <w:t>Guinita</w:t>
      </w:r>
      <w:proofErr w:type="spellEnd"/>
      <w:r w:rsidRPr="004A7B4A">
        <w:rPr>
          <w:rFonts w:ascii="Times New Roman" w:hAnsi="Times New Roman" w:cs="Times New Roman"/>
          <w:sz w:val="24"/>
          <w:szCs w:val="24"/>
        </w:rPr>
        <w:t xml:space="preserve">, S.S., &amp; Iligan, </w:t>
      </w:r>
      <w:proofErr w:type="gramStart"/>
      <w:r w:rsidRPr="004A7B4A">
        <w:rPr>
          <w:rFonts w:ascii="Times New Roman" w:hAnsi="Times New Roman" w:cs="Times New Roman"/>
          <w:sz w:val="24"/>
          <w:szCs w:val="24"/>
        </w:rPr>
        <w:t>A.M</w:t>
      </w:r>
      <w:proofErr w:type="gramEnd"/>
      <w:r w:rsidRPr="004A7B4A">
        <w:rPr>
          <w:rFonts w:ascii="Times New Roman" w:hAnsi="Times New Roman" w:cs="Times New Roman"/>
          <w:sz w:val="24"/>
          <w:szCs w:val="24"/>
        </w:rPr>
        <w:t xml:space="preserve">.M. (2023). Experiences and mathematics anxiety of STEM students. </w:t>
      </w:r>
      <w:r w:rsidRPr="004A7B4A">
        <w:rPr>
          <w:rFonts w:ascii="Times New Roman" w:hAnsi="Times New Roman" w:cs="Times New Roman"/>
          <w:i/>
          <w:iCs/>
          <w:sz w:val="24"/>
          <w:szCs w:val="24"/>
        </w:rPr>
        <w:t>Journal of Mathematics and Science Teacher</w:t>
      </w:r>
      <w:r w:rsidRPr="004A7B4A">
        <w:rPr>
          <w:rFonts w:ascii="Times New Roman" w:hAnsi="Times New Roman" w:cs="Times New Roman"/>
          <w:sz w:val="24"/>
          <w:szCs w:val="24"/>
        </w:rPr>
        <w:t xml:space="preserve">, 3(1), em028. </w:t>
      </w:r>
      <w:hyperlink r:id="rId19" w:history="1">
        <w:r w:rsidRPr="004A7B4A">
          <w:rPr>
            <w:rStyle w:val="Hyperlink"/>
            <w:rFonts w:ascii="Times New Roman" w:hAnsi="Times New Roman" w:cs="Times New Roman"/>
            <w:color w:val="auto"/>
            <w:sz w:val="24"/>
            <w:szCs w:val="24"/>
            <w:u w:val="none"/>
          </w:rPr>
          <w:t>https://doi.org/10.29333/mathsciteacher/12870</w:t>
        </w:r>
      </w:hyperlink>
    </w:p>
    <w:p w14:paraId="54088D43" w14:textId="23E25489"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lang w:val="en-PH" w:eastAsia="en-PH"/>
        </w:rPr>
      </w:pPr>
      <w:r w:rsidRPr="004A7B4A">
        <w:rPr>
          <w:rFonts w:ascii="Times New Roman" w:hAnsi="Times New Roman" w:cs="Times New Roman"/>
          <w:sz w:val="24"/>
          <w:szCs w:val="24"/>
        </w:rPr>
        <w:lastRenderedPageBreak/>
        <w:t xml:space="preserve">Pascale, J., Lineback, J. F., Bates, N., &amp; Beatty, P. (2022). Protecting the identity of participants in qualitative research. </w:t>
      </w:r>
      <w:r w:rsidRPr="004A7B4A">
        <w:rPr>
          <w:rFonts w:ascii="Times New Roman" w:hAnsi="Times New Roman" w:cs="Times New Roman"/>
          <w:i/>
          <w:iCs/>
          <w:sz w:val="24"/>
          <w:szCs w:val="24"/>
        </w:rPr>
        <w:t xml:space="preserve">Journal </w:t>
      </w:r>
      <w:proofErr w:type="gramStart"/>
      <w:r w:rsidRPr="004A7B4A">
        <w:rPr>
          <w:rFonts w:ascii="Times New Roman" w:hAnsi="Times New Roman" w:cs="Times New Roman"/>
          <w:i/>
          <w:iCs/>
          <w:sz w:val="24"/>
          <w:szCs w:val="24"/>
        </w:rPr>
        <w:t>of Survey</w:t>
      </w:r>
      <w:proofErr w:type="gramEnd"/>
      <w:r w:rsidRPr="004A7B4A">
        <w:rPr>
          <w:rFonts w:ascii="Times New Roman" w:hAnsi="Times New Roman" w:cs="Times New Roman"/>
          <w:i/>
          <w:iCs/>
          <w:sz w:val="24"/>
          <w:szCs w:val="24"/>
        </w:rPr>
        <w:t xml:space="preserve"> Statistics and Methodology</w:t>
      </w:r>
      <w:r w:rsidRPr="004A7B4A">
        <w:rPr>
          <w:rFonts w:ascii="Times New Roman" w:hAnsi="Times New Roman" w:cs="Times New Roman"/>
          <w:sz w:val="24"/>
          <w:szCs w:val="24"/>
        </w:rPr>
        <w:t xml:space="preserve">. </w:t>
      </w:r>
      <w:hyperlink r:id="rId20" w:tgtFrame="_new" w:history="1">
        <w:r w:rsidRPr="004A7B4A">
          <w:rPr>
            <w:rFonts w:ascii="Times New Roman" w:hAnsi="Times New Roman" w:cs="Times New Roman"/>
            <w:sz w:val="24"/>
            <w:szCs w:val="24"/>
          </w:rPr>
          <w:t>https://doi.org/10.1093/jssam/smab048</w:t>
        </w:r>
      </w:hyperlink>
    </w:p>
    <w:p w14:paraId="67201995" w14:textId="383A796E" w:rsidR="001A660F" w:rsidRPr="004A7B4A" w:rsidRDefault="001A660F" w:rsidP="00A51FC1">
      <w:pPr>
        <w:pStyle w:val="NoSpacing"/>
        <w:numPr>
          <w:ilvl w:val="0"/>
          <w:numId w:val="46"/>
        </w:numPr>
        <w:jc w:val="both"/>
        <w:rPr>
          <w:rFonts w:ascii="Times New Roman" w:eastAsia="Times New Roman" w:hAnsi="Times New Roman" w:cs="Times New Roman"/>
          <w:sz w:val="24"/>
          <w:szCs w:val="24"/>
        </w:rPr>
      </w:pPr>
      <w:r w:rsidRPr="004A7B4A">
        <w:rPr>
          <w:rFonts w:ascii="Times New Roman" w:hAnsi="Times New Roman" w:cs="Times New Roman"/>
          <w:sz w:val="24"/>
          <w:szCs w:val="24"/>
          <w:shd w:val="clear" w:color="auto" w:fill="FFFFFF"/>
        </w:rPr>
        <w:t>Peddle M. (2022). Maintaining reflexivity in qualitative nursing research. </w:t>
      </w:r>
      <w:r w:rsidRPr="004A7B4A">
        <w:rPr>
          <w:rFonts w:ascii="Times New Roman" w:hAnsi="Times New Roman" w:cs="Times New Roman"/>
          <w:i/>
          <w:iCs/>
          <w:sz w:val="24"/>
          <w:szCs w:val="24"/>
          <w:shd w:val="clear" w:color="auto" w:fill="FFFFFF"/>
        </w:rPr>
        <w:t>Nursing open</w:t>
      </w:r>
      <w:r w:rsidRPr="004A7B4A">
        <w:rPr>
          <w:rFonts w:ascii="Times New Roman" w:hAnsi="Times New Roman" w:cs="Times New Roman"/>
          <w:sz w:val="24"/>
          <w:szCs w:val="24"/>
          <w:shd w:val="clear" w:color="auto" w:fill="FFFFFF"/>
        </w:rPr>
        <w:t>, </w:t>
      </w:r>
      <w:r w:rsidRPr="004A7B4A">
        <w:rPr>
          <w:rFonts w:ascii="Times New Roman" w:hAnsi="Times New Roman" w:cs="Times New Roman"/>
          <w:i/>
          <w:iCs/>
          <w:sz w:val="24"/>
          <w:szCs w:val="24"/>
          <w:shd w:val="clear" w:color="auto" w:fill="FFFFFF"/>
        </w:rPr>
        <w:t>9</w:t>
      </w:r>
      <w:r w:rsidRPr="004A7B4A">
        <w:rPr>
          <w:rFonts w:ascii="Times New Roman" w:hAnsi="Times New Roman" w:cs="Times New Roman"/>
          <w:sz w:val="24"/>
          <w:szCs w:val="24"/>
          <w:shd w:val="clear" w:color="auto" w:fill="FFFFFF"/>
        </w:rPr>
        <w:t>(6), 2908–2914. https://doi.org/10.1002/nop2.999</w:t>
      </w:r>
    </w:p>
    <w:p w14:paraId="55824597" w14:textId="3D0BD258" w:rsidR="001A660F" w:rsidRPr="004A7B4A" w:rsidRDefault="001A660F" w:rsidP="00A51FC1">
      <w:pPr>
        <w:pStyle w:val="ListParagraph"/>
        <w:numPr>
          <w:ilvl w:val="0"/>
          <w:numId w:val="46"/>
        </w:numPr>
        <w:spacing w:after="0" w:line="240" w:lineRule="auto"/>
        <w:jc w:val="both"/>
        <w:rPr>
          <w:rStyle w:val="Hyperlink"/>
          <w:rFonts w:ascii="Times New Roman" w:eastAsia="Times New Roman" w:hAnsi="Times New Roman" w:cs="Times New Roman"/>
          <w:color w:val="auto"/>
          <w:sz w:val="24"/>
          <w:szCs w:val="24"/>
          <w:u w:val="none"/>
        </w:rPr>
      </w:pPr>
      <w:proofErr w:type="spellStart"/>
      <w:r w:rsidRPr="004A7B4A">
        <w:rPr>
          <w:rFonts w:ascii="Times New Roman" w:eastAsia="Times New Roman" w:hAnsi="Times New Roman" w:cs="Times New Roman"/>
          <w:sz w:val="24"/>
          <w:szCs w:val="24"/>
        </w:rPr>
        <w:t>Pekrun</w:t>
      </w:r>
      <w:proofErr w:type="spellEnd"/>
      <w:r w:rsidRPr="004A7B4A">
        <w:rPr>
          <w:rFonts w:ascii="Times New Roman" w:eastAsia="Times New Roman" w:hAnsi="Times New Roman" w:cs="Times New Roman"/>
          <w:sz w:val="24"/>
          <w:szCs w:val="24"/>
        </w:rPr>
        <w:t xml:space="preserve">, R. (2006). The control-value theory of achievement emotions: Assumptions, corollaries, and implications for educational research and practice. </w:t>
      </w:r>
      <w:r w:rsidRPr="004A7B4A">
        <w:rPr>
          <w:rFonts w:ascii="Times New Roman" w:eastAsia="Times New Roman" w:hAnsi="Times New Roman" w:cs="Times New Roman"/>
          <w:i/>
          <w:iCs/>
          <w:sz w:val="24"/>
          <w:szCs w:val="24"/>
        </w:rPr>
        <w:t>Educational Psychology Review, 18</w:t>
      </w:r>
      <w:r w:rsidRPr="004A7B4A">
        <w:rPr>
          <w:rFonts w:ascii="Times New Roman" w:eastAsia="Times New Roman" w:hAnsi="Times New Roman" w:cs="Times New Roman"/>
          <w:sz w:val="24"/>
          <w:szCs w:val="24"/>
        </w:rPr>
        <w:t xml:space="preserve">(4), 315–341. </w:t>
      </w:r>
      <w:hyperlink r:id="rId21" w:history="1">
        <w:r w:rsidRPr="004A7B4A">
          <w:rPr>
            <w:rStyle w:val="Hyperlink"/>
            <w:rFonts w:ascii="Times New Roman" w:eastAsia="Times New Roman" w:hAnsi="Times New Roman" w:cs="Times New Roman"/>
            <w:color w:val="auto"/>
            <w:sz w:val="24"/>
            <w:szCs w:val="24"/>
            <w:u w:val="none"/>
          </w:rPr>
          <w:t>https://doi.org/10.1007/s10648-006-9029-9</w:t>
        </w:r>
      </w:hyperlink>
    </w:p>
    <w:p w14:paraId="01B4913E" w14:textId="308A1FE3"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proofErr w:type="spellStart"/>
      <w:r w:rsidRPr="004A7B4A">
        <w:rPr>
          <w:rFonts w:ascii="Times New Roman" w:hAnsi="Times New Roman" w:cs="Times New Roman"/>
          <w:sz w:val="24"/>
          <w:szCs w:val="24"/>
        </w:rPr>
        <w:t>Pericano</w:t>
      </w:r>
      <w:proofErr w:type="spellEnd"/>
      <w:r w:rsidRPr="004A7B4A">
        <w:rPr>
          <w:rFonts w:ascii="Times New Roman" w:hAnsi="Times New Roman" w:cs="Times New Roman"/>
          <w:sz w:val="24"/>
          <w:szCs w:val="24"/>
        </w:rPr>
        <w:t>, C.I.C., &amp; Leonard, L. (2025). Implementation of 21st-century skills in general mathematics and its impact on student performance: Bases for developing a self-learning module</w:t>
      </w:r>
      <w:r w:rsidRPr="004A7B4A">
        <w:rPr>
          <w:rFonts w:ascii="Times New Roman" w:hAnsi="Times New Roman" w:cs="Times New Roman"/>
          <w:i/>
          <w:iCs/>
          <w:sz w:val="24"/>
          <w:szCs w:val="24"/>
        </w:rPr>
        <w:t xml:space="preserve">. </w:t>
      </w:r>
      <w:proofErr w:type="spellStart"/>
      <w:r w:rsidRPr="004A7B4A">
        <w:rPr>
          <w:rFonts w:ascii="Times New Roman" w:hAnsi="Times New Roman" w:cs="Times New Roman"/>
          <w:i/>
          <w:iCs/>
          <w:sz w:val="24"/>
          <w:szCs w:val="24"/>
        </w:rPr>
        <w:t>Formatif</w:t>
      </w:r>
      <w:proofErr w:type="spellEnd"/>
      <w:r w:rsidRPr="004A7B4A">
        <w:rPr>
          <w:rFonts w:ascii="Times New Roman" w:hAnsi="Times New Roman" w:cs="Times New Roman"/>
          <w:i/>
          <w:iCs/>
          <w:sz w:val="24"/>
          <w:szCs w:val="24"/>
        </w:rPr>
        <w:t xml:space="preserve">: </w:t>
      </w:r>
      <w:proofErr w:type="spellStart"/>
      <w:r w:rsidRPr="004A7B4A">
        <w:rPr>
          <w:rFonts w:ascii="Times New Roman" w:hAnsi="Times New Roman" w:cs="Times New Roman"/>
          <w:i/>
          <w:iCs/>
          <w:sz w:val="24"/>
          <w:szCs w:val="24"/>
        </w:rPr>
        <w:t>Jurnal</w:t>
      </w:r>
      <w:proofErr w:type="spellEnd"/>
      <w:r w:rsidRPr="004A7B4A">
        <w:rPr>
          <w:rFonts w:ascii="Times New Roman" w:hAnsi="Times New Roman" w:cs="Times New Roman"/>
          <w:i/>
          <w:iCs/>
          <w:sz w:val="24"/>
          <w:szCs w:val="24"/>
        </w:rPr>
        <w:t xml:space="preserve"> </w:t>
      </w:r>
      <w:proofErr w:type="spellStart"/>
      <w:r w:rsidRPr="004A7B4A">
        <w:rPr>
          <w:rFonts w:ascii="Times New Roman" w:hAnsi="Times New Roman" w:cs="Times New Roman"/>
          <w:i/>
          <w:iCs/>
          <w:sz w:val="24"/>
          <w:szCs w:val="24"/>
        </w:rPr>
        <w:t>Ilmiah</w:t>
      </w:r>
      <w:proofErr w:type="spellEnd"/>
      <w:r w:rsidRPr="004A7B4A">
        <w:rPr>
          <w:rFonts w:ascii="Times New Roman" w:hAnsi="Times New Roman" w:cs="Times New Roman"/>
          <w:i/>
          <w:iCs/>
          <w:sz w:val="24"/>
          <w:szCs w:val="24"/>
        </w:rPr>
        <w:t xml:space="preserve"> Pendidikan MIPA</w:t>
      </w:r>
      <w:r w:rsidRPr="004A7B4A">
        <w:rPr>
          <w:rFonts w:ascii="Times New Roman" w:hAnsi="Times New Roman" w:cs="Times New Roman"/>
          <w:sz w:val="24"/>
          <w:szCs w:val="24"/>
        </w:rPr>
        <w:t xml:space="preserve">, 15(1), 25–38. </w:t>
      </w:r>
      <w:hyperlink r:id="rId22" w:tgtFrame="_new" w:history="1">
        <w:r w:rsidRPr="004A7B4A">
          <w:rPr>
            <w:rFonts w:ascii="Times New Roman" w:hAnsi="Times New Roman" w:cs="Times New Roman"/>
            <w:sz w:val="24"/>
            <w:szCs w:val="24"/>
          </w:rPr>
          <w:t>https://doi.org/10.30998/formatif.v15i1.23179</w:t>
        </w:r>
      </w:hyperlink>
    </w:p>
    <w:p w14:paraId="6B234A1F" w14:textId="77777777" w:rsidR="0065233D" w:rsidRPr="004A7B4A" w:rsidRDefault="001A660F" w:rsidP="00D352D7">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hAnsi="Times New Roman" w:cs="Times New Roman"/>
          <w:sz w:val="24"/>
          <w:szCs w:val="24"/>
        </w:rPr>
        <w:t>Piaget, J.</w:t>
      </w:r>
      <w:r w:rsidR="0065233D" w:rsidRPr="004A7B4A">
        <w:rPr>
          <w:rFonts w:ascii="Times New Roman" w:hAnsi="Times New Roman" w:cs="Times New Roman"/>
          <w:sz w:val="24"/>
          <w:szCs w:val="24"/>
        </w:rPr>
        <w:t xml:space="preserve"> &amp; </w:t>
      </w:r>
      <w:r w:rsidR="0065233D" w:rsidRPr="004A7B4A">
        <w:rPr>
          <w:rFonts w:ascii="Times New Roman" w:hAnsi="Times New Roman" w:cs="Times New Roman"/>
          <w:sz w:val="24"/>
          <w:szCs w:val="24"/>
        </w:rPr>
        <w:t>Inhelder</w:t>
      </w:r>
      <w:r w:rsidR="0065233D" w:rsidRPr="004A7B4A">
        <w:rPr>
          <w:rFonts w:ascii="Times New Roman" w:hAnsi="Times New Roman" w:cs="Times New Roman"/>
          <w:sz w:val="24"/>
          <w:szCs w:val="24"/>
        </w:rPr>
        <w:t xml:space="preserve">, B. </w:t>
      </w:r>
      <w:r w:rsidRPr="004A7B4A">
        <w:rPr>
          <w:rFonts w:ascii="Times New Roman" w:hAnsi="Times New Roman" w:cs="Times New Roman"/>
          <w:sz w:val="24"/>
          <w:szCs w:val="24"/>
        </w:rPr>
        <w:t xml:space="preserve">(1972). </w:t>
      </w:r>
      <w:r w:rsidRPr="004A7B4A">
        <w:rPr>
          <w:rStyle w:val="Emphasis"/>
          <w:rFonts w:ascii="Times New Roman" w:hAnsi="Times New Roman" w:cs="Times New Roman"/>
          <w:sz w:val="24"/>
          <w:szCs w:val="24"/>
        </w:rPr>
        <w:t>The psychology of the child</w:t>
      </w:r>
      <w:r w:rsidRPr="004A7B4A">
        <w:rPr>
          <w:rFonts w:ascii="Times New Roman" w:hAnsi="Times New Roman" w:cs="Times New Roman"/>
          <w:sz w:val="24"/>
          <w:szCs w:val="24"/>
        </w:rPr>
        <w:t xml:space="preserve">. Basic Books. </w:t>
      </w:r>
    </w:p>
    <w:p w14:paraId="0BE1418C" w14:textId="5740C71B" w:rsidR="001A660F" w:rsidRPr="004A7B4A" w:rsidRDefault="001A660F" w:rsidP="00D352D7">
      <w:pPr>
        <w:pStyle w:val="ListParagraph"/>
        <w:numPr>
          <w:ilvl w:val="0"/>
          <w:numId w:val="46"/>
        </w:numPr>
        <w:spacing w:after="0" w:line="240" w:lineRule="auto"/>
        <w:jc w:val="both"/>
        <w:rPr>
          <w:rFonts w:ascii="Times New Roman" w:eastAsia="Times New Roman" w:hAnsi="Times New Roman" w:cs="Times New Roman"/>
          <w:sz w:val="24"/>
          <w:szCs w:val="24"/>
        </w:rPr>
      </w:pPr>
      <w:proofErr w:type="spellStart"/>
      <w:r w:rsidRPr="004A7B4A">
        <w:rPr>
          <w:rFonts w:ascii="Times New Roman" w:eastAsia="Times New Roman" w:hAnsi="Times New Roman" w:cs="Times New Roman"/>
          <w:sz w:val="24"/>
          <w:szCs w:val="24"/>
        </w:rPr>
        <w:t>Rotas</w:t>
      </w:r>
      <w:proofErr w:type="spellEnd"/>
      <w:r w:rsidRPr="004A7B4A">
        <w:rPr>
          <w:rFonts w:ascii="Times New Roman" w:eastAsia="Times New Roman" w:hAnsi="Times New Roman" w:cs="Times New Roman"/>
          <w:sz w:val="24"/>
          <w:szCs w:val="24"/>
        </w:rPr>
        <w:t xml:space="preserve">, E.E., &amp; </w:t>
      </w:r>
      <w:proofErr w:type="spellStart"/>
      <w:r w:rsidRPr="004A7B4A">
        <w:rPr>
          <w:rFonts w:ascii="Times New Roman" w:eastAsia="Times New Roman" w:hAnsi="Times New Roman" w:cs="Times New Roman"/>
          <w:sz w:val="24"/>
          <w:szCs w:val="24"/>
        </w:rPr>
        <w:t>Cahapay</w:t>
      </w:r>
      <w:proofErr w:type="spellEnd"/>
      <w:r w:rsidRPr="004A7B4A">
        <w:rPr>
          <w:rFonts w:ascii="Times New Roman" w:eastAsia="Times New Roman" w:hAnsi="Times New Roman" w:cs="Times New Roman"/>
          <w:sz w:val="24"/>
          <w:szCs w:val="24"/>
        </w:rPr>
        <w:t xml:space="preserve">, M.B. (2020). Difficulties in remote learning: Voices of Philippine university students in the wake of COVID-19 crisis. </w:t>
      </w:r>
      <w:r w:rsidRPr="004A7B4A">
        <w:rPr>
          <w:rFonts w:ascii="Times New Roman" w:eastAsia="Times New Roman" w:hAnsi="Times New Roman" w:cs="Times New Roman"/>
          <w:i/>
          <w:iCs/>
          <w:sz w:val="24"/>
          <w:szCs w:val="24"/>
        </w:rPr>
        <w:t>Asian Journal of Distance Education</w:t>
      </w:r>
      <w:r w:rsidRPr="004A7B4A">
        <w:rPr>
          <w:rFonts w:ascii="Times New Roman" w:eastAsia="Times New Roman" w:hAnsi="Times New Roman" w:cs="Times New Roman"/>
          <w:sz w:val="24"/>
          <w:szCs w:val="24"/>
        </w:rPr>
        <w:t xml:space="preserve">, 15(2), 147–158. </w:t>
      </w:r>
      <w:hyperlink r:id="rId23" w:history="1">
        <w:r w:rsidRPr="004A7B4A">
          <w:rPr>
            <w:rStyle w:val="Hyperlink"/>
            <w:rFonts w:ascii="Times New Roman" w:eastAsia="Times New Roman" w:hAnsi="Times New Roman" w:cs="Times New Roman"/>
            <w:color w:val="auto"/>
            <w:sz w:val="24"/>
            <w:szCs w:val="24"/>
            <w:u w:val="none"/>
          </w:rPr>
          <w:t>https://doi.org/10.5281/zenodo.4299835</w:t>
        </w:r>
      </w:hyperlink>
    </w:p>
    <w:p w14:paraId="5B9C4C13" w14:textId="4777FA6D" w:rsidR="001A660F" w:rsidRPr="004A7B4A" w:rsidRDefault="001A660F" w:rsidP="00A51FC1">
      <w:pPr>
        <w:pStyle w:val="ListParagraph"/>
        <w:numPr>
          <w:ilvl w:val="0"/>
          <w:numId w:val="46"/>
        </w:numPr>
        <w:spacing w:after="0" w:line="240" w:lineRule="auto"/>
        <w:jc w:val="both"/>
        <w:rPr>
          <w:rFonts w:ascii="Times New Roman" w:hAnsi="Times New Roman" w:cs="Times New Roman"/>
          <w:sz w:val="24"/>
          <w:szCs w:val="24"/>
        </w:rPr>
      </w:pPr>
      <w:proofErr w:type="spellStart"/>
      <w:r w:rsidRPr="004A7B4A">
        <w:rPr>
          <w:rFonts w:ascii="Times New Roman" w:hAnsi="Times New Roman" w:cs="Times New Roman"/>
          <w:sz w:val="24"/>
          <w:szCs w:val="24"/>
        </w:rPr>
        <w:t>Rozgonjuk</w:t>
      </w:r>
      <w:proofErr w:type="spellEnd"/>
      <w:r w:rsidRPr="004A7B4A">
        <w:rPr>
          <w:rFonts w:ascii="Times New Roman" w:hAnsi="Times New Roman" w:cs="Times New Roman"/>
          <w:sz w:val="24"/>
          <w:szCs w:val="24"/>
        </w:rPr>
        <w:t xml:space="preserve">, D., Kraav, T., </w:t>
      </w:r>
      <w:proofErr w:type="spellStart"/>
      <w:r w:rsidRPr="004A7B4A">
        <w:rPr>
          <w:rFonts w:ascii="Times New Roman" w:hAnsi="Times New Roman" w:cs="Times New Roman"/>
          <w:sz w:val="24"/>
          <w:szCs w:val="24"/>
        </w:rPr>
        <w:t>Mikkor</w:t>
      </w:r>
      <w:proofErr w:type="spellEnd"/>
      <w:r w:rsidRPr="004A7B4A">
        <w:rPr>
          <w:rFonts w:ascii="Times New Roman" w:hAnsi="Times New Roman" w:cs="Times New Roman"/>
          <w:sz w:val="24"/>
          <w:szCs w:val="24"/>
        </w:rPr>
        <w:t xml:space="preserve">, K., Orav-Puurand, K., &amp; Täht, K. (2020). Mathematics anxiety among STEM and social sciences students: The roles of mathematics self-efficacy, and deep and surface approach to learning. </w:t>
      </w:r>
      <w:r w:rsidRPr="004A7B4A">
        <w:rPr>
          <w:rFonts w:ascii="Times New Roman" w:hAnsi="Times New Roman" w:cs="Times New Roman"/>
          <w:i/>
          <w:iCs/>
          <w:sz w:val="24"/>
          <w:szCs w:val="24"/>
        </w:rPr>
        <w:t>International Journal of STEM Education, 7</w:t>
      </w:r>
      <w:r w:rsidRPr="004A7B4A">
        <w:rPr>
          <w:rFonts w:ascii="Times New Roman" w:hAnsi="Times New Roman" w:cs="Times New Roman"/>
          <w:sz w:val="24"/>
          <w:szCs w:val="24"/>
        </w:rPr>
        <w:t xml:space="preserve">(46). </w:t>
      </w:r>
      <w:hyperlink r:id="rId24" w:tgtFrame="_new" w:history="1">
        <w:r w:rsidRPr="004A7B4A">
          <w:rPr>
            <w:rFonts w:ascii="Times New Roman" w:hAnsi="Times New Roman" w:cs="Times New Roman"/>
            <w:sz w:val="24"/>
            <w:szCs w:val="24"/>
          </w:rPr>
          <w:t>https://doi.org/10.1186/s40594-020-00246-z</w:t>
        </w:r>
      </w:hyperlink>
    </w:p>
    <w:p w14:paraId="161F56A4" w14:textId="738A9C7D" w:rsidR="001A660F" w:rsidRPr="004A7B4A" w:rsidRDefault="001A660F" w:rsidP="00A51FC1">
      <w:pPr>
        <w:pStyle w:val="ListParagraph"/>
        <w:numPr>
          <w:ilvl w:val="0"/>
          <w:numId w:val="46"/>
        </w:numPr>
        <w:spacing w:after="0" w:line="240" w:lineRule="auto"/>
        <w:jc w:val="both"/>
        <w:rPr>
          <w:rFonts w:ascii="Times New Roman" w:hAnsi="Times New Roman" w:cs="Times New Roman"/>
          <w:sz w:val="24"/>
          <w:szCs w:val="24"/>
        </w:rPr>
      </w:pPr>
      <w:r w:rsidRPr="004A7B4A">
        <w:rPr>
          <w:rFonts w:ascii="Times New Roman" w:hAnsi="Times New Roman" w:cs="Times New Roman"/>
          <w:sz w:val="24"/>
          <w:szCs w:val="24"/>
        </w:rPr>
        <w:t xml:space="preserve">Sabanal, D., Gako, M., Dela Torre, H., Sabanal, J., So, R. B., Bacal, J. B., </w:t>
      </w:r>
      <w:proofErr w:type="spellStart"/>
      <w:r w:rsidRPr="004A7B4A">
        <w:rPr>
          <w:rFonts w:ascii="Times New Roman" w:hAnsi="Times New Roman" w:cs="Times New Roman"/>
          <w:sz w:val="24"/>
          <w:szCs w:val="24"/>
        </w:rPr>
        <w:t>Corgio</w:t>
      </w:r>
      <w:proofErr w:type="spellEnd"/>
      <w:r w:rsidRPr="004A7B4A">
        <w:rPr>
          <w:rFonts w:ascii="Times New Roman" w:hAnsi="Times New Roman" w:cs="Times New Roman"/>
          <w:sz w:val="24"/>
          <w:szCs w:val="24"/>
        </w:rPr>
        <w:t xml:space="preserve">, L. D., </w:t>
      </w:r>
      <w:proofErr w:type="spellStart"/>
      <w:r w:rsidRPr="004A7B4A">
        <w:rPr>
          <w:rFonts w:ascii="Times New Roman" w:hAnsi="Times New Roman" w:cs="Times New Roman"/>
          <w:sz w:val="24"/>
          <w:szCs w:val="24"/>
        </w:rPr>
        <w:t>Laroga</w:t>
      </w:r>
      <w:proofErr w:type="spellEnd"/>
      <w:r w:rsidRPr="004A7B4A">
        <w:rPr>
          <w:rFonts w:ascii="Times New Roman" w:hAnsi="Times New Roman" w:cs="Times New Roman"/>
          <w:sz w:val="24"/>
          <w:szCs w:val="24"/>
        </w:rPr>
        <w:t xml:space="preserve">, J. F., </w:t>
      </w:r>
      <w:proofErr w:type="spellStart"/>
      <w:r w:rsidRPr="004A7B4A">
        <w:rPr>
          <w:rFonts w:ascii="Times New Roman" w:hAnsi="Times New Roman" w:cs="Times New Roman"/>
          <w:sz w:val="24"/>
          <w:szCs w:val="24"/>
        </w:rPr>
        <w:t>Camallere</w:t>
      </w:r>
      <w:proofErr w:type="spellEnd"/>
      <w:r w:rsidRPr="004A7B4A">
        <w:rPr>
          <w:rFonts w:ascii="Times New Roman" w:hAnsi="Times New Roman" w:cs="Times New Roman"/>
          <w:sz w:val="24"/>
          <w:szCs w:val="24"/>
        </w:rPr>
        <w:t xml:space="preserve">, C., Pagador, M. J., Barino, R. J., </w:t>
      </w:r>
      <w:proofErr w:type="spellStart"/>
      <w:r w:rsidRPr="004A7B4A">
        <w:rPr>
          <w:rFonts w:ascii="Times New Roman" w:hAnsi="Times New Roman" w:cs="Times New Roman"/>
          <w:sz w:val="24"/>
          <w:szCs w:val="24"/>
        </w:rPr>
        <w:t>Mameng</w:t>
      </w:r>
      <w:proofErr w:type="spellEnd"/>
      <w:r w:rsidRPr="004A7B4A">
        <w:rPr>
          <w:rFonts w:ascii="Times New Roman" w:hAnsi="Times New Roman" w:cs="Times New Roman"/>
          <w:sz w:val="24"/>
          <w:szCs w:val="24"/>
        </w:rPr>
        <w:t xml:space="preserve">, K., Go, M., &amp; Goles, N. (2024). Predictive model for college students’ performance in higher mathematics. </w:t>
      </w:r>
      <w:r w:rsidRPr="004A7B4A">
        <w:rPr>
          <w:rFonts w:ascii="Times New Roman" w:hAnsi="Times New Roman" w:cs="Times New Roman"/>
          <w:i/>
          <w:iCs/>
          <w:sz w:val="24"/>
          <w:szCs w:val="24"/>
        </w:rPr>
        <w:t>Social Sciences &amp; Humanities Open</w:t>
      </w:r>
      <w:r w:rsidRPr="004A7B4A">
        <w:rPr>
          <w:rFonts w:ascii="Times New Roman" w:hAnsi="Times New Roman" w:cs="Times New Roman"/>
          <w:sz w:val="24"/>
          <w:szCs w:val="24"/>
        </w:rPr>
        <w:t>, 10, 101134. https://doi.org/10.1016/j.ssaho.2024.101134</w:t>
      </w:r>
    </w:p>
    <w:p w14:paraId="4B4B8714" w14:textId="22EDA031" w:rsidR="001A660F" w:rsidRPr="004A7B4A" w:rsidRDefault="001A660F" w:rsidP="00A51FC1">
      <w:pPr>
        <w:pStyle w:val="ListParagraph"/>
        <w:numPr>
          <w:ilvl w:val="0"/>
          <w:numId w:val="46"/>
        </w:numPr>
        <w:spacing w:after="0" w:line="240" w:lineRule="auto"/>
        <w:jc w:val="both"/>
        <w:rPr>
          <w:rFonts w:ascii="Times New Roman" w:hAnsi="Times New Roman" w:cs="Times New Roman"/>
          <w:sz w:val="24"/>
          <w:szCs w:val="24"/>
        </w:rPr>
      </w:pPr>
      <w:r w:rsidRPr="004A7B4A">
        <w:rPr>
          <w:rFonts w:ascii="Times New Roman" w:hAnsi="Times New Roman" w:cs="Times New Roman"/>
          <w:sz w:val="24"/>
          <w:szCs w:val="24"/>
        </w:rPr>
        <w:t xml:space="preserve">Sandal, A. K., &amp; Sperle, A. K. (2024). Students’ perspective on feedback in mathematics in high school. </w:t>
      </w:r>
      <w:r w:rsidRPr="004A7B4A">
        <w:rPr>
          <w:rFonts w:ascii="Times New Roman" w:hAnsi="Times New Roman" w:cs="Times New Roman"/>
          <w:i/>
          <w:iCs/>
          <w:sz w:val="24"/>
          <w:szCs w:val="24"/>
        </w:rPr>
        <w:t>Cogent Education</w:t>
      </w:r>
      <w:r w:rsidRPr="004A7B4A">
        <w:rPr>
          <w:rFonts w:ascii="Times New Roman" w:hAnsi="Times New Roman" w:cs="Times New Roman"/>
          <w:sz w:val="24"/>
          <w:szCs w:val="24"/>
        </w:rPr>
        <w:t>, 11(1), 2343523. https://doi.org/10.1080/2331186X.2024.2343523</w:t>
      </w:r>
    </w:p>
    <w:p w14:paraId="64915E4B" w14:textId="7C2EE79A" w:rsidR="00C4162B" w:rsidRPr="004A7B4A" w:rsidRDefault="00C4162B" w:rsidP="00A51FC1">
      <w:pPr>
        <w:pStyle w:val="ListParagraph"/>
        <w:numPr>
          <w:ilvl w:val="0"/>
          <w:numId w:val="46"/>
        </w:numPr>
        <w:spacing w:after="0" w:line="240" w:lineRule="auto"/>
        <w:jc w:val="both"/>
        <w:rPr>
          <w:rFonts w:ascii="Times New Roman" w:hAnsi="Times New Roman" w:cs="Times New Roman"/>
          <w:sz w:val="24"/>
          <w:szCs w:val="24"/>
        </w:rPr>
      </w:pPr>
      <w:r w:rsidRPr="004A7B4A">
        <w:rPr>
          <w:rFonts w:ascii="Times New Roman" w:hAnsi="Times New Roman" w:cs="Times New Roman"/>
          <w:sz w:val="24"/>
          <w:szCs w:val="24"/>
        </w:rPr>
        <w:t xml:space="preserve">Schmitt-Cerna I, Ramírez-Olascuaga M, </w:t>
      </w:r>
      <w:proofErr w:type="spellStart"/>
      <w:r w:rsidRPr="004A7B4A">
        <w:rPr>
          <w:rFonts w:ascii="Times New Roman" w:hAnsi="Times New Roman" w:cs="Times New Roman"/>
          <w:sz w:val="24"/>
          <w:szCs w:val="24"/>
        </w:rPr>
        <w:t>Arhuis</w:t>
      </w:r>
      <w:proofErr w:type="spellEnd"/>
      <w:r w:rsidRPr="004A7B4A">
        <w:rPr>
          <w:rFonts w:ascii="Times New Roman" w:hAnsi="Times New Roman" w:cs="Times New Roman"/>
          <w:sz w:val="24"/>
          <w:szCs w:val="24"/>
        </w:rPr>
        <w:t xml:space="preserve">-Inca W, </w:t>
      </w:r>
      <w:proofErr w:type="spellStart"/>
      <w:r w:rsidRPr="004A7B4A">
        <w:rPr>
          <w:rFonts w:ascii="Times New Roman" w:hAnsi="Times New Roman" w:cs="Times New Roman"/>
          <w:sz w:val="24"/>
          <w:szCs w:val="24"/>
        </w:rPr>
        <w:t>Ipanaqué</w:t>
      </w:r>
      <w:proofErr w:type="spellEnd"/>
      <w:r w:rsidRPr="004A7B4A">
        <w:rPr>
          <w:rFonts w:ascii="Times New Roman" w:hAnsi="Times New Roman" w:cs="Times New Roman"/>
          <w:sz w:val="24"/>
          <w:szCs w:val="24"/>
        </w:rPr>
        <w:t xml:space="preserve">-Zapata M, </w:t>
      </w:r>
      <w:proofErr w:type="spellStart"/>
      <w:r w:rsidRPr="004A7B4A">
        <w:rPr>
          <w:rFonts w:ascii="Times New Roman" w:hAnsi="Times New Roman" w:cs="Times New Roman"/>
          <w:sz w:val="24"/>
          <w:szCs w:val="24"/>
        </w:rPr>
        <w:t>Arhuis</w:t>
      </w:r>
      <w:proofErr w:type="spellEnd"/>
      <w:r w:rsidRPr="004A7B4A">
        <w:rPr>
          <w:rFonts w:ascii="Times New Roman" w:hAnsi="Times New Roman" w:cs="Times New Roman"/>
          <w:sz w:val="24"/>
          <w:szCs w:val="24"/>
        </w:rPr>
        <w:t xml:space="preserve">-Inca SR and Bazalar-Palacios J (2024) Attitudes toward mathematics and virtual teaching of students in the context of COVID-19: validation and reliability of instruments. </w:t>
      </w:r>
      <w:r w:rsidRPr="004A7B4A">
        <w:rPr>
          <w:rFonts w:ascii="Times New Roman" w:hAnsi="Times New Roman" w:cs="Times New Roman"/>
          <w:i/>
          <w:iCs/>
          <w:sz w:val="24"/>
          <w:szCs w:val="24"/>
        </w:rPr>
        <w:t>Frontiers in Education</w:t>
      </w:r>
      <w:r w:rsidRPr="004A7B4A">
        <w:rPr>
          <w:rFonts w:ascii="Times New Roman" w:hAnsi="Times New Roman" w:cs="Times New Roman"/>
          <w:i/>
          <w:iCs/>
          <w:sz w:val="24"/>
          <w:szCs w:val="24"/>
        </w:rPr>
        <w:t>,</w:t>
      </w:r>
      <w:r w:rsidRPr="004A7B4A">
        <w:rPr>
          <w:rFonts w:ascii="Times New Roman" w:hAnsi="Times New Roman" w:cs="Times New Roman"/>
          <w:sz w:val="24"/>
          <w:szCs w:val="24"/>
        </w:rPr>
        <w:t xml:space="preserve"> 9</w:t>
      </w:r>
      <w:r w:rsidRPr="004A7B4A">
        <w:rPr>
          <w:rFonts w:ascii="Times New Roman" w:hAnsi="Times New Roman" w:cs="Times New Roman"/>
          <w:sz w:val="24"/>
          <w:szCs w:val="24"/>
        </w:rPr>
        <w:t>,</w:t>
      </w:r>
      <w:r w:rsidRPr="004A7B4A">
        <w:rPr>
          <w:rFonts w:ascii="Times New Roman" w:hAnsi="Times New Roman" w:cs="Times New Roman"/>
          <w:sz w:val="24"/>
          <w:szCs w:val="24"/>
        </w:rPr>
        <w:t>1466021. https://doi.org/10.3389/feduc.2024.1466021</w:t>
      </w:r>
    </w:p>
    <w:p w14:paraId="623A85EA" w14:textId="7BCC9753" w:rsidR="001A660F" w:rsidRPr="004A7B4A" w:rsidRDefault="001A660F" w:rsidP="00A51FC1">
      <w:pPr>
        <w:pStyle w:val="NoSpacing"/>
        <w:numPr>
          <w:ilvl w:val="0"/>
          <w:numId w:val="46"/>
        </w:numPr>
        <w:jc w:val="both"/>
        <w:rPr>
          <w:rFonts w:ascii="Times New Roman" w:hAnsi="Times New Roman" w:cs="Times New Roman"/>
          <w:sz w:val="24"/>
          <w:szCs w:val="24"/>
        </w:rPr>
      </w:pPr>
      <w:proofErr w:type="spellStart"/>
      <w:r w:rsidRPr="004A7B4A">
        <w:rPr>
          <w:rFonts w:ascii="Times New Roman" w:hAnsi="Times New Roman" w:cs="Times New Roman"/>
          <w:sz w:val="24"/>
          <w:szCs w:val="24"/>
        </w:rPr>
        <w:t>Schukajlow</w:t>
      </w:r>
      <w:proofErr w:type="spellEnd"/>
      <w:r w:rsidRPr="004A7B4A">
        <w:rPr>
          <w:rFonts w:ascii="Times New Roman" w:hAnsi="Times New Roman" w:cs="Times New Roman"/>
          <w:sz w:val="24"/>
          <w:szCs w:val="24"/>
        </w:rPr>
        <w:t xml:space="preserve">, S., Rakoczy, K., &amp; </w:t>
      </w:r>
      <w:proofErr w:type="spellStart"/>
      <w:r w:rsidRPr="004A7B4A">
        <w:rPr>
          <w:rFonts w:ascii="Times New Roman" w:hAnsi="Times New Roman" w:cs="Times New Roman"/>
          <w:sz w:val="24"/>
          <w:szCs w:val="24"/>
        </w:rPr>
        <w:t>Pekrun</w:t>
      </w:r>
      <w:proofErr w:type="spellEnd"/>
      <w:r w:rsidRPr="004A7B4A">
        <w:rPr>
          <w:rFonts w:ascii="Times New Roman" w:hAnsi="Times New Roman" w:cs="Times New Roman"/>
          <w:sz w:val="24"/>
          <w:szCs w:val="24"/>
        </w:rPr>
        <w:t xml:space="preserve">, R. (2023). Emotions and motivation in mathematics education: Where we are today and where we need to go. </w:t>
      </w:r>
      <w:r w:rsidRPr="004A7B4A">
        <w:rPr>
          <w:rFonts w:ascii="Times New Roman" w:hAnsi="Times New Roman" w:cs="Times New Roman"/>
          <w:i/>
          <w:iCs/>
          <w:sz w:val="24"/>
          <w:szCs w:val="24"/>
        </w:rPr>
        <w:t>ZDM–Mathematics Education</w:t>
      </w:r>
      <w:r w:rsidRPr="004A7B4A">
        <w:rPr>
          <w:rFonts w:ascii="Times New Roman" w:hAnsi="Times New Roman" w:cs="Times New Roman"/>
          <w:sz w:val="24"/>
          <w:szCs w:val="24"/>
        </w:rPr>
        <w:t>, 55, 249–267. https://doi.org/10.1007/s11858-022-01463-2</w:t>
      </w:r>
    </w:p>
    <w:p w14:paraId="0B4475AC" w14:textId="430C4DAB" w:rsidR="00C4162B" w:rsidRPr="004A7B4A" w:rsidRDefault="00C4162B" w:rsidP="00A51FC1">
      <w:pPr>
        <w:pStyle w:val="ListParagraph"/>
        <w:numPr>
          <w:ilvl w:val="0"/>
          <w:numId w:val="46"/>
        </w:numPr>
        <w:shd w:val="clear" w:color="auto" w:fill="FFFFFF"/>
        <w:spacing w:after="0" w:line="240" w:lineRule="auto"/>
        <w:jc w:val="both"/>
        <w:rPr>
          <w:rFonts w:ascii="Times New Roman" w:eastAsia="Times New Roman" w:hAnsi="Times New Roman" w:cs="Times New Roman"/>
          <w:sz w:val="24"/>
          <w:szCs w:val="24"/>
          <w:lang w:val="en-PH" w:eastAsia="en-PH"/>
        </w:rPr>
      </w:pPr>
      <w:proofErr w:type="spellStart"/>
      <w:r w:rsidRPr="004A7B4A">
        <w:rPr>
          <w:rFonts w:ascii="Times New Roman" w:eastAsia="Times New Roman" w:hAnsi="Times New Roman" w:cs="Times New Roman"/>
          <w:sz w:val="24"/>
          <w:szCs w:val="24"/>
          <w:lang w:val="en-PH" w:eastAsia="en-PH"/>
        </w:rPr>
        <w:t>Sofroniou</w:t>
      </w:r>
      <w:proofErr w:type="spellEnd"/>
      <w:r w:rsidRPr="004A7B4A">
        <w:rPr>
          <w:rFonts w:ascii="Times New Roman" w:eastAsia="Times New Roman" w:hAnsi="Times New Roman" w:cs="Times New Roman"/>
          <w:sz w:val="24"/>
          <w:szCs w:val="24"/>
          <w:lang w:val="en-PH" w:eastAsia="en-PH"/>
        </w:rPr>
        <w:t>, A., Patel, M. H., Premnath, B., &amp; Wall, J. (2025). Advancing Conceptual Understanding: A Meta-Analysis on the Impact of Digital Technologies in Higher Education Mathematics. Education Sciences, 15(11), 1544. https://doi.org/10.3390/educsci15111544</w:t>
      </w:r>
    </w:p>
    <w:p w14:paraId="273B4818" w14:textId="53FDB2B1"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lang w:val="en-PH" w:eastAsia="en-PH"/>
        </w:rPr>
      </w:pPr>
      <w:r w:rsidRPr="004A7B4A">
        <w:rPr>
          <w:rFonts w:ascii="Times New Roman" w:hAnsi="Times New Roman" w:cs="Times New Roman"/>
          <w:sz w:val="24"/>
          <w:szCs w:val="24"/>
        </w:rPr>
        <w:t xml:space="preserve">Subedi, K.R. (2025). Safeguarding participants: Using pseudonyms for ensuring confidentiality and anonymity in qualitative research. </w:t>
      </w:r>
      <w:r w:rsidRPr="004A7B4A">
        <w:rPr>
          <w:rFonts w:ascii="Times New Roman" w:hAnsi="Times New Roman" w:cs="Times New Roman"/>
          <w:i/>
          <w:iCs/>
          <w:sz w:val="24"/>
          <w:szCs w:val="24"/>
        </w:rPr>
        <w:t>KMC Journal</w:t>
      </w:r>
      <w:r w:rsidRPr="004A7B4A">
        <w:rPr>
          <w:rFonts w:ascii="Times New Roman" w:hAnsi="Times New Roman" w:cs="Times New Roman"/>
          <w:sz w:val="24"/>
          <w:szCs w:val="24"/>
        </w:rPr>
        <w:t xml:space="preserve">, 7(1), 1–20. </w:t>
      </w:r>
      <w:hyperlink r:id="rId25" w:tgtFrame="_new" w:history="1">
        <w:r w:rsidRPr="004A7B4A">
          <w:rPr>
            <w:rFonts w:ascii="Times New Roman" w:hAnsi="Times New Roman" w:cs="Times New Roman"/>
            <w:sz w:val="24"/>
            <w:szCs w:val="24"/>
          </w:rPr>
          <w:t>https://doi.org/10.3126/kmcj.v7i1.75109</w:t>
        </w:r>
      </w:hyperlink>
    </w:p>
    <w:p w14:paraId="28497997" w14:textId="745C9BE5"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proofErr w:type="spellStart"/>
      <w:r w:rsidRPr="004A7B4A">
        <w:rPr>
          <w:rFonts w:ascii="Times New Roman" w:eastAsia="Times New Roman" w:hAnsi="Times New Roman" w:cs="Times New Roman"/>
          <w:sz w:val="24"/>
          <w:szCs w:val="24"/>
        </w:rPr>
        <w:t>Sweller</w:t>
      </w:r>
      <w:proofErr w:type="spellEnd"/>
      <w:r w:rsidRPr="004A7B4A">
        <w:rPr>
          <w:rFonts w:ascii="Times New Roman" w:eastAsia="Times New Roman" w:hAnsi="Times New Roman" w:cs="Times New Roman"/>
          <w:sz w:val="24"/>
          <w:szCs w:val="24"/>
        </w:rPr>
        <w:t xml:space="preserve">, J. (1988). Cognitive load during problem solving: Effects on learning. </w:t>
      </w:r>
      <w:r w:rsidRPr="004A7B4A">
        <w:rPr>
          <w:rFonts w:ascii="Times New Roman" w:eastAsia="Times New Roman" w:hAnsi="Times New Roman" w:cs="Times New Roman"/>
          <w:i/>
          <w:iCs/>
          <w:sz w:val="24"/>
          <w:szCs w:val="24"/>
        </w:rPr>
        <w:t>Cognitive Science, 12</w:t>
      </w:r>
      <w:r w:rsidRPr="004A7B4A">
        <w:rPr>
          <w:rFonts w:ascii="Times New Roman" w:eastAsia="Times New Roman" w:hAnsi="Times New Roman" w:cs="Times New Roman"/>
          <w:sz w:val="24"/>
          <w:szCs w:val="24"/>
        </w:rPr>
        <w:t xml:space="preserve">(2), 257–285. </w:t>
      </w:r>
      <w:hyperlink r:id="rId26" w:history="1">
        <w:r w:rsidRPr="004A7B4A">
          <w:rPr>
            <w:rStyle w:val="Hyperlink"/>
            <w:rFonts w:ascii="Times New Roman" w:eastAsia="Times New Roman" w:hAnsi="Times New Roman" w:cs="Times New Roman"/>
            <w:color w:val="auto"/>
            <w:sz w:val="24"/>
            <w:szCs w:val="24"/>
            <w:u w:val="none"/>
          </w:rPr>
          <w:t>https://doi.org/10.1207/s15516709cog1202_4</w:t>
        </w:r>
      </w:hyperlink>
    </w:p>
    <w:p w14:paraId="25CA6A87" w14:textId="36373D93" w:rsidR="001A660F" w:rsidRPr="004A7B4A" w:rsidRDefault="001A660F" w:rsidP="00A51FC1">
      <w:pPr>
        <w:pStyle w:val="ListParagraph"/>
        <w:numPr>
          <w:ilvl w:val="0"/>
          <w:numId w:val="46"/>
        </w:numPr>
        <w:spacing w:after="0" w:line="240" w:lineRule="auto"/>
        <w:jc w:val="both"/>
        <w:rPr>
          <w:rStyle w:val="Hyperlink"/>
          <w:rFonts w:ascii="Times New Roman" w:eastAsia="Times New Roman" w:hAnsi="Times New Roman" w:cs="Times New Roman"/>
          <w:color w:val="auto"/>
          <w:sz w:val="24"/>
          <w:szCs w:val="24"/>
          <w:u w:val="none"/>
        </w:rPr>
      </w:pPr>
      <w:proofErr w:type="spellStart"/>
      <w:r w:rsidRPr="004A7B4A">
        <w:rPr>
          <w:rFonts w:ascii="Times New Roman" w:hAnsi="Times New Roman" w:cs="Times New Roman"/>
          <w:sz w:val="24"/>
          <w:szCs w:val="24"/>
          <w:shd w:val="clear" w:color="auto" w:fill="FFFFFF"/>
        </w:rPr>
        <w:t>Taquette</w:t>
      </w:r>
      <w:proofErr w:type="spellEnd"/>
      <w:r w:rsidRPr="004A7B4A">
        <w:rPr>
          <w:rFonts w:ascii="Times New Roman" w:hAnsi="Times New Roman" w:cs="Times New Roman"/>
          <w:sz w:val="24"/>
          <w:szCs w:val="24"/>
          <w:shd w:val="clear" w:color="auto" w:fill="FFFFFF"/>
        </w:rPr>
        <w:t>, S. R., &amp; Borges da Matta Souza, L. M. (2022). Ethical Dilemmas in Qualitative Research: A Critical Literature Review. </w:t>
      </w:r>
      <w:r w:rsidRPr="004A7B4A">
        <w:rPr>
          <w:rFonts w:ascii="Times New Roman" w:hAnsi="Times New Roman" w:cs="Times New Roman"/>
          <w:i/>
          <w:iCs/>
          <w:sz w:val="24"/>
          <w:szCs w:val="24"/>
          <w:shd w:val="clear" w:color="auto" w:fill="FFFFFF"/>
        </w:rPr>
        <w:t>International Journal of Qualitative Methods</w:t>
      </w:r>
      <w:r w:rsidRPr="004A7B4A">
        <w:rPr>
          <w:rFonts w:ascii="Times New Roman" w:hAnsi="Times New Roman" w:cs="Times New Roman"/>
          <w:sz w:val="24"/>
          <w:szCs w:val="24"/>
          <w:shd w:val="clear" w:color="auto" w:fill="FFFFFF"/>
        </w:rPr>
        <w:t>, </w:t>
      </w:r>
      <w:r w:rsidRPr="004A7B4A">
        <w:rPr>
          <w:rFonts w:ascii="Times New Roman" w:hAnsi="Times New Roman" w:cs="Times New Roman"/>
          <w:i/>
          <w:iCs/>
          <w:sz w:val="24"/>
          <w:szCs w:val="24"/>
          <w:shd w:val="clear" w:color="auto" w:fill="FFFFFF"/>
        </w:rPr>
        <w:t>21</w:t>
      </w:r>
      <w:r w:rsidRPr="004A7B4A">
        <w:rPr>
          <w:rFonts w:ascii="Times New Roman" w:hAnsi="Times New Roman" w:cs="Times New Roman"/>
          <w:sz w:val="24"/>
          <w:szCs w:val="24"/>
          <w:shd w:val="clear" w:color="auto" w:fill="FFFFFF"/>
        </w:rPr>
        <w:t>. </w:t>
      </w:r>
      <w:hyperlink r:id="rId27" w:history="1">
        <w:r w:rsidRPr="004A7B4A">
          <w:rPr>
            <w:rFonts w:ascii="Times New Roman" w:hAnsi="Times New Roman" w:cs="Times New Roman"/>
            <w:sz w:val="24"/>
            <w:szCs w:val="24"/>
            <w:shd w:val="clear" w:color="auto" w:fill="FFFFFF"/>
          </w:rPr>
          <w:t>https://doi.org/10.1177/16094069221078731</w:t>
        </w:r>
      </w:hyperlink>
    </w:p>
    <w:p w14:paraId="61657A42" w14:textId="1DE98411"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 xml:space="preserve">Tracy, S. J. (2020). </w:t>
      </w:r>
      <w:r w:rsidRPr="004A7B4A">
        <w:rPr>
          <w:rFonts w:ascii="Times New Roman" w:eastAsia="Times New Roman" w:hAnsi="Times New Roman" w:cs="Times New Roman"/>
          <w:i/>
          <w:iCs/>
          <w:sz w:val="24"/>
          <w:szCs w:val="24"/>
          <w:lang w:val="en-PH" w:eastAsia="en-PH"/>
        </w:rPr>
        <w:t>Qualitative research methods: Collecting evidence, crafting analysis, communicating impact (2nd ed.)</w:t>
      </w:r>
      <w:r w:rsidRPr="004A7B4A">
        <w:rPr>
          <w:rFonts w:ascii="Times New Roman" w:eastAsia="Times New Roman" w:hAnsi="Times New Roman" w:cs="Times New Roman"/>
          <w:sz w:val="24"/>
          <w:szCs w:val="24"/>
          <w:lang w:val="en-PH" w:eastAsia="en-PH"/>
        </w:rPr>
        <w:t>. Wiley-Blackwell.</w:t>
      </w:r>
    </w:p>
    <w:p w14:paraId="0D101F2E" w14:textId="388915D6" w:rsidR="001A660F" w:rsidRPr="004A7B4A" w:rsidRDefault="001A660F" w:rsidP="00A51FC1">
      <w:pPr>
        <w:pStyle w:val="NormalWeb"/>
        <w:numPr>
          <w:ilvl w:val="0"/>
          <w:numId w:val="46"/>
        </w:numPr>
        <w:spacing w:before="0" w:beforeAutospacing="0" w:after="0" w:afterAutospacing="0"/>
        <w:jc w:val="both"/>
      </w:pPr>
      <w:r w:rsidRPr="004A7B4A">
        <w:t xml:space="preserve">Vygotsky, L. S. (1978). </w:t>
      </w:r>
      <w:r w:rsidRPr="004A7B4A">
        <w:rPr>
          <w:i/>
          <w:iCs/>
        </w:rPr>
        <w:t>Mind in society: The development of higher psychological processes</w:t>
      </w:r>
      <w:r w:rsidRPr="004A7B4A">
        <w:t>. Harvard University Press.</w:t>
      </w:r>
    </w:p>
    <w:p w14:paraId="12D6D0D2" w14:textId="265A5D7C" w:rsidR="00277742" w:rsidRPr="004A7B4A" w:rsidRDefault="00277742" w:rsidP="00A51FC1">
      <w:pPr>
        <w:pStyle w:val="NoSpacing"/>
        <w:numPr>
          <w:ilvl w:val="0"/>
          <w:numId w:val="46"/>
        </w:numPr>
        <w:jc w:val="both"/>
        <w:rPr>
          <w:rFonts w:ascii="Times New Roman" w:hAnsi="Times New Roman" w:cs="Times New Roman"/>
          <w:sz w:val="24"/>
          <w:szCs w:val="24"/>
          <w:lang w:val="en-PH" w:eastAsia="en-PH"/>
        </w:rPr>
      </w:pPr>
      <w:r w:rsidRPr="004A7B4A">
        <w:rPr>
          <w:rFonts w:ascii="Times New Roman" w:hAnsi="Times New Roman" w:cs="Times New Roman"/>
          <w:sz w:val="24"/>
          <w:szCs w:val="24"/>
          <w:lang w:val="en-PH" w:eastAsia="en-PH"/>
        </w:rPr>
        <w:t>Wang C</w:t>
      </w:r>
      <w:r w:rsidRPr="004A7B4A">
        <w:rPr>
          <w:rFonts w:ascii="Times New Roman" w:hAnsi="Times New Roman" w:cs="Times New Roman"/>
          <w:sz w:val="24"/>
          <w:szCs w:val="24"/>
          <w:lang w:val="en-PH" w:eastAsia="en-PH"/>
        </w:rPr>
        <w:t>.</w:t>
      </w:r>
      <w:r w:rsidRPr="004A7B4A">
        <w:rPr>
          <w:rFonts w:ascii="Times New Roman" w:hAnsi="Times New Roman" w:cs="Times New Roman"/>
          <w:sz w:val="24"/>
          <w:szCs w:val="24"/>
          <w:lang w:val="en-PH" w:eastAsia="en-PH"/>
        </w:rPr>
        <w:t>, Xu Q</w:t>
      </w:r>
      <w:r w:rsidRPr="004A7B4A">
        <w:rPr>
          <w:rFonts w:ascii="Times New Roman" w:hAnsi="Times New Roman" w:cs="Times New Roman"/>
          <w:sz w:val="24"/>
          <w:szCs w:val="24"/>
          <w:lang w:val="en-PH" w:eastAsia="en-PH"/>
        </w:rPr>
        <w:t>., &amp;</w:t>
      </w:r>
      <w:r w:rsidRPr="004A7B4A">
        <w:rPr>
          <w:rFonts w:ascii="Times New Roman" w:hAnsi="Times New Roman" w:cs="Times New Roman"/>
          <w:sz w:val="24"/>
          <w:szCs w:val="24"/>
          <w:lang w:val="en-PH" w:eastAsia="en-PH"/>
        </w:rPr>
        <w:t xml:space="preserve"> Fei W</w:t>
      </w:r>
      <w:r w:rsidRPr="004A7B4A">
        <w:rPr>
          <w:rFonts w:ascii="Times New Roman" w:hAnsi="Times New Roman" w:cs="Times New Roman"/>
          <w:sz w:val="24"/>
          <w:szCs w:val="24"/>
          <w:lang w:val="en-PH" w:eastAsia="en-PH"/>
        </w:rPr>
        <w:t>.</w:t>
      </w:r>
      <w:r w:rsidRPr="004A7B4A">
        <w:rPr>
          <w:rFonts w:ascii="Times New Roman" w:hAnsi="Times New Roman" w:cs="Times New Roman"/>
          <w:sz w:val="24"/>
          <w:szCs w:val="24"/>
          <w:lang w:val="en-PH" w:eastAsia="en-PH"/>
        </w:rPr>
        <w:t xml:space="preserve"> (2024</w:t>
      </w:r>
      <w:r w:rsidRPr="004A7B4A">
        <w:rPr>
          <w:rFonts w:ascii="Times New Roman" w:hAnsi="Times New Roman" w:cs="Times New Roman"/>
          <w:sz w:val="24"/>
          <w:szCs w:val="24"/>
          <w:lang w:val="en-PH" w:eastAsia="en-PH"/>
        </w:rPr>
        <w:t>a</w:t>
      </w:r>
      <w:r w:rsidRPr="004A7B4A">
        <w:rPr>
          <w:rFonts w:ascii="Times New Roman" w:hAnsi="Times New Roman" w:cs="Times New Roman"/>
          <w:sz w:val="24"/>
          <w:szCs w:val="24"/>
          <w:lang w:val="en-PH" w:eastAsia="en-PH"/>
        </w:rPr>
        <w:t xml:space="preserve">) The effect of student-perceived teacher support on math anxiety: </w:t>
      </w:r>
      <w:r w:rsidRPr="004A7B4A">
        <w:rPr>
          <w:rFonts w:ascii="Times New Roman" w:hAnsi="Times New Roman" w:cs="Times New Roman"/>
          <w:sz w:val="24"/>
          <w:szCs w:val="24"/>
          <w:lang w:val="en-PH" w:eastAsia="en-PH"/>
        </w:rPr>
        <w:t>C</w:t>
      </w:r>
      <w:r w:rsidRPr="004A7B4A">
        <w:rPr>
          <w:rFonts w:ascii="Times New Roman" w:hAnsi="Times New Roman" w:cs="Times New Roman"/>
          <w:sz w:val="24"/>
          <w:szCs w:val="24"/>
          <w:lang w:val="en-PH" w:eastAsia="en-PH"/>
        </w:rPr>
        <w:t xml:space="preserve">hain mediation of teacher–student relationship and math self-efficacy. </w:t>
      </w:r>
      <w:r w:rsidRPr="004A7B4A">
        <w:rPr>
          <w:rFonts w:ascii="Times New Roman" w:hAnsi="Times New Roman" w:cs="Times New Roman"/>
          <w:i/>
          <w:iCs/>
          <w:sz w:val="24"/>
          <w:szCs w:val="24"/>
          <w:lang w:val="en-PH" w:eastAsia="en-PH"/>
        </w:rPr>
        <w:t>Frontiers in Psychology</w:t>
      </w:r>
      <w:r w:rsidRPr="004A7B4A">
        <w:rPr>
          <w:rFonts w:ascii="Times New Roman" w:hAnsi="Times New Roman" w:cs="Times New Roman"/>
          <w:sz w:val="24"/>
          <w:szCs w:val="24"/>
          <w:lang w:val="en-PH" w:eastAsia="en-PH"/>
        </w:rPr>
        <w:t>. 15</w:t>
      </w:r>
      <w:r w:rsidRPr="004A7B4A">
        <w:rPr>
          <w:rFonts w:ascii="Times New Roman" w:hAnsi="Times New Roman" w:cs="Times New Roman"/>
          <w:sz w:val="24"/>
          <w:szCs w:val="24"/>
          <w:lang w:val="en-PH" w:eastAsia="en-PH"/>
        </w:rPr>
        <w:t xml:space="preserve">, </w:t>
      </w:r>
      <w:r w:rsidRPr="004A7B4A">
        <w:rPr>
          <w:rFonts w:ascii="Times New Roman" w:hAnsi="Times New Roman" w:cs="Times New Roman"/>
          <w:sz w:val="24"/>
          <w:szCs w:val="24"/>
          <w:lang w:val="en-PH" w:eastAsia="en-PH"/>
        </w:rPr>
        <w:t xml:space="preserve">1333012. </w:t>
      </w:r>
      <w:proofErr w:type="spellStart"/>
      <w:r w:rsidRPr="004A7B4A">
        <w:rPr>
          <w:rFonts w:ascii="Times New Roman" w:hAnsi="Times New Roman" w:cs="Times New Roman"/>
          <w:sz w:val="24"/>
          <w:szCs w:val="24"/>
          <w:lang w:val="en-PH" w:eastAsia="en-PH"/>
        </w:rPr>
        <w:t>doi</w:t>
      </w:r>
      <w:proofErr w:type="spellEnd"/>
      <w:r w:rsidRPr="004A7B4A">
        <w:rPr>
          <w:rFonts w:ascii="Times New Roman" w:hAnsi="Times New Roman" w:cs="Times New Roman"/>
          <w:sz w:val="24"/>
          <w:szCs w:val="24"/>
          <w:lang w:val="en-PH" w:eastAsia="en-PH"/>
        </w:rPr>
        <w:t>: 10.3389/fpsyg.2024.1333012</w:t>
      </w:r>
    </w:p>
    <w:p w14:paraId="2370108F" w14:textId="490C1CAE" w:rsidR="001A660F" w:rsidRPr="004A7B4A" w:rsidRDefault="001A660F" w:rsidP="00A51FC1">
      <w:pPr>
        <w:pStyle w:val="ListParagraph"/>
        <w:numPr>
          <w:ilvl w:val="0"/>
          <w:numId w:val="46"/>
        </w:numPr>
        <w:shd w:val="clear" w:color="auto" w:fill="FFFFFF"/>
        <w:spacing w:after="0" w:line="240" w:lineRule="auto"/>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 xml:space="preserve">Wang, S., Wang, F., Zhu, Z., Wang, J., Tran, T., &amp; Du, Z. (2024b). Artificial intelligence in education: A systematic literature review. </w:t>
      </w:r>
      <w:r w:rsidRPr="004A7B4A">
        <w:rPr>
          <w:rFonts w:ascii="Times New Roman" w:eastAsia="Times New Roman" w:hAnsi="Times New Roman" w:cs="Times New Roman"/>
          <w:i/>
          <w:iCs/>
          <w:sz w:val="24"/>
          <w:szCs w:val="24"/>
          <w:lang w:val="en-PH" w:eastAsia="en-PH"/>
        </w:rPr>
        <w:t>Expert Systems with Applications</w:t>
      </w:r>
      <w:r w:rsidRPr="004A7B4A">
        <w:rPr>
          <w:rFonts w:ascii="Times New Roman" w:eastAsia="Times New Roman" w:hAnsi="Times New Roman" w:cs="Times New Roman"/>
          <w:sz w:val="24"/>
          <w:szCs w:val="24"/>
          <w:lang w:val="en-PH" w:eastAsia="en-PH"/>
        </w:rPr>
        <w:t xml:space="preserve">, 252, 124167. </w:t>
      </w:r>
      <w:r w:rsidR="00277742" w:rsidRPr="004A7B4A">
        <w:rPr>
          <w:rFonts w:ascii="Times New Roman" w:eastAsia="Times New Roman" w:hAnsi="Times New Roman" w:cs="Times New Roman"/>
          <w:sz w:val="24"/>
          <w:szCs w:val="24"/>
          <w:lang w:val="en-PH" w:eastAsia="en-PH"/>
        </w:rPr>
        <w:t>https://doi.org/10.1016/j.eswa.2024.124167</w:t>
      </w:r>
    </w:p>
    <w:p w14:paraId="1D380C40" w14:textId="04A5CCEB" w:rsidR="001A660F" w:rsidRPr="004A7B4A" w:rsidRDefault="0063095D" w:rsidP="0063095D">
      <w:pPr>
        <w:pStyle w:val="ListParagraph"/>
        <w:numPr>
          <w:ilvl w:val="0"/>
          <w:numId w:val="46"/>
        </w:numPr>
        <w:rPr>
          <w:rFonts w:ascii="Times New Roman" w:hAnsi="Times New Roman" w:cs="Times New Roman"/>
          <w:sz w:val="24"/>
          <w:szCs w:val="24"/>
          <w:lang w:val="en-PH" w:eastAsia="en-PH"/>
        </w:rPr>
      </w:pPr>
      <w:r w:rsidRPr="004A7B4A">
        <w:rPr>
          <w:rFonts w:ascii="Times New Roman" w:hAnsi="Times New Roman" w:cs="Times New Roman"/>
          <w:sz w:val="24"/>
          <w:szCs w:val="24"/>
          <w:lang w:val="en-PH" w:eastAsia="en-PH"/>
        </w:rPr>
        <w:t>Wang X., &amp; Wei Y. (2024)</w:t>
      </w:r>
      <w:r w:rsidR="001A660F" w:rsidRPr="004A7B4A">
        <w:rPr>
          <w:rFonts w:ascii="Times New Roman" w:hAnsi="Times New Roman" w:cs="Times New Roman"/>
          <w:sz w:val="24"/>
          <w:szCs w:val="24"/>
          <w:lang w:val="en-PH" w:eastAsia="en-PH"/>
        </w:rPr>
        <w:t xml:space="preserve">. The influence of parental involvement on students’ math performance: A meta-analysis. </w:t>
      </w:r>
      <w:r w:rsidR="001A660F" w:rsidRPr="004A7B4A">
        <w:rPr>
          <w:rFonts w:ascii="Times New Roman" w:hAnsi="Times New Roman" w:cs="Times New Roman"/>
          <w:i/>
          <w:iCs/>
          <w:sz w:val="24"/>
          <w:szCs w:val="24"/>
          <w:lang w:val="en-PH" w:eastAsia="en-PH"/>
        </w:rPr>
        <w:t>Frontiers in Psychology</w:t>
      </w:r>
      <w:r w:rsidR="001A660F" w:rsidRPr="004A7B4A">
        <w:rPr>
          <w:rFonts w:ascii="Times New Roman" w:hAnsi="Times New Roman" w:cs="Times New Roman"/>
          <w:sz w:val="24"/>
          <w:szCs w:val="24"/>
          <w:lang w:val="en-PH" w:eastAsia="en-PH"/>
        </w:rPr>
        <w:t xml:space="preserve">, 15, 1463359. </w:t>
      </w:r>
      <w:r w:rsidRPr="004A7B4A">
        <w:rPr>
          <w:rFonts w:ascii="Times New Roman" w:hAnsi="Times New Roman" w:cs="Times New Roman"/>
          <w:sz w:val="24"/>
          <w:szCs w:val="24"/>
          <w:lang w:val="en-PH" w:eastAsia="en-PH"/>
        </w:rPr>
        <w:t>https://doi.org/10.3389/fpsyg.2024.1463359</w:t>
      </w:r>
    </w:p>
    <w:p w14:paraId="0A3AC5F9" w14:textId="2DC1F331"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lang w:val="en-PH" w:eastAsia="en-PH"/>
        </w:rPr>
      </w:pPr>
      <w:r w:rsidRPr="004A7B4A">
        <w:rPr>
          <w:rFonts w:ascii="Times New Roman" w:hAnsi="Times New Roman" w:cs="Times New Roman"/>
          <w:sz w:val="24"/>
          <w:szCs w:val="24"/>
          <w:shd w:val="clear" w:color="auto" w:fill="FFFFFF"/>
        </w:rPr>
        <w:lastRenderedPageBreak/>
        <w:t>Weiner, B. (1985). An attributional theory of achievement motivation and emotion. </w:t>
      </w:r>
      <w:r w:rsidRPr="004A7B4A">
        <w:rPr>
          <w:rFonts w:ascii="Times New Roman" w:hAnsi="Times New Roman" w:cs="Times New Roman"/>
          <w:i/>
          <w:iCs/>
          <w:sz w:val="24"/>
          <w:szCs w:val="24"/>
          <w:shd w:val="clear" w:color="auto" w:fill="FFFFFF"/>
        </w:rPr>
        <w:t>Psychological Review, 92</w:t>
      </w:r>
      <w:r w:rsidRPr="004A7B4A">
        <w:rPr>
          <w:rFonts w:ascii="Times New Roman" w:hAnsi="Times New Roman" w:cs="Times New Roman"/>
          <w:sz w:val="24"/>
          <w:szCs w:val="24"/>
          <w:shd w:val="clear" w:color="auto" w:fill="FFFFFF"/>
        </w:rPr>
        <w:t>(4), 548–573. </w:t>
      </w:r>
      <w:hyperlink r:id="rId28" w:tgtFrame="_blank" w:history="1">
        <w:r w:rsidRPr="004A7B4A">
          <w:rPr>
            <w:rFonts w:ascii="Times New Roman" w:hAnsi="Times New Roman" w:cs="Times New Roman"/>
            <w:sz w:val="24"/>
            <w:szCs w:val="24"/>
            <w:shd w:val="clear" w:color="auto" w:fill="FFFFFF"/>
          </w:rPr>
          <w:t>https://doi.org/10.1037/0033-295X.92.4.548</w:t>
        </w:r>
      </w:hyperlink>
    </w:p>
    <w:p w14:paraId="0BC9A951" w14:textId="3BA4691C" w:rsidR="001A660F" w:rsidRPr="004A7B4A" w:rsidRDefault="001A660F" w:rsidP="00A51FC1">
      <w:pPr>
        <w:pStyle w:val="NoSpacing"/>
        <w:numPr>
          <w:ilvl w:val="0"/>
          <w:numId w:val="46"/>
        </w:numPr>
        <w:jc w:val="both"/>
        <w:rPr>
          <w:rFonts w:ascii="Times New Roman" w:hAnsi="Times New Roman" w:cs="Times New Roman"/>
          <w:sz w:val="24"/>
          <w:szCs w:val="24"/>
          <w:lang w:val="en-PH" w:eastAsia="en-PH"/>
        </w:rPr>
      </w:pPr>
      <w:r w:rsidRPr="004A7B4A">
        <w:rPr>
          <w:rFonts w:ascii="Times New Roman" w:hAnsi="Times New Roman" w:cs="Times New Roman"/>
          <w:sz w:val="24"/>
          <w:szCs w:val="24"/>
          <w:lang w:val="en-PH" w:eastAsia="en-PH"/>
        </w:rPr>
        <w:t xml:space="preserve">Wigfield, A., &amp; Eccles, J. S. (2000). Expectancy-value theory of achievement motivation. </w:t>
      </w:r>
      <w:r w:rsidRPr="004A7B4A">
        <w:rPr>
          <w:rFonts w:ascii="Times New Roman" w:hAnsi="Times New Roman" w:cs="Times New Roman"/>
          <w:i/>
          <w:iCs/>
          <w:sz w:val="24"/>
          <w:szCs w:val="24"/>
          <w:lang w:val="en-PH" w:eastAsia="en-PH"/>
        </w:rPr>
        <w:t>Contemporary Educational Psychology</w:t>
      </w:r>
      <w:r w:rsidRPr="004A7B4A">
        <w:rPr>
          <w:rFonts w:ascii="Times New Roman" w:hAnsi="Times New Roman" w:cs="Times New Roman"/>
          <w:sz w:val="24"/>
          <w:szCs w:val="24"/>
          <w:lang w:val="en-PH" w:eastAsia="en-PH"/>
        </w:rPr>
        <w:t xml:space="preserve">, 25(1), 68–81. </w:t>
      </w:r>
      <w:hyperlink r:id="rId29" w:history="1">
        <w:r w:rsidRPr="004A7B4A">
          <w:rPr>
            <w:rStyle w:val="Hyperlink"/>
            <w:rFonts w:ascii="Times New Roman" w:hAnsi="Times New Roman" w:cs="Times New Roman"/>
            <w:color w:val="auto"/>
            <w:sz w:val="24"/>
            <w:szCs w:val="24"/>
            <w:u w:val="none"/>
            <w:lang w:val="en-PH" w:eastAsia="en-PH"/>
          </w:rPr>
          <w:t>https://doi.org/10.1006/ceps.1999.1015</w:t>
        </w:r>
      </w:hyperlink>
    </w:p>
    <w:p w14:paraId="52714352" w14:textId="3DA59F15"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 xml:space="preserve">Xu, A., </w:t>
      </w:r>
      <w:proofErr w:type="spellStart"/>
      <w:r w:rsidRPr="004A7B4A">
        <w:rPr>
          <w:rFonts w:ascii="Times New Roman" w:eastAsia="Times New Roman" w:hAnsi="Times New Roman" w:cs="Times New Roman"/>
          <w:sz w:val="24"/>
          <w:szCs w:val="24"/>
          <w:lang w:val="en-PH" w:eastAsia="en-PH"/>
        </w:rPr>
        <w:t>Baysari</w:t>
      </w:r>
      <w:proofErr w:type="spellEnd"/>
      <w:r w:rsidRPr="004A7B4A">
        <w:rPr>
          <w:rFonts w:ascii="Times New Roman" w:eastAsia="Times New Roman" w:hAnsi="Times New Roman" w:cs="Times New Roman"/>
          <w:sz w:val="24"/>
          <w:szCs w:val="24"/>
          <w:lang w:val="en-PH" w:eastAsia="en-PH"/>
        </w:rPr>
        <w:t xml:space="preserve">, M. T., Stocker, S. L., Leow, L. J., Day, R. O., &amp; Carland, J. E. (2020). Researchers’ views on, and experiences with, the requirement to obtain informed consent in research involving human participants: A qualitative study. </w:t>
      </w:r>
      <w:r w:rsidRPr="004A7B4A">
        <w:rPr>
          <w:rFonts w:ascii="Times New Roman" w:eastAsia="Times New Roman" w:hAnsi="Times New Roman" w:cs="Times New Roman"/>
          <w:i/>
          <w:iCs/>
          <w:sz w:val="24"/>
          <w:szCs w:val="24"/>
          <w:lang w:val="en-PH" w:eastAsia="en-PH"/>
        </w:rPr>
        <w:t>BMC Medical Ethics</w:t>
      </w:r>
      <w:r w:rsidRPr="004A7B4A">
        <w:rPr>
          <w:rFonts w:ascii="Times New Roman" w:eastAsia="Times New Roman" w:hAnsi="Times New Roman" w:cs="Times New Roman"/>
          <w:sz w:val="24"/>
          <w:szCs w:val="24"/>
          <w:lang w:val="en-PH" w:eastAsia="en-PH"/>
        </w:rPr>
        <w:t>, 21(93). https://doi.org/10.1186/s12910-020-00538-7</w:t>
      </w:r>
    </w:p>
    <w:p w14:paraId="038A136D" w14:textId="712E29CD"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Zimmerman, B. J. (2002). Becoming a self-regulated learner: An overview. </w:t>
      </w:r>
      <w:r w:rsidRPr="004A7B4A">
        <w:rPr>
          <w:rFonts w:ascii="Times New Roman" w:eastAsia="Times New Roman" w:hAnsi="Times New Roman" w:cs="Times New Roman"/>
          <w:i/>
          <w:iCs/>
          <w:sz w:val="24"/>
          <w:szCs w:val="24"/>
        </w:rPr>
        <w:t>Theory into Practice, 41</w:t>
      </w:r>
      <w:r w:rsidRPr="004A7B4A">
        <w:rPr>
          <w:rFonts w:ascii="Times New Roman" w:eastAsia="Times New Roman" w:hAnsi="Times New Roman" w:cs="Times New Roman"/>
          <w:sz w:val="24"/>
          <w:szCs w:val="24"/>
        </w:rPr>
        <w:t xml:space="preserve">(2), 64–70. </w:t>
      </w:r>
      <w:hyperlink r:id="rId30" w:history="1">
        <w:r w:rsidRPr="004A7B4A">
          <w:rPr>
            <w:rStyle w:val="Hyperlink"/>
            <w:rFonts w:ascii="Times New Roman" w:eastAsia="Times New Roman" w:hAnsi="Times New Roman" w:cs="Times New Roman"/>
            <w:color w:val="auto"/>
            <w:sz w:val="24"/>
            <w:szCs w:val="24"/>
            <w:u w:val="none"/>
          </w:rPr>
          <w:t>https://doi.org/10.1207/s15430421tip4102_2</w:t>
        </w:r>
      </w:hyperlink>
    </w:p>
    <w:sectPr w:rsidR="001A660F" w:rsidRPr="004A7B4A" w:rsidSect="000C796B">
      <w:headerReference w:type="default" r:id="rId31"/>
      <w:pgSz w:w="11909" w:h="16834" w:code="9"/>
      <w:pgMar w:top="1077" w:right="607" w:bottom="607" w:left="607"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EAC8E" w14:textId="77777777" w:rsidR="00121EBC" w:rsidRDefault="00121EBC" w:rsidP="00400826">
      <w:pPr>
        <w:spacing w:after="0" w:line="240" w:lineRule="auto"/>
      </w:pPr>
      <w:r>
        <w:separator/>
      </w:r>
    </w:p>
  </w:endnote>
  <w:endnote w:type="continuationSeparator" w:id="0">
    <w:p w14:paraId="35D6A282" w14:textId="77777777" w:rsidR="00121EBC" w:rsidRDefault="00121EBC" w:rsidP="00400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OldStyle-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0C18D" w14:textId="77777777" w:rsidR="00121EBC" w:rsidRDefault="00121EBC" w:rsidP="00400826">
      <w:pPr>
        <w:spacing w:after="0" w:line="240" w:lineRule="auto"/>
      </w:pPr>
      <w:r>
        <w:separator/>
      </w:r>
    </w:p>
  </w:footnote>
  <w:footnote w:type="continuationSeparator" w:id="0">
    <w:p w14:paraId="1D9D32CB" w14:textId="77777777" w:rsidR="00121EBC" w:rsidRDefault="00121EBC" w:rsidP="00400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9566" w14:textId="77777777" w:rsidR="00660B74" w:rsidRDefault="00660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AEE"/>
    <w:multiLevelType w:val="multilevel"/>
    <w:tmpl w:val="71AC2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A3CF9"/>
    <w:multiLevelType w:val="multilevel"/>
    <w:tmpl w:val="A9DE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071DF"/>
    <w:multiLevelType w:val="multilevel"/>
    <w:tmpl w:val="A2C0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848CC"/>
    <w:multiLevelType w:val="multilevel"/>
    <w:tmpl w:val="1BAA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F5407"/>
    <w:multiLevelType w:val="multilevel"/>
    <w:tmpl w:val="C8C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D1299"/>
    <w:multiLevelType w:val="multilevel"/>
    <w:tmpl w:val="76AA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46CD3"/>
    <w:multiLevelType w:val="multilevel"/>
    <w:tmpl w:val="53E8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505F1"/>
    <w:multiLevelType w:val="hybridMultilevel"/>
    <w:tmpl w:val="35A66F00"/>
    <w:lvl w:ilvl="0" w:tplc="4DE4BC4C">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C32231F"/>
    <w:multiLevelType w:val="multilevel"/>
    <w:tmpl w:val="47C2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604A0"/>
    <w:multiLevelType w:val="multilevel"/>
    <w:tmpl w:val="3256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51594"/>
    <w:multiLevelType w:val="hybridMultilevel"/>
    <w:tmpl w:val="7C622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E3BDE"/>
    <w:multiLevelType w:val="multilevel"/>
    <w:tmpl w:val="EFFC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17FCA"/>
    <w:multiLevelType w:val="multilevel"/>
    <w:tmpl w:val="8A4E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B0D9C"/>
    <w:multiLevelType w:val="multilevel"/>
    <w:tmpl w:val="7702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A01A0"/>
    <w:multiLevelType w:val="multilevel"/>
    <w:tmpl w:val="FB6A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C76C3"/>
    <w:multiLevelType w:val="hybridMultilevel"/>
    <w:tmpl w:val="87A084EA"/>
    <w:lvl w:ilvl="0" w:tplc="9994426C">
      <w:start w:val="1"/>
      <w:numFmt w:val="decimal"/>
      <w:lvlText w:val="%1."/>
      <w:lvlJc w:val="left"/>
      <w:pPr>
        <w:ind w:left="644" w:hanging="360"/>
      </w:pPr>
      <w:rPr>
        <w:rFonts w:hint="default"/>
      </w:rPr>
    </w:lvl>
    <w:lvl w:ilvl="1" w:tplc="34090019" w:tentative="1">
      <w:start w:val="1"/>
      <w:numFmt w:val="lowerLetter"/>
      <w:lvlText w:val="%2."/>
      <w:lvlJc w:val="left"/>
      <w:pPr>
        <w:ind w:left="1364" w:hanging="360"/>
      </w:pPr>
    </w:lvl>
    <w:lvl w:ilvl="2" w:tplc="3409001B" w:tentative="1">
      <w:start w:val="1"/>
      <w:numFmt w:val="lowerRoman"/>
      <w:lvlText w:val="%3."/>
      <w:lvlJc w:val="right"/>
      <w:pPr>
        <w:ind w:left="2084" w:hanging="180"/>
      </w:pPr>
    </w:lvl>
    <w:lvl w:ilvl="3" w:tplc="3409000F" w:tentative="1">
      <w:start w:val="1"/>
      <w:numFmt w:val="decimal"/>
      <w:lvlText w:val="%4."/>
      <w:lvlJc w:val="left"/>
      <w:pPr>
        <w:ind w:left="2804" w:hanging="360"/>
      </w:pPr>
    </w:lvl>
    <w:lvl w:ilvl="4" w:tplc="34090019" w:tentative="1">
      <w:start w:val="1"/>
      <w:numFmt w:val="lowerLetter"/>
      <w:lvlText w:val="%5."/>
      <w:lvlJc w:val="left"/>
      <w:pPr>
        <w:ind w:left="3524" w:hanging="360"/>
      </w:pPr>
    </w:lvl>
    <w:lvl w:ilvl="5" w:tplc="3409001B" w:tentative="1">
      <w:start w:val="1"/>
      <w:numFmt w:val="lowerRoman"/>
      <w:lvlText w:val="%6."/>
      <w:lvlJc w:val="right"/>
      <w:pPr>
        <w:ind w:left="4244" w:hanging="180"/>
      </w:pPr>
    </w:lvl>
    <w:lvl w:ilvl="6" w:tplc="3409000F" w:tentative="1">
      <w:start w:val="1"/>
      <w:numFmt w:val="decimal"/>
      <w:lvlText w:val="%7."/>
      <w:lvlJc w:val="left"/>
      <w:pPr>
        <w:ind w:left="4964" w:hanging="360"/>
      </w:pPr>
    </w:lvl>
    <w:lvl w:ilvl="7" w:tplc="34090019" w:tentative="1">
      <w:start w:val="1"/>
      <w:numFmt w:val="lowerLetter"/>
      <w:lvlText w:val="%8."/>
      <w:lvlJc w:val="left"/>
      <w:pPr>
        <w:ind w:left="5684" w:hanging="360"/>
      </w:pPr>
    </w:lvl>
    <w:lvl w:ilvl="8" w:tplc="3409001B" w:tentative="1">
      <w:start w:val="1"/>
      <w:numFmt w:val="lowerRoman"/>
      <w:lvlText w:val="%9."/>
      <w:lvlJc w:val="right"/>
      <w:pPr>
        <w:ind w:left="6404" w:hanging="180"/>
      </w:pPr>
    </w:lvl>
  </w:abstractNum>
  <w:abstractNum w:abstractNumId="16" w15:restartNumberingAfterBreak="0">
    <w:nsid w:val="420E5319"/>
    <w:multiLevelType w:val="multilevel"/>
    <w:tmpl w:val="52CC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80D17"/>
    <w:multiLevelType w:val="hybridMultilevel"/>
    <w:tmpl w:val="9E5236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47317976"/>
    <w:multiLevelType w:val="multilevel"/>
    <w:tmpl w:val="E7AC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B6073"/>
    <w:multiLevelType w:val="multilevel"/>
    <w:tmpl w:val="BC92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3003CA"/>
    <w:multiLevelType w:val="multilevel"/>
    <w:tmpl w:val="01F8F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C47F31"/>
    <w:multiLevelType w:val="multilevel"/>
    <w:tmpl w:val="B6CA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DE5E55"/>
    <w:multiLevelType w:val="hybridMultilevel"/>
    <w:tmpl w:val="DEF29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C63A96"/>
    <w:multiLevelType w:val="multilevel"/>
    <w:tmpl w:val="B726D1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F80B89"/>
    <w:multiLevelType w:val="multilevel"/>
    <w:tmpl w:val="83886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854AEB"/>
    <w:multiLevelType w:val="multilevel"/>
    <w:tmpl w:val="CD82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EE750D"/>
    <w:multiLevelType w:val="multilevel"/>
    <w:tmpl w:val="72A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D54B1A"/>
    <w:multiLevelType w:val="multilevel"/>
    <w:tmpl w:val="ED44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A25DBA"/>
    <w:multiLevelType w:val="multilevel"/>
    <w:tmpl w:val="FBE6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143EB6"/>
    <w:multiLevelType w:val="multilevel"/>
    <w:tmpl w:val="2C78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4E4818"/>
    <w:multiLevelType w:val="hybridMultilevel"/>
    <w:tmpl w:val="3E76896E"/>
    <w:lvl w:ilvl="0" w:tplc="94226976">
      <w:numFmt w:val="bullet"/>
      <w:lvlText w:val=""/>
      <w:lvlJc w:val="left"/>
      <w:pPr>
        <w:ind w:left="756" w:hanging="396"/>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65B81A07"/>
    <w:multiLevelType w:val="multilevel"/>
    <w:tmpl w:val="4620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854F65"/>
    <w:multiLevelType w:val="multilevel"/>
    <w:tmpl w:val="302A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4316AB"/>
    <w:multiLevelType w:val="multilevel"/>
    <w:tmpl w:val="A548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681973"/>
    <w:multiLevelType w:val="multilevel"/>
    <w:tmpl w:val="08CE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9841CE"/>
    <w:multiLevelType w:val="multilevel"/>
    <w:tmpl w:val="8AD0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AF224C"/>
    <w:multiLevelType w:val="multilevel"/>
    <w:tmpl w:val="DFB2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31095"/>
    <w:multiLevelType w:val="multilevel"/>
    <w:tmpl w:val="C518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063611"/>
    <w:multiLevelType w:val="multilevel"/>
    <w:tmpl w:val="C446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B7CF5"/>
    <w:multiLevelType w:val="multilevel"/>
    <w:tmpl w:val="4F38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D45579"/>
    <w:multiLevelType w:val="multilevel"/>
    <w:tmpl w:val="9EBC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532BE9"/>
    <w:multiLevelType w:val="multilevel"/>
    <w:tmpl w:val="65C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1C5949"/>
    <w:multiLevelType w:val="multilevel"/>
    <w:tmpl w:val="14C4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A701A7"/>
    <w:multiLevelType w:val="multilevel"/>
    <w:tmpl w:val="0B7E50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4340DF"/>
    <w:multiLevelType w:val="multilevel"/>
    <w:tmpl w:val="DE4A8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D64874"/>
    <w:multiLevelType w:val="multilevel"/>
    <w:tmpl w:val="A192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780228">
    <w:abstractNumId w:val="32"/>
  </w:num>
  <w:num w:numId="2" w16cid:durableId="1505970031">
    <w:abstractNumId w:val="5"/>
  </w:num>
  <w:num w:numId="3" w16cid:durableId="1021007629">
    <w:abstractNumId w:val="9"/>
  </w:num>
  <w:num w:numId="4" w16cid:durableId="1289629025">
    <w:abstractNumId w:val="11"/>
  </w:num>
  <w:num w:numId="5" w16cid:durableId="2060934338">
    <w:abstractNumId w:val="39"/>
  </w:num>
  <w:num w:numId="6" w16cid:durableId="250049811">
    <w:abstractNumId w:val="36"/>
  </w:num>
  <w:num w:numId="7" w16cid:durableId="1259606170">
    <w:abstractNumId w:val="35"/>
  </w:num>
  <w:num w:numId="8" w16cid:durableId="2121997061">
    <w:abstractNumId w:val="19"/>
  </w:num>
  <w:num w:numId="9" w16cid:durableId="1803381621">
    <w:abstractNumId w:val="28"/>
  </w:num>
  <w:num w:numId="10" w16cid:durableId="632298586">
    <w:abstractNumId w:val="33"/>
  </w:num>
  <w:num w:numId="11" w16cid:durableId="143930780">
    <w:abstractNumId w:val="6"/>
  </w:num>
  <w:num w:numId="12" w16cid:durableId="1342778777">
    <w:abstractNumId w:val="1"/>
  </w:num>
  <w:num w:numId="13" w16cid:durableId="684136647">
    <w:abstractNumId w:val="0"/>
  </w:num>
  <w:num w:numId="14" w16cid:durableId="353656452">
    <w:abstractNumId w:val="41"/>
  </w:num>
  <w:num w:numId="15" w16cid:durableId="1125537338">
    <w:abstractNumId w:val="26"/>
  </w:num>
  <w:num w:numId="16" w16cid:durableId="1219559825">
    <w:abstractNumId w:val="24"/>
  </w:num>
  <w:num w:numId="17" w16cid:durableId="32929124">
    <w:abstractNumId w:val="13"/>
  </w:num>
  <w:num w:numId="18" w16cid:durableId="1826237934">
    <w:abstractNumId w:val="20"/>
  </w:num>
  <w:num w:numId="19" w16cid:durableId="894120563">
    <w:abstractNumId w:val="2"/>
  </w:num>
  <w:num w:numId="20" w16cid:durableId="248392665">
    <w:abstractNumId w:val="43"/>
  </w:num>
  <w:num w:numId="21" w16cid:durableId="1371341509">
    <w:abstractNumId w:val="4"/>
  </w:num>
  <w:num w:numId="22" w16cid:durableId="308437230">
    <w:abstractNumId w:val="45"/>
  </w:num>
  <w:num w:numId="23" w16cid:durableId="1278176831">
    <w:abstractNumId w:val="25"/>
  </w:num>
  <w:num w:numId="24" w16cid:durableId="1963994732">
    <w:abstractNumId w:val="31"/>
  </w:num>
  <w:num w:numId="25" w16cid:durableId="70392791">
    <w:abstractNumId w:val="22"/>
  </w:num>
  <w:num w:numId="26" w16cid:durableId="143083985">
    <w:abstractNumId w:val="23"/>
  </w:num>
  <w:num w:numId="27" w16cid:durableId="123239675">
    <w:abstractNumId w:val="34"/>
  </w:num>
  <w:num w:numId="28" w16cid:durableId="626132146">
    <w:abstractNumId w:val="21"/>
  </w:num>
  <w:num w:numId="29" w16cid:durableId="1220439627">
    <w:abstractNumId w:val="29"/>
  </w:num>
  <w:num w:numId="30" w16cid:durableId="350227828">
    <w:abstractNumId w:val="14"/>
  </w:num>
  <w:num w:numId="31" w16cid:durableId="1101753479">
    <w:abstractNumId w:val="38"/>
  </w:num>
  <w:num w:numId="32" w16cid:durableId="1557012350">
    <w:abstractNumId w:val="8"/>
  </w:num>
  <w:num w:numId="33" w16cid:durableId="1354040791">
    <w:abstractNumId w:val="16"/>
  </w:num>
  <w:num w:numId="34" w16cid:durableId="506017668">
    <w:abstractNumId w:val="18"/>
  </w:num>
  <w:num w:numId="35" w16cid:durableId="19549041">
    <w:abstractNumId w:val="37"/>
  </w:num>
  <w:num w:numId="36" w16cid:durableId="1768843044">
    <w:abstractNumId w:val="40"/>
  </w:num>
  <w:num w:numId="37" w16cid:durableId="195239257">
    <w:abstractNumId w:val="27"/>
  </w:num>
  <w:num w:numId="38" w16cid:durableId="395399550">
    <w:abstractNumId w:val="10"/>
  </w:num>
  <w:num w:numId="39" w16cid:durableId="1546526594">
    <w:abstractNumId w:val="12"/>
  </w:num>
  <w:num w:numId="40" w16cid:durableId="1981879535">
    <w:abstractNumId w:val="44"/>
  </w:num>
  <w:num w:numId="41" w16cid:durableId="1814180314">
    <w:abstractNumId w:val="3"/>
  </w:num>
  <w:num w:numId="42" w16cid:durableId="1164276874">
    <w:abstractNumId w:val="42"/>
  </w:num>
  <w:num w:numId="43" w16cid:durableId="1071923781">
    <w:abstractNumId w:val="7"/>
  </w:num>
  <w:num w:numId="44" w16cid:durableId="2040011111">
    <w:abstractNumId w:val="17"/>
  </w:num>
  <w:num w:numId="45" w16cid:durableId="1070033121">
    <w:abstractNumId w:val="30"/>
  </w:num>
  <w:num w:numId="46" w16cid:durableId="2365512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0tjA1MjE1N7AwNbRQ0lEKTi0uzszPAykwNKoFACaQwoQtAAAA"/>
  </w:docVars>
  <w:rsids>
    <w:rsidRoot w:val="00AF5436"/>
    <w:rsid w:val="0000186D"/>
    <w:rsid w:val="00011A2F"/>
    <w:rsid w:val="00015D1C"/>
    <w:rsid w:val="00026A72"/>
    <w:rsid w:val="000270BE"/>
    <w:rsid w:val="00035A01"/>
    <w:rsid w:val="00042A6A"/>
    <w:rsid w:val="00045572"/>
    <w:rsid w:val="00046DA4"/>
    <w:rsid w:val="000511CE"/>
    <w:rsid w:val="0005445D"/>
    <w:rsid w:val="000651B6"/>
    <w:rsid w:val="00065D7F"/>
    <w:rsid w:val="00075A72"/>
    <w:rsid w:val="000802D4"/>
    <w:rsid w:val="00090FAF"/>
    <w:rsid w:val="00091B34"/>
    <w:rsid w:val="00094BDC"/>
    <w:rsid w:val="000A11EF"/>
    <w:rsid w:val="000A663B"/>
    <w:rsid w:val="000B0195"/>
    <w:rsid w:val="000C0609"/>
    <w:rsid w:val="000C66AB"/>
    <w:rsid w:val="000C796B"/>
    <w:rsid w:val="000C7D50"/>
    <w:rsid w:val="000D204E"/>
    <w:rsid w:val="000E755F"/>
    <w:rsid w:val="000F0499"/>
    <w:rsid w:val="000F12CC"/>
    <w:rsid w:val="000F439E"/>
    <w:rsid w:val="00100A5A"/>
    <w:rsid w:val="001061D0"/>
    <w:rsid w:val="00113A95"/>
    <w:rsid w:val="00114D91"/>
    <w:rsid w:val="00121EBC"/>
    <w:rsid w:val="0012726D"/>
    <w:rsid w:val="001339D9"/>
    <w:rsid w:val="00136008"/>
    <w:rsid w:val="00150006"/>
    <w:rsid w:val="00162236"/>
    <w:rsid w:val="0016225C"/>
    <w:rsid w:val="0016750E"/>
    <w:rsid w:val="001747B3"/>
    <w:rsid w:val="00175E6A"/>
    <w:rsid w:val="00184BB0"/>
    <w:rsid w:val="001A0551"/>
    <w:rsid w:val="001A428C"/>
    <w:rsid w:val="001A660F"/>
    <w:rsid w:val="001B67EC"/>
    <w:rsid w:val="001C04CE"/>
    <w:rsid w:val="001D5A23"/>
    <w:rsid w:val="001E0DDE"/>
    <w:rsid w:val="001E2EBB"/>
    <w:rsid w:val="001F1B93"/>
    <w:rsid w:val="00206C5D"/>
    <w:rsid w:val="002110DF"/>
    <w:rsid w:val="00212208"/>
    <w:rsid w:val="00213184"/>
    <w:rsid w:val="00215DEA"/>
    <w:rsid w:val="0022135F"/>
    <w:rsid w:val="00222680"/>
    <w:rsid w:val="0022753A"/>
    <w:rsid w:val="00236310"/>
    <w:rsid w:val="002365D2"/>
    <w:rsid w:val="00241B94"/>
    <w:rsid w:val="00242F1E"/>
    <w:rsid w:val="00244A4A"/>
    <w:rsid w:val="00253CA1"/>
    <w:rsid w:val="002739ED"/>
    <w:rsid w:val="00277742"/>
    <w:rsid w:val="0028275E"/>
    <w:rsid w:val="002843B7"/>
    <w:rsid w:val="00285F15"/>
    <w:rsid w:val="002860F4"/>
    <w:rsid w:val="00297CB5"/>
    <w:rsid w:val="002A083C"/>
    <w:rsid w:val="002A2A82"/>
    <w:rsid w:val="002B12AD"/>
    <w:rsid w:val="002B1FE3"/>
    <w:rsid w:val="002B6623"/>
    <w:rsid w:val="002C3733"/>
    <w:rsid w:val="002D02CE"/>
    <w:rsid w:val="002D12B6"/>
    <w:rsid w:val="002D270A"/>
    <w:rsid w:val="002D741B"/>
    <w:rsid w:val="002D7A01"/>
    <w:rsid w:val="002F2015"/>
    <w:rsid w:val="002F25DA"/>
    <w:rsid w:val="002F35D2"/>
    <w:rsid w:val="00300E95"/>
    <w:rsid w:val="003029DC"/>
    <w:rsid w:val="00303C94"/>
    <w:rsid w:val="0032250D"/>
    <w:rsid w:val="003225F8"/>
    <w:rsid w:val="003311D9"/>
    <w:rsid w:val="00337041"/>
    <w:rsid w:val="00355939"/>
    <w:rsid w:val="00357E8F"/>
    <w:rsid w:val="00360587"/>
    <w:rsid w:val="00363893"/>
    <w:rsid w:val="003717B7"/>
    <w:rsid w:val="003745AE"/>
    <w:rsid w:val="00386C8C"/>
    <w:rsid w:val="00386DC4"/>
    <w:rsid w:val="00397D74"/>
    <w:rsid w:val="003A36D8"/>
    <w:rsid w:val="003A791B"/>
    <w:rsid w:val="003B0812"/>
    <w:rsid w:val="003B08BE"/>
    <w:rsid w:val="003B221E"/>
    <w:rsid w:val="003C3071"/>
    <w:rsid w:val="003C47B5"/>
    <w:rsid w:val="003D2249"/>
    <w:rsid w:val="003D40B0"/>
    <w:rsid w:val="003D53AF"/>
    <w:rsid w:val="003D7A29"/>
    <w:rsid w:val="003E38E5"/>
    <w:rsid w:val="003F3F69"/>
    <w:rsid w:val="003F733A"/>
    <w:rsid w:val="00400826"/>
    <w:rsid w:val="004020E8"/>
    <w:rsid w:val="00403461"/>
    <w:rsid w:val="0042648C"/>
    <w:rsid w:val="0045178C"/>
    <w:rsid w:val="004552BB"/>
    <w:rsid w:val="00456999"/>
    <w:rsid w:val="00462EB9"/>
    <w:rsid w:val="0046784E"/>
    <w:rsid w:val="00467930"/>
    <w:rsid w:val="0047108B"/>
    <w:rsid w:val="004715A3"/>
    <w:rsid w:val="00472C68"/>
    <w:rsid w:val="00480CF8"/>
    <w:rsid w:val="00481970"/>
    <w:rsid w:val="004843AC"/>
    <w:rsid w:val="00486AAE"/>
    <w:rsid w:val="00497A8C"/>
    <w:rsid w:val="004A47B6"/>
    <w:rsid w:val="004A4E1B"/>
    <w:rsid w:val="004A599A"/>
    <w:rsid w:val="004A7B4A"/>
    <w:rsid w:val="004B1FD7"/>
    <w:rsid w:val="004C1F3D"/>
    <w:rsid w:val="004C34F8"/>
    <w:rsid w:val="004D14EF"/>
    <w:rsid w:val="004D34B3"/>
    <w:rsid w:val="004E05CE"/>
    <w:rsid w:val="004E38B6"/>
    <w:rsid w:val="004F1D27"/>
    <w:rsid w:val="004F26E1"/>
    <w:rsid w:val="004F33C8"/>
    <w:rsid w:val="004F44D5"/>
    <w:rsid w:val="004F5763"/>
    <w:rsid w:val="004F6C05"/>
    <w:rsid w:val="00500EE7"/>
    <w:rsid w:val="005057D2"/>
    <w:rsid w:val="005101BF"/>
    <w:rsid w:val="00514DDC"/>
    <w:rsid w:val="00517C30"/>
    <w:rsid w:val="0052399E"/>
    <w:rsid w:val="005259CF"/>
    <w:rsid w:val="005325F0"/>
    <w:rsid w:val="00534D95"/>
    <w:rsid w:val="00535398"/>
    <w:rsid w:val="00535B28"/>
    <w:rsid w:val="00536E0D"/>
    <w:rsid w:val="005469F5"/>
    <w:rsid w:val="0055369C"/>
    <w:rsid w:val="005538ED"/>
    <w:rsid w:val="005541A7"/>
    <w:rsid w:val="00554F81"/>
    <w:rsid w:val="005607BD"/>
    <w:rsid w:val="00566C85"/>
    <w:rsid w:val="00584DFB"/>
    <w:rsid w:val="00590F82"/>
    <w:rsid w:val="00592264"/>
    <w:rsid w:val="00593DDD"/>
    <w:rsid w:val="00594DC4"/>
    <w:rsid w:val="005A373A"/>
    <w:rsid w:val="005A4A72"/>
    <w:rsid w:val="005A5AF3"/>
    <w:rsid w:val="005A7254"/>
    <w:rsid w:val="005A7978"/>
    <w:rsid w:val="005B0187"/>
    <w:rsid w:val="005B20D9"/>
    <w:rsid w:val="005B7B92"/>
    <w:rsid w:val="005C542B"/>
    <w:rsid w:val="005D1EF0"/>
    <w:rsid w:val="005E06EA"/>
    <w:rsid w:val="005E0801"/>
    <w:rsid w:val="005F19D3"/>
    <w:rsid w:val="005F41D6"/>
    <w:rsid w:val="005F41EC"/>
    <w:rsid w:val="005F6F47"/>
    <w:rsid w:val="005F7AF8"/>
    <w:rsid w:val="00611E71"/>
    <w:rsid w:val="00614A9A"/>
    <w:rsid w:val="006157AE"/>
    <w:rsid w:val="00620073"/>
    <w:rsid w:val="0063095D"/>
    <w:rsid w:val="00631383"/>
    <w:rsid w:val="0065233D"/>
    <w:rsid w:val="00653E5F"/>
    <w:rsid w:val="00660B74"/>
    <w:rsid w:val="00662010"/>
    <w:rsid w:val="0067021C"/>
    <w:rsid w:val="00674D1F"/>
    <w:rsid w:val="00677DC5"/>
    <w:rsid w:val="00683D7D"/>
    <w:rsid w:val="00687538"/>
    <w:rsid w:val="0069465E"/>
    <w:rsid w:val="00696E10"/>
    <w:rsid w:val="006A1133"/>
    <w:rsid w:val="006A1C1E"/>
    <w:rsid w:val="006A2E3E"/>
    <w:rsid w:val="006A3CA0"/>
    <w:rsid w:val="006A4B37"/>
    <w:rsid w:val="006B440F"/>
    <w:rsid w:val="006B62B1"/>
    <w:rsid w:val="006C4B9B"/>
    <w:rsid w:val="006C6C2A"/>
    <w:rsid w:val="006E4CD2"/>
    <w:rsid w:val="006E7BFD"/>
    <w:rsid w:val="00701DA1"/>
    <w:rsid w:val="00704700"/>
    <w:rsid w:val="0070470A"/>
    <w:rsid w:val="0070634C"/>
    <w:rsid w:val="00706CDA"/>
    <w:rsid w:val="0070754B"/>
    <w:rsid w:val="007110AC"/>
    <w:rsid w:val="00712134"/>
    <w:rsid w:val="00720002"/>
    <w:rsid w:val="007236AD"/>
    <w:rsid w:val="007236FF"/>
    <w:rsid w:val="0074723A"/>
    <w:rsid w:val="00750F76"/>
    <w:rsid w:val="007561F6"/>
    <w:rsid w:val="00757172"/>
    <w:rsid w:val="00766BA6"/>
    <w:rsid w:val="00772465"/>
    <w:rsid w:val="007831F7"/>
    <w:rsid w:val="007A7F7A"/>
    <w:rsid w:val="007B28DC"/>
    <w:rsid w:val="007B419A"/>
    <w:rsid w:val="007B56AC"/>
    <w:rsid w:val="007C0340"/>
    <w:rsid w:val="007C0CB5"/>
    <w:rsid w:val="007D2B33"/>
    <w:rsid w:val="007D6942"/>
    <w:rsid w:val="007E355F"/>
    <w:rsid w:val="007F03B9"/>
    <w:rsid w:val="007F1270"/>
    <w:rsid w:val="007F4F19"/>
    <w:rsid w:val="00805D21"/>
    <w:rsid w:val="0081748D"/>
    <w:rsid w:val="00817527"/>
    <w:rsid w:val="0082103A"/>
    <w:rsid w:val="008216DA"/>
    <w:rsid w:val="00821D9A"/>
    <w:rsid w:val="008259D0"/>
    <w:rsid w:val="0083050B"/>
    <w:rsid w:val="00853A6E"/>
    <w:rsid w:val="008541A7"/>
    <w:rsid w:val="00861533"/>
    <w:rsid w:val="00865593"/>
    <w:rsid w:val="00876FC2"/>
    <w:rsid w:val="00882CC8"/>
    <w:rsid w:val="00885333"/>
    <w:rsid w:val="008917D9"/>
    <w:rsid w:val="008927B4"/>
    <w:rsid w:val="0089292D"/>
    <w:rsid w:val="00895D11"/>
    <w:rsid w:val="00896FE0"/>
    <w:rsid w:val="008A3A23"/>
    <w:rsid w:val="008A6D24"/>
    <w:rsid w:val="008A743C"/>
    <w:rsid w:val="008A7E97"/>
    <w:rsid w:val="008B704A"/>
    <w:rsid w:val="008B7CE3"/>
    <w:rsid w:val="008D067A"/>
    <w:rsid w:val="008D0E83"/>
    <w:rsid w:val="008D63D0"/>
    <w:rsid w:val="008D7FEC"/>
    <w:rsid w:val="008E15C3"/>
    <w:rsid w:val="008E2DC1"/>
    <w:rsid w:val="008E5D78"/>
    <w:rsid w:val="008F2882"/>
    <w:rsid w:val="008F55DD"/>
    <w:rsid w:val="00910E34"/>
    <w:rsid w:val="00913B8C"/>
    <w:rsid w:val="0092045F"/>
    <w:rsid w:val="009220C6"/>
    <w:rsid w:val="00927442"/>
    <w:rsid w:val="00927772"/>
    <w:rsid w:val="0095001D"/>
    <w:rsid w:val="009556FC"/>
    <w:rsid w:val="009569E2"/>
    <w:rsid w:val="00962CC9"/>
    <w:rsid w:val="00965535"/>
    <w:rsid w:val="009857C4"/>
    <w:rsid w:val="009872A4"/>
    <w:rsid w:val="00993AFD"/>
    <w:rsid w:val="009B3F46"/>
    <w:rsid w:val="009C1EA3"/>
    <w:rsid w:val="009C5912"/>
    <w:rsid w:val="009C59E9"/>
    <w:rsid w:val="009D1BBF"/>
    <w:rsid w:val="009D3DD7"/>
    <w:rsid w:val="009E2CE7"/>
    <w:rsid w:val="009E6C11"/>
    <w:rsid w:val="009F1F07"/>
    <w:rsid w:val="00A00EA3"/>
    <w:rsid w:val="00A044DA"/>
    <w:rsid w:val="00A11665"/>
    <w:rsid w:val="00A1495D"/>
    <w:rsid w:val="00A17201"/>
    <w:rsid w:val="00A17BB6"/>
    <w:rsid w:val="00A24CA3"/>
    <w:rsid w:val="00A30AB4"/>
    <w:rsid w:val="00A457B9"/>
    <w:rsid w:val="00A502C3"/>
    <w:rsid w:val="00A51FC1"/>
    <w:rsid w:val="00A65330"/>
    <w:rsid w:val="00A67E9D"/>
    <w:rsid w:val="00A75302"/>
    <w:rsid w:val="00A831DF"/>
    <w:rsid w:val="00A86FCC"/>
    <w:rsid w:val="00A91589"/>
    <w:rsid w:val="00A918F3"/>
    <w:rsid w:val="00A9642E"/>
    <w:rsid w:val="00AA0607"/>
    <w:rsid w:val="00AA3128"/>
    <w:rsid w:val="00AA3929"/>
    <w:rsid w:val="00AC09D5"/>
    <w:rsid w:val="00AC18F6"/>
    <w:rsid w:val="00AC45B9"/>
    <w:rsid w:val="00AC595B"/>
    <w:rsid w:val="00AD0CD0"/>
    <w:rsid w:val="00AD4A36"/>
    <w:rsid w:val="00AD65E4"/>
    <w:rsid w:val="00AE121F"/>
    <w:rsid w:val="00AE1EBA"/>
    <w:rsid w:val="00AE2F17"/>
    <w:rsid w:val="00AE31C8"/>
    <w:rsid w:val="00AE663D"/>
    <w:rsid w:val="00AE7BF8"/>
    <w:rsid w:val="00AF126F"/>
    <w:rsid w:val="00AF2648"/>
    <w:rsid w:val="00AF37BB"/>
    <w:rsid w:val="00AF4C18"/>
    <w:rsid w:val="00AF5436"/>
    <w:rsid w:val="00AF545A"/>
    <w:rsid w:val="00AF7B56"/>
    <w:rsid w:val="00B00165"/>
    <w:rsid w:val="00B027E5"/>
    <w:rsid w:val="00B038F6"/>
    <w:rsid w:val="00B10AE0"/>
    <w:rsid w:val="00B11102"/>
    <w:rsid w:val="00B21BC1"/>
    <w:rsid w:val="00B22341"/>
    <w:rsid w:val="00B334EB"/>
    <w:rsid w:val="00B335CD"/>
    <w:rsid w:val="00B34F98"/>
    <w:rsid w:val="00B40CB2"/>
    <w:rsid w:val="00B4458D"/>
    <w:rsid w:val="00B45840"/>
    <w:rsid w:val="00B54BE9"/>
    <w:rsid w:val="00B5623F"/>
    <w:rsid w:val="00B57B32"/>
    <w:rsid w:val="00B653B1"/>
    <w:rsid w:val="00B6580E"/>
    <w:rsid w:val="00B67859"/>
    <w:rsid w:val="00B70ABA"/>
    <w:rsid w:val="00B716DA"/>
    <w:rsid w:val="00B922A9"/>
    <w:rsid w:val="00BA2F98"/>
    <w:rsid w:val="00BA720D"/>
    <w:rsid w:val="00BA7290"/>
    <w:rsid w:val="00BC33D4"/>
    <w:rsid w:val="00BE177C"/>
    <w:rsid w:val="00BE4E7D"/>
    <w:rsid w:val="00C055B9"/>
    <w:rsid w:val="00C10047"/>
    <w:rsid w:val="00C10292"/>
    <w:rsid w:val="00C22822"/>
    <w:rsid w:val="00C23985"/>
    <w:rsid w:val="00C250FA"/>
    <w:rsid w:val="00C36CAD"/>
    <w:rsid w:val="00C4162B"/>
    <w:rsid w:val="00C4263F"/>
    <w:rsid w:val="00C46EB3"/>
    <w:rsid w:val="00C4790C"/>
    <w:rsid w:val="00C50D3C"/>
    <w:rsid w:val="00C52B0F"/>
    <w:rsid w:val="00C554EA"/>
    <w:rsid w:val="00C57B6F"/>
    <w:rsid w:val="00C742D3"/>
    <w:rsid w:val="00C75AF7"/>
    <w:rsid w:val="00C83558"/>
    <w:rsid w:val="00C85253"/>
    <w:rsid w:val="00C85AD8"/>
    <w:rsid w:val="00CA5BCC"/>
    <w:rsid w:val="00CB10A8"/>
    <w:rsid w:val="00CB20F8"/>
    <w:rsid w:val="00CC0253"/>
    <w:rsid w:val="00CC2E76"/>
    <w:rsid w:val="00CC380F"/>
    <w:rsid w:val="00CC40EB"/>
    <w:rsid w:val="00CC62B6"/>
    <w:rsid w:val="00CD2F28"/>
    <w:rsid w:val="00CD4482"/>
    <w:rsid w:val="00CD67B4"/>
    <w:rsid w:val="00CE40A2"/>
    <w:rsid w:val="00CF26FF"/>
    <w:rsid w:val="00CF3522"/>
    <w:rsid w:val="00CF4758"/>
    <w:rsid w:val="00CF57C1"/>
    <w:rsid w:val="00CF7E86"/>
    <w:rsid w:val="00D01BFE"/>
    <w:rsid w:val="00D03C7B"/>
    <w:rsid w:val="00D20896"/>
    <w:rsid w:val="00D246BE"/>
    <w:rsid w:val="00D271CF"/>
    <w:rsid w:val="00D30C47"/>
    <w:rsid w:val="00D46B35"/>
    <w:rsid w:val="00D533E1"/>
    <w:rsid w:val="00D62606"/>
    <w:rsid w:val="00D64286"/>
    <w:rsid w:val="00D737C9"/>
    <w:rsid w:val="00D74650"/>
    <w:rsid w:val="00D90A76"/>
    <w:rsid w:val="00D90DD3"/>
    <w:rsid w:val="00D91784"/>
    <w:rsid w:val="00D95249"/>
    <w:rsid w:val="00DA7149"/>
    <w:rsid w:val="00DB1022"/>
    <w:rsid w:val="00DB25FE"/>
    <w:rsid w:val="00DB4168"/>
    <w:rsid w:val="00DB797B"/>
    <w:rsid w:val="00DD6740"/>
    <w:rsid w:val="00DE4FF3"/>
    <w:rsid w:val="00DF42E3"/>
    <w:rsid w:val="00DF7893"/>
    <w:rsid w:val="00E002EF"/>
    <w:rsid w:val="00E0713E"/>
    <w:rsid w:val="00E100FB"/>
    <w:rsid w:val="00E12385"/>
    <w:rsid w:val="00E126EF"/>
    <w:rsid w:val="00E2337A"/>
    <w:rsid w:val="00E2485A"/>
    <w:rsid w:val="00E32D6A"/>
    <w:rsid w:val="00E365F3"/>
    <w:rsid w:val="00E404BF"/>
    <w:rsid w:val="00E42610"/>
    <w:rsid w:val="00E43460"/>
    <w:rsid w:val="00E43EDB"/>
    <w:rsid w:val="00E469FD"/>
    <w:rsid w:val="00E47782"/>
    <w:rsid w:val="00E568B6"/>
    <w:rsid w:val="00E57A56"/>
    <w:rsid w:val="00E61D98"/>
    <w:rsid w:val="00E66AE5"/>
    <w:rsid w:val="00E66FC3"/>
    <w:rsid w:val="00E704B1"/>
    <w:rsid w:val="00E76B9D"/>
    <w:rsid w:val="00E9158D"/>
    <w:rsid w:val="00E9209B"/>
    <w:rsid w:val="00E96C0B"/>
    <w:rsid w:val="00E96EFF"/>
    <w:rsid w:val="00EB019E"/>
    <w:rsid w:val="00EB6EAC"/>
    <w:rsid w:val="00EC13C5"/>
    <w:rsid w:val="00EC5ECA"/>
    <w:rsid w:val="00EC6A8E"/>
    <w:rsid w:val="00EC736C"/>
    <w:rsid w:val="00EC7C8D"/>
    <w:rsid w:val="00EF13B2"/>
    <w:rsid w:val="00F01335"/>
    <w:rsid w:val="00F06779"/>
    <w:rsid w:val="00F10884"/>
    <w:rsid w:val="00F14FF0"/>
    <w:rsid w:val="00F164A1"/>
    <w:rsid w:val="00F16872"/>
    <w:rsid w:val="00F1790E"/>
    <w:rsid w:val="00F23F80"/>
    <w:rsid w:val="00F27B95"/>
    <w:rsid w:val="00F31C3B"/>
    <w:rsid w:val="00F4221C"/>
    <w:rsid w:val="00F4278E"/>
    <w:rsid w:val="00F471F2"/>
    <w:rsid w:val="00F50218"/>
    <w:rsid w:val="00F51F7E"/>
    <w:rsid w:val="00F52D7D"/>
    <w:rsid w:val="00F567C4"/>
    <w:rsid w:val="00F60D6F"/>
    <w:rsid w:val="00F66A01"/>
    <w:rsid w:val="00F74C9D"/>
    <w:rsid w:val="00F811EF"/>
    <w:rsid w:val="00F819F9"/>
    <w:rsid w:val="00F81A3A"/>
    <w:rsid w:val="00F826B3"/>
    <w:rsid w:val="00F82A6A"/>
    <w:rsid w:val="00F92C29"/>
    <w:rsid w:val="00F95086"/>
    <w:rsid w:val="00FA031B"/>
    <w:rsid w:val="00FA215A"/>
    <w:rsid w:val="00FA519D"/>
    <w:rsid w:val="00FB70A1"/>
    <w:rsid w:val="00FC5552"/>
    <w:rsid w:val="00FC57A9"/>
    <w:rsid w:val="00FD0D75"/>
    <w:rsid w:val="00FD634E"/>
    <w:rsid w:val="00FE02C3"/>
    <w:rsid w:val="00FF391C"/>
    <w:rsid w:val="00FF6A20"/>
    <w:rsid w:val="00FF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B6CA5"/>
  <w15:chartTrackingRefBased/>
  <w15:docId w15:val="{3E731954-D509-4E62-93BC-A33D965D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4286"/>
    <w:pPr>
      <w:spacing w:after="0" w:line="240" w:lineRule="auto"/>
    </w:pPr>
  </w:style>
  <w:style w:type="paragraph" w:styleId="NormalWeb">
    <w:name w:val="Normal (Web)"/>
    <w:basedOn w:val="Normal"/>
    <w:uiPriority w:val="99"/>
    <w:unhideWhenUsed/>
    <w:rsid w:val="00D6428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B33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30AB4"/>
    <w:rPr>
      <w:rFonts w:ascii="BookmanOldStyle-Bold" w:hAnsi="BookmanOldStyle-Bold" w:hint="default"/>
      <w:b/>
      <w:bCs/>
      <w:i w:val="0"/>
      <w:iCs w:val="0"/>
      <w:color w:val="000000"/>
      <w:sz w:val="24"/>
      <w:szCs w:val="24"/>
    </w:rPr>
  </w:style>
  <w:style w:type="character" w:styleId="Hyperlink">
    <w:name w:val="Hyperlink"/>
    <w:basedOn w:val="DefaultParagraphFont"/>
    <w:uiPriority w:val="99"/>
    <w:unhideWhenUsed/>
    <w:rsid w:val="0000186D"/>
    <w:rPr>
      <w:color w:val="0563C1" w:themeColor="hyperlink"/>
      <w:u w:val="single"/>
    </w:rPr>
  </w:style>
  <w:style w:type="character" w:customStyle="1" w:styleId="UnresolvedMention1">
    <w:name w:val="Unresolved Mention1"/>
    <w:basedOn w:val="DefaultParagraphFont"/>
    <w:uiPriority w:val="99"/>
    <w:semiHidden/>
    <w:unhideWhenUsed/>
    <w:rsid w:val="0000186D"/>
    <w:rPr>
      <w:color w:val="605E5C"/>
      <w:shd w:val="clear" w:color="auto" w:fill="E1DFDD"/>
    </w:rPr>
  </w:style>
  <w:style w:type="character" w:styleId="Emphasis">
    <w:name w:val="Emphasis"/>
    <w:basedOn w:val="DefaultParagraphFont"/>
    <w:uiPriority w:val="20"/>
    <w:qFormat/>
    <w:rsid w:val="00D95249"/>
    <w:rPr>
      <w:i/>
      <w:iCs/>
    </w:rPr>
  </w:style>
  <w:style w:type="character" w:styleId="FollowedHyperlink">
    <w:name w:val="FollowedHyperlink"/>
    <w:basedOn w:val="DefaultParagraphFont"/>
    <w:uiPriority w:val="99"/>
    <w:semiHidden/>
    <w:unhideWhenUsed/>
    <w:rsid w:val="000F0499"/>
    <w:rPr>
      <w:color w:val="954F72" w:themeColor="followedHyperlink"/>
      <w:u w:val="single"/>
    </w:rPr>
  </w:style>
  <w:style w:type="paragraph" w:styleId="Header">
    <w:name w:val="header"/>
    <w:basedOn w:val="Normal"/>
    <w:link w:val="HeaderChar"/>
    <w:uiPriority w:val="99"/>
    <w:unhideWhenUsed/>
    <w:rsid w:val="00400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826"/>
  </w:style>
  <w:style w:type="paragraph" w:styleId="Footer">
    <w:name w:val="footer"/>
    <w:basedOn w:val="Normal"/>
    <w:link w:val="FooterChar"/>
    <w:uiPriority w:val="99"/>
    <w:unhideWhenUsed/>
    <w:rsid w:val="00400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26"/>
  </w:style>
  <w:style w:type="paragraph" w:styleId="ListParagraph">
    <w:name w:val="List Paragraph"/>
    <w:basedOn w:val="Normal"/>
    <w:uiPriority w:val="34"/>
    <w:qFormat/>
    <w:rsid w:val="00865593"/>
    <w:pPr>
      <w:ind w:left="720"/>
      <w:contextualSpacing/>
    </w:pPr>
  </w:style>
  <w:style w:type="character" w:styleId="Strong">
    <w:name w:val="Strong"/>
    <w:basedOn w:val="DefaultParagraphFont"/>
    <w:uiPriority w:val="22"/>
    <w:qFormat/>
    <w:rsid w:val="007B28DC"/>
    <w:rPr>
      <w:b/>
      <w:bCs/>
    </w:rPr>
  </w:style>
  <w:style w:type="paragraph" w:styleId="BalloonText">
    <w:name w:val="Balloon Text"/>
    <w:basedOn w:val="Normal"/>
    <w:link w:val="BalloonTextChar"/>
    <w:uiPriority w:val="99"/>
    <w:semiHidden/>
    <w:unhideWhenUsed/>
    <w:rsid w:val="00CB2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0F8"/>
    <w:rPr>
      <w:rFonts w:ascii="Segoe UI" w:hAnsi="Segoe UI" w:cs="Segoe UI"/>
      <w:sz w:val="18"/>
      <w:szCs w:val="18"/>
    </w:rPr>
  </w:style>
  <w:style w:type="character" w:styleId="UnresolvedMention">
    <w:name w:val="Unresolved Mention"/>
    <w:basedOn w:val="DefaultParagraphFont"/>
    <w:uiPriority w:val="99"/>
    <w:semiHidden/>
    <w:unhideWhenUsed/>
    <w:rsid w:val="00CF3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6643">
      <w:bodyDiv w:val="1"/>
      <w:marLeft w:val="0"/>
      <w:marRight w:val="0"/>
      <w:marTop w:val="0"/>
      <w:marBottom w:val="0"/>
      <w:divBdr>
        <w:top w:val="none" w:sz="0" w:space="0" w:color="auto"/>
        <w:left w:val="none" w:sz="0" w:space="0" w:color="auto"/>
        <w:bottom w:val="none" w:sz="0" w:space="0" w:color="auto"/>
        <w:right w:val="none" w:sz="0" w:space="0" w:color="auto"/>
      </w:divBdr>
    </w:div>
    <w:div w:id="109126126">
      <w:bodyDiv w:val="1"/>
      <w:marLeft w:val="0"/>
      <w:marRight w:val="0"/>
      <w:marTop w:val="0"/>
      <w:marBottom w:val="0"/>
      <w:divBdr>
        <w:top w:val="none" w:sz="0" w:space="0" w:color="auto"/>
        <w:left w:val="none" w:sz="0" w:space="0" w:color="auto"/>
        <w:bottom w:val="none" w:sz="0" w:space="0" w:color="auto"/>
        <w:right w:val="none" w:sz="0" w:space="0" w:color="auto"/>
      </w:divBdr>
    </w:div>
    <w:div w:id="126357663">
      <w:bodyDiv w:val="1"/>
      <w:marLeft w:val="0"/>
      <w:marRight w:val="0"/>
      <w:marTop w:val="0"/>
      <w:marBottom w:val="0"/>
      <w:divBdr>
        <w:top w:val="none" w:sz="0" w:space="0" w:color="auto"/>
        <w:left w:val="none" w:sz="0" w:space="0" w:color="auto"/>
        <w:bottom w:val="none" w:sz="0" w:space="0" w:color="auto"/>
        <w:right w:val="none" w:sz="0" w:space="0" w:color="auto"/>
      </w:divBdr>
    </w:div>
    <w:div w:id="257952123">
      <w:bodyDiv w:val="1"/>
      <w:marLeft w:val="0"/>
      <w:marRight w:val="0"/>
      <w:marTop w:val="0"/>
      <w:marBottom w:val="0"/>
      <w:divBdr>
        <w:top w:val="none" w:sz="0" w:space="0" w:color="auto"/>
        <w:left w:val="none" w:sz="0" w:space="0" w:color="auto"/>
        <w:bottom w:val="none" w:sz="0" w:space="0" w:color="auto"/>
        <w:right w:val="none" w:sz="0" w:space="0" w:color="auto"/>
      </w:divBdr>
      <w:divsChild>
        <w:div w:id="357003631">
          <w:marLeft w:val="0"/>
          <w:marRight w:val="0"/>
          <w:marTop w:val="0"/>
          <w:marBottom w:val="0"/>
          <w:divBdr>
            <w:top w:val="none" w:sz="0" w:space="0" w:color="auto"/>
            <w:left w:val="none" w:sz="0" w:space="0" w:color="auto"/>
            <w:bottom w:val="none" w:sz="0" w:space="0" w:color="auto"/>
            <w:right w:val="none" w:sz="0" w:space="0" w:color="auto"/>
          </w:divBdr>
          <w:divsChild>
            <w:div w:id="926621518">
              <w:marLeft w:val="0"/>
              <w:marRight w:val="0"/>
              <w:marTop w:val="0"/>
              <w:marBottom w:val="0"/>
              <w:divBdr>
                <w:top w:val="none" w:sz="0" w:space="0" w:color="auto"/>
                <w:left w:val="none" w:sz="0" w:space="0" w:color="auto"/>
                <w:bottom w:val="none" w:sz="0" w:space="0" w:color="auto"/>
                <w:right w:val="none" w:sz="0" w:space="0" w:color="auto"/>
              </w:divBdr>
              <w:divsChild>
                <w:div w:id="563836147">
                  <w:marLeft w:val="0"/>
                  <w:marRight w:val="0"/>
                  <w:marTop w:val="0"/>
                  <w:marBottom w:val="0"/>
                  <w:divBdr>
                    <w:top w:val="none" w:sz="0" w:space="0" w:color="auto"/>
                    <w:left w:val="none" w:sz="0" w:space="0" w:color="auto"/>
                    <w:bottom w:val="none" w:sz="0" w:space="0" w:color="auto"/>
                    <w:right w:val="none" w:sz="0" w:space="0" w:color="auto"/>
                  </w:divBdr>
                  <w:divsChild>
                    <w:div w:id="1963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65856">
          <w:marLeft w:val="0"/>
          <w:marRight w:val="0"/>
          <w:marTop w:val="0"/>
          <w:marBottom w:val="0"/>
          <w:divBdr>
            <w:top w:val="none" w:sz="0" w:space="0" w:color="auto"/>
            <w:left w:val="none" w:sz="0" w:space="0" w:color="auto"/>
            <w:bottom w:val="none" w:sz="0" w:space="0" w:color="auto"/>
            <w:right w:val="none" w:sz="0" w:space="0" w:color="auto"/>
          </w:divBdr>
          <w:divsChild>
            <w:div w:id="1002702869">
              <w:marLeft w:val="0"/>
              <w:marRight w:val="0"/>
              <w:marTop w:val="0"/>
              <w:marBottom w:val="0"/>
              <w:divBdr>
                <w:top w:val="none" w:sz="0" w:space="0" w:color="auto"/>
                <w:left w:val="none" w:sz="0" w:space="0" w:color="auto"/>
                <w:bottom w:val="none" w:sz="0" w:space="0" w:color="auto"/>
                <w:right w:val="none" w:sz="0" w:space="0" w:color="auto"/>
              </w:divBdr>
              <w:divsChild>
                <w:div w:id="892740702">
                  <w:marLeft w:val="0"/>
                  <w:marRight w:val="0"/>
                  <w:marTop w:val="0"/>
                  <w:marBottom w:val="0"/>
                  <w:divBdr>
                    <w:top w:val="none" w:sz="0" w:space="0" w:color="auto"/>
                    <w:left w:val="none" w:sz="0" w:space="0" w:color="auto"/>
                    <w:bottom w:val="none" w:sz="0" w:space="0" w:color="auto"/>
                    <w:right w:val="none" w:sz="0" w:space="0" w:color="auto"/>
                  </w:divBdr>
                  <w:divsChild>
                    <w:div w:id="14348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02855">
      <w:bodyDiv w:val="1"/>
      <w:marLeft w:val="0"/>
      <w:marRight w:val="0"/>
      <w:marTop w:val="0"/>
      <w:marBottom w:val="0"/>
      <w:divBdr>
        <w:top w:val="none" w:sz="0" w:space="0" w:color="auto"/>
        <w:left w:val="none" w:sz="0" w:space="0" w:color="auto"/>
        <w:bottom w:val="none" w:sz="0" w:space="0" w:color="auto"/>
        <w:right w:val="none" w:sz="0" w:space="0" w:color="auto"/>
      </w:divBdr>
    </w:div>
    <w:div w:id="285433574">
      <w:bodyDiv w:val="1"/>
      <w:marLeft w:val="0"/>
      <w:marRight w:val="0"/>
      <w:marTop w:val="0"/>
      <w:marBottom w:val="0"/>
      <w:divBdr>
        <w:top w:val="none" w:sz="0" w:space="0" w:color="auto"/>
        <w:left w:val="none" w:sz="0" w:space="0" w:color="auto"/>
        <w:bottom w:val="none" w:sz="0" w:space="0" w:color="auto"/>
        <w:right w:val="none" w:sz="0" w:space="0" w:color="auto"/>
      </w:divBdr>
    </w:div>
    <w:div w:id="335574412">
      <w:bodyDiv w:val="1"/>
      <w:marLeft w:val="0"/>
      <w:marRight w:val="0"/>
      <w:marTop w:val="0"/>
      <w:marBottom w:val="0"/>
      <w:divBdr>
        <w:top w:val="none" w:sz="0" w:space="0" w:color="auto"/>
        <w:left w:val="none" w:sz="0" w:space="0" w:color="auto"/>
        <w:bottom w:val="none" w:sz="0" w:space="0" w:color="auto"/>
        <w:right w:val="none" w:sz="0" w:space="0" w:color="auto"/>
      </w:divBdr>
    </w:div>
    <w:div w:id="381054503">
      <w:bodyDiv w:val="1"/>
      <w:marLeft w:val="0"/>
      <w:marRight w:val="0"/>
      <w:marTop w:val="0"/>
      <w:marBottom w:val="0"/>
      <w:divBdr>
        <w:top w:val="none" w:sz="0" w:space="0" w:color="auto"/>
        <w:left w:val="none" w:sz="0" w:space="0" w:color="auto"/>
        <w:bottom w:val="none" w:sz="0" w:space="0" w:color="auto"/>
        <w:right w:val="none" w:sz="0" w:space="0" w:color="auto"/>
      </w:divBdr>
    </w:div>
    <w:div w:id="497235860">
      <w:bodyDiv w:val="1"/>
      <w:marLeft w:val="0"/>
      <w:marRight w:val="0"/>
      <w:marTop w:val="0"/>
      <w:marBottom w:val="0"/>
      <w:divBdr>
        <w:top w:val="none" w:sz="0" w:space="0" w:color="auto"/>
        <w:left w:val="none" w:sz="0" w:space="0" w:color="auto"/>
        <w:bottom w:val="none" w:sz="0" w:space="0" w:color="auto"/>
        <w:right w:val="none" w:sz="0" w:space="0" w:color="auto"/>
      </w:divBdr>
    </w:div>
    <w:div w:id="524712340">
      <w:bodyDiv w:val="1"/>
      <w:marLeft w:val="0"/>
      <w:marRight w:val="0"/>
      <w:marTop w:val="0"/>
      <w:marBottom w:val="0"/>
      <w:divBdr>
        <w:top w:val="none" w:sz="0" w:space="0" w:color="auto"/>
        <w:left w:val="none" w:sz="0" w:space="0" w:color="auto"/>
        <w:bottom w:val="none" w:sz="0" w:space="0" w:color="auto"/>
        <w:right w:val="none" w:sz="0" w:space="0" w:color="auto"/>
      </w:divBdr>
    </w:div>
    <w:div w:id="525171887">
      <w:bodyDiv w:val="1"/>
      <w:marLeft w:val="0"/>
      <w:marRight w:val="0"/>
      <w:marTop w:val="0"/>
      <w:marBottom w:val="0"/>
      <w:divBdr>
        <w:top w:val="none" w:sz="0" w:space="0" w:color="auto"/>
        <w:left w:val="none" w:sz="0" w:space="0" w:color="auto"/>
        <w:bottom w:val="none" w:sz="0" w:space="0" w:color="auto"/>
        <w:right w:val="none" w:sz="0" w:space="0" w:color="auto"/>
      </w:divBdr>
    </w:div>
    <w:div w:id="534271843">
      <w:bodyDiv w:val="1"/>
      <w:marLeft w:val="0"/>
      <w:marRight w:val="0"/>
      <w:marTop w:val="0"/>
      <w:marBottom w:val="0"/>
      <w:divBdr>
        <w:top w:val="none" w:sz="0" w:space="0" w:color="auto"/>
        <w:left w:val="none" w:sz="0" w:space="0" w:color="auto"/>
        <w:bottom w:val="none" w:sz="0" w:space="0" w:color="auto"/>
        <w:right w:val="none" w:sz="0" w:space="0" w:color="auto"/>
      </w:divBdr>
    </w:div>
    <w:div w:id="536239808">
      <w:bodyDiv w:val="1"/>
      <w:marLeft w:val="0"/>
      <w:marRight w:val="0"/>
      <w:marTop w:val="0"/>
      <w:marBottom w:val="0"/>
      <w:divBdr>
        <w:top w:val="none" w:sz="0" w:space="0" w:color="auto"/>
        <w:left w:val="none" w:sz="0" w:space="0" w:color="auto"/>
        <w:bottom w:val="none" w:sz="0" w:space="0" w:color="auto"/>
        <w:right w:val="none" w:sz="0" w:space="0" w:color="auto"/>
      </w:divBdr>
      <w:divsChild>
        <w:div w:id="276258260">
          <w:marLeft w:val="0"/>
          <w:marRight w:val="0"/>
          <w:marTop w:val="0"/>
          <w:marBottom w:val="0"/>
          <w:divBdr>
            <w:top w:val="none" w:sz="0" w:space="0" w:color="auto"/>
            <w:left w:val="none" w:sz="0" w:space="0" w:color="auto"/>
            <w:bottom w:val="none" w:sz="0" w:space="0" w:color="auto"/>
            <w:right w:val="none" w:sz="0" w:space="0" w:color="auto"/>
          </w:divBdr>
          <w:divsChild>
            <w:div w:id="993993654">
              <w:marLeft w:val="0"/>
              <w:marRight w:val="0"/>
              <w:marTop w:val="0"/>
              <w:marBottom w:val="0"/>
              <w:divBdr>
                <w:top w:val="none" w:sz="0" w:space="0" w:color="auto"/>
                <w:left w:val="none" w:sz="0" w:space="0" w:color="auto"/>
                <w:bottom w:val="none" w:sz="0" w:space="0" w:color="auto"/>
                <w:right w:val="none" w:sz="0" w:space="0" w:color="auto"/>
              </w:divBdr>
              <w:divsChild>
                <w:div w:id="541289164">
                  <w:marLeft w:val="0"/>
                  <w:marRight w:val="0"/>
                  <w:marTop w:val="0"/>
                  <w:marBottom w:val="0"/>
                  <w:divBdr>
                    <w:top w:val="none" w:sz="0" w:space="0" w:color="auto"/>
                    <w:left w:val="none" w:sz="0" w:space="0" w:color="auto"/>
                    <w:bottom w:val="none" w:sz="0" w:space="0" w:color="auto"/>
                    <w:right w:val="none" w:sz="0" w:space="0" w:color="auto"/>
                  </w:divBdr>
                  <w:divsChild>
                    <w:div w:id="1732922774">
                      <w:marLeft w:val="0"/>
                      <w:marRight w:val="0"/>
                      <w:marTop w:val="0"/>
                      <w:marBottom w:val="0"/>
                      <w:divBdr>
                        <w:top w:val="none" w:sz="0" w:space="0" w:color="auto"/>
                        <w:left w:val="none" w:sz="0" w:space="0" w:color="auto"/>
                        <w:bottom w:val="none" w:sz="0" w:space="0" w:color="auto"/>
                        <w:right w:val="none" w:sz="0" w:space="0" w:color="auto"/>
                      </w:divBdr>
                      <w:divsChild>
                        <w:div w:id="102457918">
                          <w:marLeft w:val="0"/>
                          <w:marRight w:val="0"/>
                          <w:marTop w:val="0"/>
                          <w:marBottom w:val="0"/>
                          <w:divBdr>
                            <w:top w:val="none" w:sz="0" w:space="0" w:color="auto"/>
                            <w:left w:val="none" w:sz="0" w:space="0" w:color="auto"/>
                            <w:bottom w:val="none" w:sz="0" w:space="0" w:color="auto"/>
                            <w:right w:val="none" w:sz="0" w:space="0" w:color="auto"/>
                          </w:divBdr>
                          <w:divsChild>
                            <w:div w:id="2078817094">
                              <w:marLeft w:val="0"/>
                              <w:marRight w:val="0"/>
                              <w:marTop w:val="0"/>
                              <w:marBottom w:val="0"/>
                              <w:divBdr>
                                <w:top w:val="none" w:sz="0" w:space="0" w:color="auto"/>
                                <w:left w:val="none" w:sz="0" w:space="0" w:color="auto"/>
                                <w:bottom w:val="none" w:sz="0" w:space="0" w:color="auto"/>
                                <w:right w:val="none" w:sz="0" w:space="0" w:color="auto"/>
                              </w:divBdr>
                              <w:divsChild>
                                <w:div w:id="1219242707">
                                  <w:marLeft w:val="0"/>
                                  <w:marRight w:val="0"/>
                                  <w:marTop w:val="0"/>
                                  <w:marBottom w:val="0"/>
                                  <w:divBdr>
                                    <w:top w:val="none" w:sz="0" w:space="0" w:color="auto"/>
                                    <w:left w:val="none" w:sz="0" w:space="0" w:color="auto"/>
                                    <w:bottom w:val="none" w:sz="0" w:space="0" w:color="auto"/>
                                    <w:right w:val="none" w:sz="0" w:space="0" w:color="auto"/>
                                  </w:divBdr>
                                  <w:divsChild>
                                    <w:div w:id="12098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77631">
                          <w:marLeft w:val="0"/>
                          <w:marRight w:val="0"/>
                          <w:marTop w:val="0"/>
                          <w:marBottom w:val="0"/>
                          <w:divBdr>
                            <w:top w:val="none" w:sz="0" w:space="0" w:color="auto"/>
                            <w:left w:val="none" w:sz="0" w:space="0" w:color="auto"/>
                            <w:bottom w:val="none" w:sz="0" w:space="0" w:color="auto"/>
                            <w:right w:val="none" w:sz="0" w:space="0" w:color="auto"/>
                          </w:divBdr>
                          <w:divsChild>
                            <w:div w:id="2084981457">
                              <w:marLeft w:val="0"/>
                              <w:marRight w:val="0"/>
                              <w:marTop w:val="0"/>
                              <w:marBottom w:val="0"/>
                              <w:divBdr>
                                <w:top w:val="none" w:sz="0" w:space="0" w:color="auto"/>
                                <w:left w:val="none" w:sz="0" w:space="0" w:color="auto"/>
                                <w:bottom w:val="none" w:sz="0" w:space="0" w:color="auto"/>
                                <w:right w:val="none" w:sz="0" w:space="0" w:color="auto"/>
                              </w:divBdr>
                              <w:divsChild>
                                <w:div w:id="1930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652298">
          <w:marLeft w:val="0"/>
          <w:marRight w:val="0"/>
          <w:marTop w:val="0"/>
          <w:marBottom w:val="0"/>
          <w:divBdr>
            <w:top w:val="none" w:sz="0" w:space="0" w:color="auto"/>
            <w:left w:val="none" w:sz="0" w:space="0" w:color="auto"/>
            <w:bottom w:val="none" w:sz="0" w:space="0" w:color="auto"/>
            <w:right w:val="none" w:sz="0" w:space="0" w:color="auto"/>
          </w:divBdr>
          <w:divsChild>
            <w:div w:id="102120603">
              <w:marLeft w:val="0"/>
              <w:marRight w:val="0"/>
              <w:marTop w:val="0"/>
              <w:marBottom w:val="0"/>
              <w:divBdr>
                <w:top w:val="none" w:sz="0" w:space="0" w:color="auto"/>
                <w:left w:val="none" w:sz="0" w:space="0" w:color="auto"/>
                <w:bottom w:val="none" w:sz="0" w:space="0" w:color="auto"/>
                <w:right w:val="none" w:sz="0" w:space="0" w:color="auto"/>
              </w:divBdr>
              <w:divsChild>
                <w:div w:id="104427041">
                  <w:marLeft w:val="0"/>
                  <w:marRight w:val="0"/>
                  <w:marTop w:val="0"/>
                  <w:marBottom w:val="0"/>
                  <w:divBdr>
                    <w:top w:val="none" w:sz="0" w:space="0" w:color="auto"/>
                    <w:left w:val="none" w:sz="0" w:space="0" w:color="auto"/>
                    <w:bottom w:val="none" w:sz="0" w:space="0" w:color="auto"/>
                    <w:right w:val="none" w:sz="0" w:space="0" w:color="auto"/>
                  </w:divBdr>
                  <w:divsChild>
                    <w:div w:id="469791415">
                      <w:marLeft w:val="0"/>
                      <w:marRight w:val="0"/>
                      <w:marTop w:val="0"/>
                      <w:marBottom w:val="0"/>
                      <w:divBdr>
                        <w:top w:val="none" w:sz="0" w:space="0" w:color="auto"/>
                        <w:left w:val="none" w:sz="0" w:space="0" w:color="auto"/>
                        <w:bottom w:val="none" w:sz="0" w:space="0" w:color="auto"/>
                        <w:right w:val="none" w:sz="0" w:space="0" w:color="auto"/>
                      </w:divBdr>
                      <w:divsChild>
                        <w:div w:id="126943323">
                          <w:marLeft w:val="0"/>
                          <w:marRight w:val="0"/>
                          <w:marTop w:val="0"/>
                          <w:marBottom w:val="0"/>
                          <w:divBdr>
                            <w:top w:val="none" w:sz="0" w:space="0" w:color="auto"/>
                            <w:left w:val="none" w:sz="0" w:space="0" w:color="auto"/>
                            <w:bottom w:val="none" w:sz="0" w:space="0" w:color="auto"/>
                            <w:right w:val="none" w:sz="0" w:space="0" w:color="auto"/>
                          </w:divBdr>
                          <w:divsChild>
                            <w:div w:id="314337838">
                              <w:marLeft w:val="0"/>
                              <w:marRight w:val="0"/>
                              <w:marTop w:val="0"/>
                              <w:marBottom w:val="0"/>
                              <w:divBdr>
                                <w:top w:val="none" w:sz="0" w:space="0" w:color="auto"/>
                                <w:left w:val="none" w:sz="0" w:space="0" w:color="auto"/>
                                <w:bottom w:val="none" w:sz="0" w:space="0" w:color="auto"/>
                                <w:right w:val="none" w:sz="0" w:space="0" w:color="auto"/>
                              </w:divBdr>
                              <w:divsChild>
                                <w:div w:id="2056928197">
                                  <w:marLeft w:val="0"/>
                                  <w:marRight w:val="0"/>
                                  <w:marTop w:val="0"/>
                                  <w:marBottom w:val="0"/>
                                  <w:divBdr>
                                    <w:top w:val="none" w:sz="0" w:space="0" w:color="auto"/>
                                    <w:left w:val="none" w:sz="0" w:space="0" w:color="auto"/>
                                    <w:bottom w:val="none" w:sz="0" w:space="0" w:color="auto"/>
                                    <w:right w:val="none" w:sz="0" w:space="0" w:color="auto"/>
                                  </w:divBdr>
                                  <w:divsChild>
                                    <w:div w:id="848057693">
                                      <w:marLeft w:val="0"/>
                                      <w:marRight w:val="0"/>
                                      <w:marTop w:val="0"/>
                                      <w:marBottom w:val="0"/>
                                      <w:divBdr>
                                        <w:top w:val="none" w:sz="0" w:space="0" w:color="auto"/>
                                        <w:left w:val="none" w:sz="0" w:space="0" w:color="auto"/>
                                        <w:bottom w:val="none" w:sz="0" w:space="0" w:color="auto"/>
                                        <w:right w:val="none" w:sz="0" w:space="0" w:color="auto"/>
                                      </w:divBdr>
                                      <w:divsChild>
                                        <w:div w:id="761922922">
                                          <w:marLeft w:val="0"/>
                                          <w:marRight w:val="0"/>
                                          <w:marTop w:val="0"/>
                                          <w:marBottom w:val="0"/>
                                          <w:divBdr>
                                            <w:top w:val="none" w:sz="0" w:space="0" w:color="auto"/>
                                            <w:left w:val="none" w:sz="0" w:space="0" w:color="auto"/>
                                            <w:bottom w:val="none" w:sz="0" w:space="0" w:color="auto"/>
                                            <w:right w:val="none" w:sz="0" w:space="0" w:color="auto"/>
                                          </w:divBdr>
                                          <w:divsChild>
                                            <w:div w:id="895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00093">
          <w:marLeft w:val="0"/>
          <w:marRight w:val="0"/>
          <w:marTop w:val="0"/>
          <w:marBottom w:val="0"/>
          <w:divBdr>
            <w:top w:val="none" w:sz="0" w:space="0" w:color="auto"/>
            <w:left w:val="none" w:sz="0" w:space="0" w:color="auto"/>
            <w:bottom w:val="none" w:sz="0" w:space="0" w:color="auto"/>
            <w:right w:val="none" w:sz="0" w:space="0" w:color="auto"/>
          </w:divBdr>
          <w:divsChild>
            <w:div w:id="2096314412">
              <w:marLeft w:val="0"/>
              <w:marRight w:val="0"/>
              <w:marTop w:val="0"/>
              <w:marBottom w:val="0"/>
              <w:divBdr>
                <w:top w:val="none" w:sz="0" w:space="0" w:color="auto"/>
                <w:left w:val="none" w:sz="0" w:space="0" w:color="auto"/>
                <w:bottom w:val="none" w:sz="0" w:space="0" w:color="auto"/>
                <w:right w:val="none" w:sz="0" w:space="0" w:color="auto"/>
              </w:divBdr>
              <w:divsChild>
                <w:div w:id="769206501">
                  <w:marLeft w:val="0"/>
                  <w:marRight w:val="0"/>
                  <w:marTop w:val="0"/>
                  <w:marBottom w:val="0"/>
                  <w:divBdr>
                    <w:top w:val="none" w:sz="0" w:space="0" w:color="auto"/>
                    <w:left w:val="none" w:sz="0" w:space="0" w:color="auto"/>
                    <w:bottom w:val="none" w:sz="0" w:space="0" w:color="auto"/>
                    <w:right w:val="none" w:sz="0" w:space="0" w:color="auto"/>
                  </w:divBdr>
                  <w:divsChild>
                    <w:div w:id="847712392">
                      <w:marLeft w:val="0"/>
                      <w:marRight w:val="0"/>
                      <w:marTop w:val="0"/>
                      <w:marBottom w:val="0"/>
                      <w:divBdr>
                        <w:top w:val="none" w:sz="0" w:space="0" w:color="auto"/>
                        <w:left w:val="none" w:sz="0" w:space="0" w:color="auto"/>
                        <w:bottom w:val="none" w:sz="0" w:space="0" w:color="auto"/>
                        <w:right w:val="none" w:sz="0" w:space="0" w:color="auto"/>
                      </w:divBdr>
                      <w:divsChild>
                        <w:div w:id="1067217589">
                          <w:marLeft w:val="0"/>
                          <w:marRight w:val="0"/>
                          <w:marTop w:val="0"/>
                          <w:marBottom w:val="0"/>
                          <w:divBdr>
                            <w:top w:val="none" w:sz="0" w:space="0" w:color="auto"/>
                            <w:left w:val="none" w:sz="0" w:space="0" w:color="auto"/>
                            <w:bottom w:val="none" w:sz="0" w:space="0" w:color="auto"/>
                            <w:right w:val="none" w:sz="0" w:space="0" w:color="auto"/>
                          </w:divBdr>
                          <w:divsChild>
                            <w:div w:id="498616126">
                              <w:marLeft w:val="0"/>
                              <w:marRight w:val="0"/>
                              <w:marTop w:val="0"/>
                              <w:marBottom w:val="0"/>
                              <w:divBdr>
                                <w:top w:val="none" w:sz="0" w:space="0" w:color="auto"/>
                                <w:left w:val="none" w:sz="0" w:space="0" w:color="auto"/>
                                <w:bottom w:val="none" w:sz="0" w:space="0" w:color="auto"/>
                                <w:right w:val="none" w:sz="0" w:space="0" w:color="auto"/>
                              </w:divBdr>
                              <w:divsChild>
                                <w:div w:id="70347124">
                                  <w:marLeft w:val="0"/>
                                  <w:marRight w:val="0"/>
                                  <w:marTop w:val="0"/>
                                  <w:marBottom w:val="0"/>
                                  <w:divBdr>
                                    <w:top w:val="none" w:sz="0" w:space="0" w:color="auto"/>
                                    <w:left w:val="none" w:sz="0" w:space="0" w:color="auto"/>
                                    <w:bottom w:val="none" w:sz="0" w:space="0" w:color="auto"/>
                                    <w:right w:val="none" w:sz="0" w:space="0" w:color="auto"/>
                                  </w:divBdr>
                                  <w:divsChild>
                                    <w:div w:id="19210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532744">
      <w:bodyDiv w:val="1"/>
      <w:marLeft w:val="0"/>
      <w:marRight w:val="0"/>
      <w:marTop w:val="0"/>
      <w:marBottom w:val="0"/>
      <w:divBdr>
        <w:top w:val="none" w:sz="0" w:space="0" w:color="auto"/>
        <w:left w:val="none" w:sz="0" w:space="0" w:color="auto"/>
        <w:bottom w:val="none" w:sz="0" w:space="0" w:color="auto"/>
        <w:right w:val="none" w:sz="0" w:space="0" w:color="auto"/>
      </w:divBdr>
    </w:div>
    <w:div w:id="567152857">
      <w:bodyDiv w:val="1"/>
      <w:marLeft w:val="0"/>
      <w:marRight w:val="0"/>
      <w:marTop w:val="0"/>
      <w:marBottom w:val="0"/>
      <w:divBdr>
        <w:top w:val="none" w:sz="0" w:space="0" w:color="auto"/>
        <w:left w:val="none" w:sz="0" w:space="0" w:color="auto"/>
        <w:bottom w:val="none" w:sz="0" w:space="0" w:color="auto"/>
        <w:right w:val="none" w:sz="0" w:space="0" w:color="auto"/>
      </w:divBdr>
    </w:div>
    <w:div w:id="660233816">
      <w:bodyDiv w:val="1"/>
      <w:marLeft w:val="0"/>
      <w:marRight w:val="0"/>
      <w:marTop w:val="0"/>
      <w:marBottom w:val="0"/>
      <w:divBdr>
        <w:top w:val="none" w:sz="0" w:space="0" w:color="auto"/>
        <w:left w:val="none" w:sz="0" w:space="0" w:color="auto"/>
        <w:bottom w:val="none" w:sz="0" w:space="0" w:color="auto"/>
        <w:right w:val="none" w:sz="0" w:space="0" w:color="auto"/>
      </w:divBdr>
    </w:div>
    <w:div w:id="670761144">
      <w:bodyDiv w:val="1"/>
      <w:marLeft w:val="0"/>
      <w:marRight w:val="0"/>
      <w:marTop w:val="0"/>
      <w:marBottom w:val="0"/>
      <w:divBdr>
        <w:top w:val="none" w:sz="0" w:space="0" w:color="auto"/>
        <w:left w:val="none" w:sz="0" w:space="0" w:color="auto"/>
        <w:bottom w:val="none" w:sz="0" w:space="0" w:color="auto"/>
        <w:right w:val="none" w:sz="0" w:space="0" w:color="auto"/>
      </w:divBdr>
      <w:divsChild>
        <w:div w:id="344940244">
          <w:marLeft w:val="0"/>
          <w:marRight w:val="0"/>
          <w:marTop w:val="0"/>
          <w:marBottom w:val="0"/>
          <w:divBdr>
            <w:top w:val="none" w:sz="0" w:space="0" w:color="auto"/>
            <w:left w:val="none" w:sz="0" w:space="0" w:color="auto"/>
            <w:bottom w:val="none" w:sz="0" w:space="0" w:color="auto"/>
            <w:right w:val="none" w:sz="0" w:space="0" w:color="auto"/>
          </w:divBdr>
          <w:divsChild>
            <w:div w:id="1633435756">
              <w:marLeft w:val="0"/>
              <w:marRight w:val="0"/>
              <w:marTop w:val="0"/>
              <w:marBottom w:val="0"/>
              <w:divBdr>
                <w:top w:val="none" w:sz="0" w:space="0" w:color="auto"/>
                <w:left w:val="none" w:sz="0" w:space="0" w:color="auto"/>
                <w:bottom w:val="none" w:sz="0" w:space="0" w:color="auto"/>
                <w:right w:val="none" w:sz="0" w:space="0" w:color="auto"/>
              </w:divBdr>
              <w:divsChild>
                <w:div w:id="1504007016">
                  <w:marLeft w:val="0"/>
                  <w:marRight w:val="0"/>
                  <w:marTop w:val="0"/>
                  <w:marBottom w:val="0"/>
                  <w:divBdr>
                    <w:top w:val="none" w:sz="0" w:space="0" w:color="auto"/>
                    <w:left w:val="none" w:sz="0" w:space="0" w:color="auto"/>
                    <w:bottom w:val="none" w:sz="0" w:space="0" w:color="auto"/>
                    <w:right w:val="none" w:sz="0" w:space="0" w:color="auto"/>
                  </w:divBdr>
                  <w:divsChild>
                    <w:div w:id="18447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98083">
          <w:marLeft w:val="0"/>
          <w:marRight w:val="0"/>
          <w:marTop w:val="0"/>
          <w:marBottom w:val="0"/>
          <w:divBdr>
            <w:top w:val="none" w:sz="0" w:space="0" w:color="auto"/>
            <w:left w:val="none" w:sz="0" w:space="0" w:color="auto"/>
            <w:bottom w:val="none" w:sz="0" w:space="0" w:color="auto"/>
            <w:right w:val="none" w:sz="0" w:space="0" w:color="auto"/>
          </w:divBdr>
          <w:divsChild>
            <w:div w:id="194081032">
              <w:marLeft w:val="0"/>
              <w:marRight w:val="0"/>
              <w:marTop w:val="0"/>
              <w:marBottom w:val="0"/>
              <w:divBdr>
                <w:top w:val="none" w:sz="0" w:space="0" w:color="auto"/>
                <w:left w:val="none" w:sz="0" w:space="0" w:color="auto"/>
                <w:bottom w:val="none" w:sz="0" w:space="0" w:color="auto"/>
                <w:right w:val="none" w:sz="0" w:space="0" w:color="auto"/>
              </w:divBdr>
              <w:divsChild>
                <w:div w:id="1334068389">
                  <w:marLeft w:val="0"/>
                  <w:marRight w:val="0"/>
                  <w:marTop w:val="0"/>
                  <w:marBottom w:val="0"/>
                  <w:divBdr>
                    <w:top w:val="none" w:sz="0" w:space="0" w:color="auto"/>
                    <w:left w:val="none" w:sz="0" w:space="0" w:color="auto"/>
                    <w:bottom w:val="none" w:sz="0" w:space="0" w:color="auto"/>
                    <w:right w:val="none" w:sz="0" w:space="0" w:color="auto"/>
                  </w:divBdr>
                  <w:divsChild>
                    <w:div w:id="651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25612">
      <w:bodyDiv w:val="1"/>
      <w:marLeft w:val="0"/>
      <w:marRight w:val="0"/>
      <w:marTop w:val="0"/>
      <w:marBottom w:val="0"/>
      <w:divBdr>
        <w:top w:val="none" w:sz="0" w:space="0" w:color="auto"/>
        <w:left w:val="none" w:sz="0" w:space="0" w:color="auto"/>
        <w:bottom w:val="none" w:sz="0" w:space="0" w:color="auto"/>
        <w:right w:val="none" w:sz="0" w:space="0" w:color="auto"/>
      </w:divBdr>
    </w:div>
    <w:div w:id="702635930">
      <w:bodyDiv w:val="1"/>
      <w:marLeft w:val="0"/>
      <w:marRight w:val="0"/>
      <w:marTop w:val="0"/>
      <w:marBottom w:val="0"/>
      <w:divBdr>
        <w:top w:val="none" w:sz="0" w:space="0" w:color="auto"/>
        <w:left w:val="none" w:sz="0" w:space="0" w:color="auto"/>
        <w:bottom w:val="none" w:sz="0" w:space="0" w:color="auto"/>
        <w:right w:val="none" w:sz="0" w:space="0" w:color="auto"/>
      </w:divBdr>
    </w:div>
    <w:div w:id="714502578">
      <w:bodyDiv w:val="1"/>
      <w:marLeft w:val="0"/>
      <w:marRight w:val="0"/>
      <w:marTop w:val="0"/>
      <w:marBottom w:val="0"/>
      <w:divBdr>
        <w:top w:val="none" w:sz="0" w:space="0" w:color="auto"/>
        <w:left w:val="none" w:sz="0" w:space="0" w:color="auto"/>
        <w:bottom w:val="none" w:sz="0" w:space="0" w:color="auto"/>
        <w:right w:val="none" w:sz="0" w:space="0" w:color="auto"/>
      </w:divBdr>
    </w:div>
    <w:div w:id="721254189">
      <w:bodyDiv w:val="1"/>
      <w:marLeft w:val="0"/>
      <w:marRight w:val="0"/>
      <w:marTop w:val="0"/>
      <w:marBottom w:val="0"/>
      <w:divBdr>
        <w:top w:val="none" w:sz="0" w:space="0" w:color="auto"/>
        <w:left w:val="none" w:sz="0" w:space="0" w:color="auto"/>
        <w:bottom w:val="none" w:sz="0" w:space="0" w:color="auto"/>
        <w:right w:val="none" w:sz="0" w:space="0" w:color="auto"/>
      </w:divBdr>
    </w:div>
    <w:div w:id="776995258">
      <w:bodyDiv w:val="1"/>
      <w:marLeft w:val="0"/>
      <w:marRight w:val="0"/>
      <w:marTop w:val="0"/>
      <w:marBottom w:val="0"/>
      <w:divBdr>
        <w:top w:val="none" w:sz="0" w:space="0" w:color="auto"/>
        <w:left w:val="none" w:sz="0" w:space="0" w:color="auto"/>
        <w:bottom w:val="none" w:sz="0" w:space="0" w:color="auto"/>
        <w:right w:val="none" w:sz="0" w:space="0" w:color="auto"/>
      </w:divBdr>
    </w:div>
    <w:div w:id="831682044">
      <w:bodyDiv w:val="1"/>
      <w:marLeft w:val="0"/>
      <w:marRight w:val="0"/>
      <w:marTop w:val="0"/>
      <w:marBottom w:val="0"/>
      <w:divBdr>
        <w:top w:val="none" w:sz="0" w:space="0" w:color="auto"/>
        <w:left w:val="none" w:sz="0" w:space="0" w:color="auto"/>
        <w:bottom w:val="none" w:sz="0" w:space="0" w:color="auto"/>
        <w:right w:val="none" w:sz="0" w:space="0" w:color="auto"/>
      </w:divBdr>
    </w:div>
    <w:div w:id="954991231">
      <w:bodyDiv w:val="1"/>
      <w:marLeft w:val="0"/>
      <w:marRight w:val="0"/>
      <w:marTop w:val="0"/>
      <w:marBottom w:val="0"/>
      <w:divBdr>
        <w:top w:val="none" w:sz="0" w:space="0" w:color="auto"/>
        <w:left w:val="none" w:sz="0" w:space="0" w:color="auto"/>
        <w:bottom w:val="none" w:sz="0" w:space="0" w:color="auto"/>
        <w:right w:val="none" w:sz="0" w:space="0" w:color="auto"/>
      </w:divBdr>
    </w:div>
    <w:div w:id="976492045">
      <w:bodyDiv w:val="1"/>
      <w:marLeft w:val="0"/>
      <w:marRight w:val="0"/>
      <w:marTop w:val="0"/>
      <w:marBottom w:val="0"/>
      <w:divBdr>
        <w:top w:val="none" w:sz="0" w:space="0" w:color="auto"/>
        <w:left w:val="none" w:sz="0" w:space="0" w:color="auto"/>
        <w:bottom w:val="none" w:sz="0" w:space="0" w:color="auto"/>
        <w:right w:val="none" w:sz="0" w:space="0" w:color="auto"/>
      </w:divBdr>
    </w:div>
    <w:div w:id="1002053225">
      <w:bodyDiv w:val="1"/>
      <w:marLeft w:val="0"/>
      <w:marRight w:val="0"/>
      <w:marTop w:val="0"/>
      <w:marBottom w:val="0"/>
      <w:divBdr>
        <w:top w:val="none" w:sz="0" w:space="0" w:color="auto"/>
        <w:left w:val="none" w:sz="0" w:space="0" w:color="auto"/>
        <w:bottom w:val="none" w:sz="0" w:space="0" w:color="auto"/>
        <w:right w:val="none" w:sz="0" w:space="0" w:color="auto"/>
      </w:divBdr>
    </w:div>
    <w:div w:id="1120032546">
      <w:bodyDiv w:val="1"/>
      <w:marLeft w:val="0"/>
      <w:marRight w:val="0"/>
      <w:marTop w:val="0"/>
      <w:marBottom w:val="0"/>
      <w:divBdr>
        <w:top w:val="none" w:sz="0" w:space="0" w:color="auto"/>
        <w:left w:val="none" w:sz="0" w:space="0" w:color="auto"/>
        <w:bottom w:val="none" w:sz="0" w:space="0" w:color="auto"/>
        <w:right w:val="none" w:sz="0" w:space="0" w:color="auto"/>
      </w:divBdr>
    </w:div>
    <w:div w:id="1220049197">
      <w:bodyDiv w:val="1"/>
      <w:marLeft w:val="0"/>
      <w:marRight w:val="0"/>
      <w:marTop w:val="0"/>
      <w:marBottom w:val="0"/>
      <w:divBdr>
        <w:top w:val="none" w:sz="0" w:space="0" w:color="auto"/>
        <w:left w:val="none" w:sz="0" w:space="0" w:color="auto"/>
        <w:bottom w:val="none" w:sz="0" w:space="0" w:color="auto"/>
        <w:right w:val="none" w:sz="0" w:space="0" w:color="auto"/>
      </w:divBdr>
    </w:div>
    <w:div w:id="1221751711">
      <w:bodyDiv w:val="1"/>
      <w:marLeft w:val="0"/>
      <w:marRight w:val="0"/>
      <w:marTop w:val="0"/>
      <w:marBottom w:val="0"/>
      <w:divBdr>
        <w:top w:val="none" w:sz="0" w:space="0" w:color="auto"/>
        <w:left w:val="none" w:sz="0" w:space="0" w:color="auto"/>
        <w:bottom w:val="none" w:sz="0" w:space="0" w:color="auto"/>
        <w:right w:val="none" w:sz="0" w:space="0" w:color="auto"/>
      </w:divBdr>
    </w:div>
    <w:div w:id="1237125448">
      <w:bodyDiv w:val="1"/>
      <w:marLeft w:val="0"/>
      <w:marRight w:val="0"/>
      <w:marTop w:val="0"/>
      <w:marBottom w:val="0"/>
      <w:divBdr>
        <w:top w:val="none" w:sz="0" w:space="0" w:color="auto"/>
        <w:left w:val="none" w:sz="0" w:space="0" w:color="auto"/>
        <w:bottom w:val="none" w:sz="0" w:space="0" w:color="auto"/>
        <w:right w:val="none" w:sz="0" w:space="0" w:color="auto"/>
      </w:divBdr>
    </w:div>
    <w:div w:id="1351955388">
      <w:bodyDiv w:val="1"/>
      <w:marLeft w:val="0"/>
      <w:marRight w:val="0"/>
      <w:marTop w:val="0"/>
      <w:marBottom w:val="0"/>
      <w:divBdr>
        <w:top w:val="none" w:sz="0" w:space="0" w:color="auto"/>
        <w:left w:val="none" w:sz="0" w:space="0" w:color="auto"/>
        <w:bottom w:val="none" w:sz="0" w:space="0" w:color="auto"/>
        <w:right w:val="none" w:sz="0" w:space="0" w:color="auto"/>
      </w:divBdr>
    </w:div>
    <w:div w:id="1453553532">
      <w:bodyDiv w:val="1"/>
      <w:marLeft w:val="0"/>
      <w:marRight w:val="0"/>
      <w:marTop w:val="0"/>
      <w:marBottom w:val="0"/>
      <w:divBdr>
        <w:top w:val="none" w:sz="0" w:space="0" w:color="auto"/>
        <w:left w:val="none" w:sz="0" w:space="0" w:color="auto"/>
        <w:bottom w:val="none" w:sz="0" w:space="0" w:color="auto"/>
        <w:right w:val="none" w:sz="0" w:space="0" w:color="auto"/>
      </w:divBdr>
    </w:div>
    <w:div w:id="1519661538">
      <w:bodyDiv w:val="1"/>
      <w:marLeft w:val="0"/>
      <w:marRight w:val="0"/>
      <w:marTop w:val="0"/>
      <w:marBottom w:val="0"/>
      <w:divBdr>
        <w:top w:val="none" w:sz="0" w:space="0" w:color="auto"/>
        <w:left w:val="none" w:sz="0" w:space="0" w:color="auto"/>
        <w:bottom w:val="none" w:sz="0" w:space="0" w:color="auto"/>
        <w:right w:val="none" w:sz="0" w:space="0" w:color="auto"/>
      </w:divBdr>
    </w:div>
    <w:div w:id="1565867494">
      <w:bodyDiv w:val="1"/>
      <w:marLeft w:val="0"/>
      <w:marRight w:val="0"/>
      <w:marTop w:val="0"/>
      <w:marBottom w:val="0"/>
      <w:divBdr>
        <w:top w:val="none" w:sz="0" w:space="0" w:color="auto"/>
        <w:left w:val="none" w:sz="0" w:space="0" w:color="auto"/>
        <w:bottom w:val="none" w:sz="0" w:space="0" w:color="auto"/>
        <w:right w:val="none" w:sz="0" w:space="0" w:color="auto"/>
      </w:divBdr>
    </w:div>
    <w:div w:id="1627614223">
      <w:bodyDiv w:val="1"/>
      <w:marLeft w:val="0"/>
      <w:marRight w:val="0"/>
      <w:marTop w:val="0"/>
      <w:marBottom w:val="0"/>
      <w:divBdr>
        <w:top w:val="none" w:sz="0" w:space="0" w:color="auto"/>
        <w:left w:val="none" w:sz="0" w:space="0" w:color="auto"/>
        <w:bottom w:val="none" w:sz="0" w:space="0" w:color="auto"/>
        <w:right w:val="none" w:sz="0" w:space="0" w:color="auto"/>
      </w:divBdr>
    </w:div>
    <w:div w:id="1761750650">
      <w:bodyDiv w:val="1"/>
      <w:marLeft w:val="0"/>
      <w:marRight w:val="0"/>
      <w:marTop w:val="0"/>
      <w:marBottom w:val="0"/>
      <w:divBdr>
        <w:top w:val="none" w:sz="0" w:space="0" w:color="auto"/>
        <w:left w:val="none" w:sz="0" w:space="0" w:color="auto"/>
        <w:bottom w:val="none" w:sz="0" w:space="0" w:color="auto"/>
        <w:right w:val="none" w:sz="0" w:space="0" w:color="auto"/>
      </w:divBdr>
    </w:div>
    <w:div w:id="1782187158">
      <w:bodyDiv w:val="1"/>
      <w:marLeft w:val="0"/>
      <w:marRight w:val="0"/>
      <w:marTop w:val="0"/>
      <w:marBottom w:val="0"/>
      <w:divBdr>
        <w:top w:val="none" w:sz="0" w:space="0" w:color="auto"/>
        <w:left w:val="none" w:sz="0" w:space="0" w:color="auto"/>
        <w:bottom w:val="none" w:sz="0" w:space="0" w:color="auto"/>
        <w:right w:val="none" w:sz="0" w:space="0" w:color="auto"/>
      </w:divBdr>
    </w:div>
    <w:div w:id="1790778647">
      <w:bodyDiv w:val="1"/>
      <w:marLeft w:val="0"/>
      <w:marRight w:val="0"/>
      <w:marTop w:val="0"/>
      <w:marBottom w:val="0"/>
      <w:divBdr>
        <w:top w:val="none" w:sz="0" w:space="0" w:color="auto"/>
        <w:left w:val="none" w:sz="0" w:space="0" w:color="auto"/>
        <w:bottom w:val="none" w:sz="0" w:space="0" w:color="auto"/>
        <w:right w:val="none" w:sz="0" w:space="0" w:color="auto"/>
      </w:divBdr>
      <w:divsChild>
        <w:div w:id="1621689320">
          <w:marLeft w:val="0"/>
          <w:marRight w:val="0"/>
          <w:marTop w:val="0"/>
          <w:marBottom w:val="0"/>
          <w:divBdr>
            <w:top w:val="none" w:sz="0" w:space="0" w:color="auto"/>
            <w:left w:val="none" w:sz="0" w:space="0" w:color="auto"/>
            <w:bottom w:val="none" w:sz="0" w:space="0" w:color="auto"/>
            <w:right w:val="none" w:sz="0" w:space="0" w:color="auto"/>
          </w:divBdr>
          <w:divsChild>
            <w:div w:id="45880280">
              <w:marLeft w:val="0"/>
              <w:marRight w:val="0"/>
              <w:marTop w:val="0"/>
              <w:marBottom w:val="0"/>
              <w:divBdr>
                <w:top w:val="none" w:sz="0" w:space="0" w:color="auto"/>
                <w:left w:val="none" w:sz="0" w:space="0" w:color="auto"/>
                <w:bottom w:val="none" w:sz="0" w:space="0" w:color="auto"/>
                <w:right w:val="none" w:sz="0" w:space="0" w:color="auto"/>
              </w:divBdr>
              <w:divsChild>
                <w:div w:id="1799179212">
                  <w:marLeft w:val="0"/>
                  <w:marRight w:val="0"/>
                  <w:marTop w:val="0"/>
                  <w:marBottom w:val="0"/>
                  <w:divBdr>
                    <w:top w:val="none" w:sz="0" w:space="0" w:color="auto"/>
                    <w:left w:val="none" w:sz="0" w:space="0" w:color="auto"/>
                    <w:bottom w:val="none" w:sz="0" w:space="0" w:color="auto"/>
                    <w:right w:val="none" w:sz="0" w:space="0" w:color="auto"/>
                  </w:divBdr>
                  <w:divsChild>
                    <w:div w:id="15202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6624">
          <w:marLeft w:val="0"/>
          <w:marRight w:val="0"/>
          <w:marTop w:val="0"/>
          <w:marBottom w:val="0"/>
          <w:divBdr>
            <w:top w:val="none" w:sz="0" w:space="0" w:color="auto"/>
            <w:left w:val="none" w:sz="0" w:space="0" w:color="auto"/>
            <w:bottom w:val="none" w:sz="0" w:space="0" w:color="auto"/>
            <w:right w:val="none" w:sz="0" w:space="0" w:color="auto"/>
          </w:divBdr>
          <w:divsChild>
            <w:div w:id="1042705048">
              <w:marLeft w:val="0"/>
              <w:marRight w:val="0"/>
              <w:marTop w:val="0"/>
              <w:marBottom w:val="0"/>
              <w:divBdr>
                <w:top w:val="none" w:sz="0" w:space="0" w:color="auto"/>
                <w:left w:val="none" w:sz="0" w:space="0" w:color="auto"/>
                <w:bottom w:val="none" w:sz="0" w:space="0" w:color="auto"/>
                <w:right w:val="none" w:sz="0" w:space="0" w:color="auto"/>
              </w:divBdr>
              <w:divsChild>
                <w:div w:id="945383443">
                  <w:marLeft w:val="0"/>
                  <w:marRight w:val="0"/>
                  <w:marTop w:val="0"/>
                  <w:marBottom w:val="0"/>
                  <w:divBdr>
                    <w:top w:val="none" w:sz="0" w:space="0" w:color="auto"/>
                    <w:left w:val="none" w:sz="0" w:space="0" w:color="auto"/>
                    <w:bottom w:val="none" w:sz="0" w:space="0" w:color="auto"/>
                    <w:right w:val="none" w:sz="0" w:space="0" w:color="auto"/>
                  </w:divBdr>
                  <w:divsChild>
                    <w:div w:id="17675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479029">
      <w:bodyDiv w:val="1"/>
      <w:marLeft w:val="0"/>
      <w:marRight w:val="0"/>
      <w:marTop w:val="0"/>
      <w:marBottom w:val="0"/>
      <w:divBdr>
        <w:top w:val="none" w:sz="0" w:space="0" w:color="auto"/>
        <w:left w:val="none" w:sz="0" w:space="0" w:color="auto"/>
        <w:bottom w:val="none" w:sz="0" w:space="0" w:color="auto"/>
        <w:right w:val="none" w:sz="0" w:space="0" w:color="auto"/>
      </w:divBdr>
    </w:div>
    <w:div w:id="1845436215">
      <w:bodyDiv w:val="1"/>
      <w:marLeft w:val="0"/>
      <w:marRight w:val="0"/>
      <w:marTop w:val="0"/>
      <w:marBottom w:val="0"/>
      <w:divBdr>
        <w:top w:val="none" w:sz="0" w:space="0" w:color="auto"/>
        <w:left w:val="none" w:sz="0" w:space="0" w:color="auto"/>
        <w:bottom w:val="none" w:sz="0" w:space="0" w:color="auto"/>
        <w:right w:val="none" w:sz="0" w:space="0" w:color="auto"/>
      </w:divBdr>
    </w:div>
    <w:div w:id="1878353849">
      <w:bodyDiv w:val="1"/>
      <w:marLeft w:val="0"/>
      <w:marRight w:val="0"/>
      <w:marTop w:val="0"/>
      <w:marBottom w:val="0"/>
      <w:divBdr>
        <w:top w:val="none" w:sz="0" w:space="0" w:color="auto"/>
        <w:left w:val="none" w:sz="0" w:space="0" w:color="auto"/>
        <w:bottom w:val="none" w:sz="0" w:space="0" w:color="auto"/>
        <w:right w:val="none" w:sz="0" w:space="0" w:color="auto"/>
      </w:divBdr>
    </w:div>
    <w:div w:id="1881041917">
      <w:bodyDiv w:val="1"/>
      <w:marLeft w:val="0"/>
      <w:marRight w:val="0"/>
      <w:marTop w:val="0"/>
      <w:marBottom w:val="0"/>
      <w:divBdr>
        <w:top w:val="none" w:sz="0" w:space="0" w:color="auto"/>
        <w:left w:val="none" w:sz="0" w:space="0" w:color="auto"/>
        <w:bottom w:val="none" w:sz="0" w:space="0" w:color="auto"/>
        <w:right w:val="none" w:sz="0" w:space="0" w:color="auto"/>
      </w:divBdr>
    </w:div>
    <w:div w:id="2016957550">
      <w:bodyDiv w:val="1"/>
      <w:marLeft w:val="0"/>
      <w:marRight w:val="0"/>
      <w:marTop w:val="0"/>
      <w:marBottom w:val="0"/>
      <w:divBdr>
        <w:top w:val="none" w:sz="0" w:space="0" w:color="auto"/>
        <w:left w:val="none" w:sz="0" w:space="0" w:color="auto"/>
        <w:bottom w:val="none" w:sz="0" w:space="0" w:color="auto"/>
        <w:right w:val="none" w:sz="0" w:space="0" w:color="auto"/>
      </w:divBdr>
    </w:div>
    <w:div w:id="2019040955">
      <w:bodyDiv w:val="1"/>
      <w:marLeft w:val="0"/>
      <w:marRight w:val="0"/>
      <w:marTop w:val="0"/>
      <w:marBottom w:val="0"/>
      <w:divBdr>
        <w:top w:val="none" w:sz="0" w:space="0" w:color="auto"/>
        <w:left w:val="none" w:sz="0" w:space="0" w:color="auto"/>
        <w:bottom w:val="none" w:sz="0" w:space="0" w:color="auto"/>
        <w:right w:val="none" w:sz="0" w:space="0" w:color="auto"/>
      </w:divBdr>
    </w:div>
    <w:div w:id="20720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39-021-00095-7" TargetMode="External"/><Relationship Id="rId18" Type="http://schemas.openxmlformats.org/officeDocument/2006/relationships/hyperlink" Target="https://doi.org/10.1007/s11266-021-00400-3" TargetMode="External"/><Relationship Id="rId26" Type="http://schemas.openxmlformats.org/officeDocument/2006/relationships/hyperlink" Target="https://doi.org/10.1207/s15516709cog1202_4" TargetMode="External"/><Relationship Id="rId3" Type="http://schemas.openxmlformats.org/officeDocument/2006/relationships/styles" Target="styles.xml"/><Relationship Id="rId21" Type="http://schemas.openxmlformats.org/officeDocument/2006/relationships/hyperlink" Target="https://doi.org/10.1007/s10648-006-9029-9" TargetMode="External"/><Relationship Id="rId7" Type="http://schemas.openxmlformats.org/officeDocument/2006/relationships/endnotes" Target="endnotes.xml"/><Relationship Id="rId12" Type="http://schemas.openxmlformats.org/officeDocument/2006/relationships/hyperlink" Target="https://doi.org/10.1037/0022-3514.47.6.1191" TargetMode="External"/><Relationship Id="rId17" Type="http://schemas.openxmlformats.org/officeDocument/2006/relationships/hyperlink" Target="http://dx.doi.org/10.13140/RG.2.2.32221.73448" TargetMode="External"/><Relationship Id="rId25" Type="http://schemas.openxmlformats.org/officeDocument/2006/relationships/hyperlink" Target="https://doi.org/10.3126/kmcj.v7i1.7510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08295735211053961" TargetMode="External"/><Relationship Id="rId20" Type="http://schemas.openxmlformats.org/officeDocument/2006/relationships/hyperlink" Target="https://doi.org/10.1093/jssam/smab048" TargetMode="External"/><Relationship Id="rId29" Type="http://schemas.openxmlformats.org/officeDocument/2006/relationships/hyperlink" Target="https://doi.org/10.1006/ceps.1999.1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91/1478088706qp063oa" TargetMode="External"/><Relationship Id="rId24" Type="http://schemas.openxmlformats.org/officeDocument/2006/relationships/hyperlink" Target="https://doi.org/10.1186/s40594-020-00246-z"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46/annurev.psych.53.100901.135153" TargetMode="External"/><Relationship Id="rId23" Type="http://schemas.openxmlformats.org/officeDocument/2006/relationships/hyperlink" Target="https://doi.org/10.5281/zenodo.4299835" TargetMode="External"/><Relationship Id="rId28" Type="http://schemas.openxmlformats.org/officeDocument/2006/relationships/hyperlink" Target="https://psycnet.apa.org/doi/10.1037/0033-295X.92.4.548" TargetMode="External"/><Relationship Id="rId10" Type="http://schemas.openxmlformats.org/officeDocument/2006/relationships/hyperlink" Target="https://doi.org/10.1177/1049732316654870" TargetMode="External"/><Relationship Id="rId19" Type="http://schemas.openxmlformats.org/officeDocument/2006/relationships/hyperlink" Target="https://doi.org/10.29333/mathsciteacher/1287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glmedi.2024.100051" TargetMode="External"/><Relationship Id="rId14" Type="http://schemas.openxmlformats.org/officeDocument/2006/relationships/hyperlink" Target="https://doi.org/10.1207/S15327965PLI1104_01" TargetMode="External"/><Relationship Id="rId22" Type="http://schemas.openxmlformats.org/officeDocument/2006/relationships/hyperlink" Target="https://doi.org/10.30998/formatif.v15i1.23179" TargetMode="External"/><Relationship Id="rId27" Type="http://schemas.openxmlformats.org/officeDocument/2006/relationships/hyperlink" Target="https://doi.org/10.1177/16094069221078731" TargetMode="External"/><Relationship Id="rId30" Type="http://schemas.openxmlformats.org/officeDocument/2006/relationships/hyperlink" Target="https://doi.org/10.1207/s15430421tip4102_2" TargetMode="External"/><Relationship Id="rId8" Type="http://schemas.openxmlformats.org/officeDocument/2006/relationships/hyperlink" Target="https://doi.org/10.30574/wjarr.2024.21.1.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8BC19F7-17EA-4821-834F-5E8AF1D11CA5}">
  <we:reference id="wa104381714" version="4.2.0.0" store="en-US" storeType="OMEX"/>
  <we:alternateReferences>
    <we:reference id="wa104381714" version="4.2.0.0" store="WA104381714" storeType="OMEX"/>
  </we:alternateReferences>
  <we:properties>
    <we:property name="production_outwrite_document" value="&quot;{\&quot;documentId\&quot;:\&quot;f7312237aeadab8d\&quo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780143F-68C7-4DF4-B1CB-6760300F4F63}">
  <we:reference id="wa200005107" version="1.1.0.0" store="en-US"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81966-544F-452C-A9F0-19840498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12444</Words>
  <Characters>70934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Potato</dc:creator>
  <cp:keywords/>
  <dc:description/>
  <cp:lastModifiedBy>CTE-Matthew  Cañeda</cp:lastModifiedBy>
  <cp:revision>3</cp:revision>
  <cp:lastPrinted>2026-05-17T09:27:00Z</cp:lastPrinted>
  <dcterms:created xsi:type="dcterms:W3CDTF">2026-05-18T16:47:00Z</dcterms:created>
  <dcterms:modified xsi:type="dcterms:W3CDTF">2026-05-18T16:48:00Z</dcterms:modified>
</cp:coreProperties>
</file>