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F808" w14:textId="77777777" w:rsidR="00CE5A15" w:rsidRPr="00351274" w:rsidRDefault="00423F7C">
      <w:pPr>
        <w:spacing w:before="200" w:after="120"/>
        <w:jc w:val="center"/>
      </w:pPr>
      <w:r w:rsidRPr="00351274">
        <w:rPr>
          <w:rFonts w:eastAsia="Arial"/>
          <w:b/>
          <w:bCs/>
          <w:sz w:val="32"/>
          <w:szCs w:val="32"/>
        </w:rPr>
        <w:t>BIOCHEMICAL ASSESSMENT OF RISK FACTORS IN CORONARY ARTERY DISEASE (CAD) PATIENTS</w:t>
      </w:r>
    </w:p>
    <w:p w14:paraId="2842F505" w14:textId="77777777" w:rsidR="00CE5A15" w:rsidRPr="00351274" w:rsidRDefault="00423F7C">
      <w:pPr>
        <w:spacing w:before="80" w:after="60"/>
        <w:jc w:val="center"/>
        <w:rPr>
          <w:b/>
          <w:bCs/>
        </w:rPr>
      </w:pPr>
      <w:r w:rsidRPr="00351274">
        <w:rPr>
          <w:rFonts w:eastAsia="Arial"/>
          <w:b/>
          <w:bCs/>
        </w:rPr>
        <w:t/>
      </w:r>
    </w:p>
    <w:p w14:paraId="2BBE7771" w14:textId="6B726CE1" w:rsidR="00CE5A15" w:rsidRPr="00351274" w:rsidRDefault="00224233">
      <w:pPr>
        <w:spacing w:before="80" w:after="60"/>
        <w:jc w:val="center"/>
      </w:pPr>
      <w:r w:rsidRPr="00224233">
        <w:rPr>
          <w:rFonts w:eastAsia="Arial"/>
          <w:b/>
          <w:bCs/>
          <w:sz w:val="22"/>
          <w:szCs w:val="22"/>
          <w:vertAlign w:val="superscript"/>
        </w:rPr>
        <w:t/>
      </w:r>
      <w:r w:rsidR="00423F7C" w:rsidRPr="00351274">
        <w:rPr>
          <w:rFonts w:eastAsia="Arial"/>
          <w:b/>
          <w:bCs/>
          <w:sz w:val="22"/>
          <w:szCs w:val="22"/>
        </w:rPr>
        <w:t/>
      </w:r>
      <w:r>
        <w:rPr>
          <w:rFonts w:eastAsia="Arial"/>
          <w:b/>
          <w:bCs/>
          <w:sz w:val="22"/>
          <w:szCs w:val="22"/>
        </w:rPr>
        <w:t xml:space="preserve"/>
      </w:r>
      <w:r w:rsidRPr="00224233">
        <w:rPr>
          <w:rFonts w:eastAsia="Arial"/>
          <w:b/>
          <w:bCs/>
          <w:sz w:val="22"/>
          <w:szCs w:val="22"/>
          <w:vertAlign w:val="superscript"/>
        </w:rPr>
        <w:t/>
      </w:r>
      <w:r>
        <w:rPr>
          <w:rFonts w:eastAsia="Arial"/>
          <w:b/>
          <w:bCs/>
          <w:sz w:val="22"/>
          <w:szCs w:val="22"/>
        </w:rPr>
        <w:t/>
      </w:r>
    </w:p>
    <w:p w14:paraId="44F8ED7C" w14:textId="1FC7D1C7" w:rsidR="00CE5A15" w:rsidRPr="00A9471C" w:rsidRDefault="00224233">
      <w:pPr>
        <w:spacing w:before="40" w:after="40"/>
        <w:jc w:val="center"/>
      </w:pPr>
      <w:r w:rsidRPr="00224233">
        <w:rPr>
          <w:sz w:val="20"/>
          <w:szCs w:val="20"/>
          <w:vertAlign w:val="superscript"/>
        </w:rPr>
        <w:t/>
      </w:r>
      <w:r w:rsidR="00423F7C" w:rsidRPr="00A9471C">
        <w:rPr>
          <w:sz w:val="20"/>
          <w:szCs w:val="20"/>
        </w:rPr>
        <w:t/>
      </w:r>
    </w:p>
    <w:p w14:paraId="1CBB9A2C" w14:textId="77777777" w:rsidR="00CE5A15" w:rsidRPr="00A9471C" w:rsidRDefault="00423F7C">
      <w:pPr>
        <w:spacing w:after="40"/>
        <w:jc w:val="center"/>
      </w:pPr>
      <w:r w:rsidRPr="00A9471C">
        <w:rPr>
          <w:sz w:val="20"/>
          <w:szCs w:val="20"/>
        </w:rPr>
        <w:t/>
      </w:r>
    </w:p>
    <w:p w14:paraId="64164194" w14:textId="40D1B919" w:rsidR="00CE5A15" w:rsidRDefault="00423F7C">
      <w:pPr>
        <w:spacing w:after="200"/>
        <w:jc w:val="center"/>
        <w:rPr>
          <w:sz w:val="20"/>
          <w:szCs w:val="20"/>
        </w:rPr>
      </w:pPr>
      <w:r w:rsidRPr="00A9471C">
        <w:rPr>
          <w:sz w:val="20"/>
          <w:szCs w:val="20"/>
        </w:rPr>
        <w:t xml:space="preserve"/>
      </w:r>
      <w:hyperlink r:id="rId7" w:history="1">
        <w:r w:rsidR="00224233" w:rsidRPr="00A34924">
          <w:rPr>
            <w:rStyle w:val="Hyperlink"/>
            <w:sz w:val="20"/>
            <w:szCs w:val="20"/>
          </w:rPr>
          <w:t/>
        </w:r>
      </w:hyperlink>
    </w:p>
    <w:p w14:paraId="76D280CD" w14:textId="77777777" w:rsidR="00224233" w:rsidRPr="00A9471C" w:rsidRDefault="00224233" w:rsidP="00224233">
      <w:pPr>
        <w:spacing w:before="40" w:after="40"/>
        <w:jc w:val="center"/>
      </w:pPr>
      <w:r w:rsidRPr="004D5085">
        <w:rPr>
          <w:sz w:val="20"/>
          <w:szCs w:val="20"/>
          <w:vertAlign w:val="superscript"/>
        </w:rPr>
        <w:t/>
      </w:r>
      <w:r>
        <w:rPr>
          <w:sz w:val="20"/>
          <w:szCs w:val="20"/>
        </w:rPr>
        <w:t/>
      </w:r>
      <w:r w:rsidRPr="00A9471C">
        <w:rPr>
          <w:sz w:val="20"/>
          <w:szCs w:val="20"/>
        </w:rPr>
        <w:t xml:space="preserve"/>
      </w:r>
    </w:p>
    <w:p w14:paraId="04A43F6C" w14:textId="77777777" w:rsidR="00224233" w:rsidRDefault="00224233" w:rsidP="00224233">
      <w:pPr>
        <w:spacing w:after="40"/>
        <w:jc w:val="center"/>
        <w:rPr>
          <w:sz w:val="20"/>
          <w:szCs w:val="20"/>
        </w:rPr>
      </w:pPr>
      <w:r w:rsidRPr="00A9471C">
        <w:rPr>
          <w:sz w:val="20"/>
          <w:szCs w:val="20"/>
        </w:rPr>
        <w:t/>
      </w:r>
    </w:p>
    <w:p w14:paraId="6A0CAF30" w14:textId="0ED5A2E5" w:rsidR="00224233" w:rsidRDefault="00224233" w:rsidP="00224233">
      <w:pPr>
        <w:spacing w:after="40"/>
        <w:jc w:val="center"/>
        <w:rPr>
          <w:sz w:val="20"/>
          <w:szCs w:val="20"/>
        </w:rPr>
      </w:pPr>
      <w:r>
        <w:rPr>
          <w:sz w:val="20"/>
          <w:szCs w:val="20"/>
        </w:rPr>
        <w:t xml:space="preserve"/>
      </w:r>
      <w:hyperlink r:id="rId8" w:history="1">
        <w:r w:rsidRPr="00A34924">
          <w:rPr>
            <w:rStyle w:val="Hyperlink"/>
            <w:sz w:val="20"/>
            <w:szCs w:val="20"/>
          </w:rPr>
          <w:t/>
        </w:r>
      </w:hyperlink>
    </w:p>
    <w:p w14:paraId="52972051" w14:textId="77777777" w:rsidR="00224233" w:rsidRPr="00A9471C" w:rsidRDefault="00224233" w:rsidP="00224233">
      <w:pPr>
        <w:spacing w:after="40"/>
        <w:jc w:val="center"/>
      </w:pPr>
    </w:p>
    <w:p w14:paraId="315143D3" w14:textId="2C21CAF5" w:rsidR="00224233" w:rsidRPr="00A9471C" w:rsidRDefault="00224233">
      <w:pPr>
        <w:spacing w:after="200"/>
        <w:jc w:val="center"/>
      </w:pPr>
    </w:p>
    <w:p w14:paraId="30D5AC83" w14:textId="4177DA0F" w:rsidR="00CE5A15" w:rsidRPr="00351274" w:rsidRDefault="00423F7C" w:rsidP="00351274">
      <w:pPr>
        <w:pBdr>
          <w:top w:val="single" w:sz="4" w:space="4" w:color="1A5276"/>
          <w:left w:val="thick" w:sz="12" w:space="4" w:color="1A5276"/>
          <w:bottom w:val="single" w:sz="4" w:space="4" w:color="1A5276"/>
          <w:right w:val="single" w:sz="4" w:space="4" w:color="1A5276"/>
        </w:pBdr>
        <w:shd w:val="clear" w:color="auto" w:fill="EAF2F8"/>
        <w:tabs>
          <w:tab w:val="left" w:pos="1035"/>
        </w:tabs>
      </w:pPr>
      <w:r w:rsidRPr="00351274">
        <w:rPr>
          <w:rFonts w:eastAsia="Arial"/>
          <w:b/>
          <w:bCs/>
          <w:sz w:val="22"/>
          <w:szCs w:val="22"/>
        </w:rPr>
        <w:t/>
      </w:r>
      <w:r w:rsidRPr="00351274">
        <w:rPr>
          <w:rFonts w:eastAsia="Arial"/>
          <w:sz w:val="22"/>
          <w:szCs w:val="22"/>
        </w:rPr>
        <w:tab/>
      </w:r>
      <w:r w:rsidRPr="00351274">
        <w:rPr>
          <w:sz w:val="22"/>
          <w:szCs w:val="22"/>
        </w:rPr>
        <w:t/>
      </w:r>
    </w:p>
    <w:p w14:paraId="1047DA0F" w14:textId="77777777" w:rsidR="00CE5A15" w:rsidRPr="00351274" w:rsidRDefault="00423F7C">
      <w:pPr>
        <w:pBdr>
          <w:left w:val="thick" w:sz="12" w:space="4" w:color="1A5276"/>
          <w:bottom w:val="single" w:sz="4" w:space="4" w:color="1A5276"/>
          <w:right w:val="single" w:sz="4" w:space="4" w:color="1A5276"/>
        </w:pBdr>
        <w:shd w:val="clear" w:color="auto" w:fill="EAF2F8"/>
        <w:spacing w:before="60" w:after="120" w:line="300" w:lineRule="auto"/>
        <w:jc w:val="both"/>
      </w:pPr>
      <w:r w:rsidRPr="00351274">
        <w:rPr>
          <w:b/>
          <w:bCs/>
          <w:sz w:val="22"/>
          <w:szCs w:val="22"/>
        </w:rPr>
        <w:t xml:space="preserve"/>
      </w:r>
      <w:r w:rsidRPr="00351274">
        <w:rPr>
          <w:i/>
          <w:iCs/>
          <w:sz w:val="22"/>
          <w:szCs w:val="22"/>
        </w:rPr>
        <w:t/>
      </w:r>
    </w:p>
    <w:p w14:paraId="2F853B54" w14:textId="77777777" w:rsidR="00CE5A15" w:rsidRPr="00351274" w:rsidRDefault="00CE5A15">
      <w:pPr>
        <w:spacing w:before="60" w:after="60"/>
      </w:pPr>
    </w:p>
    <w:p w14:paraId="2541E31A"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 Introduction</w:t>
      </w:r>
    </w:p>
    <w:p w14:paraId="6BB23143"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 Overview of Coronary Artery Disease</w:t>
      </w:r>
    </w:p>
    <w:p w14:paraId="2E18C8DC" w14:textId="77777777" w:rsidR="00CE5A15" w:rsidRPr="00351274" w:rsidRDefault="00423F7C" w:rsidP="00351274">
      <w:pPr>
        <w:spacing w:before="60" w:after="80" w:line="360" w:lineRule="auto"/>
        <w:jc w:val="both"/>
      </w:pPr>
      <w:r w:rsidRPr="00351274">
        <w:t xml:space="preserve">Coronary artery disease (CAD), widely recognized as ischemic heart disease, arises when the coronary arteries undergo progressive narrowing or occlusion attributable to atherosclerotic plaque deposition. These plaques—composed of lipids, cholesterol, calcium, and inflammatory mediators—restrict myocardial perfusion, generating a mismatch between oxygen supply and demand [1]. Clinically, CAD presents along a spectrum ranging from stable angina and unstable angina to acute myocardial </w:t>
      </w:r>
      <w:r w:rsidRPr="00351274">
        <w:lastRenderedPageBreak/>
        <w:t>infarction and sudden cardiac death. The underlying atherosclerotic process often remains clinically silent for decades before overt manifestation [2].</w:t>
      </w:r>
    </w:p>
    <w:p w14:paraId="7846354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 Global and Regional Burden</w:t>
      </w:r>
    </w:p>
    <w:p w14:paraId="38780B77" w14:textId="77777777" w:rsidR="00CE5A15" w:rsidRPr="00351274" w:rsidRDefault="00423F7C" w:rsidP="00351274">
      <w:pPr>
        <w:spacing w:before="60" w:after="80" w:line="360" w:lineRule="auto"/>
        <w:jc w:val="both"/>
      </w:pPr>
      <w:r w:rsidRPr="00351274">
        <w:t>Cardiovascular diseases collectively account for approximately 19.8 million deaths each year—roughly one-third of all global mortality—with ischemic heart disease constituting a major proportion [1]. Nearly 254 million individuals are estimated to be living with ischemic heart disease, and approximately 9 million deaths were recorded from this condition in 2021 alone [3]. Despite reductions in age-standardized mortality in high-income countries, absolute case numbers continue to rise globally, driven by demographic aging, population growth, and lifestyle transitions.</w:t>
      </w:r>
    </w:p>
    <w:p w14:paraId="705CA021" w14:textId="77777777" w:rsidR="00CE5A15" w:rsidRPr="00351274" w:rsidRDefault="00423F7C" w:rsidP="00351274">
      <w:pPr>
        <w:spacing w:before="60" w:after="80" w:line="360" w:lineRule="auto"/>
        <w:jc w:val="both"/>
      </w:pPr>
      <w:r w:rsidRPr="00351274">
        <w:t>The burden is disproportionately concentrated in low- and middle-income countries (LMICs), which collectively account for more than three-quarters of global cardiovascular deaths. South Asia, Central Asia, and the Middle East report particularly elevated prevalence and fatality rates [3]. In India specifically, CAD contributes to nearly a quarter of all deaths, and the country bears approximately 20% of global myocardial infarction fatalities. Strikingly, CAD manifests at younger ages in Indians compared to Western populations—a pattern attributed to rapid urbanization, sedentary behaviors, high-calorie diets, rising diabetes and hypertension rates, and psychosocial stress [4,5].</w:t>
      </w:r>
    </w:p>
    <w:p w14:paraId="15619359"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1.3 Importance of Biochemical Markers</w:t>
      </w:r>
    </w:p>
    <w:p w14:paraId="5B5E6C3C" w14:textId="77777777" w:rsidR="00CE5A15" w:rsidRPr="00351274" w:rsidRDefault="00423F7C" w:rsidP="00351274">
      <w:pPr>
        <w:spacing w:before="60" w:after="80" w:line="360" w:lineRule="auto"/>
        <w:jc w:val="both"/>
      </w:pPr>
      <w:r w:rsidRPr="00351274">
        <w:t>Biochemical markers occupy a central position in the detection, characterization, and management of CAD. By reflecting diverse pathological pathways—lipid dysregulation, vascular inflammation, myocardial necrosis, glycemic disruption, and thrombosis—these markers facilitate identification of at-risk individuals prior to symptom onset. Parameters such as LDL cholesterol, high-sensitivity C-reactive protein (hs-CRP), and fasting glucose flag subclinical disease, while cardiac troponins provide definitive evidence of acute myocardial injury. Collectively, multi-marker assessment improves risk stratification, refines therapeutic targeting, and enhances prognostic precision in CAD [2,6].</w:t>
      </w:r>
    </w:p>
    <w:p w14:paraId="3AEDB712"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2. Pathophysiology of Coronary Artery Disease</w:t>
      </w:r>
    </w:p>
    <w:p w14:paraId="4C950B4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2.1 Atherosclerosis: The Underlying Process</w:t>
      </w:r>
    </w:p>
    <w:p w14:paraId="0CDE5F30" w14:textId="77777777" w:rsidR="00CE5A15" w:rsidRPr="00351274" w:rsidRDefault="00423F7C" w:rsidP="00351274">
      <w:pPr>
        <w:spacing w:before="60" w:after="80" w:line="360" w:lineRule="auto"/>
        <w:jc w:val="both"/>
      </w:pPr>
      <w:r w:rsidRPr="00351274">
        <w:t xml:space="preserve">Atherosclerosis constitutes the fundamental pathological substrate of CAD. It is a chronic, progressive inflammatory disease of medium and large arteries evolving through a sequence of well-defined steps. The process is initiated by endothelial injury from hemodynamic shear stress, hypertension, </w:t>
      </w:r>
      <w:r w:rsidRPr="00351274">
        <w:lastRenderedPageBreak/>
        <w:t>hyperglycemia, cigarette toxins, and dyslipidemia, which compromise the structural and functional integrity of the endothelium [7].</w:t>
      </w:r>
    </w:p>
    <w:p w14:paraId="49F67759" w14:textId="77777777" w:rsidR="00CE5A15" w:rsidRPr="00351274" w:rsidRDefault="00423F7C" w:rsidP="00351274">
      <w:pPr>
        <w:spacing w:before="60" w:after="80" w:line="360" w:lineRule="auto"/>
        <w:jc w:val="both"/>
      </w:pPr>
      <w:r w:rsidRPr="00351274">
        <w:t>Disrupted endothelial function increases arterial permeability, allowing low-density lipoprotein (LDL) particles to infiltrate the intima, where they undergo oxidative modification to form oxidized LDL (ox-LDL). Ox-LDL triggers endothelial expression of adhesion molecules (VCAM-1, ICAM-1) and chemokines that recruit circulating monocytes. Upon transmigration into the intima, monocytes differentiate into macrophages that avidly ingest ox-LDL, transforming into lipid-laden foam cells—the earliest microscopic hallmark of atherosclerosis [7,8].</w:t>
      </w:r>
    </w:p>
    <w:p w14:paraId="0F4D730B" w14:textId="77777777" w:rsidR="00CE5A15" w:rsidRPr="00351274" w:rsidRDefault="00423F7C" w:rsidP="00351274">
      <w:pPr>
        <w:spacing w:before="60" w:after="80" w:line="360" w:lineRule="auto"/>
        <w:jc w:val="both"/>
      </w:pPr>
      <w:r w:rsidRPr="00351274">
        <w:t>Progressive foam cell accumulation produces the fatty streak. Simultaneously, growth factors stimulate smooth muscle cell (SMC) migration from the media to the intima, where SMCs proliferate and synthesize collagen, elastin, and proteoglycans, forming a fibrous cap over the lipid-rich necrotic core. The resultant fibrous plaque progressively narrows the arterial lumen. Continued inflammatory activity—mediated by macrophages, T lymphocytes, and cytokines—destabilizes the plaque by thinning the fibrous cap, increasing the probability of rupture [8].</w:t>
      </w:r>
    </w:p>
    <w:p w14:paraId="29431B14" w14:textId="77777777" w:rsidR="00CE5A15" w:rsidRPr="00351274" w:rsidRDefault="00423F7C" w:rsidP="00351274">
      <w:pPr>
        <w:spacing w:before="60" w:after="80" w:line="360" w:lineRule="auto"/>
        <w:jc w:val="both"/>
      </w:pPr>
      <w:r w:rsidRPr="00351274">
        <w:t>Rupture of a vulnerable plaque exposes thrombogenic material—tissue factor, collagen, and necrotic debris—to circulating blood. Platelet adhesion and activation, followed by coagulation cascade engagement, generate an occlusive thrombus that precipitates acute coronary syndrome (ACS) [7].</w:t>
      </w:r>
    </w:p>
    <w:p w14:paraId="5DFB98C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2.2 Role of Endothelial Dysfunction</w:t>
      </w:r>
    </w:p>
    <w:p w14:paraId="181FD75E" w14:textId="77777777" w:rsidR="00CE5A15" w:rsidRPr="00351274" w:rsidRDefault="00423F7C" w:rsidP="00351274">
      <w:pPr>
        <w:spacing w:before="60" w:after="80" w:line="360" w:lineRule="auto"/>
        <w:jc w:val="both"/>
      </w:pPr>
      <w:r w:rsidRPr="00351274">
        <w:t>The vascular endothelium is a metabolically active monolayer that maintains vascular homeostasis through the secretion of vasoactive substances, anticoagulants, and anti-inflammatory mediators. Nitric oxide (NO), the principal vasodilator produced by endothelial nitric oxide synthase (</w:t>
      </w:r>
      <w:proofErr w:type="spellStart"/>
      <w:r w:rsidRPr="00351274">
        <w:t>eNOS</w:t>
      </w:r>
      <w:proofErr w:type="spellEnd"/>
      <w:r w:rsidRPr="00351274">
        <w:t>), suppresses platelet aggregation, inhibits leukocyte adhesion, and limits smooth muscle proliferation [8].</w:t>
      </w:r>
    </w:p>
    <w:p w14:paraId="1895EDEB" w14:textId="77777777" w:rsidR="00CE5A15" w:rsidRPr="00351274" w:rsidRDefault="00423F7C" w:rsidP="00351274">
      <w:pPr>
        <w:spacing w:before="60" w:after="80" w:line="360" w:lineRule="auto"/>
        <w:jc w:val="both"/>
      </w:pPr>
      <w:r w:rsidRPr="00351274">
        <w:t>Endothelial dysfunction is characterized by diminished NO bioavailability, enhanced secretion of vasoconstrictor endothelin-1, upregulation of adhesion molecules, and a shift toward a pro-thrombotic, pro-inflammatory phenotype. The resulting impairment of vascular tone, barrier function, and anti-thrombotic properties accelerates all stages of atherogenesis. Major risk factors—hypertension, diabetes mellitus, dyslipidemia, obesity, and tobacco use—converge on the endothelium to perpetuate this dysfunctional state [7,8].</w:t>
      </w:r>
    </w:p>
    <w:p w14:paraId="4AD50FC3" w14:textId="77777777" w:rsidR="00CE5A15" w:rsidRPr="00351274" w:rsidRDefault="00CE5A15">
      <w:pPr>
        <w:spacing w:before="60" w:after="60"/>
      </w:pPr>
    </w:p>
    <w:p w14:paraId="6ACA78F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lastRenderedPageBreak/>
        <w:t>2.3 Inflammation and Oxidative Stress</w:t>
      </w:r>
    </w:p>
    <w:p w14:paraId="748E8BDE" w14:textId="77777777" w:rsidR="00CE5A15" w:rsidRPr="00351274" w:rsidRDefault="00423F7C" w:rsidP="00351274">
      <w:pPr>
        <w:spacing w:before="60" w:after="80" w:line="360" w:lineRule="auto"/>
        <w:jc w:val="both"/>
      </w:pPr>
      <w:r w:rsidRPr="00351274">
        <w:t>Modern understanding positions atherosclerosis as fundamentally an inflammatory disease. Pro-inflammatory cytokines—interleukin-6 (IL-6), tumor necrosis factor-alpha (TNF-α), and interleukin-1β (IL-1β)—sustain arterial wall inflammation, promote foam cell formation, and weaken the fibrous plaque cap. T-helper cells and regulatory T cells modulate these responses, determining plaque stability [9].</w:t>
      </w:r>
    </w:p>
    <w:p w14:paraId="1B98A715" w14:textId="77777777" w:rsidR="00CE5A15" w:rsidRPr="00351274" w:rsidRDefault="00423F7C" w:rsidP="00351274">
      <w:pPr>
        <w:spacing w:before="60" w:after="80" w:line="360" w:lineRule="auto"/>
        <w:jc w:val="both"/>
      </w:pPr>
      <w:r w:rsidRPr="00351274">
        <w:t>Oxidative stress—arising from excess reactive oxygen species (ROS) generated by NADPH oxidase, xanthine oxidase, and dysfunctional mitochondria—amplifies inflammatory signaling and drives lipid peroxidation. Oxidized lipids impair NO signaling, activate transcription factor NF-</w:t>
      </w:r>
      <w:proofErr w:type="spellStart"/>
      <w:r w:rsidRPr="00351274">
        <w:t>κB</w:t>
      </w:r>
      <w:proofErr w:type="spellEnd"/>
      <w:r w:rsidRPr="00351274">
        <w:t>, and enhance leukocyte recruitment. Inflammation and oxidative stress thus engage in a mutually reinforcing cycle that drives atherosclerosis from endothelial dysfunction through plaque progression to eventual rupture [9].</w:t>
      </w:r>
    </w:p>
    <w:p w14:paraId="41684EE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2.4 Plaque Types and Clinical Correlation</w:t>
      </w:r>
    </w:p>
    <w:p w14:paraId="59A77AE3" w14:textId="77777777" w:rsidR="00CE5A15" w:rsidRPr="00351274" w:rsidRDefault="00423F7C" w:rsidP="00351274">
      <w:pPr>
        <w:spacing w:before="60" w:after="80" w:line="360" w:lineRule="auto"/>
        <w:jc w:val="both"/>
      </w:pPr>
      <w:r w:rsidRPr="00351274">
        <w:t>Atherosclerotic plaques differ considerably in their propensity to produce clinical events. Stable plaques possess a thick fibrous cap, a small necrotic core, and relatively quiescent inflammation; they cause progressive luminal narrowing manifesting as stable angina. In contrast, vulnerable (unstable) plaques harbor a thin fibrous cap, a large lipid-rich core, and abundant inflammatory infiltrate, rendering them prone to erosion or rupture. When rupture occurs, the resulting thrombus may partially or completely occlude the vessel, producing unstable angina, non-ST-elevation MI (NSTEMI), or ST-elevation MI (STEMI) depending on the degree of occlusion [10].</w:t>
      </w:r>
    </w:p>
    <w:p w14:paraId="7F05D91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3. Traditional Biochemical Risk Factors</w:t>
      </w:r>
    </w:p>
    <w:p w14:paraId="1E67502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3.1 Lipid Profile</w:t>
      </w:r>
    </w:p>
    <w:p w14:paraId="7C79E21E" w14:textId="77777777" w:rsidR="00CE5A15" w:rsidRPr="00351274" w:rsidRDefault="00423F7C" w:rsidP="00351274">
      <w:pPr>
        <w:spacing w:before="60" w:after="80" w:line="360" w:lineRule="auto"/>
        <w:jc w:val="both"/>
      </w:pPr>
      <w:r w:rsidRPr="00351274">
        <w:t>The lipid panel is the cornerstone biochemical assessment in CAD evaluation. Its components reflect distinct aspects of lipid metabolism and carry independent predictive value for cardiovascular events.</w:t>
      </w:r>
    </w:p>
    <w:p w14:paraId="5F14694A"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3.1.1 Total Cholesterol (TC)</w:t>
      </w:r>
    </w:p>
    <w:p w14:paraId="2D183797" w14:textId="77777777" w:rsidR="00CE5A15" w:rsidRPr="00351274" w:rsidRDefault="00423F7C" w:rsidP="00351274">
      <w:pPr>
        <w:spacing w:before="60" w:after="80" w:line="360" w:lineRule="auto"/>
        <w:jc w:val="both"/>
      </w:pPr>
      <w:r w:rsidRPr="00351274">
        <w:t>Total cholesterol represents the aggregate of all circulating cholesterol fractions. A desirable level falls below 200 mg/dL. Elevated TC is associated with a heightened CAD risk, though isolated TC measurement offers limited specificity compared to individual subfractions [11].</w:t>
      </w:r>
    </w:p>
    <w:p w14:paraId="1519716D" w14:textId="77777777" w:rsidR="00CE5A15" w:rsidRPr="00351274" w:rsidRDefault="00CE5A15">
      <w:pPr>
        <w:spacing w:before="60" w:after="60"/>
      </w:pPr>
    </w:p>
    <w:p w14:paraId="0C2126B6"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lastRenderedPageBreak/>
        <w:t>3.1.2 Low-Density Lipoprotein Cholesterol (LDL-C)</w:t>
      </w:r>
    </w:p>
    <w:p w14:paraId="6ED6CBDC" w14:textId="77777777" w:rsidR="00CE5A15" w:rsidRPr="00351274" w:rsidRDefault="00423F7C" w:rsidP="00351274">
      <w:pPr>
        <w:spacing w:before="60" w:after="80" w:line="360" w:lineRule="auto"/>
        <w:jc w:val="both"/>
      </w:pPr>
      <w:r w:rsidRPr="00351274">
        <w:t>LDL-C is the principal atherogenic lipoprotein fraction and remains the primary therapeutic target in CAD. LDL particles transport cholesterol from the liver to peripheral tissues and penetrate the endothelium under pro-inflammatory conditions. Oxidative modification to ox-LDL triggers macrophage uptake and foam cell formation. The optimal target is below 100 mg/dL for standard-risk patients, and below 70 mg/dL in those with established CVD or diabetes [11,12]. Small, dense LDL particles—enriched in atherogenic phospholipids—demonstrate greater propensity to penetrate arterial walls, undergo oxidation, and bind arterial proteoglycans, conferring disproportionately elevated cardiovascular risk.</w:t>
      </w:r>
    </w:p>
    <w:p w14:paraId="5DE80F0F"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3.1.3 High-Density Lipoprotein Cholesterol (HDL-C)</w:t>
      </w:r>
    </w:p>
    <w:p w14:paraId="2A969D00" w14:textId="1D47C391" w:rsidR="00CE5A15" w:rsidRPr="00351274" w:rsidRDefault="00423F7C" w:rsidP="00351274">
      <w:pPr>
        <w:spacing w:before="60" w:after="80" w:line="360" w:lineRule="auto"/>
        <w:jc w:val="both"/>
      </w:pPr>
      <w:r w:rsidRPr="00351274">
        <w:t xml:space="preserve">HDL-C is the primary </w:t>
      </w:r>
      <w:r w:rsidR="00351274" w:rsidRPr="00351274">
        <w:t>Ather protective</w:t>
      </w:r>
      <w:r w:rsidRPr="00351274">
        <w:t xml:space="preserve"> lipoprotein, mediating reverse cholesterol transport from peripheral tissues back to the hepatic compartment for excretion. Beyond cholesterol efflux, HDL exerts anti-inflammatory, antioxidant, and antithrombotic effects on the vascular endothelium. Normal reference values exceed 40 mg/dL in men and 50 mg/dL in women; levels below these thresholds independently augment CAD risk [11].</w:t>
      </w:r>
    </w:p>
    <w:p w14:paraId="18279299"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3.1.4 Triglycerides (TG) and VLDL</w:t>
      </w:r>
    </w:p>
    <w:p w14:paraId="412FA643" w14:textId="77777777" w:rsidR="00CE5A15" w:rsidRPr="00351274" w:rsidRDefault="00423F7C" w:rsidP="00351274">
      <w:pPr>
        <w:spacing w:before="60" w:after="80" w:line="360" w:lineRule="auto"/>
        <w:jc w:val="both"/>
      </w:pPr>
      <w:r w:rsidRPr="00351274">
        <w:t>Triglycerides, the predominant form of stored energy lipid, are packaged in very low-density lipoprotein (VLDL) for hepatic secretion. Elevated TG (≥150 mg/dL) correlates with increased VLDL production and the generation of small, dense LDL. Hypertriglyceridemia frequently accompanies metabolic syndrome, type 2 diabetes, and visceral adiposity, and independently increases cardiovascular risk in the context of other dyslipidemia components [5,11].</w:t>
      </w:r>
    </w:p>
    <w:p w14:paraId="5C0A3866" w14:textId="77777777" w:rsidR="00CE5A15" w:rsidRPr="00351274" w:rsidRDefault="00CE5A15">
      <w:pPr>
        <w:spacing w:before="60" w:after="60"/>
      </w:pPr>
    </w:p>
    <w:p w14:paraId="0F2275A7" w14:textId="77777777" w:rsidR="00CE5A15" w:rsidRPr="00351274" w:rsidRDefault="00423F7C">
      <w:pPr>
        <w:spacing w:before="120" w:after="60"/>
        <w:jc w:val="center"/>
      </w:pPr>
      <w:r w:rsidRPr="00351274">
        <w:rPr>
          <w:rFonts w:eastAsia="Arial"/>
          <w:b/>
          <w:bCs/>
          <w:sz w:val="22"/>
          <w:szCs w:val="22"/>
        </w:rPr>
        <w:t>Table 1: Lipid Profile Reference Values and Cardiovascular Risk Association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CE5A15" w:rsidRPr="00351274" w14:paraId="13379B90" w14:textId="77777777">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8083DEB" w14:textId="77777777" w:rsidR="00CE5A15" w:rsidRPr="00351274" w:rsidRDefault="00423F7C">
            <w:pPr>
              <w:jc w:val="center"/>
            </w:pPr>
            <w:r w:rsidRPr="00351274">
              <w:rPr>
                <w:rFonts w:eastAsia="Arial"/>
                <w:b/>
                <w:bCs/>
                <w:sz w:val="20"/>
                <w:szCs w:val="20"/>
              </w:rPr>
              <w:t>Parameter</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2F3C2754" w14:textId="77777777" w:rsidR="00CE5A15" w:rsidRPr="00351274" w:rsidRDefault="00423F7C">
            <w:pPr>
              <w:jc w:val="center"/>
            </w:pPr>
            <w:r w:rsidRPr="00351274">
              <w:rPr>
                <w:rFonts w:eastAsia="Arial"/>
                <w:b/>
                <w:bCs/>
                <w:sz w:val="20"/>
                <w:szCs w:val="20"/>
              </w:rPr>
              <w:t>Normal Range</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1BD9BE1" w14:textId="77777777" w:rsidR="00CE5A15" w:rsidRPr="00351274" w:rsidRDefault="00423F7C">
            <w:pPr>
              <w:jc w:val="center"/>
            </w:pPr>
            <w:r w:rsidRPr="00351274">
              <w:rPr>
                <w:rFonts w:eastAsia="Arial"/>
                <w:b/>
                <w:bCs/>
                <w:sz w:val="20"/>
                <w:szCs w:val="20"/>
              </w:rPr>
              <w:t>Borderline High</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5211E2D3" w14:textId="77777777" w:rsidR="00CE5A15" w:rsidRPr="00351274" w:rsidRDefault="00423F7C">
            <w:pPr>
              <w:jc w:val="center"/>
            </w:pPr>
            <w:r w:rsidRPr="00351274">
              <w:rPr>
                <w:rFonts w:eastAsia="Arial"/>
                <w:b/>
                <w:bCs/>
                <w:sz w:val="20"/>
                <w:szCs w:val="20"/>
              </w:rPr>
              <w:t>High Risk</w:t>
            </w:r>
          </w:p>
        </w:tc>
      </w:tr>
      <w:tr w:rsidR="00CE5A15" w:rsidRPr="00351274" w14:paraId="3F5CBB55"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7578DCC" w14:textId="77777777" w:rsidR="00CE5A15" w:rsidRPr="00351274" w:rsidRDefault="00423F7C">
            <w:pPr>
              <w:jc w:val="center"/>
            </w:pPr>
            <w:r w:rsidRPr="00351274">
              <w:rPr>
                <w:sz w:val="20"/>
                <w:szCs w:val="20"/>
              </w:rPr>
              <w:t>Total Cholesterol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4E7A493" w14:textId="77777777" w:rsidR="00CE5A15" w:rsidRPr="00351274" w:rsidRDefault="00423F7C">
            <w:pPr>
              <w:jc w:val="center"/>
            </w:pPr>
            <w:r w:rsidRPr="00351274">
              <w:rPr>
                <w:sz w:val="20"/>
                <w:szCs w:val="20"/>
              </w:rPr>
              <w:t>&lt; 200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5A17098" w14:textId="77777777" w:rsidR="00CE5A15" w:rsidRPr="00351274" w:rsidRDefault="00423F7C">
            <w:pPr>
              <w:jc w:val="center"/>
            </w:pPr>
            <w:r w:rsidRPr="00351274">
              <w:rPr>
                <w:sz w:val="20"/>
                <w:szCs w:val="20"/>
              </w:rPr>
              <w:t>200–239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D696537" w14:textId="77777777" w:rsidR="00CE5A15" w:rsidRPr="00351274" w:rsidRDefault="00423F7C">
            <w:pPr>
              <w:jc w:val="center"/>
            </w:pPr>
            <w:r w:rsidRPr="00351274">
              <w:rPr>
                <w:sz w:val="20"/>
                <w:szCs w:val="20"/>
              </w:rPr>
              <w:t>≥ 240 mg/dL</w:t>
            </w:r>
          </w:p>
        </w:tc>
      </w:tr>
      <w:tr w:rsidR="00CE5A15" w:rsidRPr="00351274" w14:paraId="12910C43"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8B893D" w14:textId="77777777" w:rsidR="00CE5A15" w:rsidRPr="00351274" w:rsidRDefault="00423F7C">
            <w:pPr>
              <w:jc w:val="center"/>
            </w:pPr>
            <w:r w:rsidRPr="00351274">
              <w:rPr>
                <w:sz w:val="20"/>
                <w:szCs w:val="20"/>
              </w:rPr>
              <w:t>LDL-C</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1CCF6F" w14:textId="77777777" w:rsidR="00CE5A15" w:rsidRPr="00351274" w:rsidRDefault="00423F7C">
            <w:pPr>
              <w:jc w:val="center"/>
            </w:pPr>
            <w:r w:rsidRPr="00351274">
              <w:rPr>
                <w:sz w:val="20"/>
                <w:szCs w:val="20"/>
              </w:rPr>
              <w:t>&lt; 100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4ED335" w14:textId="77777777" w:rsidR="00CE5A15" w:rsidRPr="00351274" w:rsidRDefault="00423F7C">
            <w:pPr>
              <w:jc w:val="center"/>
            </w:pPr>
            <w:r w:rsidRPr="00351274">
              <w:rPr>
                <w:sz w:val="20"/>
                <w:szCs w:val="20"/>
              </w:rPr>
              <w:t>100–129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0951B9" w14:textId="77777777" w:rsidR="00CE5A15" w:rsidRPr="00351274" w:rsidRDefault="00423F7C">
            <w:pPr>
              <w:jc w:val="center"/>
            </w:pPr>
            <w:r w:rsidRPr="00351274">
              <w:rPr>
                <w:sz w:val="20"/>
                <w:szCs w:val="20"/>
              </w:rPr>
              <w:t>≥ 130 mg/dL</w:t>
            </w:r>
          </w:p>
        </w:tc>
      </w:tr>
      <w:tr w:rsidR="00CE5A15" w:rsidRPr="00351274" w14:paraId="36E949BC"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19028F3" w14:textId="77777777" w:rsidR="00CE5A15" w:rsidRPr="00351274" w:rsidRDefault="00423F7C">
            <w:pPr>
              <w:jc w:val="center"/>
            </w:pPr>
            <w:r w:rsidRPr="00351274">
              <w:rPr>
                <w:sz w:val="20"/>
                <w:szCs w:val="20"/>
              </w:rPr>
              <w:t>HDL-C (Men)</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27FDE79" w14:textId="77777777" w:rsidR="00CE5A15" w:rsidRPr="00351274" w:rsidRDefault="00423F7C">
            <w:pPr>
              <w:jc w:val="center"/>
            </w:pPr>
            <w:r w:rsidRPr="00351274">
              <w:rPr>
                <w:sz w:val="20"/>
                <w:szCs w:val="20"/>
              </w:rPr>
              <w:t>&gt; 40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E86ACE3" w14:textId="77777777" w:rsidR="00CE5A15" w:rsidRPr="00351274" w:rsidRDefault="00423F7C">
            <w:pPr>
              <w:jc w:val="center"/>
            </w:pPr>
            <w:r w:rsidRPr="00351274">
              <w:rPr>
                <w:sz w:val="20"/>
                <w:szCs w:val="20"/>
              </w:rPr>
              <w:t>35–40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FA34DB6" w14:textId="77777777" w:rsidR="00CE5A15" w:rsidRPr="00351274" w:rsidRDefault="00423F7C">
            <w:pPr>
              <w:jc w:val="center"/>
            </w:pPr>
            <w:r w:rsidRPr="00351274">
              <w:rPr>
                <w:sz w:val="20"/>
                <w:szCs w:val="20"/>
              </w:rPr>
              <w:t>&lt; 35 mg/dL</w:t>
            </w:r>
          </w:p>
        </w:tc>
      </w:tr>
      <w:tr w:rsidR="00CE5A15" w:rsidRPr="00351274" w14:paraId="364FCEA7"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BE8CA3" w14:textId="77777777" w:rsidR="00CE5A15" w:rsidRPr="00351274" w:rsidRDefault="00423F7C">
            <w:pPr>
              <w:jc w:val="center"/>
            </w:pPr>
            <w:r w:rsidRPr="00351274">
              <w:rPr>
                <w:sz w:val="20"/>
                <w:szCs w:val="20"/>
              </w:rPr>
              <w:t>HDL-C (Women)</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260CCC" w14:textId="77777777" w:rsidR="00CE5A15" w:rsidRPr="00351274" w:rsidRDefault="00423F7C">
            <w:pPr>
              <w:jc w:val="center"/>
            </w:pPr>
            <w:r w:rsidRPr="00351274">
              <w:rPr>
                <w:sz w:val="20"/>
                <w:szCs w:val="20"/>
              </w:rPr>
              <w:t>&gt; 50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C5E82B" w14:textId="77777777" w:rsidR="00CE5A15" w:rsidRPr="00351274" w:rsidRDefault="00423F7C">
            <w:pPr>
              <w:jc w:val="center"/>
            </w:pPr>
            <w:r w:rsidRPr="00351274">
              <w:rPr>
                <w:sz w:val="20"/>
                <w:szCs w:val="20"/>
              </w:rPr>
              <w:t>45–50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688F57" w14:textId="77777777" w:rsidR="00CE5A15" w:rsidRPr="00351274" w:rsidRDefault="00423F7C">
            <w:pPr>
              <w:jc w:val="center"/>
            </w:pPr>
            <w:r w:rsidRPr="00351274">
              <w:rPr>
                <w:sz w:val="20"/>
                <w:szCs w:val="20"/>
              </w:rPr>
              <w:t>&lt; 45 mg/dL</w:t>
            </w:r>
          </w:p>
        </w:tc>
      </w:tr>
      <w:tr w:rsidR="00CE5A15" w:rsidRPr="00351274" w14:paraId="10B20647"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EB7B28A" w14:textId="77777777" w:rsidR="00CE5A15" w:rsidRPr="00351274" w:rsidRDefault="00423F7C">
            <w:pPr>
              <w:jc w:val="center"/>
            </w:pPr>
            <w:r w:rsidRPr="00351274">
              <w:rPr>
                <w:sz w:val="20"/>
                <w:szCs w:val="20"/>
              </w:rPr>
              <w:t>Triglycerides</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84911C0" w14:textId="77777777" w:rsidR="00CE5A15" w:rsidRPr="00351274" w:rsidRDefault="00423F7C">
            <w:pPr>
              <w:jc w:val="center"/>
            </w:pPr>
            <w:r w:rsidRPr="00351274">
              <w:rPr>
                <w:sz w:val="20"/>
                <w:szCs w:val="20"/>
              </w:rPr>
              <w:t>&lt; 150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63AE6BE" w14:textId="77777777" w:rsidR="00CE5A15" w:rsidRPr="00351274" w:rsidRDefault="00423F7C">
            <w:pPr>
              <w:jc w:val="center"/>
            </w:pPr>
            <w:r w:rsidRPr="00351274">
              <w:rPr>
                <w:sz w:val="20"/>
                <w:szCs w:val="20"/>
              </w:rPr>
              <w:t>150–199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1CB2C165" w14:textId="77777777" w:rsidR="00CE5A15" w:rsidRPr="00351274" w:rsidRDefault="00423F7C">
            <w:pPr>
              <w:jc w:val="center"/>
            </w:pPr>
            <w:r w:rsidRPr="00351274">
              <w:rPr>
                <w:sz w:val="20"/>
                <w:szCs w:val="20"/>
              </w:rPr>
              <w:t>≥ 200 mg/dL</w:t>
            </w:r>
          </w:p>
        </w:tc>
      </w:tr>
      <w:tr w:rsidR="00CE5A15" w:rsidRPr="00351274" w14:paraId="50C72CD3"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A78951" w14:textId="77777777" w:rsidR="00CE5A15" w:rsidRPr="00351274" w:rsidRDefault="00423F7C">
            <w:pPr>
              <w:jc w:val="center"/>
            </w:pPr>
            <w:r w:rsidRPr="00351274">
              <w:rPr>
                <w:sz w:val="20"/>
                <w:szCs w:val="20"/>
              </w:rPr>
              <w:t>VLDL-C (est.)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4BB2C1" w14:textId="77777777" w:rsidR="00CE5A15" w:rsidRPr="00351274" w:rsidRDefault="00423F7C">
            <w:pPr>
              <w:jc w:val="center"/>
            </w:pPr>
            <w:r w:rsidRPr="00351274">
              <w:rPr>
                <w:sz w:val="20"/>
                <w:szCs w:val="20"/>
              </w:rPr>
              <w:t>&lt; 30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157725" w14:textId="77777777" w:rsidR="00CE5A15" w:rsidRPr="00351274" w:rsidRDefault="00423F7C">
            <w:pPr>
              <w:jc w:val="center"/>
            </w:pPr>
            <w:r w:rsidRPr="00351274">
              <w:rPr>
                <w:sz w:val="20"/>
                <w:szCs w:val="20"/>
              </w:rPr>
              <w:t>30–40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88A8F8" w14:textId="77777777" w:rsidR="00CE5A15" w:rsidRPr="00351274" w:rsidRDefault="00423F7C">
            <w:pPr>
              <w:jc w:val="center"/>
            </w:pPr>
            <w:r w:rsidRPr="00351274">
              <w:rPr>
                <w:sz w:val="20"/>
                <w:szCs w:val="20"/>
              </w:rPr>
              <w:t>&gt; 40 mg/dL</w:t>
            </w:r>
          </w:p>
        </w:tc>
      </w:tr>
    </w:tbl>
    <w:p w14:paraId="040F88E0" w14:textId="77777777" w:rsidR="00CE5A15" w:rsidRPr="00351274" w:rsidRDefault="00CE5A15">
      <w:pPr>
        <w:spacing w:before="60" w:after="60"/>
      </w:pPr>
    </w:p>
    <w:p w14:paraId="6302B44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lastRenderedPageBreak/>
        <w:t>3.2 Dyslipidemia Patterns</w:t>
      </w:r>
    </w:p>
    <w:p w14:paraId="79CA8C10" w14:textId="77777777" w:rsidR="00CE5A15" w:rsidRPr="00351274" w:rsidRDefault="00423F7C" w:rsidP="00351274">
      <w:pPr>
        <w:spacing w:before="60" w:after="80" w:line="360" w:lineRule="auto"/>
        <w:jc w:val="both"/>
      </w:pPr>
      <w:r w:rsidRPr="00351274">
        <w:t>Atherogenic dyslipidemia—characterized by elevated triglycerides, low HDL-C, and a preponderance of small dense LDL particles—represents a particularly high-risk phenotype commonly encountered in patients with insulin resistance, type 2 diabetes, and metabolic syndrome. Clinically useful risk ratios include the TC/HDL ratio (ideal &lt;4.0) and the LDL/HDL ratio, both of which convey information beyond individual lipid fractions [5,11].</w:t>
      </w:r>
    </w:p>
    <w:p w14:paraId="5275EFE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4. Inflammatory Markers</w:t>
      </w:r>
    </w:p>
    <w:p w14:paraId="11826C3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4.1 High-Sensitivity C-Reactive Protein (hs-CRP)</w:t>
      </w:r>
    </w:p>
    <w:p w14:paraId="537DF290" w14:textId="77777777" w:rsidR="00CE5A15" w:rsidRPr="00351274" w:rsidRDefault="00423F7C" w:rsidP="00351274">
      <w:pPr>
        <w:spacing w:before="60" w:after="80" w:line="360" w:lineRule="auto"/>
        <w:jc w:val="both"/>
      </w:pPr>
      <w:r w:rsidRPr="00351274">
        <w:t>C-reactive protein is an acute-phase reactant synthesized in the liver in response to IL-6 stimulation. High-sensitivity assays (hs-CRP) detect the low-grade, chronic inflammation characteristic of atherosclerosis. Clinically, hs-CRP stratifies cardiovascular risk independent of standard lipid parameters: concentrations below 1 mg/L denote low risk, 1–3 mg/L moderate risk, and above 3 mg/L high risk, according to AHA/CDC guidelines [1,9].</w:t>
      </w:r>
    </w:p>
    <w:p w14:paraId="21CF58D4" w14:textId="77777777" w:rsidR="00CE5A15" w:rsidRPr="00351274" w:rsidRDefault="00423F7C" w:rsidP="00351274">
      <w:pPr>
        <w:spacing w:before="60" w:after="80" w:line="360" w:lineRule="auto"/>
        <w:jc w:val="both"/>
      </w:pPr>
      <w:r w:rsidRPr="00351274">
        <w:t xml:space="preserve">Mechanistically, hs-CRP promotes endothelial dysfunction by downregulating </w:t>
      </w:r>
      <w:proofErr w:type="spellStart"/>
      <w:r w:rsidRPr="00351274">
        <w:t>eNOS</w:t>
      </w:r>
      <w:proofErr w:type="spellEnd"/>
      <w:r w:rsidRPr="00351274">
        <w:t>, upregulating adhesion molecules, facilitating LDL uptake by macrophages, and activating complement pathways that contribute to plaque progression and instability. Its utility is greatest in intermediate-risk patients where additional risk discrimination guides therapeutic decisions [1,6].</w:t>
      </w:r>
    </w:p>
    <w:p w14:paraId="5E48478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4.2 Interleukin-6 (IL-6)</w:t>
      </w:r>
    </w:p>
    <w:p w14:paraId="15EC3E31" w14:textId="77777777" w:rsidR="00CE5A15" w:rsidRPr="00351274" w:rsidRDefault="00423F7C" w:rsidP="00351274">
      <w:pPr>
        <w:spacing w:before="60" w:after="80" w:line="360" w:lineRule="auto"/>
        <w:jc w:val="both"/>
      </w:pPr>
      <w:r w:rsidRPr="00351274">
        <w:t>IL-6 is a pleiotropic cytokine produced by macrophages, endothelial cells, adipocytes, and T lymphocytes. It orchestrates the acute-phase response by inducing hepatic CRP synthesis and stimulating leukocyte recruitment into the arterial wall. Elevated circulating IL-6 is independently associated with incident CAD and adverse outcomes following acute coronary events [9]. It also promotes smooth muscle cell proliferation, contributing directly to plaque enlargement. While not yet a routine clinical test, IL-6 holds significance as a prognostic and mechanistic biomarker in CAD research [6].</w:t>
      </w:r>
    </w:p>
    <w:p w14:paraId="4C278F4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4.3 Tumor Necrosis Factor-Alpha (TNF-α)</w:t>
      </w:r>
    </w:p>
    <w:p w14:paraId="24B01572" w14:textId="77777777" w:rsidR="00CE5A15" w:rsidRPr="00351274" w:rsidRDefault="00423F7C" w:rsidP="00351274">
      <w:pPr>
        <w:spacing w:before="60" w:after="80" w:line="360" w:lineRule="auto"/>
        <w:jc w:val="both"/>
      </w:pPr>
      <w:r w:rsidRPr="00351274">
        <w:t xml:space="preserve">TNF-α, released principally by activated macrophages and T lymphocytes, functions as a pivotal mediator of vascular inflammation. It induces expression of VCAM-1 and ICAM-1, facilitates leukocyte transmigration, promotes endothelial apoptosis, and generates superoxide anions that </w:t>
      </w:r>
      <w:r w:rsidRPr="00351274">
        <w:lastRenderedPageBreak/>
        <w:t>quench NO. Elevated TNF-α is associated with plaque vulnerability, insulin resistance, and heart failure progression. Its concentrations are characteristically elevated in metabolic syndrome, supporting the mechanistic linkage between adipose tissue inflammation and accelerated atherogenesis [9].</w:t>
      </w:r>
    </w:p>
    <w:p w14:paraId="5DA53121"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5. Cardiac Biomarkers</w:t>
      </w:r>
    </w:p>
    <w:p w14:paraId="255AB80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5.1 Cardiac Troponins (cTnT and cTnI)</w:t>
      </w:r>
    </w:p>
    <w:p w14:paraId="245198E4" w14:textId="77777777" w:rsidR="00CE5A15" w:rsidRPr="00351274" w:rsidRDefault="00423F7C" w:rsidP="00351274">
      <w:pPr>
        <w:spacing w:before="60" w:after="80" w:line="360" w:lineRule="auto"/>
        <w:jc w:val="both"/>
      </w:pPr>
      <w:r w:rsidRPr="00351274">
        <w:t>Cardiac troponins T and I are regulatory proteins integral to the contractile apparatus of cardiomyocytes. Their high cardiac-tissue specificity renders them the gold-standard biomarkers for diagnosing myocardial injury. Following myocardial infarction, troponins enter the circulation within 3–6 hours, peak at 12–24 hours, and remain detectable for 7–14 days, providing an extended diagnostic window [2,6].</w:t>
      </w:r>
    </w:p>
    <w:p w14:paraId="696321D7" w14:textId="77777777" w:rsidR="00CE5A15" w:rsidRPr="00351274" w:rsidRDefault="00423F7C" w:rsidP="00351274">
      <w:pPr>
        <w:spacing w:before="60" w:after="80" w:line="360" w:lineRule="auto"/>
        <w:jc w:val="both"/>
      </w:pPr>
      <w:r w:rsidRPr="00351274">
        <w:t>High-sensitivity troponin assays (hs-cTn) substantially lower the detection threshold, enabling identification of subclinical myocardial injury and supporting 0h/1h or 0h/2h rule-in/rule-out protocols in the emergency setting. Beyond acute MI diagnosis, elevated hs-cTn in stable CAD patients signals subclinical myocardial damage and portends adverse prognosis, guiding decisions regarding intensified monitoring or intervention [6].</w:t>
      </w:r>
    </w:p>
    <w:p w14:paraId="3CA6594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5.2 Creatine Kinase-MB (CK-MB)</w:t>
      </w:r>
    </w:p>
    <w:p w14:paraId="54BBDA59" w14:textId="77777777" w:rsidR="00CE5A15" w:rsidRPr="00351274" w:rsidRDefault="00423F7C" w:rsidP="00351274">
      <w:pPr>
        <w:spacing w:before="60" w:after="80" w:line="360" w:lineRule="auto"/>
        <w:jc w:val="both"/>
      </w:pPr>
      <w:r w:rsidRPr="00351274">
        <w:t>CK-MB, the cardiac isoform of creatine kinase, was historically the primary MI biomarker before the advent of troponin assays. It rises within 3–6 hours of infarction, peaks at 12–24 hours, and normalizes within 48–72 hours—a faster clearance profile than troponin that remains useful for detecting reinfarction (recurrent elevation after initial normalization). Its lower cardiac specificity compared to troponin limits its diagnostic primacy; it may be elevated following skeletal muscle injury, cardiac surgery, or direct current cardioversion [2].</w:t>
      </w:r>
    </w:p>
    <w:p w14:paraId="370122C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5.3 Brain Natriuretic Peptide (BNP) and NT-proBNP</w:t>
      </w:r>
    </w:p>
    <w:p w14:paraId="41A12DA6" w14:textId="77777777" w:rsidR="00CE5A15" w:rsidRPr="00351274" w:rsidRDefault="00423F7C" w:rsidP="00351274">
      <w:pPr>
        <w:spacing w:before="60" w:after="80" w:line="360" w:lineRule="auto"/>
        <w:jc w:val="both"/>
      </w:pPr>
      <w:r w:rsidRPr="00351274">
        <w:t xml:space="preserve">BNP is a neurohormone secreted by ventricular cardiomyocytes in response to wall stress from pressure or volume overload. Its inactive cleavage fragment, NT-proBNP, exhibits a longer half-life and greater analytical stability. These peptides promote natriuresis, vasodilation, and suppression of the renin–angiotensin–aldosterone axis [2]. While not markers of acute ischemia per se, BNP and NT-proBNP are elevated in heart failure complicating CAD, post-MI ventricular dysfunction, and severe </w:t>
      </w:r>
      <w:r w:rsidRPr="00351274">
        <w:lastRenderedPageBreak/>
        <w:t>coronary ischemia. Higher concentrations predict adverse cardiovascular outcomes and guide heart failure therapy titration [2,6].</w:t>
      </w:r>
    </w:p>
    <w:p w14:paraId="5F6119F6" w14:textId="77777777" w:rsidR="00CE5A15" w:rsidRPr="00351274" w:rsidRDefault="00CE5A15">
      <w:pPr>
        <w:spacing w:before="60" w:after="60"/>
      </w:pPr>
    </w:p>
    <w:p w14:paraId="2B2DD859" w14:textId="77777777" w:rsidR="00CE5A15" w:rsidRPr="00351274" w:rsidRDefault="00423F7C">
      <w:pPr>
        <w:spacing w:before="120" w:after="60"/>
        <w:jc w:val="center"/>
      </w:pPr>
      <w:r w:rsidRPr="00351274">
        <w:rPr>
          <w:rFonts w:eastAsia="Arial"/>
          <w:b/>
          <w:bCs/>
          <w:sz w:val="22"/>
          <w:szCs w:val="22"/>
        </w:rPr>
        <w:t>Table 2: Comparison of Major Cardiac Biomarkers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CE5A15" w:rsidRPr="00351274" w14:paraId="4FE1A271" w14:textId="77777777">
        <w:trPr>
          <w:tblHeader/>
        </w:trPr>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18D189FA" w14:textId="77777777" w:rsidR="00CE5A15" w:rsidRPr="00351274" w:rsidRDefault="00423F7C">
            <w:pPr>
              <w:jc w:val="center"/>
            </w:pPr>
            <w:r w:rsidRPr="00351274">
              <w:rPr>
                <w:rFonts w:eastAsia="Arial"/>
                <w:b/>
                <w:bCs/>
                <w:sz w:val="20"/>
                <w:szCs w:val="20"/>
              </w:rPr>
              <w:t>Biomarker</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9A705C6" w14:textId="77777777" w:rsidR="00CE5A15" w:rsidRPr="00351274" w:rsidRDefault="00423F7C">
            <w:pPr>
              <w:jc w:val="center"/>
            </w:pPr>
            <w:r w:rsidRPr="00351274">
              <w:rPr>
                <w:rFonts w:eastAsia="Arial"/>
                <w:b/>
                <w:bCs/>
                <w:sz w:val="20"/>
                <w:szCs w:val="20"/>
              </w:rPr>
              <w:t>Rise (hours)</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5795617B" w14:textId="77777777" w:rsidR="00CE5A15" w:rsidRPr="00351274" w:rsidRDefault="00423F7C">
            <w:pPr>
              <w:jc w:val="center"/>
            </w:pPr>
            <w:r w:rsidRPr="00351274">
              <w:rPr>
                <w:rFonts w:eastAsia="Arial"/>
                <w:b/>
                <w:bCs/>
                <w:sz w:val="20"/>
                <w:szCs w:val="20"/>
              </w:rPr>
              <w:t>Peak (hours)</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18C9A2BF" w14:textId="77777777" w:rsidR="00CE5A15" w:rsidRPr="00351274" w:rsidRDefault="00423F7C">
            <w:pPr>
              <w:jc w:val="center"/>
            </w:pPr>
            <w:r w:rsidRPr="00351274">
              <w:rPr>
                <w:rFonts w:eastAsia="Arial"/>
                <w:b/>
                <w:bCs/>
                <w:sz w:val="20"/>
                <w:szCs w:val="20"/>
              </w:rPr>
              <w:t>Duration</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0A7544EB" w14:textId="77777777" w:rsidR="00CE5A15" w:rsidRPr="00351274" w:rsidRDefault="00423F7C">
            <w:pPr>
              <w:jc w:val="center"/>
            </w:pPr>
            <w:r w:rsidRPr="00351274">
              <w:rPr>
                <w:rFonts w:eastAsia="Arial"/>
                <w:b/>
                <w:bCs/>
                <w:sz w:val="20"/>
                <w:szCs w:val="20"/>
              </w:rPr>
              <w:t>Primary Use</w:t>
            </w:r>
          </w:p>
        </w:tc>
      </w:tr>
      <w:tr w:rsidR="00CE5A15" w:rsidRPr="00351274" w14:paraId="508CE300" w14:textId="77777777">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1E21B64C" w14:textId="77777777" w:rsidR="00CE5A15" w:rsidRPr="00351274" w:rsidRDefault="00423F7C">
            <w:pPr>
              <w:jc w:val="center"/>
            </w:pPr>
            <w:r w:rsidRPr="00351274">
              <w:rPr>
                <w:sz w:val="20"/>
                <w:szCs w:val="20"/>
              </w:rPr>
              <w:t>Troponin T/I</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E5B5502" w14:textId="77777777" w:rsidR="00CE5A15" w:rsidRPr="00351274" w:rsidRDefault="00423F7C">
            <w:pPr>
              <w:jc w:val="center"/>
            </w:pPr>
            <w:r w:rsidRPr="00351274">
              <w:rPr>
                <w:sz w:val="20"/>
                <w:szCs w:val="20"/>
              </w:rPr>
              <w:t>3–6</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0D8E792" w14:textId="77777777" w:rsidR="00CE5A15" w:rsidRPr="00351274" w:rsidRDefault="00423F7C">
            <w:pPr>
              <w:jc w:val="center"/>
            </w:pPr>
            <w:r w:rsidRPr="00351274">
              <w:rPr>
                <w:sz w:val="20"/>
                <w:szCs w:val="20"/>
              </w:rPr>
              <w:t>12–24</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C38AE91" w14:textId="77777777" w:rsidR="00CE5A15" w:rsidRPr="00351274" w:rsidRDefault="00423F7C">
            <w:pPr>
              <w:jc w:val="center"/>
            </w:pPr>
            <w:r w:rsidRPr="00351274">
              <w:rPr>
                <w:sz w:val="20"/>
                <w:szCs w:val="20"/>
              </w:rPr>
              <w:t>7–14 days</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58DEB69" w14:textId="77777777" w:rsidR="00CE5A15" w:rsidRPr="00351274" w:rsidRDefault="00423F7C">
            <w:pPr>
              <w:jc w:val="center"/>
            </w:pPr>
            <w:r w:rsidRPr="00351274">
              <w:rPr>
                <w:sz w:val="20"/>
                <w:szCs w:val="20"/>
              </w:rPr>
              <w:t>Gold standard for MI diagnosis</w:t>
            </w:r>
          </w:p>
        </w:tc>
      </w:tr>
      <w:tr w:rsidR="00CE5A15" w:rsidRPr="00351274" w14:paraId="441B8FC9" w14:textId="77777777">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ED5842" w14:textId="77777777" w:rsidR="00CE5A15" w:rsidRPr="00351274" w:rsidRDefault="00423F7C">
            <w:pPr>
              <w:jc w:val="center"/>
            </w:pPr>
            <w:r w:rsidRPr="00351274">
              <w:rPr>
                <w:sz w:val="20"/>
                <w:szCs w:val="20"/>
              </w:rPr>
              <w:t>CK-MB</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5FACF9" w14:textId="77777777" w:rsidR="00CE5A15" w:rsidRPr="00351274" w:rsidRDefault="00423F7C">
            <w:pPr>
              <w:jc w:val="center"/>
            </w:pPr>
            <w:r w:rsidRPr="00351274">
              <w:rPr>
                <w:sz w:val="20"/>
                <w:szCs w:val="20"/>
              </w:rPr>
              <w:t>3–6</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7BB3DC" w14:textId="77777777" w:rsidR="00CE5A15" w:rsidRPr="00351274" w:rsidRDefault="00423F7C">
            <w:pPr>
              <w:jc w:val="center"/>
            </w:pPr>
            <w:r w:rsidRPr="00351274">
              <w:rPr>
                <w:sz w:val="20"/>
                <w:szCs w:val="20"/>
              </w:rPr>
              <w:t>12–24</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AFCBE0" w14:textId="77777777" w:rsidR="00CE5A15" w:rsidRPr="00351274" w:rsidRDefault="00423F7C">
            <w:pPr>
              <w:jc w:val="center"/>
            </w:pPr>
            <w:r w:rsidRPr="00351274">
              <w:rPr>
                <w:sz w:val="20"/>
                <w:szCs w:val="20"/>
              </w:rPr>
              <w:t>48–72 hrs</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2D18C2" w14:textId="77777777" w:rsidR="00CE5A15" w:rsidRPr="00351274" w:rsidRDefault="00423F7C">
            <w:pPr>
              <w:jc w:val="center"/>
            </w:pPr>
            <w:r w:rsidRPr="00351274">
              <w:rPr>
                <w:sz w:val="20"/>
                <w:szCs w:val="20"/>
              </w:rPr>
              <w:t>Reinfarction detection</w:t>
            </w:r>
          </w:p>
        </w:tc>
      </w:tr>
      <w:tr w:rsidR="00CE5A15" w:rsidRPr="00351274" w14:paraId="793949C7" w14:textId="77777777">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067EC88" w14:textId="77777777" w:rsidR="00CE5A15" w:rsidRPr="00351274" w:rsidRDefault="00423F7C">
            <w:pPr>
              <w:jc w:val="center"/>
            </w:pPr>
            <w:r w:rsidRPr="00351274">
              <w:rPr>
                <w:sz w:val="20"/>
                <w:szCs w:val="20"/>
              </w:rPr>
              <w:t>BNP/NT-proBNP</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DEA076E" w14:textId="77777777" w:rsidR="00CE5A15" w:rsidRPr="00351274" w:rsidRDefault="00423F7C">
            <w:pPr>
              <w:jc w:val="center"/>
            </w:pPr>
            <w:r w:rsidRPr="00351274">
              <w:rPr>
                <w:sz w:val="20"/>
                <w:szCs w:val="20"/>
              </w:rPr>
              <w:t>Variable</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62BE1B2" w14:textId="77777777" w:rsidR="00CE5A15" w:rsidRPr="00351274" w:rsidRDefault="00423F7C">
            <w:pPr>
              <w:jc w:val="center"/>
            </w:pPr>
            <w:r w:rsidRPr="00351274">
              <w:rPr>
                <w:sz w:val="20"/>
                <w:szCs w:val="20"/>
              </w:rPr>
              <w:t>—</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C7E6899" w14:textId="77777777" w:rsidR="00CE5A15" w:rsidRPr="00351274" w:rsidRDefault="00423F7C">
            <w:pPr>
              <w:jc w:val="center"/>
            </w:pPr>
            <w:r w:rsidRPr="00351274">
              <w:rPr>
                <w:sz w:val="20"/>
                <w:szCs w:val="20"/>
              </w:rPr>
              <w:t>—</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87F5DAB" w14:textId="77777777" w:rsidR="00CE5A15" w:rsidRPr="00351274" w:rsidRDefault="00423F7C">
            <w:pPr>
              <w:jc w:val="center"/>
            </w:pPr>
            <w:r w:rsidRPr="00351274">
              <w:rPr>
                <w:sz w:val="20"/>
                <w:szCs w:val="20"/>
              </w:rPr>
              <w:t>Heart failure, post-MI prognosis</w:t>
            </w:r>
          </w:p>
        </w:tc>
      </w:tr>
    </w:tbl>
    <w:p w14:paraId="25D03D46" w14:textId="77777777" w:rsidR="00CE5A15" w:rsidRPr="00351274" w:rsidRDefault="00CE5A15">
      <w:pPr>
        <w:spacing w:before="60" w:after="60"/>
      </w:pPr>
    </w:p>
    <w:p w14:paraId="40CB6226"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6. Emerging and Novel Biochemical Risk Factors</w:t>
      </w:r>
    </w:p>
    <w:p w14:paraId="55811CB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6.1 Homocysteine</w:t>
      </w:r>
    </w:p>
    <w:p w14:paraId="5537EC01" w14:textId="77777777" w:rsidR="00CE5A15" w:rsidRPr="00351274" w:rsidRDefault="00423F7C" w:rsidP="00351274">
      <w:pPr>
        <w:spacing w:before="60" w:after="80" w:line="360" w:lineRule="auto"/>
        <w:jc w:val="both"/>
      </w:pPr>
      <w:r w:rsidRPr="00351274">
        <w:t>Homocysteine is a sulfur-containing amino acid derived from methionine metabolism. Plasma hyperhomocysteinemia (&gt;15 µmol/L) is recognized as an independent cardiovascular risk factor [1]. Homocysteine promotes endothelial injury through multiple mechanisms: it reduces NO bioavailability, enhances LDL oxidation, stimulates vascular smooth muscle proliferation, and activates pro-thrombotic coagulation pathways by increasing coagulation factor activity while reducing protein C and thrombomodulin expression. It also triggers inflammatory cytokine production and upregulates adhesion molecule expression [1].</w:t>
      </w:r>
    </w:p>
    <w:p w14:paraId="5D65B36F" w14:textId="77777777" w:rsidR="00CE5A15" w:rsidRPr="00351274" w:rsidRDefault="00423F7C" w:rsidP="00351274">
      <w:pPr>
        <w:spacing w:before="60" w:after="80" w:line="360" w:lineRule="auto"/>
        <w:jc w:val="both"/>
      </w:pPr>
      <w:r w:rsidRPr="00351274">
        <w:t>Hyperhomocysteinemia most commonly results from deficiencies of vitamins B6, B12, and folate—cofactors in the homocysteine remethylation and transsulfuration pathways—or from the methylenetetrahydrofolate reductase (MTHFR) gene polymorphism. Measurement is particularly informative in younger CAD patients without conventional risk factors, where nutritional and genetic causes can be addressed through targeted supplementation [1,6].</w:t>
      </w:r>
    </w:p>
    <w:p w14:paraId="4F45507E"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6.2 Lipoprotein(a) [Lp(a)]</w:t>
      </w:r>
    </w:p>
    <w:p w14:paraId="312DE0E5" w14:textId="77777777" w:rsidR="00CE5A15" w:rsidRPr="00351274" w:rsidRDefault="00423F7C" w:rsidP="00351274">
      <w:pPr>
        <w:spacing w:before="60" w:after="80" w:line="360" w:lineRule="auto"/>
        <w:jc w:val="both"/>
      </w:pPr>
      <w:r w:rsidRPr="00351274">
        <w:t xml:space="preserve">Lp(a) is a genetically determined lipoprotein structurally resembling LDL but with an additional apolipoprotein(a) [apo(a)] moiety covalently attached to apolipoprotein B. Plasma Lp(a) levels are largely hereditary, controlled by the LPA gene on chromosome 6, and are minimally altered by diet, exercise, or conventional lipid-lowering agents, including statins [3,5]. Elevated Lp(a) constitutes an </w:t>
      </w:r>
      <w:r w:rsidRPr="00351274">
        <w:lastRenderedPageBreak/>
        <w:t>independent risk factor for premature atherosclerosis and CAD even when standard lipid parameters are within target ranges.</w:t>
      </w:r>
    </w:p>
    <w:p w14:paraId="481972FA" w14:textId="77777777" w:rsidR="00CE5A15" w:rsidRPr="00351274" w:rsidRDefault="00423F7C" w:rsidP="00351274">
      <w:pPr>
        <w:spacing w:before="60" w:after="80" w:line="360" w:lineRule="auto"/>
        <w:jc w:val="both"/>
      </w:pPr>
      <w:r w:rsidRPr="00351274">
        <w:t>Lp(a) exerts both pro-atherogenic and pro-thrombotic effects: it deposits cholesterol in arterial walls, transports oxidized phospholipids that amplify vascular inflammation, and—due to structural homology between apo(a) and plasminogen—competitively inhibits fibrinolysis, predisposing to thrombosis and plaque instability [3]. Emerging therapies targeting Lp(a), including antisense oligonucleotides (pelacarsen) and small interfering RNA agents, show substantial Lp(a)-lowering potential in ongoing clinical trials [6].</w:t>
      </w:r>
    </w:p>
    <w:p w14:paraId="6A34D740"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7. Glycemic and Metabolic Markers</w:t>
      </w:r>
    </w:p>
    <w:p w14:paraId="0832A1AC"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7.1 Fasting Blood Glucose and HbA1c</w:t>
      </w:r>
    </w:p>
    <w:p w14:paraId="1970FAC9" w14:textId="77777777" w:rsidR="00CE5A15" w:rsidRPr="00351274" w:rsidRDefault="00423F7C" w:rsidP="00351274">
      <w:pPr>
        <w:spacing w:before="60" w:after="80" w:line="360" w:lineRule="auto"/>
        <w:jc w:val="both"/>
      </w:pPr>
      <w:r w:rsidRPr="00351274">
        <w:t>Chronic hyperglycemia drives vascular injury through multiple mechanisms: increased formation of advanced glycation end-products (AGEs) that cross-link extracellular matrix proteins, activation of protein kinase C, polyol pathway flux, and enhanced oxidative stress. Impaired fasting glucose (100–125 mg/dL) and impaired glucose tolerance represent prediabetic states that independently confer elevated cardiovascular risk [4]. HbA1c, reflecting mean glycemia over the preceding 2–3 months, serves as a stable integrative marker of long-term glycemic exposure and is a strong independent predictor of CAD events. Each 1% increment in HbA1c is associated with a significantly increased risk of myocardial infarction and stroke [4].</w:t>
      </w:r>
    </w:p>
    <w:p w14:paraId="3D6B2A7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7.2 Insulin Resistance (HOMA-IR)</w:t>
      </w:r>
    </w:p>
    <w:p w14:paraId="534838BF" w14:textId="77777777" w:rsidR="00CE5A15" w:rsidRPr="00351274" w:rsidRDefault="00423F7C" w:rsidP="00351274">
      <w:pPr>
        <w:spacing w:before="60" w:after="80" w:line="360" w:lineRule="auto"/>
        <w:jc w:val="both"/>
      </w:pPr>
      <w:r w:rsidRPr="00351274">
        <w:t>Insulin resistance, quantified by the homeostatic model assessment of insulin resistance (HOMA-IR), is a key pathogenic link between metabolic syndrome and CAD. Insulin-resistant states are associated with compensatory hyperinsulinemia, which promotes dyslipidemia (elevated TG, suppressed HDL), endothelial dysfunction, chronic low-grade inflammation, and a pro-thrombotic coagulation profile. HOMA-IR values consistently above 2.5–3.0 typically indicate clinically significant insulin resistance [4,5].</w:t>
      </w:r>
    </w:p>
    <w:p w14:paraId="1DE092F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7.3 Metabolic Syndrome</w:t>
      </w:r>
    </w:p>
    <w:p w14:paraId="4B734E25" w14:textId="77777777" w:rsidR="00CE5A15" w:rsidRPr="00351274" w:rsidRDefault="00423F7C" w:rsidP="00351274">
      <w:pPr>
        <w:spacing w:before="60" w:after="80" w:line="360" w:lineRule="auto"/>
        <w:jc w:val="both"/>
      </w:pPr>
      <w:r w:rsidRPr="00351274">
        <w:t xml:space="preserve">Metabolic syndrome—defined by NCEP ATP III criteria as the co-occurrence of at least three of the following: central obesity, elevated triglycerides (≥150 mg/dL), reduced HDL-C, elevated blood pressure (≥130/85 mmHg), and elevated fasting glucose (≥100 mg/dL)—confers a substantially </w:t>
      </w:r>
      <w:r w:rsidRPr="00351274">
        <w:lastRenderedPageBreak/>
        <w:t>elevated risk of CAD and cardiovascular mortality [5]. In Indian populations, lower waist circumference thresholds are employed to account for the tendency toward central adiposity at lower absolute body weight. The convergence of atherogenic dyslipidemia, insulin resistance, hypertension, and pro-inflammatory and pro-thrombotic states within metabolic syndrome creates a compounded cardiovascular risk environment [4,5].</w:t>
      </w:r>
    </w:p>
    <w:p w14:paraId="3E7D6CD3"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8. Renal Function Markers in CAD</w:t>
      </w:r>
    </w:p>
    <w:p w14:paraId="6CC4B709" w14:textId="77777777" w:rsidR="00CE5A15" w:rsidRPr="00351274" w:rsidRDefault="00423F7C" w:rsidP="00351274">
      <w:pPr>
        <w:spacing w:before="60" w:after="80" w:line="360" w:lineRule="auto"/>
        <w:jc w:val="both"/>
      </w:pPr>
      <w:r w:rsidRPr="00351274">
        <w:t xml:space="preserve">The kidney and cardiovascular system share overlapping risk determinants and bidirectional pathological influences. Even mild chronic kidney disease (CKD) amplifies cardiovascular morbidity through mechanisms including fluid retention, RAAS activation, sympathetic overactivity, endothelial dysfunction, and </w:t>
      </w:r>
      <w:proofErr w:type="spellStart"/>
      <w:r w:rsidRPr="00351274">
        <w:t>uremia</w:t>
      </w:r>
      <w:proofErr w:type="spellEnd"/>
      <w:r w:rsidRPr="00351274">
        <w:t>-related accelerated atherosclerosis [1].</w:t>
      </w:r>
    </w:p>
    <w:p w14:paraId="3AE35A1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8.1 Serum Creatinine and eGFR</w:t>
      </w:r>
    </w:p>
    <w:p w14:paraId="3F03D8F5" w14:textId="77777777" w:rsidR="00CE5A15" w:rsidRPr="00351274" w:rsidRDefault="00423F7C" w:rsidP="00351274">
      <w:pPr>
        <w:spacing w:before="60" w:after="80" w:line="360" w:lineRule="auto"/>
        <w:jc w:val="both"/>
      </w:pPr>
      <w:r w:rsidRPr="00351274">
        <w:t>Serum creatinine, the metabolic end-product of creatine phosphate catabolism in muscle, is freely filtered by the renal glomerulus. Elevated creatinine (&gt;1.2 mg/dL in men; &gt;1.0 mg/dL in women) reflects reduced glomerular filtration and is associated with increased cardiovascular risk, partly through impaired clearance of inflammatory mediators and uremic toxins. However, creatinine is influenced by muscle mass, dietary protein intake, and hydration, limiting its sensitivity for early dysfunction [1].</w:t>
      </w:r>
    </w:p>
    <w:p w14:paraId="11A6F61D" w14:textId="77777777" w:rsidR="00CE5A15" w:rsidRPr="00351274" w:rsidRDefault="00423F7C" w:rsidP="00351274">
      <w:pPr>
        <w:spacing w:before="60" w:after="80" w:line="360" w:lineRule="auto"/>
        <w:jc w:val="both"/>
      </w:pPr>
      <w:r w:rsidRPr="00351274">
        <w:t>Estimated glomerular filtration rate (eGFR)—calculated using the CKD-EPI or MDRD equation incorporating age, sex, and race—provides a more accurate measure of renal function. An eGFR below 60 mL/min/1.73 m² independently predicts cardiovascular events and all-cause mortality, underscoring the importance of renal assessment in CAD risk stratification. Drug dosing adjustments for statins, antiplatelet agents, and anticoagulants necessitate eGFR monitoring [2].</w:t>
      </w:r>
    </w:p>
    <w:p w14:paraId="23E68DCE"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8.2 Microalbuminuria</w:t>
      </w:r>
    </w:p>
    <w:p w14:paraId="5EDAD520" w14:textId="77777777" w:rsidR="00CE5A15" w:rsidRPr="00351274" w:rsidRDefault="00423F7C" w:rsidP="00351274">
      <w:pPr>
        <w:spacing w:before="60" w:after="80" w:line="360" w:lineRule="auto"/>
        <w:jc w:val="both"/>
      </w:pPr>
      <w:r w:rsidRPr="00351274">
        <w:t>Microalbuminuria—defined as urinary albumin excretion of 30–300 mg/day or an albumin-to-creatinine ratio of 30–300 mg/g—reflects increased glomerular permeability secondary to systemic endothelial dysfunction. It serves as an early, non-invasive indicator of widespread vascular injury, predating overt nephropathy by years. Microalbuminuria is a potent predictor of cardiovascular events in both diabetic and non-diabetic populations, independently of traditional risk factors. Its detection in patients with CAD, hypertension, or diabetes should prompt aggressive risk factor modification [2,6].</w:t>
      </w:r>
    </w:p>
    <w:p w14:paraId="0C2F1CCC" w14:textId="77777777" w:rsidR="00CE5A15" w:rsidRPr="00351274" w:rsidRDefault="00CE5A15">
      <w:pPr>
        <w:spacing w:before="60" w:after="60"/>
      </w:pPr>
    </w:p>
    <w:p w14:paraId="06706E5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9. Coagulation and Thrombotic Markers</w:t>
      </w:r>
    </w:p>
    <w:p w14:paraId="2246BEB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9.1 Fibrinogen</w:t>
      </w:r>
    </w:p>
    <w:p w14:paraId="0F0FB05A" w14:textId="77777777" w:rsidR="00CE5A15" w:rsidRPr="00351274" w:rsidRDefault="00423F7C" w:rsidP="00351274">
      <w:pPr>
        <w:spacing w:before="60" w:after="80" w:line="360" w:lineRule="auto"/>
        <w:jc w:val="both"/>
      </w:pPr>
      <w:r w:rsidRPr="00351274">
        <w:t>Fibrinogen is the primary precursor of fibrin and a key regulator of clot formation and blood viscosity. Elevated fibrinogen (&gt;400 mg/dL) independently predicts CAD events through multiple pathways: enhanced platelet aggregation, increased blood viscosity impairing microvascular flow, and promotion of endothelial dysfunction. As an acute-phase reactant, fibrinogen is concurrently a marker of systemic inflammation, embodying the intersection of thrombotic and inflammatory mechanisms in atherosclerosis [7].</w:t>
      </w:r>
    </w:p>
    <w:p w14:paraId="1090374C"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9.2 D-Dimer</w:t>
      </w:r>
    </w:p>
    <w:p w14:paraId="07A607E6" w14:textId="77777777" w:rsidR="00CE5A15" w:rsidRPr="00351274" w:rsidRDefault="00423F7C" w:rsidP="00351274">
      <w:pPr>
        <w:spacing w:before="60" w:after="80" w:line="360" w:lineRule="auto"/>
        <w:jc w:val="both"/>
      </w:pPr>
      <w:r w:rsidRPr="00351274">
        <w:t>D-dimer is a fibrin degradation product generated when plasmin cleaves cross-linked fibrin. Elevated levels reflect active thrombus formation and fibrinolytic activity. In the context of CAD, elevated D-dimer is associated with acute coronary syndromes and predicts future cardiovascular events, indicating ongoing thrombogenesis. However, its low specificity—D-dimer rises with infection, trauma, malignancy, and surgery—limits its standalone diagnostic utility; clinical context and probability assessment are essential to interpretation [7].</w:t>
      </w:r>
    </w:p>
    <w:p w14:paraId="4994BD0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9.3 Plasminogen Activator Inhibitor-1 (PAI-1)</w:t>
      </w:r>
    </w:p>
    <w:p w14:paraId="6A242A74" w14:textId="77777777" w:rsidR="00CE5A15" w:rsidRPr="00351274" w:rsidRDefault="00423F7C" w:rsidP="00351274">
      <w:pPr>
        <w:spacing w:before="60" w:after="80" w:line="360" w:lineRule="auto"/>
        <w:jc w:val="both"/>
      </w:pPr>
      <w:r w:rsidRPr="00351274">
        <w:t>PAI-1 is the principal physiological inhibitor of fibrinolysis, acting by blocking tissue plasminogen activator (tPA) and urokinase. Elevated PAI-1 impairs clot dissolution, promoting persistence and propagation of coronary thrombi following plaque rupture. PAI-1 concentrations are characteristically elevated in obesity, type 2 diabetes, insulin resistance, and metabolic syndrome—conditions that overlap substantially with CAD risk factors—thereby connecting adipose tissue biology to a heightened thrombotic state [7,9].</w:t>
      </w:r>
    </w:p>
    <w:p w14:paraId="52035018"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10. Electrolytes and Other Biochemical Parameters</w:t>
      </w:r>
    </w:p>
    <w:p w14:paraId="64249763"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10.1 Sodium and Potassium</w:t>
      </w:r>
    </w:p>
    <w:p w14:paraId="6AD095AB" w14:textId="1110A73E" w:rsidR="00CE5A15" w:rsidRPr="00351274" w:rsidRDefault="00423F7C" w:rsidP="00351274">
      <w:pPr>
        <w:spacing w:before="60" w:after="80" w:line="360" w:lineRule="auto"/>
        <w:jc w:val="both"/>
      </w:pPr>
      <w:r w:rsidRPr="00351274">
        <w:t xml:space="preserve">Hyponatremia in CAD patients frequently reflects neurohormonal activation—including RAAS and ADH hypersecretion—seen in heart failure and is associated with increased mortality and rehospitalization. Potassium dysregulation carries acute cardiac consequences: hypokalemia (&lt;3.5 mEq/L) augments myocardial excitability and the risk of ventricular arrhythmias, while hyperkalemia </w:t>
      </w:r>
      <w:r w:rsidRPr="00351274">
        <w:lastRenderedPageBreak/>
        <w:t xml:space="preserve">(&gt;5.0 mEq/L) impairs conduction velocity and can precipitate life-threatening </w:t>
      </w:r>
      <w:r w:rsidR="00351274" w:rsidRPr="00351274">
        <w:t>bradyarrhythmia’s</w:t>
      </w:r>
      <w:r w:rsidRPr="00351274">
        <w:t>. These electrolyte imbalances require vigilant monitoring, particularly in patients on diuretics, ACE inhibitors, or ARBs [2].</w:t>
      </w:r>
    </w:p>
    <w:p w14:paraId="359F98D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10.2 Calcium and Magnesium</w:t>
      </w:r>
    </w:p>
    <w:p w14:paraId="46B72EE5" w14:textId="77777777" w:rsidR="00CE5A15" w:rsidRPr="00351274" w:rsidRDefault="00423F7C" w:rsidP="00351274">
      <w:pPr>
        <w:spacing w:before="60" w:after="80" w:line="360" w:lineRule="auto"/>
        <w:jc w:val="both"/>
      </w:pPr>
      <w:r w:rsidRPr="00351274">
        <w:t>Coronary artery calcification—detectable by CT-based calcium scoring—serves as a quantitative surrogate of atherosclerotic plaque burden and predicts adverse cardiovascular events beyond traditional risk factors. Elevated serum calcium may contribute to arterial stiffness and vascular calcification. Magnesium, acting as a natural calcium channel antagonist, regulates myocardial excitability and vascular tone. Hypomagnesemia is associated with coronary vasospasm, arrhythmias, endothelial dysfunction, and increased inflammatory marker levels. Adequate magnesium status may confer cardioprotective benefits [2].</w:t>
      </w:r>
    </w:p>
    <w:p w14:paraId="1197F35B"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10.3 Uric Acid</w:t>
      </w:r>
    </w:p>
    <w:p w14:paraId="0D5FA422" w14:textId="77777777" w:rsidR="00CE5A15" w:rsidRPr="00351274" w:rsidRDefault="00423F7C" w:rsidP="00351274">
      <w:pPr>
        <w:spacing w:before="60" w:after="80" w:line="360" w:lineRule="auto"/>
        <w:jc w:val="both"/>
      </w:pPr>
      <w:r w:rsidRPr="00351274">
        <w:t>Serum uric acid, the final product of purine catabolism, exerts antioxidant effects at physiological concentrations but transitions to a pro-oxidant role at elevated levels. Hyperuricemia is strongly associated with hypertension, insulin resistance, dyslipidemia, and metabolic syndrome. Its proposed mechanisms of cardiovascular harm include induction of oxidative stress, activation of the NLRP3 inflammasome, promotion of endothelial dysfunction, and stimulation of vascular smooth muscle proliferation. Epidemiological studies consistently demonstrate hyperuricemia as an independent predictor of CAD risk and cardiovascular mortality [5,9].</w:t>
      </w:r>
    </w:p>
    <w:p w14:paraId="0BA0C8D2"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11. Biochemical Risk Assessment Models</w:t>
      </w:r>
    </w:p>
    <w:p w14:paraId="3244E91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11.1 Framingham Risk Score (FRS)</w:t>
      </w:r>
    </w:p>
    <w:p w14:paraId="18B01305" w14:textId="77777777" w:rsidR="00CE5A15" w:rsidRPr="00351274" w:rsidRDefault="00423F7C" w:rsidP="00351274">
      <w:pPr>
        <w:spacing w:before="60" w:after="80" w:line="360" w:lineRule="auto"/>
        <w:jc w:val="both"/>
      </w:pPr>
      <w:r w:rsidRPr="00351274">
        <w:t>The Framingham Risk Score, derived from the landmark Framingham Heart Study, estimates 10-year cardiovascular risk using age, sex, total cholesterol, HDL-C, systolic blood pressure, antihypertensive treatment status, diabetes, and smoking. Patients are stratified as low (&lt;10%), intermediate (10–20%), or high (&gt;20%) risk. While broadly validated and simple to apply, FRS may underestimate risk in South Asian populations, women, and younger individuals with chronic exposure to moderate risk factors. It does not incorporate emerging biomarkers or genetic risk information [10,11].</w:t>
      </w:r>
    </w:p>
    <w:p w14:paraId="35D6689B" w14:textId="77777777" w:rsidR="00CE5A15" w:rsidRPr="00351274" w:rsidRDefault="00CE5A15">
      <w:pPr>
        <w:spacing w:before="60" w:after="60"/>
      </w:pPr>
    </w:p>
    <w:p w14:paraId="5377E1BD" w14:textId="77777777" w:rsidR="00351274" w:rsidRPr="00351274" w:rsidRDefault="00351274">
      <w:pPr>
        <w:pStyle w:val="Heading2"/>
        <w:rPr>
          <w:rFonts w:ascii="Times New Roman" w:hAnsi="Times New Roman" w:cs="Times New Roman"/>
          <w:color w:val="auto"/>
        </w:rPr>
      </w:pPr>
    </w:p>
    <w:p w14:paraId="7D77C837" w14:textId="0CFFFC1F"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lastRenderedPageBreak/>
        <w:t>11.2 ASCVD Risk Calculator</w:t>
      </w:r>
    </w:p>
    <w:p w14:paraId="7748D1E0" w14:textId="77777777" w:rsidR="00CE5A15" w:rsidRPr="00351274" w:rsidRDefault="00423F7C" w:rsidP="00351274">
      <w:pPr>
        <w:spacing w:before="60" w:after="80" w:line="360" w:lineRule="auto"/>
        <w:jc w:val="both"/>
      </w:pPr>
      <w:r w:rsidRPr="00351274">
        <w:t>The ACC/AHA Pooled Cohort Equations estimate 10-year and lifetime risk of atherosclerotic cardiovascular disease, incorporating age, sex, race, total cholesterol, HDL-C, systolic blood pressure, treatment status, diabetes, and smoking. Risk categories span low (&lt;5%), borderline (5–7.4%), intermediate (7.5–19.9%), and high (≥20%), guiding statin therapy initiation and intensity [10]. Despite its broader scope, the ASCVD calculator remains largely calibrated for Western populations and may require recalibration for South Asian and other ethnic groups [5].</w:t>
      </w:r>
    </w:p>
    <w:p w14:paraId="3B88E27B"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11.3 Role of Biomarkers in Enhancing Prediction</w:t>
      </w:r>
    </w:p>
    <w:p w14:paraId="0D656B71" w14:textId="77777777" w:rsidR="00CE5A15" w:rsidRPr="00351274" w:rsidRDefault="00423F7C" w:rsidP="00351274">
      <w:pPr>
        <w:spacing w:before="60" w:after="80" w:line="360" w:lineRule="auto"/>
        <w:jc w:val="both"/>
      </w:pPr>
      <w:r w:rsidRPr="00351274">
        <w:t>Augmentation of traditional risk models with novel biomarkers substantially improves risk discrimination. Incorporation of hs-CRP, Lp(a), ApoB, microalbuminuria, HbA1c, and BNP/NT-proBNP into risk estimation frameworks improves identification of high-risk individuals within the intermediate-risk category—a group where therapeutic decisions are most uncertain. Emerging multi-marker panels, coronary artery calcium (CAC) scoring, and AI-driven algorithms that integrate biochemical, clinical, and imaging data represent the next frontier in personalized cardiovascular risk assessment [6,10].</w:t>
      </w:r>
    </w:p>
    <w:p w14:paraId="16E10F14"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12. Clinical Significance of Biochemical Assessment</w:t>
      </w:r>
    </w:p>
    <w:p w14:paraId="530C2058"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12.1 Early Diagnosis</w:t>
      </w:r>
    </w:p>
    <w:p w14:paraId="1341C503" w14:textId="77777777" w:rsidR="00CE5A15" w:rsidRPr="00351274" w:rsidRDefault="00423F7C" w:rsidP="00351274">
      <w:pPr>
        <w:spacing w:before="60" w:after="80" w:line="360" w:lineRule="auto"/>
        <w:jc w:val="both"/>
      </w:pPr>
      <w:r w:rsidRPr="00351274">
        <w:t>Biochemical markers enable detection of subclinical CAD and identification of at-risk individuals before the onset of clinical symptoms. High-sensitivity troponins can detect minimal myocardial injury; hs-CRP identifies early vascular inflammation; HbA1c and fasting glucose flag metabolic precursors of accelerated atherosclerosis; and microalbuminuria provides an early window into systemic endothelial dysfunction [2,6]. Early identification facilitates targeted preventive interventions—lifestyle modification, pharmacological risk reduction, and intensified monitoring—before irreversible cardiac damage occurs.</w:t>
      </w:r>
    </w:p>
    <w:p w14:paraId="0909D9B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12.2 Risk Stratification</w:t>
      </w:r>
    </w:p>
    <w:p w14:paraId="59F1FE3F" w14:textId="77777777" w:rsidR="00CE5A15" w:rsidRPr="00351274" w:rsidRDefault="00423F7C" w:rsidP="00351274">
      <w:pPr>
        <w:spacing w:before="60" w:after="80" w:line="360" w:lineRule="auto"/>
        <w:jc w:val="both"/>
      </w:pPr>
      <w:r w:rsidRPr="00351274">
        <w:t>Stratifying patients by risk magnitude enables rational allocation of therapeutic resources. Low-risk patients may require only lifestyle counseling, while intermediate-risk patients benefit from more detailed evaluation with additional biomarkers (hs-CRP, Lp(a), CAC score), and high-risk patients require prompt initiation of guideline-directed medical therapy. The multi-marker approach—</w:t>
      </w:r>
      <w:r w:rsidRPr="00351274">
        <w:lastRenderedPageBreak/>
        <w:t>combining lipid fractions, inflammatory markers, glycemic indicators, and cardiac biomarkers—provides a comprehensive, quantitative risk profile that supports individualized clinical decision-making [6,10].</w:t>
      </w:r>
    </w:p>
    <w:p w14:paraId="0C8D0CA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12.3 Therapeutic Monitoring and Prognosis</w:t>
      </w:r>
    </w:p>
    <w:p w14:paraId="1A2C4588" w14:textId="77777777" w:rsidR="00CE5A15" w:rsidRPr="00351274" w:rsidRDefault="00423F7C" w:rsidP="00351274">
      <w:pPr>
        <w:spacing w:before="60" w:after="80" w:line="360" w:lineRule="auto"/>
        <w:jc w:val="both"/>
      </w:pPr>
      <w:r w:rsidRPr="00351274">
        <w:t>Biochemical parameters serve as objective measures of therapeutic response. LDL-C tracks statin efficacy; HbA1c reflects glycemic control; BNP/NT-proBNP monitors heart failure treatment response; and renal function markers guide drug dosing. Prognostically, persistently elevated troponins, high hs-CRP, elevated BNP, and abnormal lipid ratios following initiation of therapy signal residual risk requiring therapeutic augmentation. The integration of biomarker trajectories with clinical outcomes data supports individualized, dynamic risk management strategies [2,6].</w:t>
      </w:r>
    </w:p>
    <w:p w14:paraId="174E1039"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13. Limitations and Challenges</w:t>
      </w:r>
    </w:p>
    <w:p w14:paraId="28D11753" w14:textId="77777777" w:rsidR="00CE5A15" w:rsidRPr="00351274" w:rsidRDefault="00423F7C" w:rsidP="00351274">
      <w:pPr>
        <w:spacing w:before="60" w:after="80" w:line="360" w:lineRule="auto"/>
        <w:jc w:val="both"/>
      </w:pPr>
      <w:r w:rsidRPr="00351274">
        <w:t>Despite substantial advances, biochemical marker assessment in CAD faces several important limitations. Biological variability in biomarker concentrations—influenced by age, sex, circadian rhythms, comorbid conditions, and acute illness—can reduce diagnostic precision and generate false-positive results. Advanced markers such as hs-cTn, IL-6, and Lp(a) remain inaccessible in many low-resource healthcare settings due to cost and infrastructure constraints. Lack of assay standardization across laboratories complicates inter-study comparisons and guideline implementation for markers without universally accepted reference ranges [1,5].</w:t>
      </w:r>
    </w:p>
    <w:p w14:paraId="7878A2F7" w14:textId="77777777" w:rsidR="00CE5A15" w:rsidRPr="00351274" w:rsidRDefault="00423F7C" w:rsidP="00351274">
      <w:pPr>
        <w:spacing w:before="60" w:after="80" w:line="360" w:lineRule="auto"/>
        <w:jc w:val="both"/>
      </w:pPr>
      <w:r w:rsidRPr="00351274">
        <w:t>Comorbid conditions substantially complicate biomarker interpretation: CKD elevates troponin levels chronically; hepatic disease affects fibrinogen and coagulation markers; and systemic inflammation from non-cardiac causes raises hs-CRP and IL-6, reducing their specificity. Excessive reliance on biomarkers without integrating clinical history, physical examination, and imaging may lead to diagnostic errors. Finally, most established risk models and biomarker cutoffs are derived predominantly from Western populations, limiting their applicability to South Asian, African, and East Asian groups who may have distinct risk profiles at equivalent biomarker concentrations [5,6].</w:t>
      </w:r>
    </w:p>
    <w:p w14:paraId="6C727354"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14. Future Perspectives</w:t>
      </w:r>
    </w:p>
    <w:p w14:paraId="7DBF4EF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14.1 Novel Biomarkers: Genomics, Proteomics, and Metabolomics</w:t>
      </w:r>
    </w:p>
    <w:p w14:paraId="2F44E725" w14:textId="77777777" w:rsidR="00CE5A15" w:rsidRPr="00351274" w:rsidRDefault="00423F7C" w:rsidP="00351274">
      <w:pPr>
        <w:spacing w:before="60" w:after="80" w:line="360" w:lineRule="auto"/>
        <w:jc w:val="both"/>
      </w:pPr>
      <w:r w:rsidRPr="00351274">
        <w:t xml:space="preserve">The field is rapidly evolving toward multi-omics–based biomarker discovery. Polygenic risk scores (PRS) integrating thousands of single nucleotide polymorphisms (SNPs) can identify individuals at </w:t>
      </w:r>
      <w:r w:rsidRPr="00351274">
        <w:lastRenderedPageBreak/>
        <w:t>high inherited CAD risk decades before clinical manifestation, independent of conventional risk factors. Proteomic profiling identifies novel circulating proteins reflecting specific pathological processes—plaque formation, endothelial activation, myocardial stress—that are not captured by existing assays. Metabolomics characterizes alterations in metabolic pathways preceding structural vascular changes [6]. MicroRNAs and circulating endothelial cells are actively investigated as minimally invasive indicators of plaque biology and vascular health.</w:t>
      </w:r>
    </w:p>
    <w:p w14:paraId="7D9FCBE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14.2 Personalized Medicine and Pharmacogenomics</w:t>
      </w:r>
    </w:p>
    <w:p w14:paraId="765E2885" w14:textId="77777777" w:rsidR="00CE5A15" w:rsidRPr="00351274" w:rsidRDefault="00423F7C" w:rsidP="00351274">
      <w:pPr>
        <w:spacing w:before="60" w:after="80" w:line="360" w:lineRule="auto"/>
        <w:jc w:val="both"/>
      </w:pPr>
      <w:r w:rsidRPr="00351274">
        <w:t>Integration of genetic, biochemical, and clinical data is expected to transform CAD management from population-based to individualized strategies. Pharmacogenomics can optimize statin selection and dosing based on CYP450 polymorphisms, minimize adverse effects, and predict treatment response in antiplatelet therapy. Personalized risk profiling enables targeted lifestyle interventions matched to individual metabolic, genetic, and psychosocial risk determinants, maximizing preventive efficacy [6].</w:t>
      </w:r>
    </w:p>
    <w:p w14:paraId="2273BA0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14.3 Artificial Intelligence and Digital Health</w:t>
      </w:r>
    </w:p>
    <w:p w14:paraId="4CB353C9" w14:textId="77777777" w:rsidR="00CE5A15" w:rsidRPr="00351274" w:rsidRDefault="00423F7C" w:rsidP="00351274">
      <w:pPr>
        <w:spacing w:before="60" w:after="80" w:line="360" w:lineRule="auto"/>
        <w:jc w:val="both"/>
      </w:pPr>
      <w:r w:rsidRPr="00351274">
        <w:t>Machine learning and deep learning algorithms applied to integrated datasets—encompassing biochemical markers, electrocardiographic signals, imaging findings, and electronic health records—demonstrate superior performance to traditional risk models in identifying high-risk individuals and predicting acute cardiovascular events. Point-of-care biosensor technologies and wearable devices are advancing toward continuous, real-time monitoring of relevant biomarkers, enabling dynamic risk assessment and timely clinical intervention in remote or resource-constrained settings [6]. The integration of AI-based decision support tools with multi-omics data represents a paradigm shift toward precision cardiovascular medicine.</w:t>
      </w:r>
    </w:p>
    <w:p w14:paraId="67702CC7"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15. Conclusion</w:t>
      </w:r>
    </w:p>
    <w:p w14:paraId="5572BDB6" w14:textId="77777777" w:rsidR="00CE5A15" w:rsidRPr="00351274" w:rsidRDefault="00423F7C" w:rsidP="00351274">
      <w:pPr>
        <w:spacing w:before="60" w:after="80" w:line="360" w:lineRule="auto"/>
        <w:jc w:val="both"/>
      </w:pPr>
      <w:r w:rsidRPr="00351274">
        <w:t>Coronary artery disease remains the foremost cause of premature mortality and disability worldwide, with its burden disproportionately affecting low- and middle-income countries and younger populations in South Asia. Biochemical markers provide indispensable insight into the multifaceted pathophysiology of atherosclerosis and its clinical consequences. Lipid abnormalities, chronic vascular inflammation, metabolic dysregulation, endothelial dysfunction, and thrombotic imbalance each contribute distinct pathological mechanisms addressable through targeted biochemical monitoring.</w:t>
      </w:r>
    </w:p>
    <w:p w14:paraId="2DE4CCC7" w14:textId="77777777" w:rsidR="00CE5A15" w:rsidRPr="00351274" w:rsidRDefault="00423F7C" w:rsidP="00351274">
      <w:pPr>
        <w:spacing w:before="60" w:after="80" w:line="360" w:lineRule="auto"/>
        <w:jc w:val="both"/>
      </w:pPr>
      <w:r w:rsidRPr="00351274">
        <w:lastRenderedPageBreak/>
        <w:t>No individual biomarker captures the full complexity of CAD risk. A comprehensive, multi-marker approach—integrating lipid fractions, inflammatory mediators (hs-CRP, IL-6, TNF-α), cardiac biomarkers (troponins, CK-MB, BNP), glycemic indicators (HbA1c, HOMA-IR), renal markers (eGFR, microalbuminuria), coagulation factors, and novel markers (Lp(a), homocysteine)—provides superior diagnostic precision, risk stratification, therapeutic guidance, and prognostic information compared to any single measurement.</w:t>
      </w:r>
    </w:p>
    <w:p w14:paraId="3D90CA15" w14:textId="77777777" w:rsidR="00CE5A15" w:rsidRPr="00351274" w:rsidRDefault="00423F7C" w:rsidP="00351274">
      <w:pPr>
        <w:spacing w:before="60" w:after="80" w:line="360" w:lineRule="auto"/>
        <w:jc w:val="both"/>
      </w:pPr>
      <w:r w:rsidRPr="00351274">
        <w:t>The evolving landscape of precision medicine—encompassing multi-omics discovery, polygenic risk scoring, artificial intelligence, and digital health technologies—promises to further refine biochemical risk assessment and enable individualized CAD prevention and treatment strategies. Implementation of these advances, particularly in high-burden regions such as India, requires parallel investment in healthcare infrastructure, laboratory capacity, and public health education. Ultimately, systematic biochemical screening combined with evidence-based intervention offers the most promising path toward reducing the devastating global burden of coronary artery disease.</w:t>
      </w:r>
    </w:p>
    <w:p w14:paraId="3EC78ABA"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References</w:t>
      </w:r>
    </w:p>
    <w:p w14:paraId="0821D99D" w14:textId="77777777" w:rsidR="00CE5A15" w:rsidRPr="00351274" w:rsidRDefault="00423F7C">
      <w:pPr>
        <w:spacing w:before="60" w:after="80" w:line="330" w:lineRule="auto"/>
        <w:ind w:left="720" w:hanging="720"/>
        <w:jc w:val="both"/>
      </w:pPr>
      <w:r w:rsidRPr="00351274">
        <w:rPr>
          <w:sz w:val="22"/>
          <w:szCs w:val="22"/>
        </w:rPr>
        <w:t xml:space="preserve">1. King N, Smart NA, </w:t>
      </w:r>
      <w:proofErr w:type="spellStart"/>
      <w:r w:rsidRPr="00351274">
        <w:rPr>
          <w:sz w:val="22"/>
          <w:szCs w:val="22"/>
        </w:rPr>
        <w:t>Bungon</w:t>
      </w:r>
      <w:proofErr w:type="spellEnd"/>
      <w:r w:rsidRPr="00351274">
        <w:rPr>
          <w:sz w:val="22"/>
          <w:szCs w:val="22"/>
        </w:rPr>
        <w:t xml:space="preserve"> T, et al. Biomarkers in coronary artery disease: systematic review and meta-analysis. Expert Rev Mol Diagn. 2025;21(1):39–46.</w:t>
      </w:r>
    </w:p>
    <w:p w14:paraId="15A61FEC" w14:textId="77777777" w:rsidR="00CE5A15" w:rsidRPr="00351274" w:rsidRDefault="00423F7C">
      <w:pPr>
        <w:spacing w:before="60" w:after="80" w:line="330" w:lineRule="auto"/>
        <w:ind w:left="720" w:hanging="720"/>
        <w:jc w:val="both"/>
      </w:pPr>
      <w:r w:rsidRPr="00351274">
        <w:rPr>
          <w:sz w:val="22"/>
          <w:szCs w:val="22"/>
        </w:rPr>
        <w:t xml:space="preserve">2. Azami P, Mohammadzadeh S, </w:t>
      </w:r>
      <w:proofErr w:type="spellStart"/>
      <w:r w:rsidRPr="00351274">
        <w:rPr>
          <w:sz w:val="22"/>
          <w:szCs w:val="22"/>
        </w:rPr>
        <w:t>Seirafi</w:t>
      </w:r>
      <w:proofErr w:type="spellEnd"/>
      <w:r w:rsidRPr="00351274">
        <w:rPr>
          <w:sz w:val="22"/>
          <w:szCs w:val="22"/>
        </w:rPr>
        <w:t xml:space="preserve"> S, et al. A review of cutting-edge biomarkers for diagnosing coronary artery disease. Medicine (Baltimore). 2025;104(4):e41377.</w:t>
      </w:r>
    </w:p>
    <w:p w14:paraId="212369F1" w14:textId="77777777" w:rsidR="00CE5A15" w:rsidRPr="00351274" w:rsidRDefault="00423F7C">
      <w:pPr>
        <w:spacing w:before="60" w:after="80" w:line="330" w:lineRule="auto"/>
        <w:ind w:left="720" w:hanging="720"/>
        <w:jc w:val="both"/>
      </w:pPr>
      <w:r w:rsidRPr="00351274">
        <w:rPr>
          <w:sz w:val="22"/>
          <w:szCs w:val="22"/>
        </w:rPr>
        <w:t xml:space="preserve">3. </w:t>
      </w:r>
      <w:proofErr w:type="spellStart"/>
      <w:r w:rsidRPr="00351274">
        <w:rPr>
          <w:sz w:val="22"/>
          <w:szCs w:val="22"/>
        </w:rPr>
        <w:t>Mageswaran</w:t>
      </w:r>
      <w:proofErr w:type="spellEnd"/>
      <w:r w:rsidRPr="00351274">
        <w:rPr>
          <w:sz w:val="22"/>
          <w:szCs w:val="22"/>
        </w:rPr>
        <w:t xml:space="preserve"> N, Zainal SH, Hassan NI, et al. Emerging biomarkers and electrochemical biosensors for early detection of premature coronary artery disease. Diagnostics. 2025;15(7):940.</w:t>
      </w:r>
    </w:p>
    <w:p w14:paraId="66A407C8" w14:textId="77777777" w:rsidR="00CE5A15" w:rsidRPr="00351274" w:rsidRDefault="00423F7C">
      <w:pPr>
        <w:spacing w:before="60" w:after="80" w:line="330" w:lineRule="auto"/>
        <w:ind w:left="720" w:hanging="720"/>
        <w:jc w:val="both"/>
      </w:pPr>
      <w:r w:rsidRPr="00351274">
        <w:rPr>
          <w:sz w:val="22"/>
          <w:szCs w:val="22"/>
        </w:rPr>
        <w:t>4. Lind L, Alfredsson J, Andersson JSO, et al. Cardiac biomarkers for detection of coronary artery disease in the community. Sci Rep. 2024;14:30514.</w:t>
      </w:r>
    </w:p>
    <w:p w14:paraId="3DCB7D91" w14:textId="77777777" w:rsidR="00CE5A15" w:rsidRPr="00351274" w:rsidRDefault="00423F7C">
      <w:pPr>
        <w:spacing w:before="60" w:after="80" w:line="330" w:lineRule="auto"/>
        <w:ind w:left="720" w:hanging="720"/>
        <w:jc w:val="both"/>
      </w:pPr>
      <w:r w:rsidRPr="00351274">
        <w:rPr>
          <w:sz w:val="22"/>
          <w:szCs w:val="22"/>
        </w:rPr>
        <w:t xml:space="preserve">5. </w:t>
      </w:r>
      <w:proofErr w:type="spellStart"/>
      <w:r w:rsidRPr="00351274">
        <w:rPr>
          <w:sz w:val="22"/>
          <w:szCs w:val="22"/>
        </w:rPr>
        <w:t>Bottardi</w:t>
      </w:r>
      <w:proofErr w:type="spellEnd"/>
      <w:r w:rsidRPr="00351274">
        <w:rPr>
          <w:sz w:val="22"/>
          <w:szCs w:val="22"/>
        </w:rPr>
        <w:t xml:space="preserve"> A, Prado GFA, Lunardi M, et al. Clinical updates in coronary artery disease: a comprehensive review. J Clin Med. 2024;13(16):4600.</w:t>
      </w:r>
    </w:p>
    <w:p w14:paraId="429CEB75" w14:textId="77777777" w:rsidR="00CE5A15" w:rsidRPr="00351274" w:rsidRDefault="00423F7C">
      <w:pPr>
        <w:spacing w:before="60" w:after="80" w:line="330" w:lineRule="auto"/>
        <w:ind w:left="720" w:hanging="720"/>
        <w:jc w:val="both"/>
      </w:pPr>
      <w:r w:rsidRPr="00351274">
        <w:rPr>
          <w:sz w:val="22"/>
          <w:szCs w:val="22"/>
        </w:rPr>
        <w:t xml:space="preserve">6. Brambilla M, Josefsson EC, Ramstrom S, et al. Biomarkers of platelet activation in coronary artery disease: systematic review and meta-analysis. J </w:t>
      </w:r>
      <w:proofErr w:type="spellStart"/>
      <w:r w:rsidRPr="00351274">
        <w:rPr>
          <w:sz w:val="22"/>
          <w:szCs w:val="22"/>
        </w:rPr>
        <w:t>Thromb</w:t>
      </w:r>
      <w:proofErr w:type="spellEnd"/>
      <w:r w:rsidRPr="00351274">
        <w:rPr>
          <w:sz w:val="22"/>
          <w:szCs w:val="22"/>
        </w:rPr>
        <w:t xml:space="preserve"> </w:t>
      </w:r>
      <w:proofErr w:type="spellStart"/>
      <w:r w:rsidRPr="00351274">
        <w:rPr>
          <w:sz w:val="22"/>
          <w:szCs w:val="22"/>
        </w:rPr>
        <w:t>Haemost</w:t>
      </w:r>
      <w:proofErr w:type="spellEnd"/>
      <w:r w:rsidRPr="00351274">
        <w:rPr>
          <w:sz w:val="22"/>
          <w:szCs w:val="22"/>
        </w:rPr>
        <w:t>. 2025.</w:t>
      </w:r>
    </w:p>
    <w:p w14:paraId="1901C1CC" w14:textId="77777777" w:rsidR="00CE5A15" w:rsidRPr="00351274" w:rsidRDefault="00423F7C">
      <w:pPr>
        <w:spacing w:before="60" w:after="80" w:line="330" w:lineRule="auto"/>
        <w:ind w:left="720" w:hanging="720"/>
        <w:jc w:val="both"/>
      </w:pPr>
      <w:r w:rsidRPr="00351274">
        <w:rPr>
          <w:sz w:val="22"/>
          <w:szCs w:val="22"/>
        </w:rPr>
        <w:t>7. Pölzl L, Lohmann R, Sterzinger P, et al. Complexity of coronary artery disease and the release of cardiac biomarkers after CABG. Front Cardiovasc Med. 2024;11:1345439.</w:t>
      </w:r>
    </w:p>
    <w:p w14:paraId="73745DDD" w14:textId="77777777" w:rsidR="00CE5A15" w:rsidRPr="00351274" w:rsidRDefault="00423F7C">
      <w:pPr>
        <w:spacing w:before="60" w:after="80" w:line="330" w:lineRule="auto"/>
        <w:ind w:left="720" w:hanging="720"/>
        <w:jc w:val="both"/>
      </w:pPr>
      <w:r w:rsidRPr="00351274">
        <w:rPr>
          <w:sz w:val="22"/>
          <w:szCs w:val="22"/>
        </w:rPr>
        <w:t>8. Schæffer M, Rasmussen JH, Fredgart MH, et al. Coronary artery calcification score and biomarkers on cardiovascular events: a 10-year follow-up study. Atherosclerosis Plus. 2024.</w:t>
      </w:r>
    </w:p>
    <w:p w14:paraId="5241CE50" w14:textId="77777777" w:rsidR="00CE5A15" w:rsidRPr="00351274" w:rsidRDefault="00423F7C">
      <w:pPr>
        <w:spacing w:before="60" w:after="80" w:line="330" w:lineRule="auto"/>
        <w:ind w:left="720" w:hanging="720"/>
        <w:jc w:val="both"/>
      </w:pPr>
      <w:r w:rsidRPr="00351274">
        <w:rPr>
          <w:sz w:val="22"/>
          <w:szCs w:val="22"/>
        </w:rPr>
        <w:lastRenderedPageBreak/>
        <w:t>9. World Health Organization (WHO). Cardiovascular Diseases: Global Status Report and Prevention Strategies. WHO; 2023–2024.</w:t>
      </w:r>
    </w:p>
    <w:p w14:paraId="4194A39C" w14:textId="77777777" w:rsidR="00CE5A15" w:rsidRPr="00351274" w:rsidRDefault="00423F7C">
      <w:pPr>
        <w:spacing w:before="60" w:after="80" w:line="330" w:lineRule="auto"/>
        <w:ind w:left="720" w:hanging="720"/>
        <w:jc w:val="both"/>
      </w:pPr>
      <w:r w:rsidRPr="00351274">
        <w:rPr>
          <w:sz w:val="22"/>
          <w:szCs w:val="22"/>
        </w:rPr>
        <w:t xml:space="preserve">10. American Heart Association (AHA)/American College of Cardiology (ACC). 2023 AHA/ACC/ACCP/ASPC/NLA/PCNA Guideline for the Management of Chronic Coronary Disease. J Am Coll </w:t>
      </w:r>
      <w:proofErr w:type="spellStart"/>
      <w:r w:rsidRPr="00351274">
        <w:rPr>
          <w:sz w:val="22"/>
          <w:szCs w:val="22"/>
        </w:rPr>
        <w:t>Cardiol</w:t>
      </w:r>
      <w:proofErr w:type="spellEnd"/>
      <w:r w:rsidRPr="00351274">
        <w:rPr>
          <w:sz w:val="22"/>
          <w:szCs w:val="22"/>
        </w:rPr>
        <w:t>. 2023.</w:t>
      </w:r>
    </w:p>
    <w:p w14:paraId="7E557B9F" w14:textId="77777777" w:rsidR="00CE5A15" w:rsidRPr="00351274" w:rsidRDefault="00423F7C">
      <w:pPr>
        <w:spacing w:before="60" w:after="80" w:line="330" w:lineRule="auto"/>
        <w:ind w:left="720" w:hanging="720"/>
        <w:jc w:val="both"/>
      </w:pPr>
      <w:r w:rsidRPr="00351274">
        <w:rPr>
          <w:sz w:val="22"/>
          <w:szCs w:val="22"/>
        </w:rPr>
        <w:t>11. European Society of Cardiology (ESC). 2024 ESC Guidelines for the Management of Chronic Coronary Syndromes. Eur Heart J. 2024.</w:t>
      </w:r>
    </w:p>
    <w:p w14:paraId="30748ECE" w14:textId="77777777" w:rsidR="00CE5A15" w:rsidRPr="00351274" w:rsidRDefault="00423F7C">
      <w:pPr>
        <w:spacing w:before="60" w:after="80" w:line="330" w:lineRule="auto"/>
        <w:ind w:left="720" w:hanging="720"/>
        <w:jc w:val="both"/>
      </w:pPr>
      <w:r w:rsidRPr="00351274">
        <w:rPr>
          <w:sz w:val="22"/>
          <w:szCs w:val="22"/>
        </w:rPr>
        <w:t>12. Shoaib M, Junaid A, Husnain G, et al. Deep learning-based detection of coronary artery disease using plasma biomarkers. Front Cardiovasc Med. 2024.</w:t>
      </w:r>
    </w:p>
    <w:sectPr w:rsidR="00CE5A15" w:rsidRPr="00351274">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F679" w14:textId="77777777" w:rsidR="005F76F3" w:rsidRDefault="005F76F3">
      <w:r>
        <w:separator/>
      </w:r>
    </w:p>
  </w:endnote>
  <w:endnote w:type="continuationSeparator" w:id="0">
    <w:p w14:paraId="2BA58616" w14:textId="77777777" w:rsidR="005F76F3" w:rsidRDefault="005F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FFE6" w14:textId="77777777" w:rsidR="005F76F3" w:rsidRDefault="005F76F3">
      <w:r>
        <w:separator/>
      </w:r>
    </w:p>
  </w:footnote>
  <w:footnote w:type="continuationSeparator" w:id="0">
    <w:p w14:paraId="07F938F5" w14:textId="77777777" w:rsidR="005F76F3" w:rsidRDefault="005F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FB"/>
    <w:multiLevelType w:val="hybridMultilevel"/>
    <w:tmpl w:val="0DE42FAC"/>
    <w:lvl w:ilvl="0" w:tplc="2CCCE1CC">
      <w:start w:val="1"/>
      <w:numFmt w:val="bullet"/>
      <w:lvlText w:val="•"/>
      <w:lvlJc w:val="left"/>
      <w:pPr>
        <w:spacing w:before="40" w:after="40"/>
        <w:ind w:left="720" w:hanging="360"/>
      </w:pPr>
    </w:lvl>
    <w:lvl w:ilvl="1" w:tplc="F480733C">
      <w:numFmt w:val="decimal"/>
      <w:lvlText w:val=""/>
      <w:lvlJc w:val="left"/>
    </w:lvl>
    <w:lvl w:ilvl="2" w:tplc="53F8C0AE">
      <w:numFmt w:val="decimal"/>
      <w:lvlText w:val=""/>
      <w:lvlJc w:val="left"/>
    </w:lvl>
    <w:lvl w:ilvl="3" w:tplc="55CE1422">
      <w:numFmt w:val="decimal"/>
      <w:lvlText w:val=""/>
      <w:lvlJc w:val="left"/>
    </w:lvl>
    <w:lvl w:ilvl="4" w:tplc="A2D2F39C">
      <w:numFmt w:val="decimal"/>
      <w:lvlText w:val=""/>
      <w:lvlJc w:val="left"/>
    </w:lvl>
    <w:lvl w:ilvl="5" w:tplc="502279BA">
      <w:numFmt w:val="decimal"/>
      <w:lvlText w:val=""/>
      <w:lvlJc w:val="left"/>
    </w:lvl>
    <w:lvl w:ilvl="6" w:tplc="4E301554">
      <w:numFmt w:val="decimal"/>
      <w:lvlText w:val=""/>
      <w:lvlJc w:val="left"/>
    </w:lvl>
    <w:lvl w:ilvl="7" w:tplc="A4307844">
      <w:numFmt w:val="decimal"/>
      <w:lvlText w:val=""/>
      <w:lvlJc w:val="left"/>
    </w:lvl>
    <w:lvl w:ilvl="8" w:tplc="2D325E20">
      <w:numFmt w:val="decimal"/>
      <w:lvlText w:val=""/>
      <w:lvlJc w:val="left"/>
    </w:lvl>
  </w:abstractNum>
  <w:abstractNum w:abstractNumId="1" w15:restartNumberingAfterBreak="0">
    <w:nsid w:val="156C0E82"/>
    <w:multiLevelType w:val="hybridMultilevel"/>
    <w:tmpl w:val="96EEA8C6"/>
    <w:lvl w:ilvl="0" w:tplc="4DB6AFFA">
      <w:start w:val="1"/>
      <w:numFmt w:val="bullet"/>
      <w:lvlText w:val="●"/>
      <w:lvlJc w:val="left"/>
      <w:pPr>
        <w:ind w:left="720" w:hanging="360"/>
      </w:pPr>
    </w:lvl>
    <w:lvl w:ilvl="1" w:tplc="91C23D64">
      <w:start w:val="1"/>
      <w:numFmt w:val="bullet"/>
      <w:lvlText w:val="○"/>
      <w:lvlJc w:val="left"/>
      <w:pPr>
        <w:ind w:left="1440" w:hanging="360"/>
      </w:pPr>
    </w:lvl>
    <w:lvl w:ilvl="2" w:tplc="90DA8C5C">
      <w:start w:val="1"/>
      <w:numFmt w:val="bullet"/>
      <w:lvlText w:val="■"/>
      <w:lvlJc w:val="left"/>
      <w:pPr>
        <w:ind w:left="2160" w:hanging="360"/>
      </w:pPr>
    </w:lvl>
    <w:lvl w:ilvl="3" w:tplc="4B66F934">
      <w:start w:val="1"/>
      <w:numFmt w:val="bullet"/>
      <w:lvlText w:val="●"/>
      <w:lvlJc w:val="left"/>
      <w:pPr>
        <w:ind w:left="2880" w:hanging="360"/>
      </w:pPr>
    </w:lvl>
    <w:lvl w:ilvl="4" w:tplc="C520FCFA">
      <w:start w:val="1"/>
      <w:numFmt w:val="bullet"/>
      <w:lvlText w:val="○"/>
      <w:lvlJc w:val="left"/>
      <w:pPr>
        <w:ind w:left="3600" w:hanging="360"/>
      </w:pPr>
    </w:lvl>
    <w:lvl w:ilvl="5" w:tplc="A1BE766C">
      <w:start w:val="1"/>
      <w:numFmt w:val="bullet"/>
      <w:lvlText w:val="■"/>
      <w:lvlJc w:val="left"/>
      <w:pPr>
        <w:ind w:left="4320" w:hanging="360"/>
      </w:pPr>
    </w:lvl>
    <w:lvl w:ilvl="6" w:tplc="9A94C3EE">
      <w:start w:val="1"/>
      <w:numFmt w:val="bullet"/>
      <w:lvlText w:val="●"/>
      <w:lvlJc w:val="left"/>
      <w:pPr>
        <w:ind w:left="5040" w:hanging="360"/>
      </w:pPr>
    </w:lvl>
    <w:lvl w:ilvl="7" w:tplc="302C7D94">
      <w:start w:val="1"/>
      <w:numFmt w:val="bullet"/>
      <w:lvlText w:val="●"/>
      <w:lvlJc w:val="left"/>
      <w:pPr>
        <w:ind w:left="5760" w:hanging="360"/>
      </w:pPr>
    </w:lvl>
    <w:lvl w:ilvl="8" w:tplc="FE40A058">
      <w:start w:val="1"/>
      <w:numFmt w:val="bullet"/>
      <w:lvlText w:val="●"/>
      <w:lvlJc w:val="left"/>
      <w:pPr>
        <w:ind w:left="6480" w:hanging="360"/>
      </w:pPr>
    </w:lvl>
  </w:abstractNum>
  <w:num w:numId="1" w16cid:durableId="2147763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15"/>
    <w:rsid w:val="001B6571"/>
    <w:rsid w:val="00224233"/>
    <w:rsid w:val="00351274"/>
    <w:rsid w:val="00423F7C"/>
    <w:rsid w:val="004D5085"/>
    <w:rsid w:val="005F76F3"/>
    <w:rsid w:val="008A280B"/>
    <w:rsid w:val="00A9471C"/>
    <w:rsid w:val="00CE5A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163"/>
  <w15:docId w15:val="{DDA1F75C-E12C-4493-BC9C-9C239CDB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rFonts w:ascii="Arial" w:eastAsia="Arial" w:hAnsi="Arial" w:cs="Arial"/>
      <w:b/>
      <w:bCs/>
      <w:color w:val="1A5276"/>
      <w:sz w:val="28"/>
      <w:szCs w:val="28"/>
    </w:rPr>
  </w:style>
  <w:style w:type="paragraph" w:styleId="Heading2">
    <w:name w:val="heading 2"/>
    <w:uiPriority w:val="9"/>
    <w:unhideWhenUsed/>
    <w:qFormat/>
    <w:pPr>
      <w:spacing w:before="200" w:after="100"/>
      <w:outlineLvl w:val="1"/>
    </w:pPr>
    <w:rPr>
      <w:rFonts w:ascii="Arial" w:eastAsia="Arial" w:hAnsi="Arial" w:cs="Arial"/>
      <w:b/>
      <w:bCs/>
      <w:color w:val="1F618D"/>
      <w:sz w:val="26"/>
      <w:szCs w:val="26"/>
    </w:rPr>
  </w:style>
  <w:style w:type="paragraph" w:styleId="Heading3">
    <w:name w:val="heading 3"/>
    <w:uiPriority w:val="9"/>
    <w:unhideWhenUsed/>
    <w:qFormat/>
    <w:pPr>
      <w:spacing w:before="160" w:after="80"/>
      <w:outlineLvl w:val="2"/>
    </w:pPr>
    <w:rPr>
      <w:rFonts w:ascii="Arial" w:eastAsia="Arial" w:hAnsi="Arial" w:cs="Arial"/>
      <w:b/>
      <w:bCs/>
      <w:color w:val="2874A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1274"/>
    <w:pPr>
      <w:tabs>
        <w:tab w:val="center" w:pos="4513"/>
        <w:tab w:val="right" w:pos="9026"/>
      </w:tabs>
    </w:pPr>
  </w:style>
  <w:style w:type="character" w:customStyle="1" w:styleId="HeaderChar">
    <w:name w:val="Header Char"/>
    <w:basedOn w:val="DefaultParagraphFont"/>
    <w:link w:val="Header"/>
    <w:uiPriority w:val="99"/>
    <w:rsid w:val="00351274"/>
  </w:style>
  <w:style w:type="paragraph" w:styleId="Footer">
    <w:name w:val="footer"/>
    <w:basedOn w:val="Normal"/>
    <w:link w:val="FooterChar"/>
    <w:uiPriority w:val="99"/>
    <w:unhideWhenUsed/>
    <w:rsid w:val="00351274"/>
    <w:pPr>
      <w:tabs>
        <w:tab w:val="center" w:pos="4513"/>
        <w:tab w:val="right" w:pos="9026"/>
      </w:tabs>
    </w:pPr>
  </w:style>
  <w:style w:type="character" w:customStyle="1" w:styleId="FooterChar">
    <w:name w:val="Footer Char"/>
    <w:basedOn w:val="DefaultParagraphFont"/>
    <w:link w:val="Footer"/>
    <w:uiPriority w:val="99"/>
    <w:rsid w:val="00351274"/>
  </w:style>
  <w:style w:type="character" w:styleId="UnresolvedMention">
    <w:name w:val="Unresolved Mention"/>
    <w:basedOn w:val="DefaultParagraphFont"/>
    <w:uiPriority w:val="99"/>
    <w:semiHidden/>
    <w:unhideWhenUsed/>
    <w:rsid w:val="0022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hanimroj389@gmail.com" TargetMode="External"/><Relationship Id="rId3" Type="http://schemas.openxmlformats.org/officeDocument/2006/relationships/settings" Target="settings.xml"/><Relationship Id="rId7" Type="http://schemas.openxmlformats.org/officeDocument/2006/relationships/hyperlink" Target="mailto:Rajeev074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Imroj Khan</cp:lastModifiedBy>
  <cp:revision>3</cp:revision>
  <dcterms:created xsi:type="dcterms:W3CDTF">2026-05-21T09:29:00Z</dcterms:created>
  <dcterms:modified xsi:type="dcterms:W3CDTF">2026-05-21T09:34:00Z</dcterms:modified>
</cp:coreProperties>
</file>