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76F1" w14:textId="38390AD5" w:rsidR="003D7DC1" w:rsidRPr="0035120B" w:rsidRDefault="003D7DC1" w:rsidP="00332D2D">
      <w:pPr>
        <w:pStyle w:val="Heading1"/>
        <w:spacing w:before="0"/>
        <w:jc w:val="center"/>
        <w:rPr>
          <w:rFonts w:ascii="Times New Roman" w:eastAsia="Times New Roman" w:hAnsi="Times New Roman"/>
          <w:kern w:val="36"/>
          <w:sz w:val="36"/>
          <w:szCs w:val="36"/>
        </w:rPr>
      </w:pPr>
      <w:r w:rsidRPr="0035120B">
        <w:rPr>
          <w:rFonts w:ascii="Times New Roman" w:hAnsi="Times New Roman"/>
          <w:color w:val="000000"/>
          <w:kern w:val="36"/>
          <w:sz w:val="36"/>
          <w:szCs w:val="36"/>
        </w:rPr>
        <w:t>Teacher-Driven Practices and Home Literacy Support as Predictors of Reading Attitudes among Early Grade Learners</w:t>
      </w:r>
    </w:p>
    <w:p w14:paraId="452DA97B" w14:textId="77777777" w:rsidR="003D7DC1" w:rsidRPr="0035120B" w:rsidRDefault="003D7DC1" w:rsidP="003D7DC1">
      <w:pPr>
        <w:pStyle w:val="NormalWeb"/>
        <w:spacing w:before="0" w:beforeAutospacing="0" w:after="0" w:afterAutospacing="0"/>
        <w:jc w:val="center"/>
      </w:pPr>
      <w:r w:rsidRPr="0035120B">
        <w:rPr>
          <w:b/>
          <w:bCs/>
          <w:color w:val="000000"/>
        </w:rPr>
        <w:t xml:space="preserve"/>
      </w:r>
      <w:proofErr w:type="spellStart"/>
      <w:r w:rsidRPr="0035120B">
        <w:rPr>
          <w:b/>
          <w:bCs/>
          <w:color w:val="000000"/>
        </w:rPr>
        <w:t/>
      </w:r>
      <w:proofErr w:type="spellEnd"/>
      <w:r w:rsidRPr="0035120B">
        <w:rPr>
          <w:b/>
          <w:bCs/>
          <w:color w:val="000000"/>
        </w:rPr>
        <w:t xml:space="preserve"/>
      </w:r>
      <w:proofErr w:type="spellStart"/>
      <w:r w:rsidRPr="0035120B">
        <w:rPr>
          <w:b/>
          <w:bCs/>
          <w:color w:val="000000"/>
        </w:rPr>
        <w:t/>
      </w:r>
      <w:proofErr w:type="spellEnd"/>
      <w:r w:rsidRPr="0035120B">
        <w:rPr>
          <w:b/>
          <w:bCs/>
          <w:color w:val="000000"/>
        </w:rPr>
        <w:t xml:space="preserve"/>
      </w:r>
    </w:p>
    <w:p w14:paraId="03CBBACA" w14:textId="77777777" w:rsidR="003D7DC1" w:rsidRPr="0035120B" w:rsidRDefault="003D7DC1" w:rsidP="003D7DC1">
      <w:pPr>
        <w:pStyle w:val="NormalWeb"/>
        <w:spacing w:before="0" w:beforeAutospacing="0" w:after="0" w:afterAutospacing="0"/>
        <w:jc w:val="center"/>
      </w:pPr>
      <w:r w:rsidRPr="0035120B">
        <w:rPr>
          <w:b/>
          <w:bCs/>
          <w:color w:val="000000"/>
        </w:rPr>
        <w:t xml:space="preserve"/>
      </w:r>
      <w:proofErr w:type="spellStart"/>
      <w:r w:rsidRPr="0035120B">
        <w:rPr>
          <w:b/>
          <w:bCs/>
          <w:color w:val="000000"/>
        </w:rPr>
        <w:t/>
      </w:r>
      <w:proofErr w:type="spellEnd"/>
      <w:r w:rsidRPr="0035120B">
        <w:rPr>
          <w:b/>
          <w:bCs/>
          <w:color w:val="000000"/>
        </w:rPr>
        <w:t xml:space="preserve"/>
      </w:r>
      <w:proofErr w:type="spellStart"/>
      <w:r w:rsidRPr="0035120B">
        <w:rPr>
          <w:b/>
          <w:bCs/>
          <w:color w:val="000000"/>
        </w:rPr>
        <w:t/>
      </w:r>
      <w:proofErr w:type="spellEnd"/>
      <w:r w:rsidRPr="0035120B">
        <w:rPr>
          <w:b/>
          <w:bCs/>
          <w:color w:val="000000"/>
        </w:rPr>
        <w:t xml:space="preserve"/>
      </w:r>
    </w:p>
    <w:p w14:paraId="39C98876" w14:textId="77777777" w:rsidR="003D7DC1" w:rsidRPr="0035120B" w:rsidRDefault="003D7DC1" w:rsidP="003D7DC1">
      <w:pPr>
        <w:pStyle w:val="NormalWeb"/>
        <w:spacing w:before="0" w:beforeAutospacing="0" w:after="0" w:afterAutospacing="0"/>
        <w:jc w:val="center"/>
        <w:rPr>
          <w:color w:val="000000"/>
        </w:rPr>
      </w:pPr>
      <w:r w:rsidRPr="0035120B">
        <w:rPr>
          <w:color w:val="000000"/>
        </w:rPr>
        <w:t xml:space="preserve"/>
      </w:r>
    </w:p>
    <w:p w14:paraId="0384EFBC" w14:textId="77777777" w:rsidR="003D7DC1" w:rsidRPr="0035120B" w:rsidRDefault="003D7DC1" w:rsidP="003D7DC1">
      <w:pPr>
        <w:pStyle w:val="NormalWeb"/>
        <w:spacing w:before="0" w:beforeAutospacing="0" w:after="0" w:afterAutospacing="0"/>
        <w:jc w:val="center"/>
        <w:rPr>
          <w:color w:val="000000"/>
        </w:rPr>
      </w:pPr>
      <w:r w:rsidRPr="0035120B">
        <w:rPr>
          <w:color w:val="000000"/>
        </w:rPr>
        <w:t xml:space="preserve"/>
      </w:r>
    </w:p>
    <w:p w14:paraId="1DEDC31C" w14:textId="77777777" w:rsidR="003D7DC1" w:rsidRPr="0035120B" w:rsidRDefault="003D7DC1" w:rsidP="003D7DC1">
      <w:pPr>
        <w:pStyle w:val="NormalWeb"/>
        <w:spacing w:before="0" w:beforeAutospacing="0" w:after="0" w:afterAutospacing="0"/>
        <w:jc w:val="center"/>
      </w:pPr>
      <w:r w:rsidRPr="0035120B">
        <w:rPr>
          <w:color w:val="000000"/>
        </w:rPr>
        <w:t/>
      </w:r>
      <w:r w:rsidRPr="0035120B">
        <w:t/>
      </w:r>
    </w:p>
    <w:p w14:paraId="498FC91B" w14:textId="40FF104A" w:rsidR="003D7DC1" w:rsidRPr="0035120B" w:rsidRDefault="003D7DC1" w:rsidP="0035120B">
      <w:pPr>
        <w:pStyle w:val="NormalWeb"/>
        <w:spacing w:before="0" w:beforeAutospacing="0" w:after="0" w:afterAutospacing="0"/>
        <w:jc w:val="center"/>
      </w:pPr>
      <w:r w:rsidRPr="0035120B">
        <w:t xml:space="preserve"/>
      </w:r>
      <w:hyperlink r:id="rId7" w:history="1">
        <w:r w:rsidR="0035120B" w:rsidRPr="0035120B">
          <w:rPr>
            <w:rStyle w:val="Hyperlink"/>
            <w:color w:val="auto"/>
            <w:u w:val="none"/>
          </w:rPr>
          <w:t/>
        </w:r>
      </w:hyperlink>
    </w:p>
    <w:p w14:paraId="03FE1FCC" w14:textId="77777777" w:rsidR="0035120B" w:rsidRDefault="0035120B" w:rsidP="0035120B">
      <w:pPr>
        <w:pStyle w:val="NormalWeb"/>
        <w:spacing w:before="0" w:beforeAutospacing="0" w:after="0" w:afterAutospacing="0"/>
        <w:jc w:val="center"/>
      </w:pPr>
    </w:p>
    <w:p w14:paraId="7D2DB8B3" w14:textId="5E13A529" w:rsidR="00A85A61" w:rsidRPr="00A85A61" w:rsidRDefault="003D7DC1" w:rsidP="003D7DC1">
      <w:pPr>
        <w:spacing w:after="0"/>
        <w:jc w:val="both"/>
        <w:rPr>
          <w:rFonts w:ascii="Times New Roman" w:hAnsi="Times New Roman"/>
          <w:b/>
          <w:sz w:val="28"/>
          <w:szCs w:val="28"/>
        </w:rPr>
      </w:pPr>
      <w:r w:rsidRPr="003D7DC1">
        <w:rPr>
          <w:rFonts w:ascii="Times New Roman" w:hAnsi="Times New Roman"/>
          <w:b/>
          <w:sz w:val="28"/>
          <w:szCs w:val="28"/>
        </w:rPr>
        <w:t>ABSTRACT</w:t>
      </w:r>
    </w:p>
    <w:p w14:paraId="116297A8" w14:textId="5F77C6B0" w:rsidR="003D7DC1" w:rsidRPr="003D7DC1" w:rsidRDefault="003D7DC1" w:rsidP="0035120B">
      <w:pPr>
        <w:spacing w:before="0" w:beforeAutospacing="0" w:after="0" w:line="240" w:lineRule="auto"/>
        <w:jc w:val="both"/>
        <w:rPr>
          <w:rFonts w:ascii="Times New Roman" w:hAnsi="Times New Roman"/>
        </w:rPr>
      </w:pPr>
      <w:r w:rsidRPr="003D7DC1">
        <w:rPr>
          <w:rFonts w:ascii="Times New Roman" w:hAnsi="Times New Roman"/>
          <w:sz w:val="24"/>
          <w:szCs w:val="24"/>
        </w:rPr>
        <w:t xml:space="preserve">This study examined the influence of teacher-driven practices and home literacy support on the reading attitudes of early-grade learners during the implementation of the Four-Pronged Approach in public elementary schools in Iligan City, Philippines. Using a quantitative repeated-measures design, data were collected from Grade 1 learners across three measurement phases during the implementation of a reading intervention program in the 2025–2026 academic year. Adapted survey instruments were utilized to measure reading attitudes, teacher-driven practices, and home literacy support. Repeated-measures ANOVA and moderated multiple regression analyses were employed to analyze the data. Findings revealed gradual positive trends in learners’ reading attitudes across the intervention phases, although the changes were not statistically significant. </w:t>
      </w:r>
      <w:r w:rsidRPr="003D7DC1">
        <w:rPr>
          <w:rFonts w:ascii="Times New Roman" w:hAnsi="Times New Roman"/>
          <w:color w:val="000000"/>
          <w:sz w:val="24"/>
          <w:szCs w:val="24"/>
        </w:rPr>
        <w:t xml:space="preserve"> </w:t>
      </w:r>
      <w:r w:rsidRPr="003D7DC1">
        <w:rPr>
          <w:rFonts w:ascii="Times New Roman" w:hAnsi="Times New Roman"/>
          <w:sz w:val="24"/>
          <w:szCs w:val="24"/>
        </w:rPr>
        <w:t>In contrast, teacher-driven practices and home literacy support demonstrated significant positive changes over time. The interaction between teacher-driven practices and home literacy support significantly predicted learners’ final reading attitudes, suggesting that supportive classroom instruction and home literacy environments jointly contribute to the development of positive reading attitudes among early-grade learners. The findings underscore the importance of sustained literacy support across school and home contexts in fostering early reading engagement and literacy motivation.</w:t>
      </w:r>
    </w:p>
    <w:p w14:paraId="338CD34B" w14:textId="61871CCB" w:rsidR="003D7DC1" w:rsidRPr="0035120B" w:rsidRDefault="003D7DC1" w:rsidP="0035120B">
      <w:pPr>
        <w:spacing w:before="0" w:beforeAutospacing="0" w:after="0" w:line="240" w:lineRule="auto"/>
        <w:ind w:right="720"/>
        <w:jc w:val="both"/>
        <w:rPr>
          <w:rFonts w:ascii="Times New Roman" w:hAnsi="Times New Roman"/>
          <w:i/>
          <w:iCs/>
          <w:sz w:val="24"/>
          <w:szCs w:val="24"/>
        </w:rPr>
      </w:pPr>
      <w:r w:rsidRPr="003D7DC1">
        <w:rPr>
          <w:rFonts w:ascii="Times New Roman" w:hAnsi="Times New Roman"/>
          <w:b/>
          <w:sz w:val="24"/>
          <w:szCs w:val="24"/>
        </w:rPr>
        <w:t xml:space="preserve">Keywords: </w:t>
      </w:r>
      <w:r w:rsidRPr="003D7DC1">
        <w:rPr>
          <w:rFonts w:ascii="Times New Roman" w:hAnsi="Times New Roman"/>
          <w:i/>
          <w:iCs/>
          <w:sz w:val="24"/>
          <w:szCs w:val="24"/>
        </w:rPr>
        <w:t>reading attitudes; home literacy support; teacher-driven practices; early grade learners; literacy engagement</w:t>
      </w:r>
    </w:p>
    <w:p w14:paraId="3C92A19D" w14:textId="276915DE" w:rsidR="003D7DC1" w:rsidRPr="003D7DC1" w:rsidRDefault="003D7DC1" w:rsidP="003D7DC1">
      <w:pPr>
        <w:pStyle w:val="NormalWeb"/>
        <w:spacing w:before="240" w:beforeAutospacing="0" w:after="240" w:afterAutospacing="0"/>
        <w:jc w:val="both"/>
        <w:rPr>
          <w:b/>
          <w:bCs/>
          <w:color w:val="000000"/>
          <w:sz w:val="28"/>
          <w:szCs w:val="28"/>
        </w:rPr>
      </w:pPr>
      <w:r w:rsidRPr="003D7DC1">
        <w:rPr>
          <w:b/>
          <w:bCs/>
          <w:color w:val="000000"/>
          <w:sz w:val="28"/>
          <w:szCs w:val="28"/>
        </w:rPr>
        <w:t>INTRODUCTION</w:t>
      </w:r>
    </w:p>
    <w:p w14:paraId="604ED4CE" w14:textId="7B6D9D49" w:rsidR="003D7DC1" w:rsidRPr="00E10BFE" w:rsidRDefault="003D7DC1" w:rsidP="003D7DC1">
      <w:pPr>
        <w:pStyle w:val="NormalWeb"/>
        <w:spacing w:before="240" w:beforeAutospacing="0" w:after="240" w:afterAutospacing="0"/>
        <w:jc w:val="both"/>
        <w:rPr>
          <w:color w:val="000000"/>
        </w:rPr>
      </w:pPr>
      <w:r w:rsidRPr="003D7DC1">
        <w:rPr>
          <w:color w:val="000000"/>
        </w:rPr>
        <w:t xml:space="preserve">Reading challenges remain a global issue, with many learners showing less enthusiasm and involvement in reading activities </w:t>
      </w:r>
      <w:r w:rsidR="00E10BFE">
        <w:rPr>
          <w:color w:val="000000"/>
        </w:rPr>
        <w:t>[8][10]</w:t>
      </w:r>
      <w:r w:rsidRPr="003D7DC1">
        <w:rPr>
          <w:color w:val="000000"/>
        </w:rPr>
        <w:t xml:space="preserve">.  In the Philippines, literacy challenges remain a pressing educational concern, as many learners continue to struggle with reading proficiency and motivation </w:t>
      </w:r>
      <w:r w:rsidR="00E10BFE">
        <w:rPr>
          <w:color w:val="000000"/>
        </w:rPr>
        <w:t>[15]</w:t>
      </w:r>
      <w:r w:rsidRPr="003D7DC1">
        <w:rPr>
          <w:color w:val="000000"/>
        </w:rPr>
        <w:t xml:space="preserve">.  Recent </w:t>
      </w:r>
      <w:proofErr w:type="spellStart"/>
      <w:r w:rsidRPr="003D7DC1">
        <w:rPr>
          <w:color w:val="000000"/>
        </w:rPr>
        <w:t>Programme</w:t>
      </w:r>
      <w:proofErr w:type="spellEnd"/>
      <w:r w:rsidRPr="003D7DC1">
        <w:rPr>
          <w:color w:val="000000"/>
        </w:rPr>
        <w:t xml:space="preserve"> for International Student Assessment (PISA) results showed that the Philippines was one of the lowest performing countries in reading as many students failed to satisfy basic competency levels </w:t>
      </w:r>
      <w:r w:rsidR="00E10BFE">
        <w:rPr>
          <w:color w:val="000000"/>
        </w:rPr>
        <w:t>[20]</w:t>
      </w:r>
      <w:r w:rsidRPr="003D7DC1">
        <w:rPr>
          <w:color w:val="000000"/>
        </w:rPr>
        <w:t>. These findings highlight the need for stronger literacy instruction and sustained educational support, particularly during the early grades when foundational reading skills are still developing.</w:t>
      </w:r>
    </w:p>
    <w:p w14:paraId="4B46DBB2" w14:textId="619D03C1" w:rsidR="003D7DC1" w:rsidRPr="003D7DC1" w:rsidRDefault="003D7DC1" w:rsidP="003D7DC1">
      <w:pPr>
        <w:pStyle w:val="NormalWeb"/>
        <w:spacing w:before="240" w:beforeAutospacing="0" w:after="240" w:afterAutospacing="0"/>
        <w:jc w:val="both"/>
      </w:pPr>
      <w:r w:rsidRPr="003D7DC1">
        <w:rPr>
          <w:color w:val="000000"/>
        </w:rPr>
        <w:t xml:space="preserve">Interventions in early-grade literacy are essential to promote phonemic awareness, word recognition, and other core reading skills that are needed for long-term academic achievement </w:t>
      </w:r>
      <w:r w:rsidR="00A85A61">
        <w:rPr>
          <w:color w:val="000000"/>
        </w:rPr>
        <w:t>[12]</w:t>
      </w:r>
      <w:r w:rsidRPr="003D7DC1">
        <w:rPr>
          <w:color w:val="000000"/>
        </w:rPr>
        <w:t xml:space="preserve">. Furthermore, research suggests that early-grade interventions tend to be more successful than those introduced in later grades, highlighting the necessity of continuous literacy assistance in early childhood education </w:t>
      </w:r>
      <w:r w:rsidR="00A85A61">
        <w:rPr>
          <w:color w:val="000000"/>
        </w:rPr>
        <w:t>[24]</w:t>
      </w:r>
      <w:r w:rsidRPr="003D7DC1">
        <w:rPr>
          <w:color w:val="000000"/>
        </w:rPr>
        <w:t>. However, literacy development is not just about reading proficiency, but also the learners’ attitudes towards reading that affects their engagement, motivation and willingness to engage in literacy activities.</w:t>
      </w:r>
    </w:p>
    <w:p w14:paraId="786714FA" w14:textId="12035E85" w:rsidR="003D7DC1" w:rsidRPr="00332D2D" w:rsidRDefault="003D7DC1" w:rsidP="003D7DC1">
      <w:pPr>
        <w:pStyle w:val="NormalWeb"/>
        <w:spacing w:before="240" w:beforeAutospacing="0" w:after="240" w:afterAutospacing="0"/>
        <w:jc w:val="both"/>
      </w:pPr>
      <w:r w:rsidRPr="003D7DC1">
        <w:rPr>
          <w:color w:val="000000"/>
        </w:rPr>
        <w:t xml:space="preserve">Studies have consistently shown that positive reading attitudes are associated with stronger </w:t>
      </w:r>
      <w:r w:rsidRPr="00332D2D">
        <w:rPr>
          <w:color w:val="000000"/>
        </w:rPr>
        <w:t xml:space="preserve">reading engagement, improved motivation, and better literacy outcomes </w:t>
      </w:r>
      <w:r w:rsidR="00A85A61">
        <w:rPr>
          <w:color w:val="000000"/>
        </w:rPr>
        <w:t xml:space="preserve">[25][1]. </w:t>
      </w:r>
      <w:r w:rsidRPr="00332D2D">
        <w:rPr>
          <w:color w:val="000000"/>
        </w:rPr>
        <w:t xml:space="preserve">The more valuable and engaging the literacy experiences learners have, the more likely they are to establish positive attitudes to reading and to maintain reading habits over time. Research also reveals that positive attitudes towards reading may diminish over time when learners are not given consistent literacy support and meaningful reading experiences </w:t>
      </w:r>
      <w:r w:rsidR="00A85A61">
        <w:rPr>
          <w:color w:val="000000"/>
        </w:rPr>
        <w:t>[13]</w:t>
      </w:r>
      <w:r w:rsidRPr="00332D2D">
        <w:rPr>
          <w:color w:val="000000"/>
        </w:rPr>
        <w:t xml:space="preserve">. Furthermore, while literacy interventions have the potential to significantly influence reading development, motivation and </w:t>
      </w:r>
      <w:r w:rsidRPr="00332D2D">
        <w:rPr>
          <w:color w:val="000000"/>
        </w:rPr>
        <w:lastRenderedPageBreak/>
        <w:t xml:space="preserve">reading attitudes are typically influenced by many instructional and environmental elements outside from isolated treatments alone </w:t>
      </w:r>
      <w:r w:rsidR="00A85A61">
        <w:rPr>
          <w:color w:val="000000"/>
        </w:rPr>
        <w:t>[19].</w:t>
      </w:r>
    </w:p>
    <w:p w14:paraId="259CA871" w14:textId="77777777" w:rsidR="003D7DC1" w:rsidRPr="00332D2D" w:rsidRDefault="003D7DC1" w:rsidP="003D7DC1">
      <w:pPr>
        <w:pStyle w:val="NormalWeb"/>
        <w:spacing w:before="240" w:beforeAutospacing="0" w:after="240" w:afterAutospacing="0"/>
        <w:jc w:val="both"/>
      </w:pPr>
      <w:r w:rsidRPr="00332D2D">
        <w:rPr>
          <w:color w:val="000000"/>
        </w:rPr>
        <w:t xml:space="preserve">Existing literature further emphasizes that reading attitudes are influenced not only by classroom instruction but also by literacy experiences within the home environment. Supportive teacher practices, engaging classroom literacy activities, and good learning relationships foster learners’ reading motivation and engagement. </w:t>
      </w:r>
      <w:proofErr w:type="gramStart"/>
      <w:r w:rsidRPr="00332D2D">
        <w:rPr>
          <w:color w:val="000000"/>
        </w:rPr>
        <w:t>Also</w:t>
      </w:r>
      <w:proofErr w:type="gramEnd"/>
      <w:r w:rsidRPr="00332D2D">
        <w:rPr>
          <w:color w:val="000000"/>
        </w:rPr>
        <w:t xml:space="preserve"> home literacy support and parental involvement contribute to literacy experiences outside the classroom and help boost learners enthusiasm in reading. These school-home literacy connections are even more critical in the early grades when learners are still learning basic reading practices and attitudes.</w:t>
      </w:r>
    </w:p>
    <w:p w14:paraId="05F6C701" w14:textId="06BC07BC" w:rsidR="003D7DC1" w:rsidRPr="00332D2D" w:rsidRDefault="003D7DC1" w:rsidP="003D7DC1">
      <w:pPr>
        <w:pStyle w:val="NormalWeb"/>
        <w:spacing w:before="240" w:beforeAutospacing="0" w:after="240" w:afterAutospacing="0"/>
        <w:jc w:val="both"/>
      </w:pPr>
      <w:r w:rsidRPr="00332D2D">
        <w:rPr>
          <w:color w:val="000000"/>
        </w:rPr>
        <w:t xml:space="preserve">Although the research on literacy interventions and reading attitudes is expanding, limited studies have investigated the combined effects of teacher-driven practices and home literacy support on early-grade learners’ reading attitudes in the setting of Philippine public schools. Most of the existing research focus on higher grade levels or general reading competency rather than the interplay between school and home literacy support systems in molding early reading attitudes </w:t>
      </w:r>
      <w:r w:rsidR="00A85A61">
        <w:rPr>
          <w:color w:val="000000"/>
        </w:rPr>
        <w:t>[14][23]</w:t>
      </w:r>
      <w:r w:rsidRPr="00332D2D">
        <w:rPr>
          <w:color w:val="000000"/>
        </w:rPr>
        <w:t xml:space="preserve">. Although research has evaluated the Four-Pronged strategy among upper elementary learners, there is less study on the interaction of teacher-driven practices and home literacy assistance in developing the reading attitudes of early-grade learners throughout the implementation of the strategy </w:t>
      </w:r>
      <w:r w:rsidR="00A85A61">
        <w:rPr>
          <w:color w:val="000000"/>
        </w:rPr>
        <w:t>[21].</w:t>
      </w:r>
    </w:p>
    <w:p w14:paraId="673D1D92" w14:textId="77777777" w:rsidR="003D7DC1" w:rsidRPr="00332D2D" w:rsidRDefault="003D7DC1" w:rsidP="003D7DC1">
      <w:pPr>
        <w:pStyle w:val="NormalWeb"/>
        <w:spacing w:before="240" w:beforeAutospacing="0" w:after="240" w:afterAutospacing="0"/>
        <w:jc w:val="both"/>
      </w:pPr>
      <w:r w:rsidRPr="00332D2D">
        <w:rPr>
          <w:color w:val="000000"/>
        </w:rPr>
        <w:t>Addressing this gap is important because reading attitudes developed during the early grades may influence learners’ long-term literacy engagement and future academic development. Thus, this study examined the influence of teacher-driven practices and home literacy support on the reading attitudes of early-grade learners during the implementation of the Four-Pronged Approach. Specifically, the study examined changes in learners’ reading attitudes across three measurement phases and analyzed the main and interaction effects of teacher-driven practices and home literacy support on learners’ reading attitudes.</w:t>
      </w:r>
    </w:p>
    <w:p w14:paraId="2EA44A53" w14:textId="041F6BE5" w:rsidR="003D7DC1" w:rsidRPr="00332D2D" w:rsidRDefault="0035120B" w:rsidP="003D7DC1">
      <w:pPr>
        <w:pStyle w:val="NormalWeb"/>
        <w:spacing w:before="240" w:beforeAutospacing="0" w:after="240" w:afterAutospacing="0"/>
        <w:jc w:val="both"/>
      </w:pPr>
      <w:r>
        <w:rPr>
          <w:b/>
          <w:bCs/>
        </w:rPr>
        <w:t>LITERATURE REVIEW</w:t>
      </w:r>
    </w:p>
    <w:p w14:paraId="6FC41549" w14:textId="0EA016FC" w:rsidR="003D7DC1" w:rsidRPr="00332D2D" w:rsidRDefault="003D7DC1" w:rsidP="003D7DC1">
      <w:pPr>
        <w:pStyle w:val="NormalWeb"/>
        <w:spacing w:before="240" w:beforeAutospacing="0" w:after="240" w:afterAutospacing="0"/>
        <w:jc w:val="both"/>
        <w:rPr>
          <w:b/>
          <w:bCs/>
        </w:rPr>
      </w:pPr>
      <w:r w:rsidRPr="00332D2D">
        <w:rPr>
          <w:b/>
          <w:bCs/>
          <w:color w:val="000000"/>
        </w:rPr>
        <w:t>Reading Attitudes</w:t>
      </w:r>
    </w:p>
    <w:p w14:paraId="50718821" w14:textId="2747D2FD" w:rsidR="003D7DC1" w:rsidRPr="00332D2D" w:rsidRDefault="003D7DC1" w:rsidP="00332D2D">
      <w:pPr>
        <w:pStyle w:val="NormalWeb"/>
        <w:spacing w:before="240" w:beforeAutospacing="0" w:after="240" w:afterAutospacing="0"/>
        <w:jc w:val="both"/>
      </w:pPr>
      <w:r w:rsidRPr="00332D2D">
        <w:rPr>
          <w:color w:val="000000"/>
        </w:rPr>
        <w:t xml:space="preserve">Reading is essential for language acquisition and literacy development, and it forms the basis of academic learning and communication on a daily basis. In addition to the technical reading skills, the attitudes of the learners toward reading have a significant impact on their willingness to engage in literacy activities and to maintain reading habits over time.  Reading attitude has therefore been widely recognized as an important factor associated with learners’ academic engagement and literacy performance </w:t>
      </w:r>
      <w:r w:rsidR="00A85A61">
        <w:rPr>
          <w:color w:val="000000"/>
        </w:rPr>
        <w:t xml:space="preserve">[18][3]. </w:t>
      </w:r>
      <w:r w:rsidRPr="00332D2D">
        <w:rPr>
          <w:color w:val="000000"/>
        </w:rPr>
        <w:t xml:space="preserve">Reading attitude reflects how learners feel and respond toward reading experiences over </w:t>
      </w:r>
      <w:proofErr w:type="spellStart"/>
      <w:proofErr w:type="gramStart"/>
      <w:r w:rsidRPr="00332D2D">
        <w:rPr>
          <w:color w:val="000000"/>
        </w:rPr>
        <w:t>time.When</w:t>
      </w:r>
      <w:proofErr w:type="spellEnd"/>
      <w:proofErr w:type="gramEnd"/>
      <w:r w:rsidRPr="00332D2D">
        <w:rPr>
          <w:color w:val="000000"/>
        </w:rPr>
        <w:t xml:space="preserve"> reading is associated with enjoyment, encouragement and meaningful participation, learners are likely to be active participants in literacy activities and maintain interest in reading. Positive literacy experiences in a supportive environment may also help </w:t>
      </w:r>
      <w:proofErr w:type="gramStart"/>
      <w:r w:rsidRPr="00332D2D">
        <w:rPr>
          <w:color w:val="000000"/>
        </w:rPr>
        <w:t>learners</w:t>
      </w:r>
      <w:proofErr w:type="gramEnd"/>
      <w:r w:rsidRPr="00332D2D">
        <w:rPr>
          <w:color w:val="000000"/>
        </w:rPr>
        <w:t xml:space="preserve"> confidence and motivation to make reading a more familiar and valued part of their daily learning experiences.</w:t>
      </w:r>
    </w:p>
    <w:p w14:paraId="2E804882" w14:textId="1398D8A1" w:rsidR="003D7DC1" w:rsidRPr="00332D2D" w:rsidRDefault="003D7DC1" w:rsidP="00332D2D">
      <w:pPr>
        <w:pStyle w:val="NormalWeb"/>
        <w:spacing w:before="240" w:beforeAutospacing="0" w:after="240" w:afterAutospacing="0"/>
        <w:jc w:val="both"/>
      </w:pPr>
      <w:r w:rsidRPr="00332D2D">
        <w:rPr>
          <w:color w:val="000000"/>
        </w:rPr>
        <w:t xml:space="preserve">Research also shows that literacy experiences in both school and home environments help to develop reading attitudes. Home literacy activities, shared reading experiences, and early exposure to books have a positive effect on children’s perception of reading and literacy participation </w:t>
      </w:r>
      <w:r w:rsidR="00A85A61">
        <w:rPr>
          <w:color w:val="000000"/>
        </w:rPr>
        <w:t>[2]</w:t>
      </w:r>
      <w:r w:rsidRPr="00332D2D">
        <w:rPr>
          <w:color w:val="000000"/>
        </w:rPr>
        <w:t>. Similarly, a positive school environment and good teaching practices lead to more positive reading experiences for learners. Findings indicate that attitudes toward reading are a function not only of individual ability but also of repeated literacy events in multiple contexts of learning.</w:t>
      </w:r>
    </w:p>
    <w:p w14:paraId="26D3835E" w14:textId="77777777" w:rsidR="00332D2D" w:rsidRPr="00332D2D" w:rsidRDefault="003D7DC1" w:rsidP="00332D2D">
      <w:pPr>
        <w:pStyle w:val="NormalWeb"/>
        <w:spacing w:before="240" w:beforeAutospacing="0" w:after="240" w:afterAutospacing="0"/>
        <w:jc w:val="both"/>
        <w:rPr>
          <w:b/>
          <w:bCs/>
        </w:rPr>
      </w:pPr>
      <w:r w:rsidRPr="00332D2D">
        <w:rPr>
          <w:b/>
          <w:bCs/>
          <w:color w:val="000000"/>
        </w:rPr>
        <w:t>Role of Early Grade Intervention</w:t>
      </w:r>
    </w:p>
    <w:p w14:paraId="31D6EC27" w14:textId="5DF0A5FB" w:rsidR="003D7DC1" w:rsidRPr="00332D2D" w:rsidRDefault="003D7DC1" w:rsidP="00332D2D">
      <w:pPr>
        <w:pStyle w:val="NormalWeb"/>
        <w:spacing w:before="240" w:beforeAutospacing="0" w:after="240" w:afterAutospacing="0"/>
        <w:jc w:val="both"/>
        <w:rPr>
          <w:b/>
          <w:bCs/>
        </w:rPr>
      </w:pPr>
      <w:r w:rsidRPr="00332D2D">
        <w:rPr>
          <w:color w:val="000000"/>
        </w:rPr>
        <w:t xml:space="preserve">Early grade literacy interventions are important to support development of foundational reading skills needed for long-term academic success. In the first grades, students learn basic literacy skills, including phonemic awareness, word recognition, fluency and comprehension. These are the foundation of future learning. The previous studies show that learners who receive structured literacy support in the early years perform better in reading and have a positive engagement in reading activities </w:t>
      </w:r>
      <w:r w:rsidR="00A85A61">
        <w:rPr>
          <w:color w:val="000000"/>
        </w:rPr>
        <w:t>[6]</w:t>
      </w:r>
      <w:r w:rsidRPr="00332D2D">
        <w:rPr>
          <w:color w:val="000000"/>
        </w:rPr>
        <w:t xml:space="preserve">. Research also indicates that literacy interventions implemented during early childhood education can have a positive effect on learners’ reading </w:t>
      </w:r>
      <w:r w:rsidRPr="00332D2D">
        <w:rPr>
          <w:color w:val="000000"/>
        </w:rPr>
        <w:lastRenderedPageBreak/>
        <w:t>motivation and attitudes, especially when literacy experiences are meaningful, engaging and consistently reinforced over time</w:t>
      </w:r>
      <w:r w:rsidR="00A85A61">
        <w:rPr>
          <w:color w:val="000000"/>
        </w:rPr>
        <w:t>.</w:t>
      </w:r>
    </w:p>
    <w:p w14:paraId="1D2E56B5" w14:textId="77777777" w:rsidR="003D7DC1" w:rsidRPr="00332D2D" w:rsidRDefault="003D7DC1" w:rsidP="00332D2D">
      <w:pPr>
        <w:pStyle w:val="NormalWeb"/>
        <w:spacing w:before="240" w:beforeAutospacing="0" w:after="240" w:afterAutospacing="0"/>
        <w:jc w:val="both"/>
      </w:pPr>
      <w:r w:rsidRPr="00332D2D">
        <w:rPr>
          <w:color w:val="000000"/>
        </w:rPr>
        <w:t xml:space="preserve">However, several studies also caution that literacy development is gradual and influenced by multiple instructional and environmental </w:t>
      </w:r>
      <w:proofErr w:type="spellStart"/>
      <w:proofErr w:type="gramStart"/>
      <w:r w:rsidRPr="00332D2D">
        <w:rPr>
          <w:color w:val="000000"/>
        </w:rPr>
        <w:t>factors.Although</w:t>
      </w:r>
      <w:proofErr w:type="spellEnd"/>
      <w:proofErr w:type="gramEnd"/>
      <w:r w:rsidRPr="00332D2D">
        <w:rPr>
          <w:color w:val="000000"/>
        </w:rPr>
        <w:t xml:space="preserve"> interventions may contribute positively to reading development, positive outcomes may not immediately emerge without sustained support and meaningful literacy experiences. These findings highlight the importance of continuous literacy reinforcement across both school and home environments throughout the early grades.</w:t>
      </w:r>
    </w:p>
    <w:p w14:paraId="15C11C9F" w14:textId="1B63699E" w:rsidR="003D7DC1" w:rsidRPr="00332D2D" w:rsidRDefault="003D7DC1" w:rsidP="003D7DC1">
      <w:pPr>
        <w:pStyle w:val="NormalWeb"/>
        <w:spacing w:before="0" w:beforeAutospacing="0" w:after="200" w:afterAutospacing="0"/>
        <w:jc w:val="both"/>
        <w:rPr>
          <w:b/>
          <w:bCs/>
        </w:rPr>
      </w:pPr>
      <w:r w:rsidRPr="00332D2D">
        <w:rPr>
          <w:b/>
          <w:bCs/>
          <w:color w:val="000000"/>
        </w:rPr>
        <w:t>Teacher-Driven Practices</w:t>
      </w:r>
    </w:p>
    <w:p w14:paraId="2C73C273" w14:textId="77777777" w:rsidR="003D7DC1" w:rsidRPr="00332D2D" w:rsidRDefault="003D7DC1" w:rsidP="00332D2D">
      <w:pPr>
        <w:pStyle w:val="NormalWeb"/>
        <w:spacing w:before="240" w:beforeAutospacing="0" w:after="240" w:afterAutospacing="0"/>
        <w:jc w:val="both"/>
      </w:pPr>
      <w:r w:rsidRPr="00332D2D">
        <w:rPr>
          <w:color w:val="000000"/>
        </w:rPr>
        <w:t>Teacher-driven practices play an important role in shaping learners’ literacy experiences and reading motivation. When teachers create supportive and engaging classroom environments, learners are more likely to participate actively in reading activities and develop positive attitudes toward reading. Reading instruction therefore goes beyond teaching technical skills, as meaningful and enjoyable literacy experiences also help learners develop lasting interest and engagement in reading.</w:t>
      </w:r>
    </w:p>
    <w:p w14:paraId="3240B70F" w14:textId="69D36E6F" w:rsidR="00332D2D" w:rsidRPr="00332D2D" w:rsidRDefault="003D7DC1" w:rsidP="00332D2D">
      <w:pPr>
        <w:pStyle w:val="NormalWeb"/>
        <w:spacing w:before="240" w:beforeAutospacing="0" w:after="240" w:afterAutospacing="0"/>
        <w:jc w:val="both"/>
      </w:pPr>
      <w:r w:rsidRPr="00332D2D">
        <w:rPr>
          <w:color w:val="000000"/>
        </w:rPr>
        <w:t xml:space="preserve">Recent literature further emphasizes that reading motivation and attitudes develop gradually through repeated and meaningful literacy interactions rather than through immediate instructional effects alone </w:t>
      </w:r>
      <w:r w:rsidR="00A85A61">
        <w:rPr>
          <w:color w:val="000000"/>
        </w:rPr>
        <w:t>[11][27]</w:t>
      </w:r>
      <w:r w:rsidRPr="00332D2D">
        <w:rPr>
          <w:color w:val="000000"/>
        </w:rPr>
        <w:t>. Supportive teacher practices, expressive reading techniques, and emotionally engaging classroom activities help to strengthen the learner’s connection to reading and increase participation in literacy activities. Therefore, teachers who create positive literacy environments and who foster learner involvement may help early-grade learners to develop more positive reading attitudes.</w:t>
      </w:r>
    </w:p>
    <w:p w14:paraId="05594894" w14:textId="1D932D61" w:rsidR="003D7DC1" w:rsidRPr="00332D2D" w:rsidRDefault="003D7DC1" w:rsidP="003D7DC1">
      <w:pPr>
        <w:pStyle w:val="NormalWeb"/>
        <w:spacing w:before="0" w:beforeAutospacing="0" w:after="200" w:afterAutospacing="0"/>
        <w:jc w:val="both"/>
        <w:rPr>
          <w:b/>
          <w:bCs/>
        </w:rPr>
      </w:pPr>
      <w:r w:rsidRPr="00332D2D">
        <w:rPr>
          <w:b/>
          <w:bCs/>
          <w:color w:val="000000"/>
        </w:rPr>
        <w:t>Home Literacy Support</w:t>
      </w:r>
    </w:p>
    <w:p w14:paraId="4D41FCF4" w14:textId="311C6745" w:rsidR="003D7DC1" w:rsidRPr="00332D2D" w:rsidRDefault="003D7DC1" w:rsidP="00332D2D">
      <w:pPr>
        <w:pStyle w:val="NormalWeb"/>
        <w:spacing w:before="0" w:beforeAutospacing="0" w:after="200" w:afterAutospacing="0"/>
        <w:jc w:val="both"/>
      </w:pPr>
      <w:r w:rsidRPr="00332D2D">
        <w:rPr>
          <w:color w:val="000000"/>
        </w:rPr>
        <w:t xml:space="preserve">Children's reading development and literacy engagement are also shown to be significantly impacted by home literacy support. Children's motivation and enjoyment of reading are positively impacted by a literacy-rich home environment that includes shared reading experiences, book access, and parental support </w:t>
      </w:r>
      <w:r w:rsidR="00A85A61">
        <w:rPr>
          <w:color w:val="000000"/>
        </w:rPr>
        <w:t>[7]</w:t>
      </w:r>
      <w:r w:rsidRPr="00332D2D">
        <w:rPr>
          <w:color w:val="000000"/>
        </w:rPr>
        <w:t xml:space="preserve">. Additionally, studies show that children's attitudes about reading and engagement in literacy-related activities are influenced by their parents' literacy practices and beliefs </w:t>
      </w:r>
      <w:r w:rsidR="00A85A61">
        <w:rPr>
          <w:color w:val="000000"/>
        </w:rPr>
        <w:t>[28]</w:t>
      </w:r>
      <w:r w:rsidRPr="00332D2D">
        <w:rPr>
          <w:color w:val="000000"/>
        </w:rPr>
        <w:t>.</w:t>
      </w:r>
    </w:p>
    <w:p w14:paraId="7791F667" w14:textId="37A311A8" w:rsidR="003D7DC1" w:rsidRPr="00332D2D" w:rsidRDefault="003D7DC1" w:rsidP="00332D2D">
      <w:pPr>
        <w:pStyle w:val="NormalWeb"/>
        <w:spacing w:before="0" w:beforeAutospacing="0" w:after="200" w:afterAutospacing="0"/>
        <w:jc w:val="both"/>
      </w:pPr>
      <w:r w:rsidRPr="00332D2D">
        <w:rPr>
          <w:color w:val="000000"/>
        </w:rPr>
        <w:t xml:space="preserve">In addition to enhancing students' familiarity and comfort with reading activities, shared reading experiences and literacy interactions at home serve to reinforce literacy abilities learned in the classroom. Additionally, research indicates that students' transition from learning to read to reading for meaning and knowledge acquisition is supported by active parental involvement </w:t>
      </w:r>
      <w:r w:rsidR="00A85A61">
        <w:rPr>
          <w:color w:val="000000"/>
        </w:rPr>
        <w:t>[9]</w:t>
      </w:r>
      <w:r w:rsidRPr="00332D2D">
        <w:rPr>
          <w:color w:val="000000"/>
        </w:rPr>
        <w:t>. These results emphasize how crucial supportive home literacy contexts are for developing early-grade students' good reading attitudes.</w:t>
      </w:r>
    </w:p>
    <w:p w14:paraId="35A6BE7C" w14:textId="77BB8599" w:rsidR="003D7DC1" w:rsidRPr="00332D2D" w:rsidRDefault="003D7DC1" w:rsidP="003D7DC1">
      <w:pPr>
        <w:pStyle w:val="NormalWeb"/>
        <w:spacing w:before="0" w:beforeAutospacing="0" w:after="200" w:afterAutospacing="0"/>
        <w:jc w:val="both"/>
        <w:rPr>
          <w:b/>
          <w:bCs/>
        </w:rPr>
      </w:pPr>
      <w:r w:rsidRPr="00332D2D">
        <w:rPr>
          <w:b/>
          <w:bCs/>
          <w:color w:val="000000"/>
        </w:rPr>
        <w:t>Four-Pronged Approach</w:t>
      </w:r>
    </w:p>
    <w:p w14:paraId="58E678A2" w14:textId="77777777" w:rsidR="003D7DC1" w:rsidRPr="00332D2D" w:rsidRDefault="003D7DC1" w:rsidP="00332D2D">
      <w:pPr>
        <w:pStyle w:val="NormalWeb"/>
        <w:spacing w:before="240" w:beforeAutospacing="0" w:after="240" w:afterAutospacing="0"/>
        <w:jc w:val="both"/>
      </w:pPr>
      <w:r w:rsidRPr="00332D2D">
        <w:rPr>
          <w:color w:val="000000"/>
        </w:rPr>
        <w:t>The Four-Pronged Approach is a literature-based instructional framework for developing learners’ genuine love of reading, critical thinking, language development, and transfer learning. This approach utilizes children’s literature and interactive literacy activities in order to create meaningful and engaging reading experiences for learners. Learners are encouraged to actively participate in literacy activities while developing comprehension and critical thinking skills through guided discussions, storytelling and reflective questioning. Studies have shown that literature-based instruction and interactive reading activities are effective for developing learners’ literacy engagement and motivation. Palasan (2018) found that the learners exposed to the approach showed improvement in reading engagement and critical thinking skills than those not involved in the program. These findings indicate that literacy environments that incorporate supportive instructional practices and meaningful literacy experiences may positively contribute to learners’ reading attitudes.</w:t>
      </w:r>
    </w:p>
    <w:p w14:paraId="1ADE17C7" w14:textId="77777777" w:rsidR="0035120B" w:rsidRDefault="0035120B" w:rsidP="003D7DC1">
      <w:pPr>
        <w:pStyle w:val="NormalWeb"/>
        <w:spacing w:before="120" w:beforeAutospacing="0" w:after="120" w:afterAutospacing="0"/>
        <w:jc w:val="both"/>
        <w:rPr>
          <w:b/>
          <w:bCs/>
          <w:sz w:val="32"/>
          <w:szCs w:val="32"/>
        </w:rPr>
      </w:pPr>
    </w:p>
    <w:p w14:paraId="03CC5F30" w14:textId="77777777" w:rsidR="0035120B" w:rsidRDefault="0035120B" w:rsidP="003D7DC1">
      <w:pPr>
        <w:pStyle w:val="NormalWeb"/>
        <w:spacing w:before="120" w:beforeAutospacing="0" w:after="120" w:afterAutospacing="0"/>
        <w:jc w:val="both"/>
        <w:rPr>
          <w:b/>
          <w:bCs/>
          <w:sz w:val="32"/>
          <w:szCs w:val="32"/>
        </w:rPr>
      </w:pPr>
    </w:p>
    <w:p w14:paraId="1CAEB3AC" w14:textId="5542EEB4" w:rsidR="003D7DC1" w:rsidRPr="00332D2D" w:rsidRDefault="00332D2D" w:rsidP="003D7DC1">
      <w:pPr>
        <w:pStyle w:val="NormalWeb"/>
        <w:spacing w:before="120" w:beforeAutospacing="0" w:after="120" w:afterAutospacing="0"/>
        <w:jc w:val="both"/>
        <w:rPr>
          <w:b/>
          <w:bCs/>
          <w:sz w:val="32"/>
          <w:szCs w:val="32"/>
        </w:rPr>
      </w:pPr>
      <w:r w:rsidRPr="00332D2D">
        <w:rPr>
          <w:b/>
          <w:bCs/>
          <w:sz w:val="32"/>
          <w:szCs w:val="32"/>
        </w:rPr>
        <w:lastRenderedPageBreak/>
        <w:t>METHODOLOGY</w:t>
      </w:r>
    </w:p>
    <w:p w14:paraId="752F98A2" w14:textId="77777777" w:rsidR="003D7DC1" w:rsidRPr="00332D2D" w:rsidRDefault="003D7DC1" w:rsidP="00332D2D">
      <w:pPr>
        <w:pStyle w:val="NormalWeb"/>
        <w:jc w:val="both"/>
      </w:pPr>
      <w:r w:rsidRPr="00332D2D">
        <w:t>This study employed a quantitative repeated-measures design to examine changes in early-grade learners’ reading attitudes during the implementation of the Four-Pronged Approach. The study also utilized moderated multiple regression analysis to examine the main and interaction effects of teacher-driven practices and home literacy support on learners’ reading attitudes. The participants consisted of Grade 1 learners from public elementary schools in Iligan City implementing the Four-Pronged Approach under Project RISE during the 2025–2026 academic year. Participants were selected through purposive sampling based on their regular participation in the reading intervention program.</w:t>
      </w:r>
    </w:p>
    <w:p w14:paraId="3DFF862C" w14:textId="77777777" w:rsidR="003D7DC1" w:rsidRPr="00332D2D" w:rsidRDefault="003D7DC1" w:rsidP="00332D2D">
      <w:pPr>
        <w:pStyle w:val="NormalWeb"/>
        <w:jc w:val="both"/>
      </w:pPr>
      <w:r w:rsidRPr="00332D2D">
        <w:t>Adapted survey instruments were utilized to measure reading attitudes, teacher-driven practices, and home literacy support. Prior to administration, the instruments underwent expert validation and pilot testing to ensure clarity and appropriateness for early-grade learners. Data were collected across three measurement phases over a 12-week intervention period through guided survey administration. Each learner completed the survey individually with researcher assistance to ensure comprehension of the survey items and response scales.</w:t>
      </w:r>
    </w:p>
    <w:p w14:paraId="0ECB21A0" w14:textId="77777777" w:rsidR="003D7DC1" w:rsidRPr="00332D2D" w:rsidRDefault="003D7DC1" w:rsidP="00332D2D">
      <w:pPr>
        <w:pStyle w:val="NormalWeb"/>
        <w:jc w:val="both"/>
      </w:pPr>
      <w:r w:rsidRPr="00332D2D">
        <w:t>Repeated-measures ANOVA and moderated multiple regression analyses were employed to analyze the data. Specifically, moderated multiple regression analysis was conducted to examine the interaction effects of teacher-driven practices and home literacy support on learners’ reading attitudes. Ethical approval was secured from the MSU-IIT Research Integrity and Compliance Office prior to data collection. Parental consent and learner assent were obtained from all participants, while confidentiality, anonymity, and voluntary participation were maintained throughout the study.</w:t>
      </w:r>
    </w:p>
    <w:p w14:paraId="21D5B039" w14:textId="05913418" w:rsidR="003D7DC1" w:rsidRPr="00332D2D" w:rsidRDefault="00332D2D" w:rsidP="003D7DC1">
      <w:pPr>
        <w:spacing w:before="120" w:beforeAutospacing="0" w:after="0"/>
        <w:jc w:val="both"/>
        <w:rPr>
          <w:rFonts w:ascii="Times New Roman" w:eastAsia="Times New Roman" w:hAnsi="Times New Roman"/>
          <w:b/>
          <w:bCs/>
          <w:color w:val="000000"/>
          <w:sz w:val="28"/>
          <w:szCs w:val="28"/>
          <w:shd w:val="clear" w:color="auto" w:fill="FFFFFF"/>
        </w:rPr>
      </w:pPr>
      <w:r w:rsidRPr="00332D2D">
        <w:rPr>
          <w:rFonts w:ascii="Times New Roman" w:eastAsia="Times New Roman" w:hAnsi="Times New Roman"/>
          <w:b/>
          <w:bCs/>
          <w:color w:val="000000"/>
          <w:sz w:val="28"/>
          <w:szCs w:val="28"/>
          <w:shd w:val="clear" w:color="auto" w:fill="FFFFFF"/>
        </w:rPr>
        <w:t>RESULTS AND DISCUSSION</w:t>
      </w:r>
    </w:p>
    <w:p w14:paraId="1DD63DEC" w14:textId="77777777" w:rsidR="003D7DC1" w:rsidRPr="00A85A61" w:rsidRDefault="003D7DC1" w:rsidP="003D7DC1">
      <w:pPr>
        <w:spacing w:before="120" w:beforeAutospacing="0" w:after="0"/>
        <w:jc w:val="both"/>
        <w:rPr>
          <w:rFonts w:ascii="Times New Roman" w:eastAsia="Times New Roman" w:hAnsi="Times New Roman"/>
          <w:sz w:val="24"/>
          <w:szCs w:val="24"/>
        </w:rPr>
      </w:pPr>
      <w:r w:rsidRPr="00A85A61">
        <w:rPr>
          <w:rFonts w:ascii="Times New Roman" w:eastAsia="Times New Roman" w:hAnsi="Times New Roman"/>
          <w:b/>
          <w:bCs/>
          <w:color w:val="000000"/>
          <w:sz w:val="24"/>
          <w:szCs w:val="24"/>
          <w:shd w:val="clear" w:color="auto" w:fill="FFFFFF"/>
        </w:rPr>
        <w:t>I</w:t>
      </w:r>
      <w:r w:rsidRPr="00A85A61">
        <w:rPr>
          <w:rFonts w:ascii="Times New Roman" w:eastAsia="Times New Roman" w:hAnsi="Times New Roman"/>
          <w:b/>
          <w:bCs/>
          <w:color w:val="000000"/>
          <w:sz w:val="24"/>
          <w:szCs w:val="24"/>
        </w:rPr>
        <w:t xml:space="preserve">nteraction Effects of </w:t>
      </w:r>
      <w:r w:rsidRPr="00A85A61">
        <w:rPr>
          <w:rFonts w:ascii="Times New Roman" w:eastAsia="Times New Roman" w:hAnsi="Times New Roman"/>
          <w:b/>
          <w:bCs/>
          <w:color w:val="000000"/>
          <w:sz w:val="24"/>
          <w:szCs w:val="24"/>
          <w:shd w:val="clear" w:color="auto" w:fill="FFFFFF"/>
        </w:rPr>
        <w:t>Teacher-Driven Practices</w:t>
      </w:r>
      <w:r w:rsidRPr="00A85A61">
        <w:rPr>
          <w:rFonts w:ascii="Times New Roman" w:eastAsia="Times New Roman" w:hAnsi="Times New Roman"/>
          <w:b/>
          <w:bCs/>
          <w:color w:val="000000"/>
          <w:sz w:val="24"/>
          <w:szCs w:val="24"/>
        </w:rPr>
        <w:t xml:space="preserve"> and </w:t>
      </w:r>
      <w:r w:rsidRPr="00A85A61">
        <w:rPr>
          <w:rFonts w:ascii="Times New Roman" w:eastAsia="Times New Roman" w:hAnsi="Times New Roman"/>
          <w:b/>
          <w:bCs/>
          <w:color w:val="000000"/>
          <w:sz w:val="24"/>
          <w:szCs w:val="24"/>
          <w:shd w:val="clear" w:color="auto" w:fill="FFFFFF"/>
        </w:rPr>
        <w:t>Home Literacy Support</w:t>
      </w:r>
      <w:r w:rsidRPr="00A85A61">
        <w:rPr>
          <w:rFonts w:ascii="Times New Roman" w:eastAsia="Times New Roman" w:hAnsi="Times New Roman"/>
          <w:b/>
          <w:bCs/>
          <w:color w:val="000000"/>
          <w:sz w:val="24"/>
          <w:szCs w:val="24"/>
        </w:rPr>
        <w:t xml:space="preserve"> on Reading Attitudes </w:t>
      </w:r>
    </w:p>
    <w:p w14:paraId="3F123797" w14:textId="77777777" w:rsidR="003D7DC1" w:rsidRPr="00A85A61" w:rsidRDefault="003D7DC1" w:rsidP="00332D2D">
      <w:pPr>
        <w:pStyle w:val="NormalWeb"/>
        <w:jc w:val="both"/>
      </w:pPr>
      <w:r w:rsidRPr="00A85A61">
        <w:t>To address the study objective, moderated multiple regression analysis was conducted to examine the influence of Teacher-Driven Practices (TD) and Home Literacy Support (HL) on early-grade learners’ reading attitudes. The Phase 3 Early Reading Attitude (ERA) score was entered as the criterion variable, while the baseline reading attitude score (Phase 1 ERA) was entered as a covariate to account for initial differences in learners’ reading attitudes.</w:t>
      </w:r>
    </w:p>
    <w:p w14:paraId="38EB5FD1" w14:textId="77777777" w:rsidR="003D7DC1" w:rsidRPr="00A85A61" w:rsidRDefault="003D7DC1" w:rsidP="00332D2D">
      <w:pPr>
        <w:pStyle w:val="NormalWeb"/>
        <w:jc w:val="both"/>
      </w:pPr>
      <w:r w:rsidRPr="00A85A61">
        <w:t xml:space="preserve">The overall regression model explained 27.0% of the variance in learners’ final reading attitudes (R² = .270) (Table 9). Although the omnibus ANOVA did not reach the traditional threshold for statistical significance, </w:t>
      </w:r>
      <w:proofErr w:type="gramStart"/>
      <w:r w:rsidRPr="00A85A61">
        <w:t>F(</w:t>
      </w:r>
      <w:proofErr w:type="gramEnd"/>
      <w:r w:rsidRPr="00A85A61">
        <w:t>4,25) = 2.313, p = .086 (Table 10), the interaction between Teacher-Driven Practices and Home Literacy Support emerged as statistically significant, warranting further interpretation of the predictor variables.</w:t>
      </w:r>
    </w:p>
    <w:p w14:paraId="38C7A51A" w14:textId="77777777" w:rsidR="003D7DC1" w:rsidRPr="003D7DC1" w:rsidRDefault="003D7DC1" w:rsidP="003D7DC1">
      <w:pPr>
        <w:spacing w:before="240" w:beforeAutospacing="0" w:after="240"/>
        <w:jc w:val="both"/>
        <w:rPr>
          <w:rFonts w:ascii="Times New Roman" w:eastAsia="Times New Roman" w:hAnsi="Times New Roman"/>
        </w:rPr>
      </w:pPr>
      <w:r w:rsidRPr="003D7DC1">
        <w:rPr>
          <w:rFonts w:ascii="Times New Roman" w:eastAsia="Times New Roman" w:hAnsi="Times New Roman"/>
          <w:b/>
          <w:bCs/>
          <w:color w:val="000000"/>
        </w:rPr>
        <w:t>Table 9</w:t>
      </w:r>
      <w:r w:rsidRPr="003D7DC1">
        <w:rPr>
          <w:rFonts w:ascii="Times New Roman" w:eastAsia="Times New Roman" w:hAnsi="Times New Roman"/>
        </w:rPr>
        <w:t xml:space="preserve">. </w:t>
      </w:r>
      <w:r w:rsidRPr="003D7DC1">
        <w:rPr>
          <w:rFonts w:ascii="Times New Roman" w:eastAsia="Times New Roman" w:hAnsi="Times New Roman"/>
          <w:i/>
          <w:iCs/>
          <w:color w:val="000000"/>
        </w:rPr>
        <w:t>Model Summary for Phase 3 Early Reading Attitudes (ERA)</w:t>
      </w:r>
    </w:p>
    <w:tbl>
      <w:tblPr>
        <w:tblW w:w="0" w:type="auto"/>
        <w:jc w:val="center"/>
        <w:tblBorders>
          <w:top w:val="single" w:sz="18" w:space="0" w:color="auto"/>
          <w:bottom w:val="single" w:sz="18" w:space="0" w:color="auto"/>
          <w:insideH w:val="single" w:sz="12" w:space="0" w:color="auto"/>
        </w:tblBorders>
        <w:tblCellMar>
          <w:top w:w="15" w:type="dxa"/>
          <w:left w:w="15" w:type="dxa"/>
          <w:bottom w:w="15" w:type="dxa"/>
          <w:right w:w="15" w:type="dxa"/>
        </w:tblCellMar>
        <w:tblLook w:val="04A0" w:firstRow="1" w:lastRow="0" w:firstColumn="1" w:lastColumn="0" w:noHBand="0" w:noVBand="1"/>
      </w:tblPr>
      <w:tblGrid>
        <w:gridCol w:w="3261"/>
        <w:gridCol w:w="2693"/>
        <w:gridCol w:w="3260"/>
      </w:tblGrid>
      <w:tr w:rsidR="003D7DC1" w:rsidRPr="003D7DC1" w14:paraId="161E5231" w14:textId="77777777" w:rsidTr="0035120B">
        <w:trPr>
          <w:trHeight w:val="27"/>
          <w:jc w:val="center"/>
        </w:trPr>
        <w:tc>
          <w:tcPr>
            <w:tcW w:w="3261" w:type="dxa"/>
            <w:tcBorders>
              <w:top w:val="single" w:sz="18" w:space="0" w:color="auto"/>
              <w:left w:val="nil"/>
              <w:bottom w:val="single" w:sz="12" w:space="0" w:color="auto"/>
              <w:right w:val="nil"/>
            </w:tcBorders>
            <w:tcMar>
              <w:top w:w="80" w:type="dxa"/>
              <w:left w:w="80" w:type="dxa"/>
              <w:bottom w:w="80" w:type="dxa"/>
              <w:right w:w="80" w:type="dxa"/>
            </w:tcMar>
            <w:hideMark/>
          </w:tcPr>
          <w:p w14:paraId="5E15978E"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b/>
                <w:bCs/>
                <w:i/>
                <w:iCs/>
                <w:color w:val="000000"/>
              </w:rPr>
              <w:t>Model</w:t>
            </w:r>
          </w:p>
        </w:tc>
        <w:tc>
          <w:tcPr>
            <w:tcW w:w="2693" w:type="dxa"/>
            <w:tcBorders>
              <w:top w:val="single" w:sz="18" w:space="0" w:color="auto"/>
              <w:left w:val="nil"/>
              <w:bottom w:val="single" w:sz="12" w:space="0" w:color="auto"/>
              <w:right w:val="nil"/>
            </w:tcBorders>
            <w:tcMar>
              <w:top w:w="80" w:type="dxa"/>
              <w:left w:w="80" w:type="dxa"/>
              <w:bottom w:w="80" w:type="dxa"/>
              <w:right w:w="80" w:type="dxa"/>
            </w:tcMar>
            <w:hideMark/>
          </w:tcPr>
          <w:p w14:paraId="7D641CDE"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b/>
                <w:bCs/>
                <w:i/>
                <w:iCs/>
                <w:color w:val="000000"/>
              </w:rPr>
              <w:t>R</w:t>
            </w:r>
          </w:p>
        </w:tc>
        <w:tc>
          <w:tcPr>
            <w:tcW w:w="3260" w:type="dxa"/>
            <w:tcBorders>
              <w:top w:val="single" w:sz="18" w:space="0" w:color="auto"/>
              <w:left w:val="nil"/>
              <w:bottom w:val="single" w:sz="12" w:space="0" w:color="auto"/>
              <w:right w:val="nil"/>
            </w:tcBorders>
            <w:tcMar>
              <w:top w:w="80" w:type="dxa"/>
              <w:left w:w="80" w:type="dxa"/>
              <w:bottom w:w="80" w:type="dxa"/>
              <w:right w:w="80" w:type="dxa"/>
            </w:tcMar>
            <w:hideMark/>
          </w:tcPr>
          <w:p w14:paraId="04B45B46"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b/>
                <w:bCs/>
                <w:i/>
                <w:iCs/>
                <w:color w:val="000000"/>
              </w:rPr>
              <w:t>R²</w:t>
            </w:r>
          </w:p>
        </w:tc>
      </w:tr>
      <w:tr w:rsidR="003D7DC1" w:rsidRPr="003D7DC1" w14:paraId="5D0A1923" w14:textId="77777777" w:rsidTr="0035120B">
        <w:trPr>
          <w:trHeight w:val="29"/>
          <w:jc w:val="center"/>
        </w:trPr>
        <w:tc>
          <w:tcPr>
            <w:tcW w:w="3261" w:type="dxa"/>
            <w:tcBorders>
              <w:top w:val="single" w:sz="12" w:space="0" w:color="auto"/>
              <w:left w:val="nil"/>
              <w:bottom w:val="single" w:sz="18" w:space="0" w:color="auto"/>
              <w:right w:val="nil"/>
            </w:tcBorders>
            <w:tcMar>
              <w:top w:w="80" w:type="dxa"/>
              <w:left w:w="80" w:type="dxa"/>
              <w:bottom w:w="80" w:type="dxa"/>
              <w:right w:w="80" w:type="dxa"/>
            </w:tcMar>
            <w:hideMark/>
          </w:tcPr>
          <w:p w14:paraId="2443D966"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i/>
                <w:iCs/>
                <w:color w:val="000000"/>
              </w:rPr>
              <w:t>M</w:t>
            </w:r>
            <w:r w:rsidRPr="003D7DC1">
              <w:rPr>
                <w:rFonts w:ascii="Times New Roman" w:hAnsi="Times New Roman"/>
                <w:i/>
                <w:iCs/>
                <w:color w:val="000000"/>
              </w:rPr>
              <w:t>₁</w:t>
            </w:r>
          </w:p>
        </w:tc>
        <w:tc>
          <w:tcPr>
            <w:tcW w:w="2693" w:type="dxa"/>
            <w:tcBorders>
              <w:top w:val="single" w:sz="12" w:space="0" w:color="auto"/>
              <w:left w:val="nil"/>
              <w:bottom w:val="single" w:sz="18" w:space="0" w:color="auto"/>
              <w:right w:val="nil"/>
            </w:tcBorders>
            <w:tcMar>
              <w:top w:w="80" w:type="dxa"/>
              <w:left w:w="80" w:type="dxa"/>
              <w:bottom w:w="80" w:type="dxa"/>
              <w:right w:w="80" w:type="dxa"/>
            </w:tcMar>
            <w:hideMark/>
          </w:tcPr>
          <w:p w14:paraId="59F7EF5A"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0.520</w:t>
            </w:r>
          </w:p>
        </w:tc>
        <w:tc>
          <w:tcPr>
            <w:tcW w:w="3260" w:type="dxa"/>
            <w:tcBorders>
              <w:top w:val="single" w:sz="12" w:space="0" w:color="auto"/>
              <w:left w:val="nil"/>
              <w:bottom w:val="single" w:sz="18" w:space="0" w:color="auto"/>
              <w:right w:val="nil"/>
            </w:tcBorders>
            <w:tcMar>
              <w:top w:w="80" w:type="dxa"/>
              <w:left w:w="80" w:type="dxa"/>
              <w:bottom w:w="80" w:type="dxa"/>
              <w:right w:w="80" w:type="dxa"/>
            </w:tcMar>
            <w:hideMark/>
          </w:tcPr>
          <w:p w14:paraId="17A62C9C"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0.270</w:t>
            </w:r>
          </w:p>
        </w:tc>
      </w:tr>
    </w:tbl>
    <w:p w14:paraId="677343F5" w14:textId="77777777" w:rsidR="003D7DC1" w:rsidRPr="003D7DC1" w:rsidRDefault="003D7DC1" w:rsidP="003D7DC1">
      <w:pPr>
        <w:spacing w:after="240"/>
        <w:jc w:val="both"/>
        <w:rPr>
          <w:rFonts w:ascii="Times New Roman" w:eastAsia="Times New Roman" w:hAnsi="Times New Roman"/>
        </w:rPr>
      </w:pPr>
      <w:r w:rsidRPr="003D7DC1">
        <w:rPr>
          <w:rFonts w:ascii="Times New Roman" w:eastAsia="Times New Roman" w:hAnsi="Times New Roman"/>
          <w:i/>
          <w:iCs/>
          <w:color w:val="000000"/>
        </w:rPr>
        <w:t>Note:</w:t>
      </w:r>
      <w:r w:rsidRPr="003D7DC1">
        <w:rPr>
          <w:rFonts w:ascii="Times New Roman" w:eastAsia="Times New Roman" w:hAnsi="Times New Roman"/>
          <w:color w:val="000000"/>
        </w:rPr>
        <w:t xml:space="preserve"> M</w:t>
      </w:r>
      <w:r w:rsidRPr="003D7DC1">
        <w:rPr>
          <w:rFonts w:ascii="Times New Roman" w:hAnsi="Times New Roman"/>
          <w:color w:val="000000"/>
        </w:rPr>
        <w:t>₁</w:t>
      </w:r>
      <w:r w:rsidRPr="003D7DC1">
        <w:rPr>
          <w:rFonts w:ascii="Times New Roman" w:eastAsia="Times New Roman" w:hAnsi="Times New Roman"/>
          <w:color w:val="000000"/>
        </w:rPr>
        <w:t xml:space="preserve"> includes TD, HL, TD×HL, and P1_ERA Mean.</w:t>
      </w:r>
    </w:p>
    <w:p w14:paraId="4C02EB97" w14:textId="77777777" w:rsidR="003D7DC1" w:rsidRPr="003D7DC1" w:rsidRDefault="003D7DC1" w:rsidP="003D7DC1">
      <w:pPr>
        <w:spacing w:beforeAutospacing="0" w:after="100"/>
        <w:rPr>
          <w:rFonts w:ascii="Times New Roman" w:eastAsia="Times New Roman" w:hAnsi="Times New Roman"/>
        </w:rPr>
      </w:pPr>
      <w:r w:rsidRPr="003D7DC1">
        <w:rPr>
          <w:rFonts w:ascii="Times New Roman" w:eastAsia="Times New Roman" w:hAnsi="Times New Roman"/>
          <w:b/>
          <w:bCs/>
          <w:color w:val="000000"/>
        </w:rPr>
        <w:t>Table 10</w:t>
      </w:r>
      <w:r w:rsidRPr="003D7DC1">
        <w:rPr>
          <w:rFonts w:ascii="Times New Roman" w:eastAsia="Times New Roman" w:hAnsi="Times New Roman"/>
        </w:rPr>
        <w:t xml:space="preserve">. </w:t>
      </w:r>
      <w:r w:rsidRPr="003D7DC1">
        <w:rPr>
          <w:rFonts w:ascii="Times New Roman" w:eastAsia="Times New Roman" w:hAnsi="Times New Roman"/>
          <w:i/>
          <w:iCs/>
          <w:color w:val="000000"/>
        </w:rPr>
        <w:t>Omnibus ANOVA for Regression Model Predicting Phase 3 ERA</w:t>
      </w:r>
    </w:p>
    <w:tbl>
      <w:tblPr>
        <w:tblW w:w="7938" w:type="dxa"/>
        <w:jc w:val="center"/>
        <w:tblLayout w:type="fixed"/>
        <w:tblCellMar>
          <w:top w:w="15" w:type="dxa"/>
          <w:left w:w="15" w:type="dxa"/>
          <w:bottom w:w="15" w:type="dxa"/>
          <w:right w:w="15" w:type="dxa"/>
        </w:tblCellMar>
        <w:tblLook w:val="04A0" w:firstRow="1" w:lastRow="0" w:firstColumn="1" w:lastColumn="0" w:noHBand="0" w:noVBand="1"/>
      </w:tblPr>
      <w:tblGrid>
        <w:gridCol w:w="759"/>
        <w:gridCol w:w="1138"/>
        <w:gridCol w:w="1640"/>
        <w:gridCol w:w="971"/>
        <w:gridCol w:w="1489"/>
        <w:gridCol w:w="1091"/>
        <w:gridCol w:w="850"/>
      </w:tblGrid>
      <w:tr w:rsidR="003D7DC1" w:rsidRPr="003D7DC1" w14:paraId="3706055D" w14:textId="77777777" w:rsidTr="0035120B">
        <w:trPr>
          <w:trHeight w:val="134"/>
          <w:jc w:val="center"/>
        </w:trPr>
        <w:tc>
          <w:tcPr>
            <w:tcW w:w="759" w:type="dxa"/>
            <w:tcBorders>
              <w:top w:val="single" w:sz="18" w:space="0" w:color="auto"/>
              <w:left w:val="nil"/>
              <w:bottom w:val="single" w:sz="12" w:space="0" w:color="000000"/>
              <w:right w:val="nil"/>
            </w:tcBorders>
            <w:tcMar>
              <w:top w:w="80" w:type="dxa"/>
              <w:left w:w="80" w:type="dxa"/>
              <w:bottom w:w="80" w:type="dxa"/>
              <w:right w:w="80" w:type="dxa"/>
            </w:tcMar>
            <w:hideMark/>
          </w:tcPr>
          <w:p w14:paraId="2714D4AD"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b/>
                <w:bCs/>
                <w:color w:val="000000"/>
              </w:rPr>
              <w:t>Model</w:t>
            </w:r>
          </w:p>
        </w:tc>
        <w:tc>
          <w:tcPr>
            <w:tcW w:w="1138" w:type="dxa"/>
            <w:tcBorders>
              <w:top w:val="single" w:sz="18" w:space="0" w:color="auto"/>
              <w:left w:val="nil"/>
              <w:bottom w:val="single" w:sz="12" w:space="0" w:color="000000"/>
              <w:right w:val="nil"/>
            </w:tcBorders>
            <w:tcMar>
              <w:top w:w="80" w:type="dxa"/>
              <w:left w:w="80" w:type="dxa"/>
              <w:bottom w:w="80" w:type="dxa"/>
              <w:right w:w="80" w:type="dxa"/>
            </w:tcMar>
            <w:hideMark/>
          </w:tcPr>
          <w:p w14:paraId="652FBC00"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b/>
                <w:bCs/>
                <w:color w:val="000000"/>
              </w:rPr>
              <w:t>Source</w:t>
            </w:r>
          </w:p>
        </w:tc>
        <w:tc>
          <w:tcPr>
            <w:tcW w:w="1640" w:type="dxa"/>
            <w:tcBorders>
              <w:top w:val="single" w:sz="18" w:space="0" w:color="auto"/>
              <w:left w:val="nil"/>
              <w:bottom w:val="single" w:sz="12" w:space="0" w:color="000000"/>
              <w:right w:val="nil"/>
            </w:tcBorders>
            <w:tcMar>
              <w:top w:w="80" w:type="dxa"/>
              <w:left w:w="80" w:type="dxa"/>
              <w:bottom w:w="80" w:type="dxa"/>
              <w:right w:w="80" w:type="dxa"/>
            </w:tcMar>
            <w:hideMark/>
          </w:tcPr>
          <w:p w14:paraId="734C2CF4"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b/>
                <w:bCs/>
                <w:color w:val="000000"/>
              </w:rPr>
              <w:t>Sum of Squares</w:t>
            </w:r>
          </w:p>
        </w:tc>
        <w:tc>
          <w:tcPr>
            <w:tcW w:w="971" w:type="dxa"/>
            <w:tcBorders>
              <w:top w:val="single" w:sz="18" w:space="0" w:color="auto"/>
              <w:left w:val="nil"/>
              <w:bottom w:val="single" w:sz="12" w:space="0" w:color="000000"/>
              <w:right w:val="nil"/>
            </w:tcBorders>
            <w:tcMar>
              <w:top w:w="80" w:type="dxa"/>
              <w:left w:w="80" w:type="dxa"/>
              <w:bottom w:w="80" w:type="dxa"/>
              <w:right w:w="80" w:type="dxa"/>
            </w:tcMar>
            <w:hideMark/>
          </w:tcPr>
          <w:p w14:paraId="4C658E7E" w14:textId="77777777" w:rsidR="003D7DC1" w:rsidRPr="003D7DC1" w:rsidRDefault="003D7DC1">
            <w:pPr>
              <w:spacing w:after="0"/>
              <w:jc w:val="center"/>
              <w:rPr>
                <w:rFonts w:ascii="Times New Roman" w:eastAsia="Times New Roman" w:hAnsi="Times New Roman"/>
              </w:rPr>
            </w:pPr>
            <w:proofErr w:type="spellStart"/>
            <w:r w:rsidRPr="003D7DC1">
              <w:rPr>
                <w:rFonts w:ascii="Times New Roman" w:eastAsia="Times New Roman" w:hAnsi="Times New Roman"/>
                <w:b/>
                <w:bCs/>
                <w:color w:val="000000"/>
              </w:rPr>
              <w:t>df</w:t>
            </w:r>
            <w:proofErr w:type="spellEnd"/>
          </w:p>
        </w:tc>
        <w:tc>
          <w:tcPr>
            <w:tcW w:w="1489" w:type="dxa"/>
            <w:tcBorders>
              <w:top w:val="single" w:sz="18" w:space="0" w:color="auto"/>
              <w:left w:val="nil"/>
              <w:bottom w:val="single" w:sz="12" w:space="0" w:color="000000"/>
              <w:right w:val="nil"/>
            </w:tcBorders>
            <w:tcMar>
              <w:top w:w="80" w:type="dxa"/>
              <w:left w:w="80" w:type="dxa"/>
              <w:bottom w:w="80" w:type="dxa"/>
              <w:right w:w="80" w:type="dxa"/>
            </w:tcMar>
            <w:hideMark/>
          </w:tcPr>
          <w:p w14:paraId="6F18495E"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b/>
                <w:bCs/>
                <w:color w:val="000000"/>
              </w:rPr>
              <w:t>Mean Square</w:t>
            </w:r>
          </w:p>
        </w:tc>
        <w:tc>
          <w:tcPr>
            <w:tcW w:w="1091" w:type="dxa"/>
            <w:tcBorders>
              <w:top w:val="single" w:sz="18" w:space="0" w:color="auto"/>
              <w:left w:val="nil"/>
              <w:bottom w:val="single" w:sz="12" w:space="0" w:color="000000"/>
              <w:right w:val="nil"/>
            </w:tcBorders>
            <w:tcMar>
              <w:top w:w="80" w:type="dxa"/>
              <w:left w:w="80" w:type="dxa"/>
              <w:bottom w:w="80" w:type="dxa"/>
              <w:right w:w="80" w:type="dxa"/>
            </w:tcMar>
            <w:hideMark/>
          </w:tcPr>
          <w:p w14:paraId="11C393F0"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b/>
                <w:bCs/>
                <w:color w:val="000000"/>
              </w:rPr>
              <w:t>F</w:t>
            </w:r>
          </w:p>
        </w:tc>
        <w:tc>
          <w:tcPr>
            <w:tcW w:w="850" w:type="dxa"/>
            <w:tcBorders>
              <w:top w:val="single" w:sz="18" w:space="0" w:color="auto"/>
              <w:left w:val="nil"/>
              <w:bottom w:val="single" w:sz="12" w:space="0" w:color="000000"/>
              <w:right w:val="nil"/>
            </w:tcBorders>
            <w:tcMar>
              <w:top w:w="80" w:type="dxa"/>
              <w:left w:w="80" w:type="dxa"/>
              <w:bottom w:w="80" w:type="dxa"/>
              <w:right w:w="80" w:type="dxa"/>
            </w:tcMar>
            <w:hideMark/>
          </w:tcPr>
          <w:p w14:paraId="170F0A2C"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b/>
                <w:bCs/>
                <w:color w:val="000000"/>
              </w:rPr>
              <w:t>p</w:t>
            </w:r>
          </w:p>
        </w:tc>
      </w:tr>
      <w:tr w:rsidR="003D7DC1" w:rsidRPr="003D7DC1" w14:paraId="3CE90525" w14:textId="77777777" w:rsidTr="0035120B">
        <w:trPr>
          <w:trHeight w:val="86"/>
          <w:jc w:val="center"/>
        </w:trPr>
        <w:tc>
          <w:tcPr>
            <w:tcW w:w="759" w:type="dxa"/>
            <w:tcBorders>
              <w:top w:val="single" w:sz="12" w:space="0" w:color="000000"/>
              <w:left w:val="nil"/>
              <w:bottom w:val="nil"/>
              <w:right w:val="nil"/>
            </w:tcBorders>
            <w:tcMar>
              <w:top w:w="80" w:type="dxa"/>
              <w:left w:w="80" w:type="dxa"/>
              <w:bottom w:w="80" w:type="dxa"/>
              <w:right w:w="80" w:type="dxa"/>
            </w:tcMar>
            <w:hideMark/>
          </w:tcPr>
          <w:p w14:paraId="7D089048"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M</w:t>
            </w:r>
            <w:r w:rsidRPr="003D7DC1">
              <w:rPr>
                <w:rFonts w:ascii="Times New Roman" w:hAnsi="Times New Roman"/>
                <w:color w:val="000000"/>
              </w:rPr>
              <w:t>₁</w:t>
            </w:r>
          </w:p>
        </w:tc>
        <w:tc>
          <w:tcPr>
            <w:tcW w:w="1138" w:type="dxa"/>
            <w:tcBorders>
              <w:top w:val="single" w:sz="12" w:space="0" w:color="000000"/>
              <w:left w:val="nil"/>
              <w:bottom w:val="nil"/>
              <w:right w:val="nil"/>
            </w:tcBorders>
            <w:tcMar>
              <w:top w:w="80" w:type="dxa"/>
              <w:left w:w="80" w:type="dxa"/>
              <w:bottom w:w="80" w:type="dxa"/>
              <w:right w:w="80" w:type="dxa"/>
            </w:tcMar>
            <w:hideMark/>
          </w:tcPr>
          <w:p w14:paraId="4C940FA5"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t>Regression</w:t>
            </w:r>
          </w:p>
        </w:tc>
        <w:tc>
          <w:tcPr>
            <w:tcW w:w="1640" w:type="dxa"/>
            <w:tcBorders>
              <w:top w:val="single" w:sz="12" w:space="0" w:color="000000"/>
              <w:left w:val="nil"/>
              <w:bottom w:val="nil"/>
              <w:right w:val="nil"/>
            </w:tcBorders>
            <w:tcMar>
              <w:top w:w="80" w:type="dxa"/>
              <w:left w:w="80" w:type="dxa"/>
              <w:bottom w:w="80" w:type="dxa"/>
              <w:right w:w="80" w:type="dxa"/>
            </w:tcMar>
            <w:hideMark/>
          </w:tcPr>
          <w:p w14:paraId="6728FF96"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0.834</w:t>
            </w:r>
          </w:p>
        </w:tc>
        <w:tc>
          <w:tcPr>
            <w:tcW w:w="971" w:type="dxa"/>
            <w:tcBorders>
              <w:top w:val="single" w:sz="12" w:space="0" w:color="000000"/>
              <w:left w:val="nil"/>
              <w:bottom w:val="nil"/>
              <w:right w:val="nil"/>
            </w:tcBorders>
            <w:tcMar>
              <w:top w:w="80" w:type="dxa"/>
              <w:left w:w="80" w:type="dxa"/>
              <w:bottom w:w="80" w:type="dxa"/>
              <w:right w:w="80" w:type="dxa"/>
            </w:tcMar>
            <w:hideMark/>
          </w:tcPr>
          <w:p w14:paraId="2AE204BF"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4</w:t>
            </w:r>
          </w:p>
        </w:tc>
        <w:tc>
          <w:tcPr>
            <w:tcW w:w="1489" w:type="dxa"/>
            <w:tcBorders>
              <w:top w:val="single" w:sz="12" w:space="0" w:color="000000"/>
              <w:left w:val="nil"/>
              <w:bottom w:val="nil"/>
              <w:right w:val="nil"/>
            </w:tcBorders>
            <w:tcMar>
              <w:top w:w="80" w:type="dxa"/>
              <w:left w:w="80" w:type="dxa"/>
              <w:bottom w:w="80" w:type="dxa"/>
              <w:right w:w="80" w:type="dxa"/>
            </w:tcMar>
            <w:hideMark/>
          </w:tcPr>
          <w:p w14:paraId="3BDCD267"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0.208</w:t>
            </w:r>
          </w:p>
        </w:tc>
        <w:tc>
          <w:tcPr>
            <w:tcW w:w="1091" w:type="dxa"/>
            <w:tcBorders>
              <w:top w:val="single" w:sz="12" w:space="0" w:color="000000"/>
              <w:left w:val="nil"/>
              <w:bottom w:val="nil"/>
              <w:right w:val="nil"/>
            </w:tcBorders>
            <w:tcMar>
              <w:top w:w="80" w:type="dxa"/>
              <w:left w:w="80" w:type="dxa"/>
              <w:bottom w:w="80" w:type="dxa"/>
              <w:right w:w="80" w:type="dxa"/>
            </w:tcMar>
            <w:hideMark/>
          </w:tcPr>
          <w:p w14:paraId="21808A0B"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2.313</w:t>
            </w:r>
          </w:p>
        </w:tc>
        <w:tc>
          <w:tcPr>
            <w:tcW w:w="850" w:type="dxa"/>
            <w:tcBorders>
              <w:top w:val="single" w:sz="12" w:space="0" w:color="000000"/>
              <w:left w:val="nil"/>
              <w:bottom w:val="nil"/>
              <w:right w:val="nil"/>
            </w:tcBorders>
            <w:tcMar>
              <w:top w:w="80" w:type="dxa"/>
              <w:left w:w="80" w:type="dxa"/>
              <w:bottom w:w="80" w:type="dxa"/>
              <w:right w:w="80" w:type="dxa"/>
            </w:tcMar>
            <w:hideMark/>
          </w:tcPr>
          <w:p w14:paraId="5B3C8C8E"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0.086</w:t>
            </w:r>
          </w:p>
        </w:tc>
      </w:tr>
      <w:tr w:rsidR="003D7DC1" w:rsidRPr="003D7DC1" w14:paraId="6DAB9339" w14:textId="77777777" w:rsidTr="0035120B">
        <w:trPr>
          <w:trHeight w:val="24"/>
          <w:jc w:val="center"/>
        </w:trPr>
        <w:tc>
          <w:tcPr>
            <w:tcW w:w="759" w:type="dxa"/>
            <w:tcBorders>
              <w:top w:val="nil"/>
              <w:left w:val="nil"/>
              <w:bottom w:val="single" w:sz="8" w:space="0" w:color="auto"/>
              <w:right w:val="nil"/>
            </w:tcBorders>
            <w:tcMar>
              <w:top w:w="80" w:type="dxa"/>
              <w:left w:w="80" w:type="dxa"/>
              <w:bottom w:w="80" w:type="dxa"/>
              <w:right w:w="80" w:type="dxa"/>
            </w:tcMar>
            <w:hideMark/>
          </w:tcPr>
          <w:p w14:paraId="527722F3"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lastRenderedPageBreak/>
              <w:t> </w:t>
            </w:r>
          </w:p>
        </w:tc>
        <w:tc>
          <w:tcPr>
            <w:tcW w:w="1138" w:type="dxa"/>
            <w:tcBorders>
              <w:top w:val="nil"/>
              <w:left w:val="nil"/>
              <w:bottom w:val="single" w:sz="8" w:space="0" w:color="auto"/>
              <w:right w:val="nil"/>
            </w:tcBorders>
            <w:tcMar>
              <w:top w:w="80" w:type="dxa"/>
              <w:left w:w="80" w:type="dxa"/>
              <w:bottom w:w="80" w:type="dxa"/>
              <w:right w:w="80" w:type="dxa"/>
            </w:tcMar>
            <w:hideMark/>
          </w:tcPr>
          <w:p w14:paraId="3F849B32"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t>Residual</w:t>
            </w:r>
          </w:p>
        </w:tc>
        <w:tc>
          <w:tcPr>
            <w:tcW w:w="1640" w:type="dxa"/>
            <w:tcBorders>
              <w:top w:val="nil"/>
              <w:left w:val="nil"/>
              <w:bottom w:val="single" w:sz="8" w:space="0" w:color="auto"/>
              <w:right w:val="nil"/>
            </w:tcBorders>
            <w:tcMar>
              <w:top w:w="80" w:type="dxa"/>
              <w:left w:w="80" w:type="dxa"/>
              <w:bottom w:w="80" w:type="dxa"/>
              <w:right w:w="80" w:type="dxa"/>
            </w:tcMar>
            <w:hideMark/>
          </w:tcPr>
          <w:p w14:paraId="5D429B9D"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2.253</w:t>
            </w:r>
          </w:p>
        </w:tc>
        <w:tc>
          <w:tcPr>
            <w:tcW w:w="971" w:type="dxa"/>
            <w:tcBorders>
              <w:top w:val="nil"/>
              <w:left w:val="nil"/>
              <w:bottom w:val="single" w:sz="8" w:space="0" w:color="auto"/>
              <w:right w:val="nil"/>
            </w:tcBorders>
            <w:tcMar>
              <w:top w:w="80" w:type="dxa"/>
              <w:left w:w="80" w:type="dxa"/>
              <w:bottom w:w="80" w:type="dxa"/>
              <w:right w:w="80" w:type="dxa"/>
            </w:tcMar>
            <w:hideMark/>
          </w:tcPr>
          <w:p w14:paraId="5F58B6B1"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25</w:t>
            </w:r>
          </w:p>
        </w:tc>
        <w:tc>
          <w:tcPr>
            <w:tcW w:w="1489" w:type="dxa"/>
            <w:tcBorders>
              <w:top w:val="nil"/>
              <w:left w:val="nil"/>
              <w:bottom w:val="single" w:sz="8" w:space="0" w:color="auto"/>
              <w:right w:val="nil"/>
            </w:tcBorders>
            <w:tcMar>
              <w:top w:w="80" w:type="dxa"/>
              <w:left w:w="80" w:type="dxa"/>
              <w:bottom w:w="80" w:type="dxa"/>
              <w:right w:w="80" w:type="dxa"/>
            </w:tcMar>
            <w:hideMark/>
          </w:tcPr>
          <w:p w14:paraId="69658A47"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0.090</w:t>
            </w:r>
          </w:p>
        </w:tc>
        <w:tc>
          <w:tcPr>
            <w:tcW w:w="1091" w:type="dxa"/>
            <w:tcBorders>
              <w:top w:val="nil"/>
              <w:left w:val="nil"/>
              <w:bottom w:val="single" w:sz="8" w:space="0" w:color="auto"/>
              <w:right w:val="nil"/>
            </w:tcBorders>
            <w:tcMar>
              <w:top w:w="80" w:type="dxa"/>
              <w:left w:w="80" w:type="dxa"/>
              <w:bottom w:w="80" w:type="dxa"/>
              <w:right w:w="80" w:type="dxa"/>
            </w:tcMar>
            <w:hideMark/>
          </w:tcPr>
          <w:p w14:paraId="7776A7CC"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t> </w:t>
            </w:r>
          </w:p>
        </w:tc>
        <w:tc>
          <w:tcPr>
            <w:tcW w:w="850" w:type="dxa"/>
            <w:tcBorders>
              <w:top w:val="nil"/>
              <w:left w:val="nil"/>
              <w:bottom w:val="single" w:sz="8" w:space="0" w:color="auto"/>
              <w:right w:val="nil"/>
            </w:tcBorders>
            <w:tcMar>
              <w:top w:w="80" w:type="dxa"/>
              <w:left w:w="80" w:type="dxa"/>
              <w:bottom w:w="80" w:type="dxa"/>
              <w:right w:w="80" w:type="dxa"/>
            </w:tcMar>
            <w:hideMark/>
          </w:tcPr>
          <w:p w14:paraId="1E102D6E"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t> </w:t>
            </w:r>
          </w:p>
        </w:tc>
      </w:tr>
      <w:tr w:rsidR="003D7DC1" w:rsidRPr="003D7DC1" w14:paraId="4B64D60F" w14:textId="77777777" w:rsidTr="0035120B">
        <w:trPr>
          <w:trHeight w:val="24"/>
          <w:jc w:val="center"/>
        </w:trPr>
        <w:tc>
          <w:tcPr>
            <w:tcW w:w="759" w:type="dxa"/>
            <w:tcBorders>
              <w:top w:val="single" w:sz="8" w:space="0" w:color="auto"/>
              <w:left w:val="nil"/>
              <w:bottom w:val="single" w:sz="18" w:space="0" w:color="auto"/>
              <w:right w:val="nil"/>
            </w:tcBorders>
            <w:tcMar>
              <w:top w:w="80" w:type="dxa"/>
              <w:left w:w="80" w:type="dxa"/>
              <w:bottom w:w="80" w:type="dxa"/>
              <w:right w:w="80" w:type="dxa"/>
            </w:tcMar>
            <w:hideMark/>
          </w:tcPr>
          <w:p w14:paraId="6A3BEFBC"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t> </w:t>
            </w:r>
          </w:p>
        </w:tc>
        <w:tc>
          <w:tcPr>
            <w:tcW w:w="1138" w:type="dxa"/>
            <w:tcBorders>
              <w:top w:val="single" w:sz="8" w:space="0" w:color="auto"/>
              <w:left w:val="nil"/>
              <w:bottom w:val="single" w:sz="18" w:space="0" w:color="auto"/>
              <w:right w:val="nil"/>
            </w:tcBorders>
            <w:tcMar>
              <w:top w:w="80" w:type="dxa"/>
              <w:left w:w="80" w:type="dxa"/>
              <w:bottom w:w="80" w:type="dxa"/>
              <w:right w:w="80" w:type="dxa"/>
            </w:tcMar>
            <w:hideMark/>
          </w:tcPr>
          <w:p w14:paraId="1868ED38"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t>Total</w:t>
            </w:r>
          </w:p>
        </w:tc>
        <w:tc>
          <w:tcPr>
            <w:tcW w:w="1640" w:type="dxa"/>
            <w:tcBorders>
              <w:top w:val="single" w:sz="8" w:space="0" w:color="auto"/>
              <w:left w:val="nil"/>
              <w:bottom w:val="single" w:sz="18" w:space="0" w:color="auto"/>
              <w:right w:val="nil"/>
            </w:tcBorders>
            <w:tcMar>
              <w:top w:w="80" w:type="dxa"/>
              <w:left w:w="80" w:type="dxa"/>
              <w:bottom w:w="80" w:type="dxa"/>
              <w:right w:w="80" w:type="dxa"/>
            </w:tcMar>
            <w:hideMark/>
          </w:tcPr>
          <w:p w14:paraId="0C6142BB"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3.087</w:t>
            </w:r>
          </w:p>
        </w:tc>
        <w:tc>
          <w:tcPr>
            <w:tcW w:w="971" w:type="dxa"/>
            <w:tcBorders>
              <w:top w:val="single" w:sz="8" w:space="0" w:color="auto"/>
              <w:left w:val="nil"/>
              <w:bottom w:val="single" w:sz="18" w:space="0" w:color="auto"/>
              <w:right w:val="nil"/>
            </w:tcBorders>
            <w:tcMar>
              <w:top w:w="80" w:type="dxa"/>
              <w:left w:w="80" w:type="dxa"/>
              <w:bottom w:w="80" w:type="dxa"/>
              <w:right w:w="80" w:type="dxa"/>
            </w:tcMar>
            <w:hideMark/>
          </w:tcPr>
          <w:p w14:paraId="0A49BB0E" w14:textId="77777777" w:rsidR="003D7DC1" w:rsidRPr="003D7DC1" w:rsidRDefault="003D7DC1">
            <w:pPr>
              <w:spacing w:after="0"/>
              <w:jc w:val="center"/>
              <w:rPr>
                <w:rFonts w:ascii="Times New Roman" w:eastAsia="Times New Roman" w:hAnsi="Times New Roman"/>
              </w:rPr>
            </w:pPr>
            <w:r w:rsidRPr="003D7DC1">
              <w:rPr>
                <w:rFonts w:ascii="Times New Roman" w:eastAsia="Times New Roman" w:hAnsi="Times New Roman"/>
                <w:color w:val="000000"/>
              </w:rPr>
              <w:t>29</w:t>
            </w:r>
          </w:p>
        </w:tc>
        <w:tc>
          <w:tcPr>
            <w:tcW w:w="1489" w:type="dxa"/>
            <w:tcBorders>
              <w:top w:val="single" w:sz="8" w:space="0" w:color="auto"/>
              <w:left w:val="nil"/>
              <w:bottom w:val="single" w:sz="18" w:space="0" w:color="auto"/>
              <w:right w:val="nil"/>
            </w:tcBorders>
            <w:tcMar>
              <w:top w:w="80" w:type="dxa"/>
              <w:left w:w="80" w:type="dxa"/>
              <w:bottom w:w="80" w:type="dxa"/>
              <w:right w:w="80" w:type="dxa"/>
            </w:tcMar>
            <w:hideMark/>
          </w:tcPr>
          <w:p w14:paraId="4999C7A0"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t> </w:t>
            </w:r>
          </w:p>
        </w:tc>
        <w:tc>
          <w:tcPr>
            <w:tcW w:w="1091" w:type="dxa"/>
            <w:tcBorders>
              <w:top w:val="single" w:sz="8" w:space="0" w:color="auto"/>
              <w:left w:val="nil"/>
              <w:bottom w:val="single" w:sz="18" w:space="0" w:color="auto"/>
              <w:right w:val="nil"/>
            </w:tcBorders>
            <w:tcMar>
              <w:top w:w="80" w:type="dxa"/>
              <w:left w:w="80" w:type="dxa"/>
              <w:bottom w:w="80" w:type="dxa"/>
              <w:right w:w="80" w:type="dxa"/>
            </w:tcMar>
            <w:hideMark/>
          </w:tcPr>
          <w:p w14:paraId="2B8C202A"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t> </w:t>
            </w:r>
          </w:p>
        </w:tc>
        <w:tc>
          <w:tcPr>
            <w:tcW w:w="850" w:type="dxa"/>
            <w:tcBorders>
              <w:top w:val="single" w:sz="8" w:space="0" w:color="auto"/>
              <w:left w:val="nil"/>
              <w:bottom w:val="single" w:sz="18" w:space="0" w:color="auto"/>
              <w:right w:val="nil"/>
            </w:tcBorders>
            <w:tcMar>
              <w:top w:w="80" w:type="dxa"/>
              <w:left w:w="80" w:type="dxa"/>
              <w:bottom w:w="80" w:type="dxa"/>
              <w:right w:w="80" w:type="dxa"/>
            </w:tcMar>
            <w:hideMark/>
          </w:tcPr>
          <w:p w14:paraId="39BAB955" w14:textId="77777777" w:rsidR="003D7DC1" w:rsidRPr="003D7DC1" w:rsidRDefault="003D7DC1">
            <w:pPr>
              <w:spacing w:after="0"/>
              <w:rPr>
                <w:rFonts w:ascii="Times New Roman" w:eastAsia="Times New Roman" w:hAnsi="Times New Roman"/>
              </w:rPr>
            </w:pPr>
            <w:r w:rsidRPr="003D7DC1">
              <w:rPr>
                <w:rFonts w:ascii="Times New Roman" w:eastAsia="Times New Roman" w:hAnsi="Times New Roman"/>
                <w:color w:val="000000"/>
              </w:rPr>
              <w:t> </w:t>
            </w:r>
          </w:p>
        </w:tc>
      </w:tr>
    </w:tbl>
    <w:p w14:paraId="7674D1AA" w14:textId="77777777" w:rsidR="003D7DC1" w:rsidRPr="003D7DC1" w:rsidRDefault="003D7DC1" w:rsidP="00A85A61">
      <w:pPr>
        <w:spacing w:before="0" w:beforeAutospacing="0" w:after="240"/>
        <w:jc w:val="both"/>
        <w:rPr>
          <w:rFonts w:ascii="Times New Roman" w:eastAsia="Times New Roman" w:hAnsi="Times New Roman"/>
        </w:rPr>
      </w:pPr>
      <w:r w:rsidRPr="003D7DC1">
        <w:rPr>
          <w:rFonts w:ascii="Times New Roman" w:eastAsia="Times New Roman" w:hAnsi="Times New Roman"/>
          <w:i/>
          <w:iCs/>
          <w:color w:val="000000"/>
        </w:rPr>
        <w:t>Note</w:t>
      </w:r>
      <w:r w:rsidRPr="003D7DC1">
        <w:rPr>
          <w:rFonts w:ascii="Times New Roman" w:eastAsia="Times New Roman" w:hAnsi="Times New Roman"/>
          <w:color w:val="000000"/>
        </w:rPr>
        <w:t>: M</w:t>
      </w:r>
      <w:r w:rsidRPr="003D7DC1">
        <w:rPr>
          <w:rFonts w:ascii="Times New Roman" w:hAnsi="Times New Roman"/>
          <w:color w:val="000000"/>
        </w:rPr>
        <w:t>₁</w:t>
      </w:r>
      <w:r w:rsidRPr="003D7DC1">
        <w:rPr>
          <w:rFonts w:ascii="Times New Roman" w:eastAsia="Times New Roman" w:hAnsi="Times New Roman"/>
          <w:color w:val="000000"/>
        </w:rPr>
        <w:t xml:space="preserve"> includes TD, HL, TD×HL, and P1_ERA Mean</w:t>
      </w:r>
    </w:p>
    <w:p w14:paraId="7A9C6D40" w14:textId="45D6C8F4" w:rsidR="003D7DC1" w:rsidRPr="00A85A61" w:rsidRDefault="003D7DC1" w:rsidP="00332D2D">
      <w:pPr>
        <w:spacing w:before="240" w:beforeAutospacing="0" w:after="240"/>
        <w:jc w:val="both"/>
        <w:rPr>
          <w:rFonts w:ascii="Times New Roman" w:hAnsi="Times New Roman"/>
          <w:sz w:val="24"/>
          <w:szCs w:val="24"/>
        </w:rPr>
      </w:pPr>
      <w:r w:rsidRPr="00A85A61">
        <w:rPr>
          <w:rFonts w:ascii="Times New Roman" w:hAnsi="Times New Roman"/>
          <w:sz w:val="24"/>
          <w:szCs w:val="24"/>
        </w:rPr>
        <w:t xml:space="preserve">Interestingly, learners’ initial reading attitudes did not significantly predict their final reading attitudes, b = −0.092, </w:t>
      </w:r>
      <w:proofErr w:type="gramStart"/>
      <w:r w:rsidRPr="00A85A61">
        <w:rPr>
          <w:rFonts w:ascii="Times New Roman" w:hAnsi="Times New Roman"/>
          <w:sz w:val="24"/>
          <w:szCs w:val="24"/>
        </w:rPr>
        <w:t>t(</w:t>
      </w:r>
      <w:proofErr w:type="gramEnd"/>
      <w:r w:rsidRPr="00A85A61">
        <w:rPr>
          <w:rFonts w:ascii="Times New Roman" w:hAnsi="Times New Roman"/>
          <w:sz w:val="24"/>
          <w:szCs w:val="24"/>
        </w:rPr>
        <w:t xml:space="preserve">25) = −0.836, p = .411 (Table 11). This finding suggests that early-grade learners’ reading attitudes may remain responsive to continued instructional and environmental influences rather than being determined solely by initial dispositions. This supports Mathewson’s (1994) view that reading attitudes are shaped through affective, motivational, and environmental experiences. Similarly, McKenna </w:t>
      </w:r>
      <w:r w:rsidR="00A85A61" w:rsidRPr="00A85A61">
        <w:rPr>
          <w:rFonts w:ascii="Times New Roman" w:hAnsi="Times New Roman"/>
          <w:sz w:val="24"/>
          <w:szCs w:val="24"/>
        </w:rPr>
        <w:t>[18]</w:t>
      </w:r>
      <w:r w:rsidRPr="00A85A61">
        <w:rPr>
          <w:rFonts w:ascii="Times New Roman" w:hAnsi="Times New Roman"/>
          <w:sz w:val="24"/>
          <w:szCs w:val="24"/>
        </w:rPr>
        <w:t xml:space="preserve"> emphasized that reading attitudes develop through ongoing interactions within learners’ school and home literacy environments. Recent literature likewise indicates that meaningful literacy engagement, supportive home environments, and parental involvement positively contribute to the development of reading motivation and attitudes over time </w:t>
      </w:r>
      <w:r w:rsidR="00A85A61" w:rsidRPr="00A85A61">
        <w:rPr>
          <w:rFonts w:ascii="Times New Roman" w:hAnsi="Times New Roman"/>
          <w:sz w:val="24"/>
          <w:szCs w:val="24"/>
        </w:rPr>
        <w:t>[7][16].</w:t>
      </w:r>
    </w:p>
    <w:p w14:paraId="5E183240" w14:textId="77777777" w:rsidR="003D7DC1" w:rsidRPr="003D7DC1" w:rsidRDefault="003D7DC1" w:rsidP="003D7DC1">
      <w:pPr>
        <w:spacing w:before="240" w:beforeAutospacing="0" w:after="240"/>
        <w:jc w:val="both"/>
        <w:rPr>
          <w:rFonts w:ascii="Times New Roman" w:eastAsia="Times New Roman" w:hAnsi="Times New Roman"/>
        </w:rPr>
      </w:pPr>
      <w:r w:rsidRPr="003D7DC1">
        <w:rPr>
          <w:rFonts w:ascii="Times New Roman" w:eastAsia="Times New Roman" w:hAnsi="Times New Roman"/>
          <w:b/>
          <w:bCs/>
          <w:color w:val="000000"/>
        </w:rPr>
        <w:t>Table 11</w:t>
      </w:r>
      <w:r w:rsidRPr="003D7DC1">
        <w:rPr>
          <w:rFonts w:ascii="Times New Roman" w:eastAsia="Times New Roman" w:hAnsi="Times New Roman"/>
        </w:rPr>
        <w:t xml:space="preserve">. </w:t>
      </w:r>
      <w:r w:rsidRPr="003D7DC1">
        <w:rPr>
          <w:rFonts w:ascii="Times New Roman" w:eastAsia="Times New Roman" w:hAnsi="Times New Roman"/>
          <w:i/>
          <w:iCs/>
          <w:color w:val="000000"/>
        </w:rPr>
        <w:t>Regression Coefficients for Predicting Phase 3 ERA</w:t>
      </w:r>
    </w:p>
    <w:tbl>
      <w:tblPr>
        <w:tblW w:w="0" w:type="auto"/>
        <w:jc w:val="center"/>
        <w:tblCellMar>
          <w:top w:w="15" w:type="dxa"/>
          <w:left w:w="15" w:type="dxa"/>
          <w:bottom w:w="15" w:type="dxa"/>
          <w:right w:w="15" w:type="dxa"/>
        </w:tblCellMar>
        <w:tblLook w:val="04A0" w:firstRow="1" w:lastRow="0" w:firstColumn="1" w:lastColumn="0" w:noHBand="0" w:noVBand="1"/>
      </w:tblPr>
      <w:tblGrid>
        <w:gridCol w:w="759"/>
        <w:gridCol w:w="1334"/>
        <w:gridCol w:w="2012"/>
        <w:gridCol w:w="1645"/>
        <w:gridCol w:w="1737"/>
        <w:gridCol w:w="729"/>
        <w:gridCol w:w="1140"/>
      </w:tblGrid>
      <w:tr w:rsidR="003D7DC1" w:rsidRPr="003D7DC1" w14:paraId="6A859F48" w14:textId="77777777" w:rsidTr="0035120B">
        <w:trPr>
          <w:trHeight w:val="33"/>
          <w:jc w:val="center"/>
        </w:trPr>
        <w:tc>
          <w:tcPr>
            <w:tcW w:w="0" w:type="auto"/>
            <w:tcBorders>
              <w:top w:val="single" w:sz="18" w:space="0" w:color="auto"/>
              <w:left w:val="nil"/>
              <w:bottom w:val="single" w:sz="12" w:space="0" w:color="000000"/>
              <w:right w:val="nil"/>
            </w:tcBorders>
            <w:tcMar>
              <w:top w:w="80" w:type="dxa"/>
              <w:left w:w="80" w:type="dxa"/>
              <w:bottom w:w="80" w:type="dxa"/>
              <w:right w:w="80" w:type="dxa"/>
            </w:tcMar>
            <w:hideMark/>
          </w:tcPr>
          <w:p w14:paraId="614CA0C8"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b/>
                <w:bCs/>
                <w:color w:val="000000"/>
              </w:rPr>
              <w:t>Model</w:t>
            </w:r>
          </w:p>
        </w:tc>
        <w:tc>
          <w:tcPr>
            <w:tcW w:w="0" w:type="auto"/>
            <w:tcBorders>
              <w:top w:val="single" w:sz="18" w:space="0" w:color="auto"/>
              <w:left w:val="nil"/>
              <w:bottom w:val="single" w:sz="12" w:space="0" w:color="000000"/>
              <w:right w:val="nil"/>
            </w:tcBorders>
            <w:tcMar>
              <w:top w:w="80" w:type="dxa"/>
              <w:left w:w="80" w:type="dxa"/>
              <w:bottom w:w="80" w:type="dxa"/>
              <w:right w:w="80" w:type="dxa"/>
            </w:tcMar>
            <w:hideMark/>
          </w:tcPr>
          <w:p w14:paraId="53C10933"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b/>
                <w:bCs/>
                <w:color w:val="000000"/>
              </w:rPr>
              <w:t>Predictor</w:t>
            </w:r>
          </w:p>
        </w:tc>
        <w:tc>
          <w:tcPr>
            <w:tcW w:w="0" w:type="auto"/>
            <w:tcBorders>
              <w:top w:val="single" w:sz="18" w:space="0" w:color="auto"/>
              <w:left w:val="nil"/>
              <w:bottom w:val="single" w:sz="12" w:space="0" w:color="000000"/>
              <w:right w:val="nil"/>
            </w:tcBorders>
            <w:tcMar>
              <w:top w:w="80" w:type="dxa"/>
              <w:left w:w="80" w:type="dxa"/>
              <w:bottom w:w="80" w:type="dxa"/>
              <w:right w:w="80" w:type="dxa"/>
            </w:tcMar>
            <w:hideMark/>
          </w:tcPr>
          <w:p w14:paraId="2F8ABCA0"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b/>
                <w:bCs/>
                <w:color w:val="000000"/>
              </w:rPr>
              <w:t>Unstandardized (B)</w:t>
            </w:r>
          </w:p>
        </w:tc>
        <w:tc>
          <w:tcPr>
            <w:tcW w:w="0" w:type="auto"/>
            <w:tcBorders>
              <w:top w:val="single" w:sz="18" w:space="0" w:color="auto"/>
              <w:left w:val="nil"/>
              <w:bottom w:val="single" w:sz="12" w:space="0" w:color="000000"/>
              <w:right w:val="nil"/>
            </w:tcBorders>
            <w:tcMar>
              <w:top w:w="80" w:type="dxa"/>
              <w:left w:w="80" w:type="dxa"/>
              <w:bottom w:w="80" w:type="dxa"/>
              <w:right w:w="80" w:type="dxa"/>
            </w:tcMar>
            <w:hideMark/>
          </w:tcPr>
          <w:p w14:paraId="78730A75"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b/>
                <w:bCs/>
                <w:color w:val="000000"/>
              </w:rPr>
              <w:t>Standard Error</w:t>
            </w:r>
          </w:p>
        </w:tc>
        <w:tc>
          <w:tcPr>
            <w:tcW w:w="0" w:type="auto"/>
            <w:tcBorders>
              <w:top w:val="single" w:sz="18" w:space="0" w:color="auto"/>
              <w:left w:val="nil"/>
              <w:bottom w:val="single" w:sz="12" w:space="0" w:color="000000"/>
              <w:right w:val="nil"/>
            </w:tcBorders>
            <w:tcMar>
              <w:top w:w="80" w:type="dxa"/>
              <w:left w:w="80" w:type="dxa"/>
              <w:bottom w:w="80" w:type="dxa"/>
              <w:right w:w="80" w:type="dxa"/>
            </w:tcMar>
            <w:hideMark/>
          </w:tcPr>
          <w:p w14:paraId="70651D84"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b/>
                <w:bCs/>
                <w:color w:val="000000"/>
              </w:rPr>
              <w:t>Standardized (β)</w:t>
            </w:r>
          </w:p>
        </w:tc>
        <w:tc>
          <w:tcPr>
            <w:tcW w:w="0" w:type="auto"/>
            <w:tcBorders>
              <w:top w:val="single" w:sz="18" w:space="0" w:color="auto"/>
              <w:left w:val="nil"/>
              <w:bottom w:val="single" w:sz="12" w:space="0" w:color="000000"/>
              <w:right w:val="nil"/>
            </w:tcBorders>
            <w:tcMar>
              <w:top w:w="80" w:type="dxa"/>
              <w:left w:w="80" w:type="dxa"/>
              <w:bottom w:w="80" w:type="dxa"/>
              <w:right w:w="80" w:type="dxa"/>
            </w:tcMar>
            <w:hideMark/>
          </w:tcPr>
          <w:p w14:paraId="722A4A42"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b/>
                <w:bCs/>
                <w:color w:val="000000"/>
              </w:rPr>
              <w:t>t</w:t>
            </w:r>
          </w:p>
        </w:tc>
        <w:tc>
          <w:tcPr>
            <w:tcW w:w="1140" w:type="dxa"/>
            <w:tcBorders>
              <w:top w:val="single" w:sz="18" w:space="0" w:color="auto"/>
              <w:left w:val="nil"/>
              <w:bottom w:val="single" w:sz="12" w:space="0" w:color="000000"/>
              <w:right w:val="nil"/>
            </w:tcBorders>
            <w:tcMar>
              <w:top w:w="80" w:type="dxa"/>
              <w:left w:w="80" w:type="dxa"/>
              <w:bottom w:w="80" w:type="dxa"/>
              <w:right w:w="80" w:type="dxa"/>
            </w:tcMar>
            <w:hideMark/>
          </w:tcPr>
          <w:p w14:paraId="5B6FC92D"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b/>
                <w:bCs/>
                <w:color w:val="000000"/>
              </w:rPr>
              <w:t>p</w:t>
            </w:r>
          </w:p>
        </w:tc>
      </w:tr>
      <w:tr w:rsidR="003D7DC1" w:rsidRPr="003D7DC1" w14:paraId="4BD89228" w14:textId="77777777" w:rsidTr="0035120B">
        <w:trPr>
          <w:trHeight w:val="27"/>
          <w:jc w:val="center"/>
        </w:trPr>
        <w:tc>
          <w:tcPr>
            <w:tcW w:w="0" w:type="auto"/>
            <w:tcBorders>
              <w:top w:val="single" w:sz="12" w:space="0" w:color="000000"/>
              <w:left w:val="nil"/>
              <w:bottom w:val="nil"/>
              <w:right w:val="nil"/>
            </w:tcBorders>
            <w:tcMar>
              <w:top w:w="80" w:type="dxa"/>
              <w:left w:w="80" w:type="dxa"/>
              <w:bottom w:w="80" w:type="dxa"/>
              <w:right w:w="80" w:type="dxa"/>
            </w:tcMar>
            <w:hideMark/>
          </w:tcPr>
          <w:p w14:paraId="233C887E"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M</w:t>
            </w:r>
            <w:r w:rsidRPr="003D7DC1">
              <w:rPr>
                <w:rFonts w:ascii="Times New Roman" w:hAnsi="Times New Roman"/>
                <w:color w:val="000000"/>
              </w:rPr>
              <w:t>₁</w:t>
            </w:r>
          </w:p>
        </w:tc>
        <w:tc>
          <w:tcPr>
            <w:tcW w:w="0" w:type="auto"/>
            <w:tcBorders>
              <w:top w:val="single" w:sz="12" w:space="0" w:color="000000"/>
              <w:left w:val="nil"/>
              <w:bottom w:val="nil"/>
              <w:right w:val="nil"/>
            </w:tcBorders>
            <w:tcMar>
              <w:top w:w="80" w:type="dxa"/>
              <w:left w:w="80" w:type="dxa"/>
              <w:bottom w:w="80" w:type="dxa"/>
              <w:right w:w="80" w:type="dxa"/>
            </w:tcMar>
            <w:hideMark/>
          </w:tcPr>
          <w:p w14:paraId="644CFC7F" w14:textId="77777777" w:rsidR="003D7DC1" w:rsidRPr="003D7DC1" w:rsidRDefault="003D7DC1">
            <w:pPr>
              <w:spacing w:after="160"/>
              <w:rPr>
                <w:rFonts w:ascii="Times New Roman" w:eastAsia="Times New Roman" w:hAnsi="Times New Roman"/>
              </w:rPr>
            </w:pPr>
            <w:r w:rsidRPr="003D7DC1">
              <w:rPr>
                <w:rFonts w:ascii="Times New Roman" w:eastAsia="Times New Roman" w:hAnsi="Times New Roman"/>
                <w:color w:val="000000"/>
              </w:rPr>
              <w:t>Intercept</w:t>
            </w:r>
          </w:p>
        </w:tc>
        <w:tc>
          <w:tcPr>
            <w:tcW w:w="0" w:type="auto"/>
            <w:tcBorders>
              <w:top w:val="single" w:sz="12" w:space="0" w:color="000000"/>
              <w:left w:val="nil"/>
              <w:bottom w:val="nil"/>
              <w:right w:val="nil"/>
            </w:tcBorders>
            <w:tcMar>
              <w:top w:w="80" w:type="dxa"/>
              <w:left w:w="80" w:type="dxa"/>
              <w:bottom w:w="80" w:type="dxa"/>
              <w:right w:w="80" w:type="dxa"/>
            </w:tcMar>
            <w:hideMark/>
          </w:tcPr>
          <w:p w14:paraId="787F9336"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17.861</w:t>
            </w:r>
          </w:p>
        </w:tc>
        <w:tc>
          <w:tcPr>
            <w:tcW w:w="0" w:type="auto"/>
            <w:tcBorders>
              <w:top w:val="single" w:sz="12" w:space="0" w:color="000000"/>
              <w:left w:val="nil"/>
              <w:bottom w:val="nil"/>
              <w:right w:val="nil"/>
            </w:tcBorders>
            <w:tcMar>
              <w:top w:w="80" w:type="dxa"/>
              <w:left w:w="80" w:type="dxa"/>
              <w:bottom w:w="80" w:type="dxa"/>
              <w:right w:w="80" w:type="dxa"/>
            </w:tcMar>
            <w:hideMark/>
          </w:tcPr>
          <w:p w14:paraId="513F8137"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6.669</w:t>
            </w:r>
          </w:p>
        </w:tc>
        <w:tc>
          <w:tcPr>
            <w:tcW w:w="0" w:type="auto"/>
            <w:tcBorders>
              <w:top w:val="single" w:sz="12" w:space="0" w:color="000000"/>
              <w:left w:val="nil"/>
              <w:bottom w:val="nil"/>
              <w:right w:val="nil"/>
            </w:tcBorders>
            <w:tcMar>
              <w:top w:w="80" w:type="dxa"/>
              <w:left w:w="80" w:type="dxa"/>
              <w:bottom w:w="80" w:type="dxa"/>
              <w:right w:w="80" w:type="dxa"/>
            </w:tcMar>
            <w:hideMark/>
          </w:tcPr>
          <w:p w14:paraId="0C4D0BE7"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w:t>
            </w:r>
          </w:p>
        </w:tc>
        <w:tc>
          <w:tcPr>
            <w:tcW w:w="0" w:type="auto"/>
            <w:tcBorders>
              <w:top w:val="single" w:sz="12" w:space="0" w:color="000000"/>
              <w:left w:val="nil"/>
              <w:bottom w:val="nil"/>
              <w:right w:val="nil"/>
            </w:tcBorders>
            <w:tcMar>
              <w:top w:w="80" w:type="dxa"/>
              <w:left w:w="80" w:type="dxa"/>
              <w:bottom w:w="80" w:type="dxa"/>
              <w:right w:w="80" w:type="dxa"/>
            </w:tcMar>
            <w:hideMark/>
          </w:tcPr>
          <w:p w14:paraId="02CE4622"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2.678</w:t>
            </w:r>
          </w:p>
        </w:tc>
        <w:tc>
          <w:tcPr>
            <w:tcW w:w="1140" w:type="dxa"/>
            <w:tcBorders>
              <w:top w:val="single" w:sz="12" w:space="0" w:color="000000"/>
              <w:left w:val="nil"/>
              <w:bottom w:val="nil"/>
              <w:right w:val="nil"/>
            </w:tcBorders>
            <w:tcMar>
              <w:top w:w="80" w:type="dxa"/>
              <w:left w:w="80" w:type="dxa"/>
              <w:bottom w:w="80" w:type="dxa"/>
              <w:right w:w="80" w:type="dxa"/>
            </w:tcMar>
            <w:hideMark/>
          </w:tcPr>
          <w:p w14:paraId="3E653615"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0.013</w:t>
            </w:r>
          </w:p>
        </w:tc>
      </w:tr>
      <w:tr w:rsidR="003D7DC1" w:rsidRPr="003D7DC1" w14:paraId="51DBE0D0" w14:textId="77777777" w:rsidTr="0035120B">
        <w:trPr>
          <w:trHeight w:val="24"/>
          <w:jc w:val="center"/>
        </w:trPr>
        <w:tc>
          <w:tcPr>
            <w:tcW w:w="0" w:type="auto"/>
            <w:tcBorders>
              <w:top w:val="nil"/>
              <w:left w:val="nil"/>
              <w:bottom w:val="nil"/>
              <w:right w:val="nil"/>
            </w:tcBorders>
            <w:tcMar>
              <w:top w:w="80" w:type="dxa"/>
              <w:left w:w="80" w:type="dxa"/>
              <w:bottom w:w="80" w:type="dxa"/>
              <w:right w:w="80" w:type="dxa"/>
            </w:tcMar>
            <w:hideMark/>
          </w:tcPr>
          <w:p w14:paraId="4E6BE0CC" w14:textId="77777777" w:rsidR="003D7DC1" w:rsidRPr="003D7DC1" w:rsidRDefault="003D7DC1">
            <w:pPr>
              <w:spacing w:after="160"/>
              <w:rPr>
                <w:rFonts w:ascii="Times New Roman" w:eastAsia="Times New Roman" w:hAnsi="Times New Roman"/>
              </w:rPr>
            </w:pPr>
            <w:r w:rsidRPr="003D7DC1">
              <w:rPr>
                <w:rFonts w:ascii="Times New Roman" w:eastAsia="Times New Roman" w:hAnsi="Times New Roman"/>
                <w:color w:val="000000"/>
              </w:rPr>
              <w:t> </w:t>
            </w:r>
          </w:p>
        </w:tc>
        <w:tc>
          <w:tcPr>
            <w:tcW w:w="0" w:type="auto"/>
            <w:tcBorders>
              <w:top w:val="nil"/>
              <w:left w:val="nil"/>
              <w:bottom w:val="nil"/>
              <w:right w:val="nil"/>
            </w:tcBorders>
            <w:tcMar>
              <w:top w:w="80" w:type="dxa"/>
              <w:left w:w="80" w:type="dxa"/>
              <w:bottom w:w="80" w:type="dxa"/>
              <w:right w:w="80" w:type="dxa"/>
            </w:tcMar>
            <w:hideMark/>
          </w:tcPr>
          <w:p w14:paraId="1B9BCAE7" w14:textId="77777777" w:rsidR="003D7DC1" w:rsidRPr="003D7DC1" w:rsidRDefault="003D7DC1">
            <w:pPr>
              <w:spacing w:after="160"/>
              <w:rPr>
                <w:rFonts w:ascii="Times New Roman" w:eastAsia="Times New Roman" w:hAnsi="Times New Roman"/>
              </w:rPr>
            </w:pPr>
            <w:r w:rsidRPr="003D7DC1">
              <w:rPr>
                <w:rFonts w:ascii="Times New Roman" w:eastAsia="Times New Roman" w:hAnsi="Times New Roman"/>
                <w:color w:val="000000"/>
              </w:rPr>
              <w:t>TD</w:t>
            </w:r>
          </w:p>
        </w:tc>
        <w:tc>
          <w:tcPr>
            <w:tcW w:w="0" w:type="auto"/>
            <w:tcBorders>
              <w:top w:val="nil"/>
              <w:left w:val="nil"/>
              <w:bottom w:val="nil"/>
              <w:right w:val="nil"/>
            </w:tcBorders>
            <w:tcMar>
              <w:top w:w="80" w:type="dxa"/>
              <w:left w:w="80" w:type="dxa"/>
              <w:bottom w:w="80" w:type="dxa"/>
              <w:right w:w="80" w:type="dxa"/>
            </w:tcMar>
            <w:hideMark/>
          </w:tcPr>
          <w:p w14:paraId="42C3BCC3"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-7.821</w:t>
            </w:r>
          </w:p>
        </w:tc>
        <w:tc>
          <w:tcPr>
            <w:tcW w:w="0" w:type="auto"/>
            <w:tcBorders>
              <w:top w:val="nil"/>
              <w:left w:val="nil"/>
              <w:bottom w:val="nil"/>
              <w:right w:val="nil"/>
            </w:tcBorders>
            <w:tcMar>
              <w:top w:w="80" w:type="dxa"/>
              <w:left w:w="80" w:type="dxa"/>
              <w:bottom w:w="80" w:type="dxa"/>
              <w:right w:w="80" w:type="dxa"/>
            </w:tcMar>
            <w:hideMark/>
          </w:tcPr>
          <w:p w14:paraId="6A2D4B32"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3.201</w:t>
            </w:r>
          </w:p>
        </w:tc>
        <w:tc>
          <w:tcPr>
            <w:tcW w:w="0" w:type="auto"/>
            <w:tcBorders>
              <w:top w:val="nil"/>
              <w:left w:val="nil"/>
              <w:bottom w:val="nil"/>
              <w:right w:val="nil"/>
            </w:tcBorders>
            <w:tcMar>
              <w:top w:w="80" w:type="dxa"/>
              <w:left w:w="80" w:type="dxa"/>
              <w:bottom w:w="80" w:type="dxa"/>
              <w:right w:w="80" w:type="dxa"/>
            </w:tcMar>
            <w:hideMark/>
          </w:tcPr>
          <w:p w14:paraId="66AAAC81"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-5.019</w:t>
            </w:r>
          </w:p>
        </w:tc>
        <w:tc>
          <w:tcPr>
            <w:tcW w:w="0" w:type="auto"/>
            <w:tcBorders>
              <w:top w:val="nil"/>
              <w:left w:val="nil"/>
              <w:bottom w:val="nil"/>
              <w:right w:val="nil"/>
            </w:tcBorders>
            <w:tcMar>
              <w:top w:w="80" w:type="dxa"/>
              <w:left w:w="80" w:type="dxa"/>
              <w:bottom w:w="80" w:type="dxa"/>
              <w:right w:w="80" w:type="dxa"/>
            </w:tcMar>
            <w:hideMark/>
          </w:tcPr>
          <w:p w14:paraId="3CA8CDEB"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-2.443</w:t>
            </w:r>
          </w:p>
        </w:tc>
        <w:tc>
          <w:tcPr>
            <w:tcW w:w="1140" w:type="dxa"/>
            <w:tcBorders>
              <w:top w:val="nil"/>
              <w:left w:val="nil"/>
              <w:bottom w:val="nil"/>
              <w:right w:val="nil"/>
            </w:tcBorders>
            <w:tcMar>
              <w:top w:w="80" w:type="dxa"/>
              <w:left w:w="80" w:type="dxa"/>
              <w:bottom w:w="80" w:type="dxa"/>
              <w:right w:w="80" w:type="dxa"/>
            </w:tcMar>
            <w:hideMark/>
          </w:tcPr>
          <w:p w14:paraId="32F09048"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0.022</w:t>
            </w:r>
          </w:p>
        </w:tc>
      </w:tr>
      <w:tr w:rsidR="003D7DC1" w:rsidRPr="003D7DC1" w14:paraId="1F65D676" w14:textId="77777777" w:rsidTr="0035120B">
        <w:trPr>
          <w:trHeight w:val="24"/>
          <w:jc w:val="center"/>
        </w:trPr>
        <w:tc>
          <w:tcPr>
            <w:tcW w:w="0" w:type="auto"/>
            <w:tcBorders>
              <w:top w:val="nil"/>
              <w:left w:val="nil"/>
              <w:bottom w:val="nil"/>
              <w:right w:val="nil"/>
            </w:tcBorders>
            <w:tcMar>
              <w:top w:w="80" w:type="dxa"/>
              <w:left w:w="80" w:type="dxa"/>
              <w:bottom w:w="80" w:type="dxa"/>
              <w:right w:w="80" w:type="dxa"/>
            </w:tcMar>
            <w:hideMark/>
          </w:tcPr>
          <w:p w14:paraId="7B4C706A" w14:textId="77777777" w:rsidR="003D7DC1" w:rsidRPr="003D7DC1" w:rsidRDefault="003D7DC1">
            <w:pPr>
              <w:spacing w:after="160"/>
              <w:rPr>
                <w:rFonts w:ascii="Times New Roman" w:eastAsia="Times New Roman" w:hAnsi="Times New Roman"/>
              </w:rPr>
            </w:pPr>
            <w:r w:rsidRPr="003D7DC1">
              <w:rPr>
                <w:rFonts w:ascii="Times New Roman" w:eastAsia="Times New Roman" w:hAnsi="Times New Roman"/>
                <w:color w:val="000000"/>
              </w:rPr>
              <w:t> </w:t>
            </w:r>
          </w:p>
        </w:tc>
        <w:tc>
          <w:tcPr>
            <w:tcW w:w="0" w:type="auto"/>
            <w:tcBorders>
              <w:top w:val="nil"/>
              <w:left w:val="nil"/>
              <w:bottom w:val="nil"/>
              <w:right w:val="nil"/>
            </w:tcBorders>
            <w:tcMar>
              <w:top w:w="80" w:type="dxa"/>
              <w:left w:w="80" w:type="dxa"/>
              <w:bottom w:w="80" w:type="dxa"/>
              <w:right w:w="80" w:type="dxa"/>
            </w:tcMar>
            <w:hideMark/>
          </w:tcPr>
          <w:p w14:paraId="3E817F14" w14:textId="77777777" w:rsidR="003D7DC1" w:rsidRPr="003D7DC1" w:rsidRDefault="003D7DC1">
            <w:pPr>
              <w:spacing w:after="160"/>
              <w:rPr>
                <w:rFonts w:ascii="Times New Roman" w:eastAsia="Times New Roman" w:hAnsi="Times New Roman"/>
              </w:rPr>
            </w:pPr>
            <w:r w:rsidRPr="003D7DC1">
              <w:rPr>
                <w:rFonts w:ascii="Times New Roman" w:eastAsia="Times New Roman" w:hAnsi="Times New Roman"/>
                <w:color w:val="000000"/>
              </w:rPr>
              <w:t>HL</w:t>
            </w:r>
          </w:p>
        </w:tc>
        <w:tc>
          <w:tcPr>
            <w:tcW w:w="0" w:type="auto"/>
            <w:tcBorders>
              <w:top w:val="nil"/>
              <w:left w:val="nil"/>
              <w:bottom w:val="nil"/>
              <w:right w:val="nil"/>
            </w:tcBorders>
            <w:tcMar>
              <w:top w:w="80" w:type="dxa"/>
              <w:left w:w="80" w:type="dxa"/>
              <w:bottom w:w="80" w:type="dxa"/>
              <w:right w:w="80" w:type="dxa"/>
            </w:tcMar>
            <w:hideMark/>
          </w:tcPr>
          <w:p w14:paraId="08F503C0"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-9.050</w:t>
            </w:r>
          </w:p>
        </w:tc>
        <w:tc>
          <w:tcPr>
            <w:tcW w:w="0" w:type="auto"/>
            <w:tcBorders>
              <w:top w:val="nil"/>
              <w:left w:val="nil"/>
              <w:bottom w:val="nil"/>
              <w:right w:val="nil"/>
            </w:tcBorders>
            <w:tcMar>
              <w:top w:w="80" w:type="dxa"/>
              <w:left w:w="80" w:type="dxa"/>
              <w:bottom w:w="80" w:type="dxa"/>
              <w:right w:w="80" w:type="dxa"/>
            </w:tcMar>
            <w:hideMark/>
          </w:tcPr>
          <w:p w14:paraId="3A9D9C4A"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3.671</w:t>
            </w:r>
          </w:p>
        </w:tc>
        <w:tc>
          <w:tcPr>
            <w:tcW w:w="0" w:type="auto"/>
            <w:tcBorders>
              <w:top w:val="nil"/>
              <w:left w:val="nil"/>
              <w:bottom w:val="nil"/>
              <w:right w:val="nil"/>
            </w:tcBorders>
            <w:tcMar>
              <w:top w:w="80" w:type="dxa"/>
              <w:left w:w="80" w:type="dxa"/>
              <w:bottom w:w="80" w:type="dxa"/>
              <w:right w:w="80" w:type="dxa"/>
            </w:tcMar>
            <w:hideMark/>
          </w:tcPr>
          <w:p w14:paraId="4B819DEC"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-6.924</w:t>
            </w:r>
          </w:p>
        </w:tc>
        <w:tc>
          <w:tcPr>
            <w:tcW w:w="0" w:type="auto"/>
            <w:tcBorders>
              <w:top w:val="nil"/>
              <w:left w:val="nil"/>
              <w:bottom w:val="nil"/>
              <w:right w:val="nil"/>
            </w:tcBorders>
            <w:tcMar>
              <w:top w:w="80" w:type="dxa"/>
              <w:left w:w="80" w:type="dxa"/>
              <w:bottom w:w="80" w:type="dxa"/>
              <w:right w:w="80" w:type="dxa"/>
            </w:tcMar>
            <w:hideMark/>
          </w:tcPr>
          <w:p w14:paraId="469434CF"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-2.465</w:t>
            </w:r>
          </w:p>
        </w:tc>
        <w:tc>
          <w:tcPr>
            <w:tcW w:w="1140" w:type="dxa"/>
            <w:tcBorders>
              <w:top w:val="nil"/>
              <w:left w:val="nil"/>
              <w:bottom w:val="nil"/>
              <w:right w:val="nil"/>
            </w:tcBorders>
            <w:tcMar>
              <w:top w:w="80" w:type="dxa"/>
              <w:left w:w="80" w:type="dxa"/>
              <w:bottom w:w="80" w:type="dxa"/>
              <w:right w:w="80" w:type="dxa"/>
            </w:tcMar>
            <w:hideMark/>
          </w:tcPr>
          <w:p w14:paraId="3EBACD61"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0.021</w:t>
            </w:r>
          </w:p>
        </w:tc>
      </w:tr>
      <w:tr w:rsidR="003D7DC1" w:rsidRPr="003D7DC1" w14:paraId="71289188" w14:textId="77777777" w:rsidTr="0035120B">
        <w:trPr>
          <w:trHeight w:val="825"/>
          <w:jc w:val="center"/>
        </w:trPr>
        <w:tc>
          <w:tcPr>
            <w:tcW w:w="0" w:type="auto"/>
            <w:tcBorders>
              <w:top w:val="nil"/>
              <w:left w:val="nil"/>
              <w:bottom w:val="nil"/>
              <w:right w:val="nil"/>
            </w:tcBorders>
            <w:tcMar>
              <w:top w:w="80" w:type="dxa"/>
              <w:left w:w="80" w:type="dxa"/>
              <w:bottom w:w="80" w:type="dxa"/>
              <w:right w:w="80" w:type="dxa"/>
            </w:tcMar>
            <w:hideMark/>
          </w:tcPr>
          <w:p w14:paraId="20E126A4" w14:textId="77777777" w:rsidR="003D7DC1" w:rsidRPr="003D7DC1" w:rsidRDefault="003D7DC1">
            <w:pPr>
              <w:spacing w:after="160"/>
              <w:rPr>
                <w:rFonts w:ascii="Times New Roman" w:eastAsia="Times New Roman" w:hAnsi="Times New Roman"/>
              </w:rPr>
            </w:pPr>
            <w:r w:rsidRPr="003D7DC1">
              <w:rPr>
                <w:rFonts w:ascii="Times New Roman" w:eastAsia="Times New Roman" w:hAnsi="Times New Roman"/>
                <w:color w:val="000000"/>
              </w:rPr>
              <w:t> </w:t>
            </w:r>
          </w:p>
        </w:tc>
        <w:tc>
          <w:tcPr>
            <w:tcW w:w="0" w:type="auto"/>
            <w:tcBorders>
              <w:top w:val="nil"/>
              <w:left w:val="nil"/>
              <w:bottom w:val="nil"/>
              <w:right w:val="nil"/>
            </w:tcBorders>
            <w:tcMar>
              <w:top w:w="80" w:type="dxa"/>
              <w:left w:w="80" w:type="dxa"/>
              <w:bottom w:w="80" w:type="dxa"/>
              <w:right w:w="80" w:type="dxa"/>
            </w:tcMar>
            <w:hideMark/>
          </w:tcPr>
          <w:p w14:paraId="789416C6" w14:textId="77777777" w:rsidR="003D7DC1" w:rsidRPr="003D7DC1" w:rsidRDefault="003D7DC1">
            <w:pPr>
              <w:spacing w:after="160"/>
              <w:rPr>
                <w:rFonts w:ascii="Times New Roman" w:eastAsia="Times New Roman" w:hAnsi="Times New Roman"/>
              </w:rPr>
            </w:pPr>
            <w:r w:rsidRPr="003D7DC1">
              <w:rPr>
                <w:rFonts w:ascii="Times New Roman" w:eastAsia="Times New Roman" w:hAnsi="Times New Roman"/>
                <w:color w:val="000000"/>
              </w:rPr>
              <w:t>Phase 1 ERA</w:t>
            </w:r>
          </w:p>
        </w:tc>
        <w:tc>
          <w:tcPr>
            <w:tcW w:w="0" w:type="auto"/>
            <w:tcBorders>
              <w:top w:val="nil"/>
              <w:left w:val="nil"/>
              <w:bottom w:val="nil"/>
              <w:right w:val="nil"/>
            </w:tcBorders>
            <w:tcMar>
              <w:top w:w="80" w:type="dxa"/>
              <w:left w:w="80" w:type="dxa"/>
              <w:bottom w:w="80" w:type="dxa"/>
              <w:right w:w="80" w:type="dxa"/>
            </w:tcMar>
            <w:hideMark/>
          </w:tcPr>
          <w:p w14:paraId="643AA8C8"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-0.092</w:t>
            </w:r>
          </w:p>
        </w:tc>
        <w:tc>
          <w:tcPr>
            <w:tcW w:w="0" w:type="auto"/>
            <w:tcBorders>
              <w:top w:val="nil"/>
              <w:left w:val="nil"/>
              <w:bottom w:val="nil"/>
              <w:right w:val="nil"/>
            </w:tcBorders>
            <w:tcMar>
              <w:top w:w="80" w:type="dxa"/>
              <w:left w:w="80" w:type="dxa"/>
              <w:bottom w:w="80" w:type="dxa"/>
              <w:right w:w="80" w:type="dxa"/>
            </w:tcMar>
            <w:hideMark/>
          </w:tcPr>
          <w:p w14:paraId="3969EE6D"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0.110</w:t>
            </w:r>
          </w:p>
        </w:tc>
        <w:tc>
          <w:tcPr>
            <w:tcW w:w="0" w:type="auto"/>
            <w:tcBorders>
              <w:top w:val="nil"/>
              <w:left w:val="nil"/>
              <w:bottom w:val="nil"/>
              <w:right w:val="nil"/>
            </w:tcBorders>
            <w:tcMar>
              <w:top w:w="80" w:type="dxa"/>
              <w:left w:w="80" w:type="dxa"/>
              <w:bottom w:w="80" w:type="dxa"/>
              <w:right w:w="80" w:type="dxa"/>
            </w:tcMar>
            <w:hideMark/>
          </w:tcPr>
          <w:p w14:paraId="2FECA969"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-0.163</w:t>
            </w:r>
          </w:p>
        </w:tc>
        <w:tc>
          <w:tcPr>
            <w:tcW w:w="0" w:type="auto"/>
            <w:tcBorders>
              <w:top w:val="nil"/>
              <w:left w:val="nil"/>
              <w:bottom w:val="nil"/>
              <w:right w:val="nil"/>
            </w:tcBorders>
            <w:tcMar>
              <w:top w:w="80" w:type="dxa"/>
              <w:left w:w="80" w:type="dxa"/>
              <w:bottom w:w="80" w:type="dxa"/>
              <w:right w:w="80" w:type="dxa"/>
            </w:tcMar>
            <w:hideMark/>
          </w:tcPr>
          <w:p w14:paraId="252BE482"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-0.836</w:t>
            </w:r>
          </w:p>
        </w:tc>
        <w:tc>
          <w:tcPr>
            <w:tcW w:w="1140" w:type="dxa"/>
            <w:tcBorders>
              <w:top w:val="nil"/>
              <w:left w:val="nil"/>
              <w:bottom w:val="nil"/>
              <w:right w:val="nil"/>
            </w:tcBorders>
            <w:tcMar>
              <w:top w:w="80" w:type="dxa"/>
              <w:left w:w="80" w:type="dxa"/>
              <w:bottom w:w="80" w:type="dxa"/>
              <w:right w:w="80" w:type="dxa"/>
            </w:tcMar>
            <w:hideMark/>
          </w:tcPr>
          <w:p w14:paraId="1FEA0E05"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0.411</w:t>
            </w:r>
          </w:p>
        </w:tc>
      </w:tr>
      <w:tr w:rsidR="003D7DC1" w:rsidRPr="003D7DC1" w14:paraId="1615EE92" w14:textId="77777777" w:rsidTr="0035120B">
        <w:trPr>
          <w:trHeight w:val="24"/>
          <w:jc w:val="center"/>
        </w:trPr>
        <w:tc>
          <w:tcPr>
            <w:tcW w:w="0" w:type="auto"/>
            <w:tcBorders>
              <w:top w:val="nil"/>
              <w:left w:val="nil"/>
              <w:bottom w:val="single" w:sz="18" w:space="0" w:color="auto"/>
              <w:right w:val="nil"/>
            </w:tcBorders>
            <w:tcMar>
              <w:top w:w="80" w:type="dxa"/>
              <w:left w:w="80" w:type="dxa"/>
              <w:bottom w:w="80" w:type="dxa"/>
              <w:right w:w="80" w:type="dxa"/>
            </w:tcMar>
            <w:hideMark/>
          </w:tcPr>
          <w:p w14:paraId="3C6405B1" w14:textId="77777777" w:rsidR="003D7DC1" w:rsidRPr="003D7DC1" w:rsidRDefault="003D7DC1">
            <w:pPr>
              <w:spacing w:after="160"/>
              <w:rPr>
                <w:rFonts w:ascii="Times New Roman" w:eastAsia="Times New Roman" w:hAnsi="Times New Roman"/>
              </w:rPr>
            </w:pPr>
            <w:r w:rsidRPr="003D7DC1">
              <w:rPr>
                <w:rFonts w:ascii="Times New Roman" w:eastAsia="Times New Roman" w:hAnsi="Times New Roman"/>
                <w:color w:val="000000"/>
              </w:rPr>
              <w:t> </w:t>
            </w:r>
          </w:p>
        </w:tc>
        <w:tc>
          <w:tcPr>
            <w:tcW w:w="0" w:type="auto"/>
            <w:tcBorders>
              <w:top w:val="nil"/>
              <w:left w:val="nil"/>
              <w:bottom w:val="single" w:sz="18" w:space="0" w:color="auto"/>
              <w:right w:val="nil"/>
            </w:tcBorders>
            <w:tcMar>
              <w:top w:w="80" w:type="dxa"/>
              <w:left w:w="80" w:type="dxa"/>
              <w:bottom w:w="80" w:type="dxa"/>
              <w:right w:w="80" w:type="dxa"/>
            </w:tcMar>
            <w:hideMark/>
          </w:tcPr>
          <w:p w14:paraId="643B37BB" w14:textId="77777777" w:rsidR="003D7DC1" w:rsidRPr="003D7DC1" w:rsidRDefault="003D7DC1">
            <w:pPr>
              <w:spacing w:after="160"/>
              <w:rPr>
                <w:rFonts w:ascii="Times New Roman" w:eastAsia="Times New Roman" w:hAnsi="Times New Roman"/>
              </w:rPr>
            </w:pPr>
            <w:r w:rsidRPr="003D7DC1">
              <w:rPr>
                <w:rFonts w:ascii="Times New Roman" w:eastAsia="Times New Roman" w:hAnsi="Times New Roman"/>
                <w:color w:val="000000"/>
              </w:rPr>
              <w:t>TD × HL</w:t>
            </w:r>
          </w:p>
        </w:tc>
        <w:tc>
          <w:tcPr>
            <w:tcW w:w="0" w:type="auto"/>
            <w:tcBorders>
              <w:top w:val="nil"/>
              <w:left w:val="nil"/>
              <w:bottom w:val="single" w:sz="18" w:space="0" w:color="auto"/>
              <w:right w:val="nil"/>
            </w:tcBorders>
            <w:tcMar>
              <w:top w:w="80" w:type="dxa"/>
              <w:left w:w="80" w:type="dxa"/>
              <w:bottom w:w="80" w:type="dxa"/>
              <w:right w:w="80" w:type="dxa"/>
            </w:tcMar>
            <w:hideMark/>
          </w:tcPr>
          <w:p w14:paraId="4ED5F85E"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4.521</w:t>
            </w:r>
          </w:p>
        </w:tc>
        <w:tc>
          <w:tcPr>
            <w:tcW w:w="0" w:type="auto"/>
            <w:tcBorders>
              <w:top w:val="nil"/>
              <w:left w:val="nil"/>
              <w:bottom w:val="single" w:sz="18" w:space="0" w:color="auto"/>
              <w:right w:val="nil"/>
            </w:tcBorders>
            <w:tcMar>
              <w:top w:w="80" w:type="dxa"/>
              <w:left w:w="80" w:type="dxa"/>
              <w:bottom w:w="80" w:type="dxa"/>
              <w:right w:w="80" w:type="dxa"/>
            </w:tcMar>
            <w:hideMark/>
          </w:tcPr>
          <w:p w14:paraId="01A61C86"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1.780</w:t>
            </w:r>
          </w:p>
        </w:tc>
        <w:tc>
          <w:tcPr>
            <w:tcW w:w="0" w:type="auto"/>
            <w:tcBorders>
              <w:top w:val="nil"/>
              <w:left w:val="nil"/>
              <w:bottom w:val="single" w:sz="18" w:space="0" w:color="auto"/>
              <w:right w:val="nil"/>
            </w:tcBorders>
            <w:tcMar>
              <w:top w:w="80" w:type="dxa"/>
              <w:left w:w="80" w:type="dxa"/>
              <w:bottom w:w="80" w:type="dxa"/>
              <w:right w:w="80" w:type="dxa"/>
            </w:tcMar>
            <w:hideMark/>
          </w:tcPr>
          <w:p w14:paraId="5CA0E325"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9.635</w:t>
            </w:r>
          </w:p>
        </w:tc>
        <w:tc>
          <w:tcPr>
            <w:tcW w:w="0" w:type="auto"/>
            <w:tcBorders>
              <w:top w:val="nil"/>
              <w:left w:val="nil"/>
              <w:bottom w:val="single" w:sz="18" w:space="0" w:color="auto"/>
              <w:right w:val="nil"/>
            </w:tcBorders>
            <w:tcMar>
              <w:top w:w="80" w:type="dxa"/>
              <w:left w:w="80" w:type="dxa"/>
              <w:bottom w:w="80" w:type="dxa"/>
              <w:right w:w="80" w:type="dxa"/>
            </w:tcMar>
            <w:hideMark/>
          </w:tcPr>
          <w:p w14:paraId="2336F190"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2.540</w:t>
            </w:r>
          </w:p>
        </w:tc>
        <w:tc>
          <w:tcPr>
            <w:tcW w:w="1140" w:type="dxa"/>
            <w:tcBorders>
              <w:top w:val="nil"/>
              <w:left w:val="nil"/>
              <w:bottom w:val="single" w:sz="18" w:space="0" w:color="auto"/>
              <w:right w:val="nil"/>
            </w:tcBorders>
            <w:tcMar>
              <w:top w:w="80" w:type="dxa"/>
              <w:left w:w="80" w:type="dxa"/>
              <w:bottom w:w="80" w:type="dxa"/>
              <w:right w:w="80" w:type="dxa"/>
            </w:tcMar>
            <w:hideMark/>
          </w:tcPr>
          <w:p w14:paraId="0DDDEE91" w14:textId="77777777" w:rsidR="003D7DC1" w:rsidRPr="003D7DC1" w:rsidRDefault="003D7DC1">
            <w:pPr>
              <w:spacing w:after="160"/>
              <w:jc w:val="center"/>
              <w:rPr>
                <w:rFonts w:ascii="Times New Roman" w:eastAsia="Times New Roman" w:hAnsi="Times New Roman"/>
              </w:rPr>
            </w:pPr>
            <w:r w:rsidRPr="003D7DC1">
              <w:rPr>
                <w:rFonts w:ascii="Times New Roman" w:eastAsia="Times New Roman" w:hAnsi="Times New Roman"/>
                <w:color w:val="000000"/>
              </w:rPr>
              <w:t>0.018</w:t>
            </w:r>
          </w:p>
        </w:tc>
      </w:tr>
    </w:tbl>
    <w:p w14:paraId="626E0BDD" w14:textId="77777777" w:rsidR="003D7DC1" w:rsidRPr="00A85A61" w:rsidRDefault="003D7DC1" w:rsidP="00A85A61">
      <w:pPr>
        <w:spacing w:before="0" w:beforeAutospacing="0" w:after="240"/>
        <w:jc w:val="both"/>
        <w:rPr>
          <w:rFonts w:ascii="Times New Roman" w:eastAsia="Times New Roman" w:hAnsi="Times New Roman"/>
          <w:sz w:val="24"/>
          <w:szCs w:val="24"/>
        </w:rPr>
      </w:pPr>
      <w:r w:rsidRPr="003D7DC1">
        <w:rPr>
          <w:rFonts w:ascii="Times New Roman" w:eastAsia="Times New Roman" w:hAnsi="Times New Roman"/>
          <w:i/>
          <w:iCs/>
          <w:color w:val="000000"/>
        </w:rPr>
        <w:t>Note</w:t>
      </w:r>
      <w:r w:rsidRPr="003D7DC1">
        <w:rPr>
          <w:rFonts w:ascii="Times New Roman" w:eastAsia="Times New Roman" w:hAnsi="Times New Roman"/>
          <w:color w:val="000000"/>
        </w:rPr>
        <w:t>:  TD- Teacher-Driven Practices; HL- Home Literacy Support</w:t>
      </w:r>
    </w:p>
    <w:p w14:paraId="32C9F94C" w14:textId="77777777" w:rsidR="003D7DC1" w:rsidRPr="00A85A61" w:rsidRDefault="003D7DC1" w:rsidP="00332D2D">
      <w:pPr>
        <w:pStyle w:val="NormalWeb"/>
        <w:jc w:val="both"/>
      </w:pPr>
      <w:r w:rsidRPr="00A85A61">
        <w:t>The regression model further revealed significant conditional main effects for Teacher-Driven Practices (b = −7.821, p = .022) and Home Literacy Support (b = −9.050, p = .021). However, these conditional effects should be interpreted cautiously because the interaction term between TD and HL was statistically significant (b = 4.521, p = .018). The positive interaction coefficient indicates that the combined presence of strong teacher-driven practices and supportive home literacy environments was associated with higher predicted reading attitude scores among learners. This finding suggests that teacher-driven practices and home literacy support do not operate independently; rather, they interact synergistically in shaping learners’ reading attitudes. Similarly, Bronfenbrenner’s (1979) Ecological Systems Theory posits that child development occurs through continuous interactions between learners and the social environments surrounding them. In the context of the present study, teacher-driven practices and home literacy support function as interconnected literacy experiences within the learners’ microsystem, jointly contributing to the development of reading attitudes.</w:t>
      </w:r>
    </w:p>
    <w:p w14:paraId="096DB48D" w14:textId="474DD887" w:rsidR="003D7DC1" w:rsidRPr="00A85A61" w:rsidRDefault="003D7DC1" w:rsidP="00332D2D">
      <w:pPr>
        <w:pStyle w:val="NormalWeb"/>
        <w:jc w:val="both"/>
      </w:pPr>
      <w:r w:rsidRPr="00A85A61">
        <w:t xml:space="preserve">The positive interaction coefficient further suggests that the influence of teacher-driven practices on reading attitudes becomes stronger when learners experience greater literacy support at home. Conversely, even supportive classroom practices may produce weaker attitudinal outcomes when home literacy support is limited. This finding supports previous research demonstrating that parental engagement in literacy activities significantly contributes to learners’ reading development and literacy engagement </w:t>
      </w:r>
      <w:r w:rsidR="00A85A61" w:rsidRPr="00A85A61">
        <w:t>[9]</w:t>
      </w:r>
      <w:r w:rsidRPr="00A85A61">
        <w:t xml:space="preserve">. Existing studies further indicate that parents’ literacy beliefs influence children’s reading practices </w:t>
      </w:r>
      <w:r w:rsidR="00A85A61" w:rsidRPr="00A85A61">
        <w:t>[28]</w:t>
      </w:r>
      <w:r w:rsidRPr="00A85A61">
        <w:t xml:space="preserve">, perceptions toward reading </w:t>
      </w:r>
      <w:r w:rsidR="00A85A61" w:rsidRPr="00A85A61">
        <w:t xml:space="preserve">[5], </w:t>
      </w:r>
      <w:r w:rsidRPr="00A85A61">
        <w:t xml:space="preserve">and reading attitudes </w:t>
      </w:r>
      <w:r w:rsidR="00A85A61" w:rsidRPr="00A85A61">
        <w:t>[22].</w:t>
      </w:r>
    </w:p>
    <w:tbl>
      <w:tblPr>
        <w:tblW w:w="0" w:type="auto"/>
        <w:jc w:val="center"/>
        <w:tblCellSpacing w:w="0" w:type="dxa"/>
        <w:tblCellMar>
          <w:left w:w="0" w:type="dxa"/>
          <w:right w:w="0" w:type="dxa"/>
        </w:tblCellMar>
        <w:tblLook w:val="04A0" w:firstRow="1" w:lastRow="0" w:firstColumn="1" w:lastColumn="0" w:noHBand="0" w:noVBand="1"/>
      </w:tblPr>
      <w:tblGrid>
        <w:gridCol w:w="6"/>
        <w:gridCol w:w="7870"/>
      </w:tblGrid>
      <w:tr w:rsidR="003D7DC1" w:rsidRPr="003D7DC1" w14:paraId="2C35251B" w14:textId="77777777" w:rsidTr="003D7DC1">
        <w:trPr>
          <w:gridAfter w:val="1"/>
          <w:tblCellSpacing w:w="0" w:type="dxa"/>
          <w:jc w:val="center"/>
        </w:trPr>
        <w:tc>
          <w:tcPr>
            <w:tcW w:w="6" w:type="dxa"/>
            <w:vAlign w:val="center"/>
            <w:hideMark/>
          </w:tcPr>
          <w:p w14:paraId="50B433D4" w14:textId="77777777" w:rsidR="003D7DC1" w:rsidRPr="003D7DC1" w:rsidRDefault="003D7DC1">
            <w:pPr>
              <w:pStyle w:val="NormalWeb"/>
              <w:rPr>
                <w:sz w:val="22"/>
                <w:szCs w:val="22"/>
              </w:rPr>
            </w:pPr>
          </w:p>
        </w:tc>
      </w:tr>
      <w:tr w:rsidR="003D7DC1" w:rsidRPr="003D7DC1" w14:paraId="0F4FEEDA" w14:textId="77777777" w:rsidTr="003D7DC1">
        <w:trPr>
          <w:tblCellSpacing w:w="0" w:type="dxa"/>
          <w:jc w:val="center"/>
        </w:trPr>
        <w:tc>
          <w:tcPr>
            <w:tcW w:w="0" w:type="auto"/>
            <w:vAlign w:val="center"/>
            <w:hideMark/>
          </w:tcPr>
          <w:p w14:paraId="0DDD5587" w14:textId="77777777" w:rsidR="003D7DC1" w:rsidRPr="003D7DC1" w:rsidRDefault="003D7DC1">
            <w:pPr>
              <w:spacing w:before="0" w:beforeAutospacing="0" w:after="0" w:line="240" w:lineRule="auto"/>
              <w:rPr>
                <w:rFonts w:ascii="Times New Roman" w:eastAsia="Times New Roman" w:hAnsi="Times New Roman"/>
                <w:sz w:val="20"/>
                <w:szCs w:val="20"/>
              </w:rPr>
            </w:pPr>
          </w:p>
        </w:tc>
        <w:tc>
          <w:tcPr>
            <w:tcW w:w="0" w:type="auto"/>
            <w:vAlign w:val="center"/>
            <w:hideMark/>
          </w:tcPr>
          <w:p w14:paraId="7F26D1EA" w14:textId="24685631" w:rsidR="003D7DC1" w:rsidRPr="003D7DC1" w:rsidRDefault="003D7DC1">
            <w:pPr>
              <w:spacing w:before="0" w:beforeAutospacing="0" w:after="0" w:line="240" w:lineRule="auto"/>
              <w:rPr>
                <w:rFonts w:ascii="Times New Roman" w:eastAsia="Times New Roman" w:hAnsi="Times New Roman"/>
                <w:sz w:val="24"/>
                <w:szCs w:val="24"/>
              </w:rPr>
            </w:pPr>
            <w:r w:rsidRPr="003D7DC1">
              <w:rPr>
                <w:rFonts w:ascii="Times New Roman" w:eastAsia="Times New Roman" w:hAnsi="Times New Roman"/>
                <w:noProof/>
                <w:sz w:val="24"/>
                <w:szCs w:val="24"/>
              </w:rPr>
              <w:drawing>
                <wp:inline distT="0" distB="0" distL="0" distR="0" wp14:anchorId="5F58441D" wp14:editId="7B94E1ED">
                  <wp:extent cx="4997450" cy="3179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7450" cy="3179445"/>
                          </a:xfrm>
                          <a:prstGeom prst="rect">
                            <a:avLst/>
                          </a:prstGeom>
                          <a:noFill/>
                          <a:ln>
                            <a:noFill/>
                          </a:ln>
                        </pic:spPr>
                      </pic:pic>
                    </a:graphicData>
                  </a:graphic>
                </wp:inline>
              </w:drawing>
            </w:r>
          </w:p>
        </w:tc>
      </w:tr>
    </w:tbl>
    <w:p w14:paraId="088AE9F4" w14:textId="77777777" w:rsidR="003D7DC1" w:rsidRPr="00A85A61" w:rsidRDefault="003D7DC1" w:rsidP="003D7DC1">
      <w:pPr>
        <w:pStyle w:val="NormalWeb"/>
        <w:ind w:firstLine="720"/>
        <w:jc w:val="center"/>
      </w:pPr>
      <w:r w:rsidRPr="00A85A61">
        <w:rPr>
          <w:b/>
          <w:bCs/>
          <w:color w:val="000000"/>
        </w:rPr>
        <w:t xml:space="preserve">Figure 1. </w:t>
      </w:r>
      <w:r w:rsidRPr="00A85A61">
        <w:rPr>
          <w:color w:val="000000"/>
        </w:rPr>
        <w:t>Trends in Early Reading Attitudes, Home Literacy Support, and Teacher-Driven Practices Across Phases</w:t>
      </w:r>
    </w:p>
    <w:p w14:paraId="543DF76D" w14:textId="77777777" w:rsidR="003D7DC1" w:rsidRPr="00A85A61" w:rsidRDefault="003D7DC1" w:rsidP="00332D2D">
      <w:pPr>
        <w:pStyle w:val="NormalWeb"/>
        <w:jc w:val="both"/>
      </w:pPr>
      <w:r w:rsidRPr="00A85A61">
        <w:t>Figure 1 further demonstrates increasing trends across Early Reading Attitudes (ERA), Home Literacy Support (HL), and Teacher-Driven Practices (TD) from Phase 1 to Phase 3. Although the observed improvements should be interpreted cautiously given the first-year implementation of the intervention, the findings suggest that reading attitudes among early-grade learners may gradually develop through sustained literacy support across both school and home environments.</w:t>
      </w:r>
    </w:p>
    <w:p w14:paraId="207B16EF" w14:textId="29A49A79" w:rsidR="00332D2D" w:rsidRPr="00A85A61" w:rsidRDefault="003D7DC1" w:rsidP="00332D2D">
      <w:pPr>
        <w:spacing w:beforeAutospacing="0" w:after="100"/>
        <w:jc w:val="both"/>
        <w:rPr>
          <w:rFonts w:ascii="Times New Roman" w:hAnsi="Times New Roman"/>
          <w:sz w:val="24"/>
          <w:szCs w:val="24"/>
        </w:rPr>
      </w:pPr>
      <w:r w:rsidRPr="00A85A61">
        <w:rPr>
          <w:rFonts w:ascii="Times New Roman" w:hAnsi="Times New Roman"/>
          <w:sz w:val="24"/>
          <w:szCs w:val="24"/>
        </w:rPr>
        <w:t xml:space="preserve">Recent literature emphasizes that reading attitudes and motivation develop gradually through meaningful and sustained literacy experiences rather than through immediate instructional effects alone </w:t>
      </w:r>
      <w:r w:rsidR="00A85A61" w:rsidRPr="00A85A61">
        <w:rPr>
          <w:rFonts w:ascii="Times New Roman" w:hAnsi="Times New Roman"/>
          <w:sz w:val="24"/>
          <w:szCs w:val="24"/>
        </w:rPr>
        <w:t>[11][27]</w:t>
      </w:r>
      <w:r w:rsidRPr="00A85A61">
        <w:rPr>
          <w:rFonts w:ascii="Times New Roman" w:hAnsi="Times New Roman"/>
          <w:sz w:val="24"/>
          <w:szCs w:val="24"/>
        </w:rPr>
        <w:t xml:space="preserve">. Supportive instructional environments, repeated literacy engagement, and positive social interactions help learners become more comfortable and confident in participating in reading activities over time (Szenczi et al., 2024). As learners are consistently exposed to encouraging classroom experiences and literacy support at home, reading may gradually become a more familiar and enjoyable part of their daily experiences. Taken together, the findings of the present study suggest that supportive classroom practices and home literacy experiences jointly contribute to the gradual development of positive reading attitudes among early-grade learners. </w:t>
      </w:r>
    </w:p>
    <w:p w14:paraId="22834BD6" w14:textId="532C4404" w:rsidR="00332D2D" w:rsidRPr="00A85A61" w:rsidRDefault="00332D2D" w:rsidP="00332D2D">
      <w:pPr>
        <w:spacing w:beforeAutospacing="0" w:after="100"/>
        <w:jc w:val="both"/>
        <w:rPr>
          <w:rFonts w:ascii="Times New Roman" w:eastAsia="Times New Roman" w:hAnsi="Times New Roman"/>
          <w:b/>
          <w:bCs/>
          <w:color w:val="000000"/>
          <w:sz w:val="24"/>
          <w:szCs w:val="24"/>
        </w:rPr>
      </w:pPr>
      <w:r w:rsidRPr="00A85A61">
        <w:rPr>
          <w:rFonts w:ascii="Times New Roman" w:eastAsia="Times New Roman" w:hAnsi="Times New Roman"/>
          <w:b/>
          <w:bCs/>
          <w:color w:val="000000"/>
          <w:sz w:val="24"/>
          <w:szCs w:val="24"/>
        </w:rPr>
        <w:t>CONCLUSIONS</w:t>
      </w:r>
      <w:r w:rsidR="003D7DC1" w:rsidRPr="00A85A61">
        <w:rPr>
          <w:rFonts w:ascii="Times New Roman" w:eastAsia="Times New Roman" w:hAnsi="Times New Roman"/>
          <w:b/>
          <w:bCs/>
          <w:color w:val="000000"/>
          <w:sz w:val="24"/>
          <w:szCs w:val="24"/>
        </w:rPr>
        <w:t xml:space="preserve"> </w:t>
      </w:r>
    </w:p>
    <w:p w14:paraId="446B61BE" w14:textId="2993B494" w:rsidR="003D7DC1" w:rsidRPr="00A85A61" w:rsidRDefault="003D7DC1" w:rsidP="00332D2D">
      <w:pPr>
        <w:spacing w:beforeAutospacing="0" w:after="100"/>
        <w:jc w:val="both"/>
        <w:rPr>
          <w:rFonts w:ascii="Times New Roman" w:eastAsia="Times New Roman" w:hAnsi="Times New Roman"/>
          <w:b/>
          <w:bCs/>
          <w:color w:val="000000"/>
          <w:sz w:val="24"/>
          <w:szCs w:val="24"/>
        </w:rPr>
      </w:pPr>
      <w:r w:rsidRPr="00A85A61">
        <w:rPr>
          <w:rFonts w:ascii="Times New Roman" w:hAnsi="Times New Roman"/>
          <w:color w:val="000000"/>
          <w:sz w:val="24"/>
          <w:szCs w:val="24"/>
        </w:rPr>
        <w:t>This study examined the influence of teacher-driven practices and home literacy support on the reading attitudes of early-grade learners during the implementation of the Four-Pronged Approach. Although learners’ reading attitudes did not demonstrate statistically significant improvement across the intervention phases, gradual positive trends were observed throughout the study period. The findings suggest that development of reading attitude for beginning readers may require sustained and meaningful literacy experiences over time.</w:t>
      </w:r>
    </w:p>
    <w:p w14:paraId="669198C7" w14:textId="77777777" w:rsidR="003D7DC1" w:rsidRPr="00A85A61" w:rsidRDefault="003D7DC1" w:rsidP="00332D2D">
      <w:pPr>
        <w:pStyle w:val="NormalWeb"/>
        <w:spacing w:before="240" w:beforeAutospacing="0" w:after="240" w:afterAutospacing="0"/>
        <w:jc w:val="both"/>
      </w:pPr>
      <w:r w:rsidRPr="00A85A61">
        <w:rPr>
          <w:color w:val="000000"/>
        </w:rPr>
        <w:t>More importantly, the study found that teacher-driven practices and home literacy support significantly interacted in the making of learners’ reading attitudes. The findings emphasize the need to continue and collaborate literacy support between school and home environments in fostering positive reading attitudes among lower grade students. Positive reading attitudes appear to develop not only through classroom instruction but also through consistent literacy support from families and caregivers.</w:t>
      </w:r>
    </w:p>
    <w:p w14:paraId="2AC7E09E" w14:textId="76B21A72" w:rsidR="0035120B" w:rsidRPr="00A85A61" w:rsidRDefault="003D7DC1" w:rsidP="00A85A61">
      <w:pPr>
        <w:pStyle w:val="NormalWeb"/>
        <w:spacing w:before="240" w:beforeAutospacing="0" w:after="240" w:afterAutospacing="0"/>
        <w:jc w:val="both"/>
      </w:pPr>
      <w:r w:rsidRPr="00A85A61">
        <w:rPr>
          <w:color w:val="000000"/>
        </w:rPr>
        <w:t xml:space="preserve">The findings highlight the need for collaborative literacy interventions that build connections between teachers, learners and families in promoting early reading engagement. Future studies may further explore these </w:t>
      </w:r>
      <w:r w:rsidRPr="00A85A61">
        <w:rPr>
          <w:color w:val="000000"/>
        </w:rPr>
        <w:lastRenderedPageBreak/>
        <w:t xml:space="preserve">relationships with larger samples, longer periods of intervention, and additional measures of literacy development among early-grade learners. </w:t>
      </w:r>
    </w:p>
    <w:p w14:paraId="3EF2E362" w14:textId="7F8BA1B7" w:rsidR="003D7DC1" w:rsidRPr="00A85A61" w:rsidRDefault="00332D2D" w:rsidP="003D7DC1">
      <w:pPr>
        <w:pStyle w:val="NormalWeb"/>
        <w:spacing w:before="240" w:beforeAutospacing="0" w:after="240" w:afterAutospacing="0"/>
        <w:ind w:right="600"/>
        <w:jc w:val="both"/>
        <w:rPr>
          <w:b/>
          <w:bCs/>
          <w:sz w:val="32"/>
          <w:szCs w:val="32"/>
        </w:rPr>
      </w:pPr>
      <w:r w:rsidRPr="00A85A61">
        <w:rPr>
          <w:b/>
          <w:bCs/>
          <w:color w:val="000000"/>
          <w:sz w:val="28"/>
          <w:szCs w:val="28"/>
        </w:rPr>
        <w:t>REFERENCES</w:t>
      </w:r>
    </w:p>
    <w:p w14:paraId="45101DB8" w14:textId="2622AFF7" w:rsidR="00E10BFE" w:rsidRPr="00A85A61" w:rsidRDefault="003D7DC1" w:rsidP="00E10BFE">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rPr>
        <w:t xml:space="preserve">Akhmetova, A., </w:t>
      </w:r>
      <w:proofErr w:type="spellStart"/>
      <w:r w:rsidRPr="00A85A61">
        <w:rPr>
          <w:rStyle w:val="15"/>
          <w:rFonts w:ascii="Times New Roman" w:eastAsia="Helvetica Neue" w:hAnsi="Times New Roman" w:cs="Times New Roman"/>
        </w:rPr>
        <w:t>Imambayeva</w:t>
      </w:r>
      <w:proofErr w:type="spellEnd"/>
      <w:r w:rsidRPr="00A85A61">
        <w:rPr>
          <w:rStyle w:val="15"/>
          <w:rFonts w:ascii="Times New Roman" w:eastAsia="Helvetica Neue" w:hAnsi="Times New Roman" w:cs="Times New Roman"/>
        </w:rPr>
        <w:t xml:space="preserve">, G., &amp; Csapó, B. (2022). A study of reading attitude </w:t>
      </w:r>
      <w:proofErr w:type="gramStart"/>
      <w:r w:rsidRPr="00A85A61">
        <w:rPr>
          <w:rStyle w:val="15"/>
          <w:rFonts w:ascii="Times New Roman" w:eastAsia="Helvetica Neue" w:hAnsi="Times New Roman" w:cs="Times New Roman"/>
        </w:rPr>
        <w:t xml:space="preserve">and </w:t>
      </w:r>
      <w:r w:rsidR="00E10BFE" w:rsidRPr="00A85A61">
        <w:rPr>
          <w:rStyle w:val="15"/>
          <w:rFonts w:ascii="Times New Roman" w:eastAsia="Helvetica Neue" w:hAnsi="Times New Roman" w:cs="Times New Roman"/>
        </w:rPr>
        <w:t xml:space="preserve"> </w:t>
      </w:r>
      <w:r w:rsidRPr="00A85A61">
        <w:rPr>
          <w:rStyle w:val="15"/>
          <w:rFonts w:ascii="Times New Roman" w:eastAsia="Helvetica Neue" w:hAnsi="Times New Roman" w:cs="Times New Roman"/>
        </w:rPr>
        <w:t>reading</w:t>
      </w:r>
      <w:proofErr w:type="gramEnd"/>
      <w:r w:rsidRPr="00A85A61">
        <w:rPr>
          <w:rStyle w:val="15"/>
          <w:rFonts w:ascii="Times New Roman" w:eastAsia="Helvetica Neue" w:hAnsi="Times New Roman" w:cs="Times New Roman"/>
        </w:rPr>
        <w:t xml:space="preserve"> achievement among young </w:t>
      </w:r>
      <w:r w:rsidRPr="00A85A61">
        <w:rPr>
          <w:rStyle w:val="15"/>
          <w:rFonts w:ascii="Times New Roman" w:eastAsia="Helvetica Neue" w:hAnsi="Times New Roman" w:cs="Times New Roman"/>
          <w:color w:val="auto"/>
        </w:rPr>
        <w:t xml:space="preserve">learners in middle school. </w:t>
      </w:r>
      <w:proofErr w:type="spellStart"/>
      <w:r w:rsidRPr="00A85A61">
        <w:rPr>
          <w:rStyle w:val="15"/>
          <w:rFonts w:ascii="Times New Roman" w:eastAsia="Helvetica Neue" w:hAnsi="Times New Roman" w:cs="Times New Roman"/>
          <w:i/>
          <w:iCs/>
          <w:color w:val="auto"/>
        </w:rPr>
        <w:t>Heliyon</w:t>
      </w:r>
      <w:proofErr w:type="spellEnd"/>
      <w:r w:rsidRPr="00A85A61">
        <w:rPr>
          <w:rStyle w:val="15"/>
          <w:rFonts w:ascii="Times New Roman" w:eastAsia="Helvetica Neue" w:hAnsi="Times New Roman" w:cs="Times New Roman"/>
          <w:i/>
          <w:iCs/>
          <w:color w:val="auto"/>
        </w:rPr>
        <w:t>, 8</w:t>
      </w:r>
      <w:r w:rsidRPr="00A85A61">
        <w:rPr>
          <w:rStyle w:val="15"/>
          <w:rFonts w:ascii="Times New Roman" w:eastAsia="Helvetica Neue" w:hAnsi="Times New Roman" w:cs="Times New Roman"/>
          <w:color w:val="auto"/>
        </w:rPr>
        <w:t xml:space="preserve">(7), e09946. </w:t>
      </w:r>
      <w:hyperlink r:id="rId9" w:history="1">
        <w:r w:rsidR="00E10BFE" w:rsidRPr="00A85A61">
          <w:rPr>
            <w:rStyle w:val="Hyperlink"/>
            <w:rFonts w:ascii="Times New Roman" w:eastAsia="Helvetica Neue" w:hAnsi="Times New Roman"/>
            <w:color w:val="auto"/>
            <w:u w:val="none"/>
          </w:rPr>
          <w:t>https://doi.org/10.1016/j.heliyon.2022.e09946</w:t>
        </w:r>
      </w:hyperlink>
    </w:p>
    <w:p w14:paraId="416195D1" w14:textId="08D9ACDE" w:rsidR="00E10BFE" w:rsidRPr="00A85A61" w:rsidRDefault="003D7DC1" w:rsidP="00E10BFE">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Altun, D., Erden, F. T., &amp; Hartman, D. K. (2021). Preliterate young children’s reading attitudes: Connections to the home literacy environment and maternal factors. </w:t>
      </w:r>
      <w:r w:rsidRPr="00A85A61">
        <w:rPr>
          <w:rStyle w:val="15"/>
          <w:rFonts w:ascii="Times New Roman" w:eastAsia="Helvetica Neue" w:hAnsi="Times New Roman" w:cs="Times New Roman"/>
          <w:i/>
          <w:iCs/>
          <w:color w:val="auto"/>
        </w:rPr>
        <w:t>Early Childhood Education Journal</w:t>
      </w:r>
      <w:r w:rsidRPr="00A85A61">
        <w:rPr>
          <w:rStyle w:val="15"/>
          <w:rFonts w:ascii="Times New Roman" w:eastAsia="Helvetica Neue" w:hAnsi="Times New Roman" w:cs="Times New Roman"/>
          <w:color w:val="auto"/>
        </w:rPr>
        <w:t xml:space="preserve">. </w:t>
      </w:r>
      <w:hyperlink r:id="rId10" w:history="1">
        <w:r w:rsidR="00E10BFE" w:rsidRPr="00A85A61">
          <w:rPr>
            <w:rStyle w:val="Hyperlink"/>
            <w:rFonts w:ascii="Times New Roman" w:eastAsia="Helvetica Neue" w:hAnsi="Times New Roman"/>
            <w:color w:val="auto"/>
            <w:u w:val="none"/>
          </w:rPr>
          <w:t>https://doi.org/10.1007/S10643-021-01177-2</w:t>
        </w:r>
      </w:hyperlink>
    </w:p>
    <w:p w14:paraId="36E827EB"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Andini, F., &amp; </w:t>
      </w:r>
      <w:proofErr w:type="spellStart"/>
      <w:r w:rsidRPr="00A85A61">
        <w:rPr>
          <w:rStyle w:val="15"/>
          <w:rFonts w:ascii="Times New Roman" w:eastAsia="Helvetica Neue" w:hAnsi="Times New Roman" w:cs="Times New Roman"/>
          <w:color w:val="auto"/>
        </w:rPr>
        <w:t>Sapri</w:t>
      </w:r>
      <w:proofErr w:type="spellEnd"/>
      <w:r w:rsidRPr="00A85A61">
        <w:rPr>
          <w:rStyle w:val="15"/>
          <w:rFonts w:ascii="Times New Roman" w:eastAsia="Helvetica Neue" w:hAnsi="Times New Roman" w:cs="Times New Roman"/>
          <w:color w:val="auto"/>
        </w:rPr>
        <w:t xml:space="preserve">, S. (2024). Development of word board learning media to </w:t>
      </w:r>
      <w:proofErr w:type="gramStart"/>
      <w:r w:rsidRPr="00A85A61">
        <w:rPr>
          <w:rStyle w:val="15"/>
          <w:rFonts w:ascii="Times New Roman" w:eastAsia="Helvetica Neue" w:hAnsi="Times New Roman" w:cs="Times New Roman"/>
          <w:color w:val="auto"/>
        </w:rPr>
        <w:t xml:space="preserve">overcome </w:t>
      </w:r>
      <w:r w:rsidR="00E10BFE" w:rsidRPr="00A85A61">
        <w:rPr>
          <w:rStyle w:val="15"/>
          <w:rFonts w:ascii="Times New Roman" w:eastAsia="Helvetica Neue" w:hAnsi="Times New Roman" w:cs="Times New Roman"/>
          <w:color w:val="auto"/>
        </w:rPr>
        <w:t xml:space="preserve"> </w:t>
      </w:r>
      <w:r w:rsidRPr="00A85A61">
        <w:rPr>
          <w:rStyle w:val="15"/>
          <w:rFonts w:ascii="Times New Roman" w:eastAsia="Helvetica Neue" w:hAnsi="Times New Roman" w:cs="Times New Roman"/>
          <w:color w:val="auto"/>
        </w:rPr>
        <w:t>reading</w:t>
      </w:r>
      <w:proofErr w:type="gramEnd"/>
      <w:r w:rsidRPr="00A85A61">
        <w:rPr>
          <w:rStyle w:val="15"/>
          <w:rFonts w:ascii="Times New Roman" w:eastAsia="Helvetica Neue" w:hAnsi="Times New Roman" w:cs="Times New Roman"/>
          <w:color w:val="auto"/>
        </w:rPr>
        <w:t xml:space="preserve"> difficulties of third grade elementary school students. </w:t>
      </w:r>
      <w:r w:rsidRPr="00A85A61">
        <w:rPr>
          <w:rStyle w:val="15"/>
          <w:rFonts w:ascii="Times New Roman" w:eastAsia="Helvetica Neue" w:hAnsi="Times New Roman" w:cs="Times New Roman"/>
          <w:i/>
          <w:iCs/>
          <w:color w:val="auto"/>
        </w:rPr>
        <w:t>Al-</w:t>
      </w:r>
      <w:proofErr w:type="spellStart"/>
      <w:r w:rsidRPr="00A85A61">
        <w:rPr>
          <w:rStyle w:val="15"/>
          <w:rFonts w:ascii="Times New Roman" w:eastAsia="Helvetica Neue" w:hAnsi="Times New Roman" w:cs="Times New Roman"/>
          <w:i/>
          <w:iCs/>
          <w:color w:val="auto"/>
        </w:rPr>
        <w:t>Adzka</w:t>
      </w:r>
      <w:proofErr w:type="spellEnd"/>
      <w:r w:rsidRPr="00A85A61">
        <w:rPr>
          <w:rStyle w:val="15"/>
          <w:rFonts w:ascii="Times New Roman" w:eastAsia="Helvetica Neue" w:hAnsi="Times New Roman" w:cs="Times New Roman"/>
          <w:i/>
          <w:iCs/>
          <w:color w:val="auto"/>
        </w:rPr>
        <w:t xml:space="preserve">: </w:t>
      </w:r>
      <w:proofErr w:type="spellStart"/>
      <w:r w:rsidRPr="00A85A61">
        <w:rPr>
          <w:rStyle w:val="15"/>
          <w:rFonts w:ascii="Times New Roman" w:eastAsia="Helvetica Neue" w:hAnsi="Times New Roman" w:cs="Times New Roman"/>
          <w:i/>
          <w:iCs/>
          <w:color w:val="auto"/>
        </w:rPr>
        <w:t>Jurnal</w:t>
      </w:r>
      <w:proofErr w:type="spellEnd"/>
      <w:r w:rsidRPr="00A85A61">
        <w:rPr>
          <w:rStyle w:val="15"/>
          <w:rFonts w:ascii="Times New Roman" w:eastAsia="Helvetica Neue" w:hAnsi="Times New Roman" w:cs="Times New Roman"/>
          <w:i/>
          <w:iCs/>
          <w:color w:val="auto"/>
        </w:rPr>
        <w:t xml:space="preserve"> </w:t>
      </w:r>
      <w:proofErr w:type="spellStart"/>
      <w:r w:rsidRPr="00A85A61">
        <w:rPr>
          <w:rStyle w:val="15"/>
          <w:rFonts w:ascii="Times New Roman" w:eastAsia="Helvetica Neue" w:hAnsi="Times New Roman" w:cs="Times New Roman"/>
          <w:i/>
          <w:iCs/>
          <w:color w:val="auto"/>
        </w:rPr>
        <w:t>Ilmiah</w:t>
      </w:r>
      <w:proofErr w:type="spellEnd"/>
      <w:r w:rsidRPr="00A85A61">
        <w:rPr>
          <w:rStyle w:val="15"/>
          <w:rFonts w:ascii="Times New Roman" w:eastAsia="Helvetica Neue" w:hAnsi="Times New Roman" w:cs="Times New Roman"/>
          <w:i/>
          <w:iCs/>
          <w:color w:val="auto"/>
        </w:rPr>
        <w:t xml:space="preserve"> Pendidikan Guru Madrasah </w:t>
      </w:r>
      <w:proofErr w:type="spellStart"/>
      <w:r w:rsidRPr="00A85A61">
        <w:rPr>
          <w:rStyle w:val="15"/>
          <w:rFonts w:ascii="Times New Roman" w:eastAsia="Helvetica Neue" w:hAnsi="Times New Roman" w:cs="Times New Roman"/>
          <w:i/>
          <w:iCs/>
          <w:color w:val="auto"/>
        </w:rPr>
        <w:t>Ibtidaiyah</w:t>
      </w:r>
      <w:proofErr w:type="spellEnd"/>
      <w:r w:rsidRPr="00A85A61">
        <w:rPr>
          <w:rStyle w:val="15"/>
          <w:rFonts w:ascii="Times New Roman" w:eastAsia="Helvetica Neue" w:hAnsi="Times New Roman" w:cs="Times New Roman"/>
          <w:i/>
          <w:iCs/>
          <w:color w:val="auto"/>
        </w:rPr>
        <w:t>, 14</w:t>
      </w:r>
      <w:r w:rsidRPr="00A85A61">
        <w:rPr>
          <w:rStyle w:val="15"/>
          <w:rFonts w:ascii="Times New Roman" w:eastAsia="Helvetica Neue" w:hAnsi="Times New Roman" w:cs="Times New Roman"/>
          <w:color w:val="auto"/>
        </w:rPr>
        <w:t xml:space="preserve">(2), 206–220. </w:t>
      </w:r>
      <w:hyperlink r:id="rId11" w:history="1">
        <w:r w:rsidRPr="00A85A61">
          <w:rPr>
            <w:rStyle w:val="16"/>
            <w:rFonts w:ascii="Times New Roman" w:eastAsia="Helvetica Neue" w:hAnsi="Times New Roman" w:cs="Times New Roman"/>
            <w:color w:val="auto"/>
            <w:u w:val="none"/>
          </w:rPr>
          <w:t>https://jurnal.uin-antasari.ac.id/index.php/adzka/article/view/14720</w:t>
        </w:r>
      </w:hyperlink>
    </w:p>
    <w:p w14:paraId="5EF75DE6"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Bronfenbrenner, U. (1979). </w:t>
      </w:r>
      <w:r w:rsidRPr="00A85A61">
        <w:rPr>
          <w:rStyle w:val="15"/>
          <w:rFonts w:ascii="Times New Roman" w:eastAsia="Helvetica Neue" w:hAnsi="Times New Roman" w:cs="Times New Roman"/>
          <w:i/>
          <w:iCs/>
          <w:color w:val="auto"/>
        </w:rPr>
        <w:t>The ecology of human development: Experiments by nature and design</w:t>
      </w:r>
      <w:r w:rsidRPr="00A85A61">
        <w:rPr>
          <w:rStyle w:val="15"/>
          <w:rFonts w:ascii="Times New Roman" w:eastAsia="Helvetica Neue" w:hAnsi="Times New Roman" w:cs="Times New Roman"/>
          <w:color w:val="auto"/>
        </w:rPr>
        <w:t>. Harvard University Press.</w:t>
      </w:r>
      <w:r w:rsidRPr="00A85A61">
        <w:rPr>
          <w:rFonts w:ascii="Times New Roman" w:eastAsia="Helvetica Neue" w:hAnsi="Times New Roman"/>
          <w:color w:val="auto"/>
        </w:rPr>
        <w:t xml:space="preserve"> </w:t>
      </w:r>
    </w:p>
    <w:p w14:paraId="6C951232" w14:textId="13C26449"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Chen, Q. (2024). The importance of home literacy environments in terms of children’s reading attitudes: A study of Chinese Grade 5 students. </w:t>
      </w:r>
      <w:r w:rsidRPr="00A85A61">
        <w:rPr>
          <w:rStyle w:val="15"/>
          <w:rFonts w:ascii="Times New Roman" w:eastAsia="Helvetica Neue" w:hAnsi="Times New Roman" w:cs="Times New Roman"/>
          <w:i/>
          <w:iCs/>
          <w:color w:val="auto"/>
        </w:rPr>
        <w:t>Journal of Education and Educational Research, 8</w:t>
      </w:r>
      <w:r w:rsidRPr="00A85A61">
        <w:rPr>
          <w:rStyle w:val="15"/>
          <w:rFonts w:ascii="Times New Roman" w:eastAsia="Helvetica Neue" w:hAnsi="Times New Roman" w:cs="Times New Roman"/>
          <w:color w:val="auto"/>
        </w:rPr>
        <w:t xml:space="preserve">(1), 144–151. </w:t>
      </w:r>
      <w:hyperlink r:id="rId12" w:history="1">
        <w:r w:rsidR="00E10BFE" w:rsidRPr="00A85A61">
          <w:rPr>
            <w:rStyle w:val="Hyperlink"/>
            <w:rFonts w:ascii="Times New Roman" w:eastAsia="Helvetica Neue" w:hAnsi="Times New Roman"/>
            <w:color w:val="auto"/>
            <w:u w:val="none"/>
          </w:rPr>
          <w:t>https://doi.org/10.54097/fyfse108</w:t>
        </w:r>
      </w:hyperlink>
    </w:p>
    <w:p w14:paraId="596C0C15"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proofErr w:type="spellStart"/>
      <w:r w:rsidRPr="00A85A61">
        <w:rPr>
          <w:rStyle w:val="15"/>
          <w:rFonts w:ascii="Times New Roman" w:eastAsia="Helvetica Neue" w:hAnsi="Times New Roman" w:cs="Times New Roman"/>
          <w:color w:val="auto"/>
        </w:rPr>
        <w:t>Cherobon</w:t>
      </w:r>
      <w:proofErr w:type="spellEnd"/>
      <w:r w:rsidRPr="00A85A61">
        <w:rPr>
          <w:rStyle w:val="15"/>
          <w:rFonts w:ascii="Times New Roman" w:eastAsia="Helvetica Neue" w:hAnsi="Times New Roman" w:cs="Times New Roman"/>
          <w:color w:val="auto"/>
        </w:rPr>
        <w:t xml:space="preserve">, V., &amp; </w:t>
      </w:r>
      <w:proofErr w:type="spellStart"/>
      <w:r w:rsidRPr="00A85A61">
        <w:rPr>
          <w:rStyle w:val="15"/>
          <w:rFonts w:ascii="Times New Roman" w:eastAsia="Helvetica Neue" w:hAnsi="Times New Roman" w:cs="Times New Roman"/>
          <w:color w:val="auto"/>
        </w:rPr>
        <w:t>Chepsiror</w:t>
      </w:r>
      <w:proofErr w:type="spellEnd"/>
      <w:r w:rsidRPr="00A85A61">
        <w:rPr>
          <w:rStyle w:val="15"/>
          <w:rFonts w:ascii="Times New Roman" w:eastAsia="Helvetica Neue" w:hAnsi="Times New Roman" w:cs="Times New Roman"/>
          <w:color w:val="auto"/>
        </w:rPr>
        <w:t xml:space="preserve">, E. (2022). Influence of </w:t>
      </w:r>
      <w:proofErr w:type="spellStart"/>
      <w:r w:rsidRPr="00A85A61">
        <w:rPr>
          <w:rStyle w:val="15"/>
          <w:rFonts w:ascii="Times New Roman" w:eastAsia="Helvetica Neue" w:hAnsi="Times New Roman" w:cs="Times New Roman"/>
          <w:color w:val="auto"/>
        </w:rPr>
        <w:t>Tusome</w:t>
      </w:r>
      <w:proofErr w:type="spellEnd"/>
      <w:r w:rsidRPr="00A85A61">
        <w:rPr>
          <w:rStyle w:val="15"/>
          <w:rFonts w:ascii="Times New Roman" w:eastAsia="Helvetica Neue" w:hAnsi="Times New Roman" w:cs="Times New Roman"/>
          <w:color w:val="auto"/>
        </w:rPr>
        <w:t xml:space="preserve"> early grade reading intervention on the reading abilities of learners in public primary schools in Nandi County, Kenya. </w:t>
      </w:r>
      <w:r w:rsidRPr="00A85A61">
        <w:rPr>
          <w:rStyle w:val="15"/>
          <w:rFonts w:ascii="Times New Roman" w:eastAsia="Helvetica Neue" w:hAnsi="Times New Roman" w:cs="Times New Roman"/>
          <w:i/>
          <w:iCs/>
          <w:color w:val="auto"/>
        </w:rPr>
        <w:t>East African Journal of Education Studies, 5</w:t>
      </w:r>
      <w:r w:rsidRPr="00A85A61">
        <w:rPr>
          <w:rStyle w:val="15"/>
          <w:rFonts w:ascii="Times New Roman" w:eastAsia="Helvetica Neue" w:hAnsi="Times New Roman" w:cs="Times New Roman"/>
          <w:color w:val="auto"/>
        </w:rPr>
        <w:t xml:space="preserve">(2), 69–76. </w:t>
      </w:r>
      <w:hyperlink r:id="rId13" w:history="1">
        <w:r w:rsidRPr="00A85A61">
          <w:rPr>
            <w:rStyle w:val="16"/>
            <w:rFonts w:ascii="Times New Roman" w:eastAsia="Helvetica Neue" w:hAnsi="Times New Roman" w:cs="Times New Roman"/>
            <w:color w:val="auto"/>
            <w:u w:val="none"/>
          </w:rPr>
          <w:t>https://doi.org/10.37284/eajes.5.2.656</w:t>
        </w:r>
      </w:hyperlink>
    </w:p>
    <w:p w14:paraId="33A4CE15"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Fonts w:ascii="Times New Roman" w:eastAsia="Helvetica Neue" w:hAnsi="Times New Roman"/>
          <w:color w:val="auto"/>
        </w:rPr>
        <w:t xml:space="preserve">Claes, R., et al. (2024). A serial mediation analysis using PIRLS 2021 data: The relationship between home literacy environment and reading comprehension. </w:t>
      </w:r>
      <w:r w:rsidRPr="00A85A61">
        <w:rPr>
          <w:rStyle w:val="17"/>
          <w:rFonts w:ascii="Times New Roman" w:eastAsia="Helvetica Neue" w:hAnsi="Times New Roman" w:cs="Times New Roman"/>
          <w:color w:val="auto"/>
        </w:rPr>
        <w:t>Large-Scale Assessments in Education, 12</w:t>
      </w:r>
      <w:r w:rsidRPr="00A85A61">
        <w:rPr>
          <w:rFonts w:ascii="Times New Roman" w:eastAsia="Helvetica Neue" w:hAnsi="Times New Roman"/>
          <w:color w:val="auto"/>
        </w:rPr>
        <w:t xml:space="preserve">(1). </w:t>
      </w:r>
      <w:hyperlink r:id="rId14" w:history="1">
        <w:r w:rsidRPr="00A85A61">
          <w:rPr>
            <w:rStyle w:val="16"/>
            <w:rFonts w:ascii="Times New Roman" w:eastAsia="Helvetica Neue" w:hAnsi="Times New Roman" w:cs="Times New Roman"/>
            <w:color w:val="auto"/>
            <w:u w:val="none"/>
          </w:rPr>
          <w:t>https://doi.org/10.1186/s40536-024-00233-8</w:t>
        </w:r>
      </w:hyperlink>
    </w:p>
    <w:p w14:paraId="43BBB0A6"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Claessen, M., </w:t>
      </w:r>
      <w:proofErr w:type="spellStart"/>
      <w:r w:rsidRPr="00A85A61">
        <w:rPr>
          <w:rStyle w:val="15"/>
          <w:rFonts w:ascii="Times New Roman" w:eastAsia="Helvetica Neue" w:hAnsi="Times New Roman" w:cs="Times New Roman"/>
          <w:color w:val="auto"/>
        </w:rPr>
        <w:t>Dzidic</w:t>
      </w:r>
      <w:proofErr w:type="spellEnd"/>
      <w:r w:rsidRPr="00A85A61">
        <w:rPr>
          <w:rStyle w:val="15"/>
          <w:rFonts w:ascii="Times New Roman" w:eastAsia="Helvetica Neue" w:hAnsi="Times New Roman" w:cs="Times New Roman"/>
          <w:color w:val="auto"/>
        </w:rPr>
        <w:t xml:space="preserve">, P., Boyes, M., Badcock, N., </w:t>
      </w:r>
      <w:proofErr w:type="spellStart"/>
      <w:r w:rsidRPr="00A85A61">
        <w:rPr>
          <w:rStyle w:val="15"/>
          <w:rFonts w:ascii="Times New Roman" w:eastAsia="Helvetica Neue" w:hAnsi="Times New Roman" w:cs="Times New Roman"/>
          <w:color w:val="auto"/>
        </w:rPr>
        <w:t>Nayton</w:t>
      </w:r>
      <w:proofErr w:type="spellEnd"/>
      <w:r w:rsidRPr="00A85A61">
        <w:rPr>
          <w:rStyle w:val="15"/>
          <w:rFonts w:ascii="Times New Roman" w:eastAsia="Helvetica Neue" w:hAnsi="Times New Roman" w:cs="Times New Roman"/>
          <w:color w:val="auto"/>
        </w:rPr>
        <w:t xml:space="preserve">, M., &amp; Leitão, S. (2020). Educators’ perceptions of the impact of reading difficulties for young people. </w:t>
      </w:r>
      <w:r w:rsidRPr="00A85A61">
        <w:rPr>
          <w:rStyle w:val="15"/>
          <w:rFonts w:ascii="Times New Roman" w:eastAsia="Helvetica Neue" w:hAnsi="Times New Roman" w:cs="Times New Roman"/>
          <w:i/>
          <w:iCs/>
          <w:color w:val="auto"/>
        </w:rPr>
        <w:t>Australian Journal of Learning Difficulties, 25</w:t>
      </w:r>
      <w:r w:rsidRPr="00A85A61">
        <w:rPr>
          <w:rStyle w:val="15"/>
          <w:rFonts w:ascii="Times New Roman" w:eastAsia="Helvetica Neue" w:hAnsi="Times New Roman" w:cs="Times New Roman"/>
          <w:color w:val="auto"/>
        </w:rPr>
        <w:t xml:space="preserve">(1), 51–64. </w:t>
      </w:r>
      <w:hyperlink r:id="rId15" w:history="1">
        <w:r w:rsidRPr="00A85A61">
          <w:rPr>
            <w:rStyle w:val="16"/>
            <w:rFonts w:ascii="Times New Roman" w:eastAsia="Helvetica Neue" w:hAnsi="Times New Roman" w:cs="Times New Roman"/>
            <w:color w:val="auto"/>
            <w:u w:val="none"/>
          </w:rPr>
          <w:t>https://doi.org/10.1080/19404158.2020.1734952</w:t>
        </w:r>
      </w:hyperlink>
    </w:p>
    <w:p w14:paraId="7DF1DA44" w14:textId="2AE1D65E"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DEMİR, A., &amp; Çetinkaya, S. (2024). Investigating the correlation between second grade primary school students fluent reading skills and parental involvement in home literacy activities. </w:t>
      </w:r>
      <w:r w:rsidRPr="00A85A61">
        <w:rPr>
          <w:rStyle w:val="15"/>
          <w:rFonts w:ascii="Times New Roman" w:eastAsia="Helvetica Neue" w:hAnsi="Times New Roman" w:cs="Times New Roman"/>
          <w:i/>
          <w:iCs/>
          <w:color w:val="auto"/>
        </w:rPr>
        <w:t>Education Mind</w:t>
      </w:r>
      <w:r w:rsidRPr="00A85A61">
        <w:rPr>
          <w:rStyle w:val="15"/>
          <w:rFonts w:ascii="Times New Roman" w:eastAsia="Helvetica Neue" w:hAnsi="Times New Roman" w:cs="Times New Roman"/>
          <w:color w:val="auto"/>
        </w:rPr>
        <w:t xml:space="preserve">. </w:t>
      </w:r>
      <w:hyperlink r:id="rId16" w:history="1">
        <w:r w:rsidR="00E10BFE" w:rsidRPr="00A85A61">
          <w:rPr>
            <w:rStyle w:val="Hyperlink"/>
            <w:rFonts w:ascii="Times New Roman" w:eastAsia="Helvetica Neue" w:hAnsi="Times New Roman"/>
            <w:color w:val="auto"/>
            <w:u w:val="none"/>
          </w:rPr>
          <w:t>https://doi.org/10.58583/em.3.3.4</w:t>
        </w:r>
      </w:hyperlink>
    </w:p>
    <w:p w14:paraId="39C1E75B" w14:textId="09DB5955"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Grady, C. (2024, March 5). America’s literacy crisis isn’t what you think. </w:t>
      </w:r>
      <w:r w:rsidRPr="00A85A61">
        <w:rPr>
          <w:rStyle w:val="15"/>
          <w:rFonts w:ascii="Times New Roman" w:eastAsia="Arial" w:hAnsi="Times New Roman" w:cs="Times New Roman"/>
          <w:color w:val="auto"/>
        </w:rPr>
        <w:t xml:space="preserve"> </w:t>
      </w:r>
      <w:r w:rsidRPr="00A85A61">
        <w:rPr>
          <w:rStyle w:val="15"/>
          <w:rFonts w:ascii="Times New Roman" w:eastAsia="Helvetica Neue" w:hAnsi="Times New Roman" w:cs="Times New Roman"/>
          <w:i/>
          <w:iCs/>
          <w:color w:val="auto"/>
        </w:rPr>
        <w:t>Vox</w:t>
      </w:r>
      <w:r w:rsidRPr="00A85A61">
        <w:rPr>
          <w:rStyle w:val="15"/>
          <w:rFonts w:ascii="Times New Roman" w:eastAsia="Helvetica Neue" w:hAnsi="Times New Roman" w:cs="Times New Roman"/>
          <w:color w:val="auto"/>
        </w:rPr>
        <w:t xml:space="preserve">. </w:t>
      </w:r>
      <w:hyperlink r:id="rId17" w:history="1">
        <w:r w:rsidR="00E10BFE" w:rsidRPr="00A85A61">
          <w:rPr>
            <w:rStyle w:val="Hyperlink"/>
            <w:rFonts w:ascii="Times New Roman" w:eastAsia="Helvetica Neue" w:hAnsi="Times New Roman"/>
            <w:color w:val="auto"/>
            <w:u w:val="none"/>
          </w:rPr>
          <w:t>https://www.vox.com/culture/386286/kids-reading-literacy-crisis-books</w:t>
        </w:r>
      </w:hyperlink>
    </w:p>
    <w:p w14:paraId="08723F02"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Fonts w:ascii="Times New Roman" w:eastAsia="Helvetica Neue" w:hAnsi="Times New Roman"/>
          <w:color w:val="auto"/>
        </w:rPr>
        <w:t xml:space="preserve">Guven, O. (2023). </w:t>
      </w:r>
      <w:r w:rsidRPr="00A85A61">
        <w:rPr>
          <w:rStyle w:val="17"/>
          <w:rFonts w:ascii="Times New Roman" w:eastAsia="Helvetica Neue" w:hAnsi="Times New Roman" w:cs="Times New Roman"/>
          <w:color w:val="auto"/>
        </w:rPr>
        <w:t>Research on motivation, literacy, and reading development</w:t>
      </w:r>
      <w:r w:rsidRPr="00A85A61">
        <w:rPr>
          <w:rFonts w:ascii="Times New Roman" w:eastAsia="Helvetica Neue" w:hAnsi="Times New Roman"/>
          <w:color w:val="auto"/>
        </w:rPr>
        <w:t xml:space="preserve">. Institute of Museum and Library Services. </w:t>
      </w:r>
      <w:hyperlink r:id="rId18" w:history="1">
        <w:r w:rsidRPr="00A85A61">
          <w:rPr>
            <w:rStyle w:val="16"/>
            <w:rFonts w:ascii="Times New Roman" w:eastAsia="Helvetica Neue" w:hAnsi="Times New Roman" w:cs="Times New Roman"/>
            <w:color w:val="auto"/>
            <w:u w:val="none"/>
          </w:rPr>
          <w:t>https://www.imls.gov/sites/default/files/2024-04/research-motivation-literacy-reading-development-report.pdf</w:t>
        </w:r>
      </w:hyperlink>
    </w:p>
    <w:p w14:paraId="31F7FE2B"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Herring, A. (2023). </w:t>
      </w:r>
      <w:r w:rsidRPr="00A85A61">
        <w:rPr>
          <w:rStyle w:val="15"/>
          <w:rFonts w:ascii="Times New Roman" w:eastAsia="Helvetica Neue" w:hAnsi="Times New Roman" w:cs="Times New Roman"/>
          <w:i/>
          <w:iCs/>
          <w:color w:val="auto"/>
        </w:rPr>
        <w:t>The importance of early reading interventions in the early grades</w:t>
      </w:r>
      <w:r w:rsidRPr="00A85A61">
        <w:rPr>
          <w:rStyle w:val="15"/>
          <w:rFonts w:ascii="Times New Roman" w:eastAsia="Helvetica Neue" w:hAnsi="Times New Roman" w:cs="Times New Roman"/>
          <w:color w:val="auto"/>
        </w:rPr>
        <w:t>. Trevecca Nazarene University.</w:t>
      </w:r>
      <w:r w:rsidRPr="00A85A61">
        <w:rPr>
          <w:rFonts w:ascii="Times New Roman" w:eastAsia="Helvetica Neue" w:hAnsi="Times New Roman"/>
          <w:color w:val="auto"/>
        </w:rPr>
        <w:t xml:space="preserve"> </w:t>
      </w:r>
      <w:hyperlink r:id="rId19" w:history="1">
        <w:r w:rsidRPr="00A85A61">
          <w:rPr>
            <w:rStyle w:val="16"/>
            <w:rFonts w:ascii="Times New Roman" w:eastAsia="Helvetica Neue" w:hAnsi="Times New Roman" w:cs="Times New Roman"/>
            <w:color w:val="auto"/>
            <w:u w:val="none"/>
          </w:rPr>
          <w:t>https://www.proquest.com/openview/74f537165946759642d1e4c42f398b86/1?pq-origsite=gscholar&amp;cbl=18750&amp;diss=y</w:t>
        </w:r>
      </w:hyperlink>
    </w:p>
    <w:p w14:paraId="5549507E" w14:textId="4CBF89DB"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Hooper, M. (2020). </w:t>
      </w:r>
      <w:r w:rsidRPr="00A85A61">
        <w:rPr>
          <w:rStyle w:val="15"/>
          <w:rFonts w:ascii="Times New Roman" w:eastAsia="Helvetica Neue" w:hAnsi="Times New Roman" w:cs="Times New Roman"/>
          <w:i/>
          <w:iCs/>
          <w:color w:val="auto"/>
        </w:rPr>
        <w:t>Troubling trends: An international decline in attitudes toward reading</w:t>
      </w:r>
      <w:r w:rsidRPr="00A85A61">
        <w:rPr>
          <w:rStyle w:val="15"/>
          <w:rFonts w:ascii="Times New Roman" w:eastAsia="Helvetica Neue" w:hAnsi="Times New Roman" w:cs="Times New Roman"/>
          <w:color w:val="auto"/>
        </w:rPr>
        <w:t xml:space="preserve"> (IEA Compass: Briefs in Education No. 8). International Association for the Evaluation of Educational Achievement.</w:t>
      </w:r>
      <w:r w:rsidRPr="00A85A61">
        <w:rPr>
          <w:rFonts w:ascii="Times New Roman" w:eastAsia="Helvetica Neue" w:hAnsi="Times New Roman"/>
          <w:color w:val="auto"/>
        </w:rPr>
        <w:t xml:space="preserve"> </w:t>
      </w:r>
      <w:hyperlink r:id="rId20" w:history="1">
        <w:r w:rsidR="00E10BFE" w:rsidRPr="00A85A61">
          <w:rPr>
            <w:rStyle w:val="Hyperlink"/>
            <w:rFonts w:ascii="Times New Roman" w:eastAsia="Helvetica Neue" w:hAnsi="Times New Roman"/>
            <w:color w:val="auto"/>
            <w:u w:val="none"/>
          </w:rPr>
          <w:t>https://files.eric.ed.gov/fulltext/ED608237.pdf</w:t>
        </w:r>
      </w:hyperlink>
    </w:p>
    <w:p w14:paraId="4DF66257" w14:textId="259199BE"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proofErr w:type="spellStart"/>
      <w:r w:rsidRPr="00A85A61">
        <w:rPr>
          <w:rStyle w:val="15"/>
          <w:rFonts w:ascii="Times New Roman" w:eastAsia="Helvetica Neue" w:hAnsi="Times New Roman" w:cs="Times New Roman"/>
          <w:color w:val="auto"/>
        </w:rPr>
        <w:t>Idulog</w:t>
      </w:r>
      <w:proofErr w:type="spellEnd"/>
      <w:r w:rsidRPr="00A85A61">
        <w:rPr>
          <w:rStyle w:val="15"/>
          <w:rFonts w:ascii="Times New Roman" w:eastAsia="Helvetica Neue" w:hAnsi="Times New Roman" w:cs="Times New Roman"/>
          <w:color w:val="auto"/>
        </w:rPr>
        <w:t xml:space="preserve">, M. V., </w:t>
      </w:r>
      <w:proofErr w:type="spellStart"/>
      <w:r w:rsidRPr="00A85A61">
        <w:rPr>
          <w:rStyle w:val="15"/>
          <w:rFonts w:ascii="Times New Roman" w:eastAsia="Helvetica Neue" w:hAnsi="Times New Roman" w:cs="Times New Roman"/>
          <w:color w:val="auto"/>
        </w:rPr>
        <w:t>Gadiano</w:t>
      </w:r>
      <w:proofErr w:type="spellEnd"/>
      <w:r w:rsidRPr="00A85A61">
        <w:rPr>
          <w:rStyle w:val="15"/>
          <w:rFonts w:ascii="Times New Roman" w:eastAsia="Helvetica Neue" w:hAnsi="Times New Roman" w:cs="Times New Roman"/>
          <w:color w:val="auto"/>
        </w:rPr>
        <w:t xml:space="preserve">, R., Toledo, E., </w:t>
      </w:r>
      <w:proofErr w:type="spellStart"/>
      <w:r w:rsidRPr="00A85A61">
        <w:rPr>
          <w:rStyle w:val="15"/>
          <w:rFonts w:ascii="Times New Roman" w:eastAsia="Helvetica Neue" w:hAnsi="Times New Roman" w:cs="Times New Roman"/>
          <w:color w:val="auto"/>
        </w:rPr>
        <w:t>Hermosada</w:t>
      </w:r>
      <w:proofErr w:type="spellEnd"/>
      <w:r w:rsidRPr="00A85A61">
        <w:rPr>
          <w:rStyle w:val="15"/>
          <w:rFonts w:ascii="Times New Roman" w:eastAsia="Helvetica Neue" w:hAnsi="Times New Roman" w:cs="Times New Roman"/>
          <w:color w:val="auto"/>
        </w:rPr>
        <w:t xml:space="preserve">, M., </w:t>
      </w:r>
      <w:proofErr w:type="spellStart"/>
      <w:r w:rsidRPr="00A85A61">
        <w:rPr>
          <w:rStyle w:val="15"/>
          <w:rFonts w:ascii="Times New Roman" w:eastAsia="Helvetica Neue" w:hAnsi="Times New Roman" w:cs="Times New Roman"/>
          <w:color w:val="auto"/>
        </w:rPr>
        <w:t>Casaldon</w:t>
      </w:r>
      <w:proofErr w:type="spellEnd"/>
      <w:r w:rsidRPr="00A85A61">
        <w:rPr>
          <w:rStyle w:val="15"/>
          <w:rFonts w:ascii="Times New Roman" w:eastAsia="Helvetica Neue" w:hAnsi="Times New Roman" w:cs="Times New Roman"/>
          <w:color w:val="auto"/>
        </w:rPr>
        <w:t xml:space="preserve">, H., Mariposa, M., &amp; Bautista, R. (2023). </w:t>
      </w:r>
      <w:r w:rsidRPr="00A85A61">
        <w:rPr>
          <w:rStyle w:val="15"/>
          <w:rFonts w:ascii="Times New Roman" w:eastAsia="Helvetica Neue" w:hAnsi="Times New Roman" w:cs="Times New Roman"/>
          <w:i/>
          <w:iCs/>
          <w:color w:val="auto"/>
        </w:rPr>
        <w:t>Filipino students’ reading abilities: A note on the challenges and potential areas for improvement</w:t>
      </w:r>
      <w:r w:rsidRPr="00A85A61">
        <w:rPr>
          <w:rStyle w:val="15"/>
          <w:rFonts w:ascii="Times New Roman" w:eastAsia="Helvetica Neue" w:hAnsi="Times New Roman" w:cs="Times New Roman"/>
          <w:color w:val="auto"/>
        </w:rPr>
        <w:t>.</w:t>
      </w:r>
      <w:r w:rsidRPr="00A85A61">
        <w:rPr>
          <w:rFonts w:ascii="Times New Roman" w:eastAsia="Helvetica Neue" w:hAnsi="Times New Roman"/>
          <w:color w:val="auto"/>
        </w:rPr>
        <w:t xml:space="preserve"> </w:t>
      </w:r>
      <w:hyperlink r:id="rId21" w:history="1">
        <w:r w:rsidR="00E10BFE" w:rsidRPr="00A85A61">
          <w:rPr>
            <w:rStyle w:val="Hyperlink"/>
            <w:rFonts w:ascii="Times New Roman" w:eastAsia="Helvetica Neue" w:hAnsi="Times New Roman"/>
            <w:color w:val="auto"/>
            <w:u w:val="none"/>
          </w:rPr>
          <w:t>https://philpapers.org/archive/IDUFSR-2.pdf</w:t>
        </w:r>
      </w:hyperlink>
    </w:p>
    <w:p w14:paraId="1CE26727"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proofErr w:type="spellStart"/>
      <w:r w:rsidRPr="00A85A61">
        <w:rPr>
          <w:rStyle w:val="15"/>
          <w:rFonts w:ascii="Times New Roman" w:eastAsia="Helvetica Neue" w:hAnsi="Times New Roman" w:cs="Times New Roman"/>
          <w:color w:val="auto"/>
        </w:rPr>
        <w:t>Librea</w:t>
      </w:r>
      <w:proofErr w:type="spellEnd"/>
      <w:r w:rsidRPr="00A85A61">
        <w:rPr>
          <w:rStyle w:val="15"/>
          <w:rFonts w:ascii="Times New Roman" w:eastAsia="Helvetica Neue" w:hAnsi="Times New Roman" w:cs="Times New Roman"/>
          <w:color w:val="auto"/>
        </w:rPr>
        <w:t xml:space="preserve">, N. K., Luciano, A. M., </w:t>
      </w:r>
      <w:proofErr w:type="spellStart"/>
      <w:r w:rsidRPr="00A85A61">
        <w:rPr>
          <w:rStyle w:val="15"/>
          <w:rFonts w:ascii="Times New Roman" w:eastAsia="Helvetica Neue" w:hAnsi="Times New Roman" w:cs="Times New Roman"/>
          <w:color w:val="auto"/>
        </w:rPr>
        <w:t>Sacamay</w:t>
      </w:r>
      <w:proofErr w:type="spellEnd"/>
      <w:r w:rsidRPr="00A85A61">
        <w:rPr>
          <w:rStyle w:val="15"/>
          <w:rFonts w:ascii="Times New Roman" w:eastAsia="Helvetica Neue" w:hAnsi="Times New Roman" w:cs="Times New Roman"/>
          <w:color w:val="auto"/>
        </w:rPr>
        <w:t xml:space="preserve">, M. L., Libres, M. D., &amp; Cabanilla Jr., A. (2023). Low reading literacy skills of elementary pupils in the Philippines: Systematic review. </w:t>
      </w:r>
      <w:r w:rsidRPr="00A85A61">
        <w:rPr>
          <w:rStyle w:val="15"/>
          <w:rFonts w:ascii="Times New Roman" w:eastAsia="Helvetica Neue" w:hAnsi="Times New Roman" w:cs="Times New Roman"/>
          <w:i/>
          <w:iCs/>
          <w:color w:val="auto"/>
        </w:rPr>
        <w:t>International Journal for Research in Applied Science and Engineering Technology (IJRASET), 11</w:t>
      </w:r>
      <w:r w:rsidRPr="00A85A61">
        <w:rPr>
          <w:rStyle w:val="15"/>
          <w:rFonts w:ascii="Times New Roman" w:eastAsia="Helvetica Neue" w:hAnsi="Times New Roman" w:cs="Times New Roman"/>
          <w:color w:val="auto"/>
        </w:rPr>
        <w:t>(4), 1978–1985.</w:t>
      </w:r>
    </w:p>
    <w:p w14:paraId="03A10B84"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Fonts w:ascii="Times New Roman" w:eastAsia="Helvetica Neue" w:hAnsi="Times New Roman"/>
          <w:color w:val="auto"/>
        </w:rPr>
        <w:t xml:space="preserve">Macaraeg, H. (2024). Parents involvement in reading at home of Grade 1 pupils. </w:t>
      </w:r>
      <w:r w:rsidRPr="00A85A61">
        <w:rPr>
          <w:rStyle w:val="17"/>
          <w:rFonts w:ascii="Times New Roman" w:eastAsia="Helvetica Neue" w:hAnsi="Times New Roman" w:cs="Times New Roman"/>
          <w:color w:val="auto"/>
        </w:rPr>
        <w:t>Ignatian International Journal for Multidisciplinary Research, 2</w:t>
      </w:r>
      <w:r w:rsidRPr="00A85A61">
        <w:rPr>
          <w:rFonts w:ascii="Times New Roman" w:eastAsia="Helvetica Neue" w:hAnsi="Times New Roman"/>
          <w:color w:val="auto"/>
        </w:rPr>
        <w:t xml:space="preserve">(4), 1120–1135. </w:t>
      </w:r>
      <w:hyperlink r:id="rId22" w:history="1">
        <w:r w:rsidRPr="00A85A61">
          <w:rPr>
            <w:rStyle w:val="16"/>
            <w:rFonts w:ascii="Times New Roman" w:eastAsia="Helvetica Neue" w:hAnsi="Times New Roman" w:cs="Times New Roman"/>
            <w:color w:val="auto"/>
            <w:u w:val="none"/>
          </w:rPr>
          <w:t>https://www.ejournals.ph/article.php?id=27855</w:t>
        </w:r>
      </w:hyperlink>
    </w:p>
    <w:p w14:paraId="1D131DC2"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lastRenderedPageBreak/>
        <w:t xml:space="preserve">Mathewson, G. C. (1994). Model of attitude influence upon reading and learning to read. In R. B. Ruddell, M. R. Ruddell, &amp; H. Singer (Eds.), </w:t>
      </w:r>
      <w:r w:rsidRPr="00A85A61">
        <w:rPr>
          <w:rStyle w:val="15"/>
          <w:rFonts w:ascii="Times New Roman" w:eastAsia="Helvetica Neue" w:hAnsi="Times New Roman" w:cs="Times New Roman"/>
          <w:i/>
          <w:iCs/>
          <w:color w:val="auto"/>
        </w:rPr>
        <w:t>Theoretical models and processes of reading</w:t>
      </w:r>
      <w:r w:rsidRPr="00A85A61">
        <w:rPr>
          <w:rStyle w:val="15"/>
          <w:rFonts w:ascii="Times New Roman" w:eastAsia="Helvetica Neue" w:hAnsi="Times New Roman" w:cs="Times New Roman"/>
          <w:color w:val="auto"/>
        </w:rPr>
        <w:t xml:space="preserve"> (4th ed., pp. 1131–1161). International Reading Association.</w:t>
      </w:r>
    </w:p>
    <w:p w14:paraId="22BE04A6"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McKenna, M. C., Kear, D. J., &amp; Ellsworth, R. A. (1995). Children’s attitudes toward reading: A national survey. </w:t>
      </w:r>
      <w:r w:rsidRPr="00A85A61">
        <w:rPr>
          <w:rStyle w:val="15"/>
          <w:rFonts w:ascii="Times New Roman" w:eastAsia="Helvetica Neue" w:hAnsi="Times New Roman" w:cs="Times New Roman"/>
          <w:i/>
          <w:iCs/>
          <w:color w:val="auto"/>
        </w:rPr>
        <w:t>Reading Research Quarterly, 30</w:t>
      </w:r>
      <w:r w:rsidRPr="00A85A61">
        <w:rPr>
          <w:rStyle w:val="15"/>
          <w:rFonts w:ascii="Times New Roman" w:eastAsia="Helvetica Neue" w:hAnsi="Times New Roman" w:cs="Times New Roman"/>
          <w:color w:val="auto"/>
        </w:rPr>
        <w:t xml:space="preserve">(4), 934–956. </w:t>
      </w:r>
      <w:hyperlink r:id="rId23" w:history="1">
        <w:r w:rsidRPr="00A85A61">
          <w:rPr>
            <w:rStyle w:val="16"/>
            <w:rFonts w:ascii="Times New Roman" w:eastAsia="Helvetica Neue" w:hAnsi="Times New Roman" w:cs="Times New Roman"/>
            <w:color w:val="auto"/>
            <w:u w:val="none"/>
          </w:rPr>
          <w:t>https://www.jstor.org/stable/748205</w:t>
        </w:r>
      </w:hyperlink>
    </w:p>
    <w:p w14:paraId="730AA0B3"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proofErr w:type="spellStart"/>
      <w:r w:rsidRPr="00A85A61">
        <w:rPr>
          <w:rStyle w:val="15"/>
          <w:rFonts w:ascii="Times New Roman" w:eastAsia="Helvetica Neue" w:hAnsi="Times New Roman" w:cs="Times New Roman"/>
          <w:color w:val="auto"/>
        </w:rPr>
        <w:t>Moneba</w:t>
      </w:r>
      <w:proofErr w:type="spellEnd"/>
      <w:r w:rsidRPr="00A85A61">
        <w:rPr>
          <w:rStyle w:val="15"/>
          <w:rFonts w:ascii="Times New Roman" w:eastAsia="Helvetica Neue" w:hAnsi="Times New Roman" w:cs="Times New Roman"/>
          <w:color w:val="auto"/>
        </w:rPr>
        <w:t xml:space="preserve">, A.-J. N., &amp; </w:t>
      </w:r>
      <w:proofErr w:type="spellStart"/>
      <w:r w:rsidRPr="00A85A61">
        <w:rPr>
          <w:rStyle w:val="15"/>
          <w:rFonts w:ascii="Times New Roman" w:eastAsia="Helvetica Neue" w:hAnsi="Times New Roman" w:cs="Times New Roman"/>
          <w:color w:val="auto"/>
        </w:rPr>
        <w:t>Lovitos</w:t>
      </w:r>
      <w:proofErr w:type="spellEnd"/>
      <w:r w:rsidRPr="00A85A61">
        <w:rPr>
          <w:rStyle w:val="15"/>
          <w:rFonts w:ascii="Times New Roman" w:eastAsia="Helvetica Neue" w:hAnsi="Times New Roman" w:cs="Times New Roman"/>
          <w:color w:val="auto"/>
        </w:rPr>
        <w:t xml:space="preserve">, A. H. D. (2024). Reading attitude and learning motivation as predictors of reading comprehension. </w:t>
      </w:r>
      <w:r w:rsidRPr="00A85A61">
        <w:rPr>
          <w:rStyle w:val="15"/>
          <w:rFonts w:ascii="Times New Roman" w:eastAsia="Helvetica Neue" w:hAnsi="Times New Roman" w:cs="Times New Roman"/>
          <w:i/>
          <w:iCs/>
          <w:color w:val="auto"/>
        </w:rPr>
        <w:t>Asian Journal of Education and Social Studies</w:t>
      </w:r>
      <w:r w:rsidRPr="00A85A61">
        <w:rPr>
          <w:rStyle w:val="15"/>
          <w:rFonts w:ascii="Times New Roman" w:eastAsia="Helvetica Neue" w:hAnsi="Times New Roman" w:cs="Times New Roman"/>
          <w:color w:val="auto"/>
        </w:rPr>
        <w:t>. https://doi.org/10.9734/ajess/2024/v50i41322</w:t>
      </w:r>
      <w:hyperlink r:id="rId24" w:history="1">
        <w:r w:rsidRPr="00A85A61">
          <w:rPr>
            <w:rStyle w:val="16"/>
            <w:rFonts w:ascii="Times New Roman" w:eastAsia="Helvetica Neue" w:hAnsi="Times New Roman" w:cs="Times New Roman"/>
            <w:color w:val="auto"/>
            <w:u w:val="none"/>
          </w:rPr>
          <w:t>https://journalajess.com/index.php/AJESS/article/view/1322/2573</w:t>
        </w:r>
      </w:hyperlink>
    </w:p>
    <w:p w14:paraId="0F5563D6"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proofErr w:type="spellStart"/>
      <w:r w:rsidRPr="00A85A61">
        <w:rPr>
          <w:rStyle w:val="15"/>
          <w:rFonts w:ascii="Times New Roman" w:eastAsia="Helvetica Neue" w:hAnsi="Times New Roman" w:cs="Times New Roman"/>
          <w:color w:val="auto"/>
        </w:rPr>
        <w:t>Organisation</w:t>
      </w:r>
      <w:proofErr w:type="spellEnd"/>
      <w:r w:rsidRPr="00A85A61">
        <w:rPr>
          <w:rStyle w:val="15"/>
          <w:rFonts w:ascii="Times New Roman" w:eastAsia="Helvetica Neue" w:hAnsi="Times New Roman" w:cs="Times New Roman"/>
          <w:color w:val="auto"/>
        </w:rPr>
        <w:t xml:space="preserve"> for Economic Co-operation and Development. (2023). </w:t>
      </w:r>
      <w:r w:rsidRPr="00A85A61">
        <w:rPr>
          <w:rStyle w:val="15"/>
          <w:rFonts w:ascii="Times New Roman" w:eastAsia="Helvetica Neue" w:hAnsi="Times New Roman" w:cs="Times New Roman"/>
          <w:i/>
          <w:iCs/>
          <w:color w:val="auto"/>
        </w:rPr>
        <w:t>PISA 2022 results (Volumes I and II): Country notes—Philippines</w:t>
      </w:r>
      <w:r w:rsidRPr="00A85A61">
        <w:rPr>
          <w:rStyle w:val="15"/>
          <w:rFonts w:ascii="Times New Roman" w:eastAsia="Helvetica Neue" w:hAnsi="Times New Roman" w:cs="Times New Roman"/>
          <w:color w:val="auto"/>
        </w:rPr>
        <w:t>. OECD Publishing.</w:t>
      </w:r>
    </w:p>
    <w:p w14:paraId="123AAB5E"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Palasan, A. S. (2018). Improving pupils’ genuine love for reading and critical thinking using the strategies of the four-pronged approach. </w:t>
      </w:r>
      <w:r w:rsidRPr="00A85A61">
        <w:rPr>
          <w:rStyle w:val="15"/>
          <w:rFonts w:ascii="Times New Roman" w:eastAsia="Helvetica Neue" w:hAnsi="Times New Roman" w:cs="Times New Roman"/>
          <w:i/>
          <w:iCs/>
          <w:color w:val="auto"/>
        </w:rPr>
        <w:t>International Journal for Innovation Education and Research, 6</w:t>
      </w:r>
      <w:r w:rsidRPr="00A85A61">
        <w:rPr>
          <w:rStyle w:val="15"/>
          <w:rFonts w:ascii="Times New Roman" w:eastAsia="Helvetica Neue" w:hAnsi="Times New Roman" w:cs="Times New Roman"/>
          <w:color w:val="auto"/>
        </w:rPr>
        <w:t>(5), 41–51.</w:t>
      </w:r>
      <w:r w:rsidRPr="00A85A61">
        <w:rPr>
          <w:rFonts w:ascii="Times New Roman" w:eastAsia="Helvetica Neue" w:hAnsi="Times New Roman"/>
          <w:color w:val="auto"/>
        </w:rPr>
        <w:t xml:space="preserve"> </w:t>
      </w:r>
      <w:r w:rsidRPr="00A85A61">
        <w:rPr>
          <w:rFonts w:ascii="Times New Roman" w:eastAsia="Helvetica Neue" w:hAnsi="Times New Roman"/>
          <w:color w:val="auto"/>
        </w:rPr>
        <w:br/>
      </w:r>
      <w:hyperlink r:id="rId25" w:history="1">
        <w:r w:rsidRPr="00A85A61">
          <w:rPr>
            <w:rStyle w:val="16"/>
            <w:rFonts w:ascii="Times New Roman" w:eastAsia="Helvetica Neue" w:hAnsi="Times New Roman" w:cs="Times New Roman"/>
            <w:color w:val="auto"/>
            <w:u w:val="none"/>
            <w:shd w:val="clear" w:color="auto" w:fill="FFFFFF"/>
          </w:rPr>
          <w:t>https://doi.org/10.31686/ijier.vol6.iss5.1032</w:t>
        </w:r>
      </w:hyperlink>
    </w:p>
    <w:p w14:paraId="2C78F6A3" w14:textId="48E26DCE"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proofErr w:type="spellStart"/>
      <w:r w:rsidRPr="00A85A61">
        <w:rPr>
          <w:rStyle w:val="15"/>
          <w:rFonts w:ascii="Times New Roman" w:eastAsia="Helvetica Neue" w:hAnsi="Times New Roman" w:cs="Times New Roman"/>
          <w:color w:val="auto"/>
        </w:rPr>
        <w:t>Pirpir</w:t>
      </w:r>
      <w:proofErr w:type="spellEnd"/>
      <w:r w:rsidRPr="00A85A61">
        <w:rPr>
          <w:rStyle w:val="15"/>
          <w:rFonts w:ascii="Times New Roman" w:eastAsia="Helvetica Neue" w:hAnsi="Times New Roman" w:cs="Times New Roman"/>
          <w:color w:val="auto"/>
        </w:rPr>
        <w:t xml:space="preserve">, D. A., Soydan, S., Ersan, G. A., &amp; Toka, B. (2024). Examining the direct and indirect effects of in-home literacy practices on children’s early literacy skills and working memory. </w:t>
      </w:r>
      <w:proofErr w:type="spellStart"/>
      <w:r w:rsidRPr="00A85A61">
        <w:rPr>
          <w:rStyle w:val="15"/>
          <w:rFonts w:ascii="Times New Roman" w:eastAsia="Helvetica Neue" w:hAnsi="Times New Roman" w:cs="Times New Roman"/>
          <w:i/>
          <w:iCs/>
          <w:color w:val="auto"/>
        </w:rPr>
        <w:t>Çukurova</w:t>
      </w:r>
      <w:proofErr w:type="spellEnd"/>
      <w:r w:rsidRPr="00A85A61">
        <w:rPr>
          <w:rStyle w:val="15"/>
          <w:rFonts w:ascii="Times New Roman" w:eastAsia="Helvetica Neue" w:hAnsi="Times New Roman" w:cs="Times New Roman"/>
          <w:i/>
          <w:iCs/>
          <w:color w:val="auto"/>
        </w:rPr>
        <w:t xml:space="preserve"> </w:t>
      </w:r>
      <w:proofErr w:type="spellStart"/>
      <w:r w:rsidRPr="00A85A61">
        <w:rPr>
          <w:rStyle w:val="15"/>
          <w:rFonts w:ascii="Times New Roman" w:eastAsia="Helvetica Neue" w:hAnsi="Times New Roman" w:cs="Times New Roman"/>
          <w:i/>
          <w:iCs/>
          <w:color w:val="auto"/>
        </w:rPr>
        <w:t>Üniversitesi</w:t>
      </w:r>
      <w:proofErr w:type="spellEnd"/>
      <w:r w:rsidRPr="00A85A61">
        <w:rPr>
          <w:rStyle w:val="15"/>
          <w:rFonts w:ascii="Times New Roman" w:eastAsia="Helvetica Neue" w:hAnsi="Times New Roman" w:cs="Times New Roman"/>
          <w:i/>
          <w:iCs/>
          <w:color w:val="auto"/>
        </w:rPr>
        <w:t xml:space="preserve"> </w:t>
      </w:r>
      <w:proofErr w:type="spellStart"/>
      <w:r w:rsidRPr="00A85A61">
        <w:rPr>
          <w:rStyle w:val="15"/>
          <w:rFonts w:ascii="Times New Roman" w:eastAsia="Helvetica Neue" w:hAnsi="Times New Roman" w:cs="Times New Roman"/>
          <w:i/>
          <w:iCs/>
          <w:color w:val="auto"/>
        </w:rPr>
        <w:t>Eğitim</w:t>
      </w:r>
      <w:proofErr w:type="spellEnd"/>
      <w:r w:rsidRPr="00A85A61">
        <w:rPr>
          <w:rStyle w:val="15"/>
          <w:rFonts w:ascii="Times New Roman" w:eastAsia="Helvetica Neue" w:hAnsi="Times New Roman" w:cs="Times New Roman"/>
          <w:i/>
          <w:iCs/>
          <w:color w:val="auto"/>
        </w:rPr>
        <w:t xml:space="preserve"> </w:t>
      </w:r>
      <w:proofErr w:type="spellStart"/>
      <w:r w:rsidRPr="00A85A61">
        <w:rPr>
          <w:rStyle w:val="15"/>
          <w:rFonts w:ascii="Times New Roman" w:eastAsia="Helvetica Neue" w:hAnsi="Times New Roman" w:cs="Times New Roman"/>
          <w:i/>
          <w:iCs/>
          <w:color w:val="auto"/>
        </w:rPr>
        <w:t>Fakültesi</w:t>
      </w:r>
      <w:proofErr w:type="spellEnd"/>
      <w:r w:rsidRPr="00A85A61">
        <w:rPr>
          <w:rStyle w:val="15"/>
          <w:rFonts w:ascii="Times New Roman" w:eastAsia="Helvetica Neue" w:hAnsi="Times New Roman" w:cs="Times New Roman"/>
          <w:i/>
          <w:iCs/>
          <w:color w:val="auto"/>
        </w:rPr>
        <w:t xml:space="preserve"> </w:t>
      </w:r>
      <w:proofErr w:type="spellStart"/>
      <w:r w:rsidRPr="00A85A61">
        <w:rPr>
          <w:rStyle w:val="15"/>
          <w:rFonts w:ascii="Times New Roman" w:eastAsia="Helvetica Neue" w:hAnsi="Times New Roman" w:cs="Times New Roman"/>
          <w:i/>
          <w:iCs/>
          <w:color w:val="auto"/>
        </w:rPr>
        <w:t>Dergisi</w:t>
      </w:r>
      <w:proofErr w:type="spellEnd"/>
      <w:r w:rsidRPr="00A85A61">
        <w:rPr>
          <w:rStyle w:val="15"/>
          <w:rFonts w:ascii="Times New Roman" w:eastAsia="Helvetica Neue" w:hAnsi="Times New Roman" w:cs="Times New Roman"/>
          <w:i/>
          <w:iCs/>
          <w:color w:val="auto"/>
        </w:rPr>
        <w:t>, 53</w:t>
      </w:r>
      <w:r w:rsidRPr="00A85A61">
        <w:rPr>
          <w:rStyle w:val="15"/>
          <w:rFonts w:ascii="Times New Roman" w:eastAsia="Helvetica Neue" w:hAnsi="Times New Roman" w:cs="Times New Roman"/>
          <w:color w:val="auto"/>
        </w:rPr>
        <w:t xml:space="preserve">(3), 1476–1501. </w:t>
      </w:r>
      <w:hyperlink r:id="rId26" w:history="1">
        <w:r w:rsidR="00E10BFE" w:rsidRPr="00A85A61">
          <w:rPr>
            <w:rStyle w:val="Hyperlink"/>
            <w:rFonts w:ascii="Times New Roman" w:eastAsia="Helvetica Neue" w:hAnsi="Times New Roman"/>
            <w:color w:val="auto"/>
            <w:u w:val="none"/>
          </w:rPr>
          <w:t>https://doi.org/10.14812/cuefd.1269871</w:t>
        </w:r>
      </w:hyperlink>
    </w:p>
    <w:p w14:paraId="2E3EF37C"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Sahib, E. J. (2022). Reading habit and attitude among Filipino pre-service English teachers. </w:t>
      </w:r>
      <w:r w:rsidRPr="00A85A61">
        <w:rPr>
          <w:rStyle w:val="15"/>
          <w:rFonts w:ascii="Times New Roman" w:eastAsia="Helvetica Neue" w:hAnsi="Times New Roman" w:cs="Times New Roman"/>
          <w:i/>
          <w:iCs/>
          <w:color w:val="auto"/>
        </w:rPr>
        <w:t>International Journal on Integrated Education, 5</w:t>
      </w:r>
      <w:r w:rsidRPr="00A85A61">
        <w:rPr>
          <w:rStyle w:val="15"/>
          <w:rFonts w:ascii="Times New Roman" w:eastAsia="Helvetica Neue" w:hAnsi="Times New Roman" w:cs="Times New Roman"/>
          <w:color w:val="auto"/>
        </w:rPr>
        <w:t>(4), 202–215.</w:t>
      </w:r>
      <w:r w:rsidRPr="00A85A61">
        <w:rPr>
          <w:rFonts w:ascii="Times New Roman" w:eastAsia="Helvetica Neue" w:hAnsi="Times New Roman"/>
          <w:color w:val="auto"/>
        </w:rPr>
        <w:t xml:space="preserve"> </w:t>
      </w:r>
    </w:p>
    <w:p w14:paraId="3CDC5B60" w14:textId="492EE3F9"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Solari, E., Hall, C., &amp; McGinty, A. (2021). Brick by brick: A series of </w:t>
      </w:r>
      <w:proofErr w:type="spellStart"/>
      <w:r w:rsidRPr="00A85A61">
        <w:rPr>
          <w:rStyle w:val="15"/>
          <w:rFonts w:ascii="Times New Roman" w:eastAsia="Helvetica Neue" w:hAnsi="Times New Roman" w:cs="Times New Roman"/>
          <w:color w:val="auto"/>
        </w:rPr>
        <w:t>landmarkstudies</w:t>
      </w:r>
      <w:proofErr w:type="spellEnd"/>
      <w:r w:rsidRPr="00A85A61">
        <w:rPr>
          <w:rStyle w:val="15"/>
          <w:rFonts w:ascii="Times New Roman" w:eastAsia="Helvetica Neue" w:hAnsi="Times New Roman" w:cs="Times New Roman"/>
          <w:color w:val="auto"/>
        </w:rPr>
        <w:t xml:space="preserve"> pointing to the importance of early reading intervention. </w:t>
      </w:r>
      <w:r w:rsidRPr="00A85A61">
        <w:rPr>
          <w:rStyle w:val="15"/>
          <w:rFonts w:ascii="Times New Roman" w:eastAsia="Helvetica Neue" w:hAnsi="Times New Roman" w:cs="Times New Roman"/>
          <w:i/>
          <w:iCs/>
          <w:color w:val="auto"/>
        </w:rPr>
        <w:t>The Reading League Journal, 2</w:t>
      </w:r>
      <w:r w:rsidRPr="00A85A61">
        <w:rPr>
          <w:rStyle w:val="15"/>
          <w:rFonts w:ascii="Times New Roman" w:eastAsia="Helvetica Neue" w:hAnsi="Times New Roman" w:cs="Times New Roman"/>
          <w:color w:val="auto"/>
        </w:rPr>
        <w:t>(1), 18–21.</w:t>
      </w:r>
      <w:r w:rsidRPr="00A85A61">
        <w:rPr>
          <w:rFonts w:ascii="Times New Roman" w:eastAsia="Helvetica Neue" w:hAnsi="Times New Roman"/>
          <w:color w:val="auto"/>
        </w:rPr>
        <w:t xml:space="preserve"> </w:t>
      </w:r>
      <w:hyperlink r:id="rId27" w:history="1">
        <w:r w:rsidR="00E10BFE" w:rsidRPr="00A85A61">
          <w:rPr>
            <w:rStyle w:val="Hyperlink"/>
            <w:rFonts w:ascii="Times New Roman" w:eastAsia="Helvetica Neue" w:hAnsi="Times New Roman"/>
            <w:color w:val="auto"/>
            <w:u w:val="none"/>
          </w:rPr>
          <w:t>https://www.spriglearning.com/wp-content/uploads/2022/11/Emily-Solari-2.pdf</w:t>
        </w:r>
      </w:hyperlink>
    </w:p>
    <w:p w14:paraId="5C51DFDB" w14:textId="7EBF0CDA"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r w:rsidRPr="00A85A61">
        <w:rPr>
          <w:rStyle w:val="15"/>
          <w:rFonts w:ascii="Times New Roman" w:eastAsia="Helvetica Neue" w:hAnsi="Times New Roman" w:cs="Times New Roman"/>
          <w:color w:val="auto"/>
        </w:rPr>
        <w:t xml:space="preserve">Sur, E., &amp; Ünal, E. (2024). The mediating role of reading attitude in the relationship between elementary school students’ reading engagement and reading comprehension skills. </w:t>
      </w:r>
      <w:r w:rsidRPr="00A85A61">
        <w:rPr>
          <w:rStyle w:val="15"/>
          <w:rFonts w:ascii="Times New Roman" w:eastAsia="Helvetica Neue" w:hAnsi="Times New Roman" w:cs="Times New Roman"/>
          <w:i/>
          <w:iCs/>
          <w:color w:val="auto"/>
        </w:rPr>
        <w:t>Journal of Theoretical Educational Science, 17</w:t>
      </w:r>
      <w:r w:rsidRPr="00A85A61">
        <w:rPr>
          <w:rStyle w:val="15"/>
          <w:rFonts w:ascii="Times New Roman" w:eastAsia="Helvetica Neue" w:hAnsi="Times New Roman" w:cs="Times New Roman"/>
          <w:color w:val="auto"/>
        </w:rPr>
        <w:t>(2), 307–323.</w:t>
      </w:r>
      <w:r w:rsidRPr="00A85A61">
        <w:rPr>
          <w:rFonts w:ascii="Times New Roman" w:eastAsia="Helvetica Neue" w:hAnsi="Times New Roman"/>
          <w:color w:val="auto"/>
        </w:rPr>
        <w:t xml:space="preserve"> </w:t>
      </w:r>
      <w:hyperlink r:id="rId28" w:history="1">
        <w:r w:rsidR="00E10BFE" w:rsidRPr="00A85A61">
          <w:rPr>
            <w:rStyle w:val="Hyperlink"/>
            <w:rFonts w:ascii="Times New Roman" w:eastAsia="Helvetica Neue" w:hAnsi="Times New Roman"/>
            <w:color w:val="auto"/>
            <w:u w:val="none"/>
          </w:rPr>
          <w:t>https://dergipark.org.tr/en/pub/akukeg/article/1276067</w:t>
        </w:r>
      </w:hyperlink>
    </w:p>
    <w:p w14:paraId="226EDEE8" w14:textId="77777777" w:rsidR="00E10BFE" w:rsidRPr="00A85A61" w:rsidRDefault="003D7DC1" w:rsidP="003D7DC1">
      <w:pPr>
        <w:pStyle w:val="BodyText"/>
        <w:numPr>
          <w:ilvl w:val="0"/>
          <w:numId w:val="1"/>
        </w:numPr>
        <w:spacing w:before="0" w:after="0"/>
        <w:jc w:val="both"/>
        <w:rPr>
          <w:rFonts w:ascii="Times New Roman" w:eastAsia="Helvetica Neue" w:hAnsi="Times New Roman"/>
          <w:color w:val="auto"/>
        </w:rPr>
      </w:pPr>
      <w:r w:rsidRPr="00A85A61">
        <w:rPr>
          <w:rFonts w:ascii="Times New Roman" w:eastAsia="Helvetica Neue" w:hAnsi="Times New Roman"/>
          <w:color w:val="auto"/>
          <w:shd w:val="clear" w:color="auto" w:fill="FFFFFF"/>
        </w:rPr>
        <w:t xml:space="preserve">Szenczi, B., Fejes, J. B., Vígh, T., Hódi, Á., &amp; Tary, B. (2024). Home Reading Support in Grades Four, Six, and Eight: Does Student Reading Motivation </w:t>
      </w:r>
      <w:proofErr w:type="gramStart"/>
      <w:r w:rsidRPr="00A85A61">
        <w:rPr>
          <w:rFonts w:ascii="Times New Roman" w:eastAsia="Helvetica Neue" w:hAnsi="Times New Roman"/>
          <w:color w:val="auto"/>
          <w:shd w:val="clear" w:color="auto" w:fill="FFFFFF"/>
        </w:rPr>
        <w:t>Matter?.</w:t>
      </w:r>
      <w:proofErr w:type="gramEnd"/>
      <w:r w:rsidRPr="00A85A61">
        <w:rPr>
          <w:rFonts w:ascii="Times New Roman" w:eastAsia="Helvetica Neue" w:hAnsi="Times New Roman"/>
          <w:color w:val="auto"/>
          <w:shd w:val="clear" w:color="auto" w:fill="FFFFFF"/>
        </w:rPr>
        <w:t xml:space="preserve"> </w:t>
      </w:r>
      <w:r w:rsidRPr="00A85A61">
        <w:rPr>
          <w:rFonts w:ascii="Times New Roman" w:eastAsia="Helvetica Neue" w:hAnsi="Times New Roman"/>
          <w:i/>
          <w:iCs/>
          <w:color w:val="auto"/>
          <w:shd w:val="clear" w:color="auto" w:fill="FFFFFF"/>
        </w:rPr>
        <w:t>Reading &amp; Writing Quarterly</w:t>
      </w:r>
      <w:r w:rsidRPr="00A85A61">
        <w:rPr>
          <w:rFonts w:ascii="Times New Roman" w:eastAsia="Helvetica Neue" w:hAnsi="Times New Roman"/>
          <w:color w:val="auto"/>
          <w:shd w:val="clear" w:color="auto" w:fill="FFFFFF"/>
        </w:rPr>
        <w:t xml:space="preserve">, </w:t>
      </w:r>
      <w:r w:rsidRPr="00A85A61">
        <w:rPr>
          <w:rFonts w:ascii="Times New Roman" w:eastAsia="Helvetica Neue" w:hAnsi="Times New Roman"/>
          <w:i/>
          <w:iCs/>
          <w:color w:val="auto"/>
          <w:shd w:val="clear" w:color="auto" w:fill="FFFFFF"/>
        </w:rPr>
        <w:t>40</w:t>
      </w:r>
      <w:r w:rsidRPr="00A85A61">
        <w:rPr>
          <w:rFonts w:ascii="Times New Roman" w:eastAsia="Helvetica Neue" w:hAnsi="Times New Roman"/>
          <w:color w:val="auto"/>
          <w:shd w:val="clear" w:color="auto" w:fill="FFFFFF"/>
        </w:rPr>
        <w:t>(5), 489-511.</w:t>
      </w:r>
      <w:r w:rsidRPr="00A85A61">
        <w:rPr>
          <w:rFonts w:ascii="Times New Roman" w:eastAsia="Helvetica Neue" w:hAnsi="Times New Roman"/>
          <w:color w:val="auto"/>
        </w:rPr>
        <w:t xml:space="preserve"> </w:t>
      </w:r>
      <w:hyperlink r:id="rId29" w:history="1">
        <w:r w:rsidRPr="00A85A61">
          <w:rPr>
            <w:rStyle w:val="16"/>
            <w:rFonts w:ascii="Times New Roman" w:eastAsia="Helvetica Neue" w:hAnsi="Times New Roman" w:cs="Times New Roman"/>
            <w:color w:val="auto"/>
            <w:u w:val="none"/>
          </w:rPr>
          <w:t>https://doi.org/10.1080/10573569.2023.2286960</w:t>
        </w:r>
      </w:hyperlink>
    </w:p>
    <w:p w14:paraId="3F14C0B8" w14:textId="77777777" w:rsidR="00E10BFE" w:rsidRPr="00A85A61" w:rsidRDefault="003D7DC1" w:rsidP="003D7DC1">
      <w:pPr>
        <w:pStyle w:val="BodyText"/>
        <w:numPr>
          <w:ilvl w:val="0"/>
          <w:numId w:val="1"/>
        </w:numPr>
        <w:spacing w:before="0" w:after="0"/>
        <w:jc w:val="both"/>
        <w:rPr>
          <w:rStyle w:val="15"/>
          <w:rFonts w:ascii="Times New Roman" w:eastAsia="Helvetica Neue" w:hAnsi="Times New Roman" w:cs="Times New Roman"/>
          <w:color w:val="auto"/>
        </w:rPr>
      </w:pPr>
      <w:proofErr w:type="spellStart"/>
      <w:r w:rsidRPr="00A85A61">
        <w:rPr>
          <w:rFonts w:ascii="Times New Roman" w:eastAsia="Helvetica Neue" w:hAnsi="Times New Roman"/>
          <w:color w:val="auto"/>
          <w:shd w:val="clear" w:color="auto" w:fill="FFFFFF"/>
        </w:rPr>
        <w:t>Tegmark</w:t>
      </w:r>
      <w:proofErr w:type="spellEnd"/>
      <w:r w:rsidRPr="00A85A61">
        <w:rPr>
          <w:rFonts w:ascii="Times New Roman" w:eastAsia="Helvetica Neue" w:hAnsi="Times New Roman"/>
          <w:color w:val="auto"/>
          <w:shd w:val="clear" w:color="auto" w:fill="FFFFFF"/>
        </w:rPr>
        <w:t xml:space="preserve">, M., Alatalo, T., </w:t>
      </w:r>
      <w:proofErr w:type="spellStart"/>
      <w:r w:rsidRPr="00A85A61">
        <w:rPr>
          <w:rFonts w:ascii="Times New Roman" w:eastAsia="Helvetica Neue" w:hAnsi="Times New Roman"/>
          <w:color w:val="auto"/>
          <w:shd w:val="clear" w:color="auto" w:fill="FFFFFF"/>
        </w:rPr>
        <w:t>Vinterek</w:t>
      </w:r>
      <w:proofErr w:type="spellEnd"/>
      <w:r w:rsidRPr="00A85A61">
        <w:rPr>
          <w:rFonts w:ascii="Times New Roman" w:eastAsia="Helvetica Neue" w:hAnsi="Times New Roman"/>
          <w:color w:val="auto"/>
          <w:shd w:val="clear" w:color="auto" w:fill="FFFFFF"/>
        </w:rPr>
        <w:t xml:space="preserve">, M., &amp; Winberg, M. (2022). What motivates students to read at school? Student views on reading practices in middle and lower‐secondary school. </w:t>
      </w:r>
      <w:r w:rsidRPr="00A85A61">
        <w:rPr>
          <w:rFonts w:ascii="Times New Roman" w:eastAsia="Helvetica Neue" w:hAnsi="Times New Roman"/>
          <w:i/>
          <w:iCs/>
          <w:color w:val="auto"/>
          <w:shd w:val="clear" w:color="auto" w:fill="FFFFFF"/>
        </w:rPr>
        <w:t>Journal of Research in Reading</w:t>
      </w:r>
      <w:r w:rsidRPr="00A85A61">
        <w:rPr>
          <w:rFonts w:ascii="Times New Roman" w:eastAsia="Helvetica Neue" w:hAnsi="Times New Roman"/>
          <w:color w:val="auto"/>
          <w:shd w:val="clear" w:color="auto" w:fill="FFFFFF"/>
        </w:rPr>
        <w:t xml:space="preserve">, </w:t>
      </w:r>
      <w:r w:rsidRPr="00A85A61">
        <w:rPr>
          <w:rFonts w:ascii="Times New Roman" w:eastAsia="Helvetica Neue" w:hAnsi="Times New Roman"/>
          <w:i/>
          <w:iCs/>
          <w:color w:val="auto"/>
          <w:shd w:val="clear" w:color="auto" w:fill="FFFFFF"/>
        </w:rPr>
        <w:t>45</w:t>
      </w:r>
      <w:r w:rsidRPr="00A85A61">
        <w:rPr>
          <w:rFonts w:ascii="Times New Roman" w:eastAsia="Helvetica Neue" w:hAnsi="Times New Roman"/>
          <w:color w:val="auto"/>
          <w:shd w:val="clear" w:color="auto" w:fill="FFFFFF"/>
        </w:rPr>
        <w:t>(1), 100-118.</w:t>
      </w:r>
      <w:hyperlink r:id="rId30" w:history="1">
        <w:r w:rsidRPr="00A85A61">
          <w:rPr>
            <w:rStyle w:val="16"/>
            <w:rFonts w:ascii="Times New Roman" w:eastAsia="Helvetica Neue" w:hAnsi="Times New Roman" w:cs="Times New Roman"/>
            <w:color w:val="auto"/>
            <w:u w:val="none"/>
            <w:shd w:val="clear" w:color="auto" w:fill="FFFFFF"/>
          </w:rPr>
          <w:t>https://doi.org/10.1111/1467-9817.12386</w:t>
        </w:r>
      </w:hyperlink>
      <w:r w:rsidRPr="00A85A61">
        <w:rPr>
          <w:rFonts w:ascii="Times New Roman" w:eastAsia="Helvetica Neue" w:hAnsi="Times New Roman"/>
          <w:color w:val="auto"/>
        </w:rPr>
        <w:t xml:space="preserve"> </w:t>
      </w:r>
    </w:p>
    <w:p w14:paraId="60FD3616" w14:textId="65E32051" w:rsidR="003D7DC1" w:rsidRPr="00A85A61" w:rsidRDefault="003D7DC1" w:rsidP="00E10BFE">
      <w:pPr>
        <w:pStyle w:val="BodyText"/>
        <w:numPr>
          <w:ilvl w:val="0"/>
          <w:numId w:val="1"/>
        </w:numPr>
        <w:spacing w:before="0" w:after="0"/>
        <w:jc w:val="both"/>
        <w:rPr>
          <w:rFonts w:ascii="Times New Roman" w:eastAsia="Helvetica Neue" w:hAnsi="Times New Roman"/>
          <w:color w:val="auto"/>
        </w:rPr>
      </w:pPr>
      <w:r w:rsidRPr="00A85A61">
        <w:rPr>
          <w:rStyle w:val="15"/>
          <w:rFonts w:ascii="Times New Roman" w:eastAsia="Helvetica Neue" w:hAnsi="Times New Roman" w:cs="Times New Roman"/>
          <w:color w:val="auto"/>
        </w:rPr>
        <w:t xml:space="preserve">Wu, Q., &amp; Hindman, A. H. (2024). The relations between parents’ beliefs, parents’ home reading practices, and their children’s literacy development in kindergarten. </w:t>
      </w:r>
      <w:r w:rsidRPr="00A85A61">
        <w:rPr>
          <w:rStyle w:val="15"/>
          <w:rFonts w:ascii="Times New Roman" w:eastAsia="Helvetica Neue" w:hAnsi="Times New Roman" w:cs="Times New Roman"/>
          <w:i/>
          <w:iCs/>
          <w:color w:val="auto"/>
        </w:rPr>
        <w:t>Child &amp; Youth Care Forum</w:t>
      </w:r>
      <w:r w:rsidRPr="00A85A61">
        <w:rPr>
          <w:rStyle w:val="15"/>
          <w:rFonts w:ascii="Times New Roman" w:eastAsia="Helvetica Neue" w:hAnsi="Times New Roman" w:cs="Times New Roman"/>
          <w:color w:val="auto"/>
        </w:rPr>
        <w:t>. https://doi.org/10.1007/s10566-024-09813-9</w:t>
      </w:r>
    </w:p>
    <w:p w14:paraId="5655B706" w14:textId="77777777" w:rsidR="003D7DC1" w:rsidRPr="003D7DC1" w:rsidRDefault="003D7DC1" w:rsidP="003D7DC1">
      <w:pPr>
        <w:rPr>
          <w:rFonts w:ascii="Times New Roman" w:hAnsi="Times New Roman"/>
        </w:rPr>
      </w:pPr>
    </w:p>
    <w:sectPr w:rsidR="003D7DC1" w:rsidRPr="003D7DC1" w:rsidSect="0035120B">
      <w:pgSz w:w="11906" w:h="16838" w:code="9"/>
      <w:pgMar w:top="1077" w:right="607" w:bottom="839" w:left="607"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8EDB" w14:textId="77777777" w:rsidR="00081E43" w:rsidRDefault="00081E43" w:rsidP="0035120B">
      <w:pPr>
        <w:spacing w:before="0" w:after="0" w:line="240" w:lineRule="auto"/>
      </w:pPr>
      <w:r>
        <w:separator/>
      </w:r>
    </w:p>
  </w:endnote>
  <w:endnote w:type="continuationSeparator" w:id="0">
    <w:p w14:paraId="208C5ED4" w14:textId="77777777" w:rsidR="00081E43" w:rsidRDefault="00081E43" w:rsidP="003512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95F0" w14:textId="77777777" w:rsidR="00081E43" w:rsidRDefault="00081E43" w:rsidP="0035120B">
      <w:pPr>
        <w:spacing w:before="0" w:after="0" w:line="240" w:lineRule="auto"/>
      </w:pPr>
      <w:r>
        <w:separator/>
      </w:r>
    </w:p>
  </w:footnote>
  <w:footnote w:type="continuationSeparator" w:id="0">
    <w:p w14:paraId="22859A86" w14:textId="77777777" w:rsidR="00081E43" w:rsidRDefault="00081E43" w:rsidP="0035120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51AB"/>
    <w:multiLevelType w:val="hybridMultilevel"/>
    <w:tmpl w:val="9F56133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3853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C1"/>
    <w:rsid w:val="00081E43"/>
    <w:rsid w:val="00332D2D"/>
    <w:rsid w:val="0035120B"/>
    <w:rsid w:val="003D7DC1"/>
    <w:rsid w:val="00435C39"/>
    <w:rsid w:val="00A85A61"/>
    <w:rsid w:val="00E10B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AFAE"/>
  <w15:chartTrackingRefBased/>
  <w15:docId w15:val="{F9AB9AB0-B838-4224-A29A-411B4999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DC1"/>
    <w:pPr>
      <w:spacing w:before="100" w:beforeAutospacing="1" w:after="200" w:line="273" w:lineRule="auto"/>
    </w:pPr>
    <w:rPr>
      <w:rFonts w:ascii="Calibri" w:eastAsia="DengXian" w:hAnsi="Calibri" w:cs="Times New Roman"/>
      <w:lang w:eastAsia="en-PH"/>
    </w:rPr>
  </w:style>
  <w:style w:type="paragraph" w:styleId="Heading1">
    <w:name w:val="heading 1"/>
    <w:basedOn w:val="Normal"/>
    <w:next w:val="Normal"/>
    <w:link w:val="Heading1Char"/>
    <w:uiPriority w:val="99"/>
    <w:qFormat/>
    <w:rsid w:val="003D7DC1"/>
    <w:pPr>
      <w:keepNext/>
      <w:keepLines/>
      <w:widowControl w:val="0"/>
      <w:spacing w:before="480" w:beforeAutospacing="0" w:after="0"/>
      <w:outlineLvl w:val="0"/>
    </w:pPr>
    <w:rPr>
      <w:rFonts w:ascii="Calibri Light" w:eastAsia="DengXian Light"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D7DC1"/>
    <w:rPr>
      <w:rFonts w:ascii="Calibri Light" w:eastAsia="DengXian Light" w:hAnsi="Calibri Light" w:cs="Times New Roman"/>
      <w:b/>
      <w:bCs/>
      <w:color w:val="2F5496"/>
      <w:sz w:val="28"/>
      <w:szCs w:val="28"/>
      <w:lang w:eastAsia="en-PH"/>
    </w:rPr>
  </w:style>
  <w:style w:type="paragraph" w:styleId="NormalWeb">
    <w:name w:val="Normal (Web)"/>
    <w:basedOn w:val="Normal"/>
    <w:uiPriority w:val="99"/>
    <w:unhideWhenUsed/>
    <w:rsid w:val="003D7DC1"/>
    <w:pPr>
      <w:spacing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unhideWhenUsed/>
    <w:rsid w:val="003D7DC1"/>
    <w:pPr>
      <w:spacing w:before="180" w:beforeAutospacing="0" w:after="180" w:line="240" w:lineRule="auto"/>
    </w:pPr>
    <w:rPr>
      <w:rFonts w:ascii="Helvetica Neue" w:eastAsia="Times New Roman" w:hAnsi="Helvetica Neue"/>
      <w:color w:val="000000"/>
      <w:sz w:val="24"/>
      <w:szCs w:val="24"/>
    </w:rPr>
  </w:style>
  <w:style w:type="character" w:customStyle="1" w:styleId="BodyTextChar">
    <w:name w:val="Body Text Char"/>
    <w:basedOn w:val="DefaultParagraphFont"/>
    <w:link w:val="BodyText"/>
    <w:uiPriority w:val="99"/>
    <w:rsid w:val="003D7DC1"/>
    <w:rPr>
      <w:rFonts w:ascii="Helvetica Neue" w:eastAsia="Times New Roman" w:hAnsi="Helvetica Neue" w:cs="Times New Roman"/>
      <w:color w:val="000000"/>
      <w:sz w:val="24"/>
      <w:szCs w:val="24"/>
      <w:lang w:eastAsia="en-PH"/>
    </w:rPr>
  </w:style>
  <w:style w:type="character" w:customStyle="1" w:styleId="15">
    <w:name w:val="15"/>
    <w:basedOn w:val="DefaultParagraphFont"/>
    <w:rsid w:val="003D7DC1"/>
    <w:rPr>
      <w:rFonts w:ascii="Calibri" w:hAnsi="Calibri" w:cs="Calibri" w:hint="default"/>
    </w:rPr>
  </w:style>
  <w:style w:type="character" w:customStyle="1" w:styleId="16">
    <w:name w:val="16"/>
    <w:basedOn w:val="DefaultParagraphFont"/>
    <w:rsid w:val="003D7DC1"/>
    <w:rPr>
      <w:rFonts w:ascii="Calibri" w:hAnsi="Calibri" w:cs="Calibri" w:hint="default"/>
      <w:color w:val="0000FF"/>
      <w:u w:val="single"/>
    </w:rPr>
  </w:style>
  <w:style w:type="character" w:customStyle="1" w:styleId="17">
    <w:name w:val="17"/>
    <w:basedOn w:val="DefaultParagraphFont"/>
    <w:rsid w:val="003D7DC1"/>
    <w:rPr>
      <w:rFonts w:ascii="Calibri" w:hAnsi="Calibri" w:cs="Calibri" w:hint="default"/>
      <w:i/>
      <w:iCs/>
    </w:rPr>
  </w:style>
  <w:style w:type="paragraph" w:styleId="Header">
    <w:name w:val="header"/>
    <w:basedOn w:val="Normal"/>
    <w:link w:val="HeaderChar"/>
    <w:uiPriority w:val="99"/>
    <w:unhideWhenUsed/>
    <w:rsid w:val="0035120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120B"/>
    <w:rPr>
      <w:rFonts w:ascii="Calibri" w:eastAsia="DengXian" w:hAnsi="Calibri" w:cs="Times New Roman"/>
      <w:lang w:eastAsia="en-PH"/>
    </w:rPr>
  </w:style>
  <w:style w:type="paragraph" w:styleId="Footer">
    <w:name w:val="footer"/>
    <w:basedOn w:val="Normal"/>
    <w:link w:val="FooterChar"/>
    <w:uiPriority w:val="99"/>
    <w:unhideWhenUsed/>
    <w:rsid w:val="0035120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120B"/>
    <w:rPr>
      <w:rFonts w:ascii="Calibri" w:eastAsia="DengXian" w:hAnsi="Calibri" w:cs="Times New Roman"/>
      <w:lang w:eastAsia="en-PH"/>
    </w:rPr>
  </w:style>
  <w:style w:type="character" w:styleId="Hyperlink">
    <w:name w:val="Hyperlink"/>
    <w:basedOn w:val="DefaultParagraphFont"/>
    <w:uiPriority w:val="99"/>
    <w:unhideWhenUsed/>
    <w:rsid w:val="0035120B"/>
    <w:rPr>
      <w:color w:val="0563C1" w:themeColor="hyperlink"/>
      <w:u w:val="single"/>
    </w:rPr>
  </w:style>
  <w:style w:type="character" w:styleId="UnresolvedMention">
    <w:name w:val="Unresolved Mention"/>
    <w:basedOn w:val="DefaultParagraphFont"/>
    <w:uiPriority w:val="99"/>
    <w:semiHidden/>
    <w:unhideWhenUsed/>
    <w:rsid w:val="00351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7284/eajes.5.2.656" TargetMode="External"/><Relationship Id="rId18" Type="http://schemas.openxmlformats.org/officeDocument/2006/relationships/hyperlink" Target="https://www.imls.gov/sites/default/files/2024-04/research-motivation-literacy-reading-development-report.pdf?utm_source=chatgpt.com" TargetMode="External"/><Relationship Id="rId26" Type="http://schemas.openxmlformats.org/officeDocument/2006/relationships/hyperlink" Target="https://doi.org/10.14812/cuefd.1269871" TargetMode="External"/><Relationship Id="rId3" Type="http://schemas.openxmlformats.org/officeDocument/2006/relationships/settings" Target="settings.xml"/><Relationship Id="rId21" Type="http://schemas.openxmlformats.org/officeDocument/2006/relationships/hyperlink" Target="https://philpapers.org/archive/IDUFSR-2.pdf" TargetMode="External"/><Relationship Id="rId7" Type="http://schemas.openxmlformats.org/officeDocument/2006/relationships/hyperlink" Target="mailto:lorengailvillarosa@g.msuiit.edu.ph" TargetMode="External"/><Relationship Id="rId12" Type="http://schemas.openxmlformats.org/officeDocument/2006/relationships/hyperlink" Target="https://doi.org/10.54097/fyfse108" TargetMode="External"/><Relationship Id="rId17" Type="http://schemas.openxmlformats.org/officeDocument/2006/relationships/hyperlink" Target="https://www.vox.com/culture/386286/kids-reading-literacy-crisis-books" TargetMode="External"/><Relationship Id="rId25" Type="http://schemas.openxmlformats.org/officeDocument/2006/relationships/hyperlink" Target="https://doi.org/10.31686/ijier.vol6.iss5.1032" TargetMode="External"/><Relationship Id="rId2" Type="http://schemas.openxmlformats.org/officeDocument/2006/relationships/styles" Target="styles.xml"/><Relationship Id="rId16" Type="http://schemas.openxmlformats.org/officeDocument/2006/relationships/hyperlink" Target="https://doi.org/10.58583/em.3.3.4" TargetMode="External"/><Relationship Id="rId20" Type="http://schemas.openxmlformats.org/officeDocument/2006/relationships/hyperlink" Target="https://files.eric.ed.gov/fulltext/ED608237.pdf" TargetMode="External"/><Relationship Id="rId29" Type="http://schemas.openxmlformats.org/officeDocument/2006/relationships/hyperlink" Target="https://doi.org/10.1080/10573569.2023.22869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rnal.uin-antasari.ac.id/index.php/adzka/article/view/14720" TargetMode="External"/><Relationship Id="rId24" Type="http://schemas.openxmlformats.org/officeDocument/2006/relationships/hyperlink" Target="https://journalajess.com/index.php/AJESS/article/view/1322/257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19404158.2020.1734952" TargetMode="External"/><Relationship Id="rId23" Type="http://schemas.openxmlformats.org/officeDocument/2006/relationships/hyperlink" Target="https://www.jstor.org/stable/748205" TargetMode="External"/><Relationship Id="rId28" Type="http://schemas.openxmlformats.org/officeDocument/2006/relationships/hyperlink" Target="https://dergipark.org.tr/en/pub/akukeg/article/1276067" TargetMode="External"/><Relationship Id="rId10" Type="http://schemas.openxmlformats.org/officeDocument/2006/relationships/hyperlink" Target="https://doi.org/10.1007/S10643-021-01177-2" TargetMode="External"/><Relationship Id="rId19" Type="http://schemas.openxmlformats.org/officeDocument/2006/relationships/hyperlink" Target="https://www.proquest.com/openview/74f537165946759642d1e4c42f398b86/1?pq-origsite=gscholar&amp;cbl=18750&amp;diss=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heliyon.2022.e09946" TargetMode="External"/><Relationship Id="rId14" Type="http://schemas.openxmlformats.org/officeDocument/2006/relationships/hyperlink" Target="https://doi.org/10.1186/s40536-024-00233-8" TargetMode="External"/><Relationship Id="rId22" Type="http://schemas.openxmlformats.org/officeDocument/2006/relationships/hyperlink" Target="https://www.ejournals.ph/article.php?id=27855" TargetMode="External"/><Relationship Id="rId27" Type="http://schemas.openxmlformats.org/officeDocument/2006/relationships/hyperlink" Target="https://www.spriglearning.com/wp-content/uploads/2022/11/Emily-Solari-2.pdf" TargetMode="External"/><Relationship Id="rId30" Type="http://schemas.openxmlformats.org/officeDocument/2006/relationships/hyperlink" Target="https://doi.org/10.1111/1467-9817.12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4448</Words>
  <Characters>25356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Gail Villarosa</dc:creator>
  <cp:keywords/>
  <dc:description/>
  <cp:lastModifiedBy>Loren Gail Villarosa</cp:lastModifiedBy>
  <cp:revision>1</cp:revision>
  <dcterms:created xsi:type="dcterms:W3CDTF">2026-06-07T14:12:00Z</dcterms:created>
  <dcterms:modified xsi:type="dcterms:W3CDTF">2026-06-07T15:05:00Z</dcterms:modified>
</cp:coreProperties>
</file>