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E666" w14:textId="2F9BFCFA" w:rsidR="00A22140" w:rsidRPr="004D47B7" w:rsidRDefault="004D47B7" w:rsidP="00A22140">
      <w:pPr>
        <w:jc w:val="center"/>
        <w:rPr>
          <w:b/>
          <w:sz w:val="52"/>
          <w:szCs w:val="52"/>
        </w:rPr>
      </w:pPr>
      <w:r w:rsidRPr="004D47B7">
        <w:rPr>
          <w:b/>
          <w:sz w:val="52"/>
          <w:szCs w:val="52"/>
        </w:rPr>
        <w:t>A REVIEW AND WEBOMETRIC MAPPING VISIBILITY OF MAJLIS AMANAH RAKYAT (MARA)</w:t>
      </w:r>
    </w:p>
    <w:p w14:paraId="72D25C3A" w14:textId="77777777" w:rsidR="006218D5" w:rsidRDefault="006218D5" w:rsidP="00A22140">
      <w:pPr>
        <w:jc w:val="center"/>
      </w:pPr>
    </w:p>
    <w:p w14:paraId="00D087C3" w14:textId="3A1375F1" w:rsidR="00A22140" w:rsidRDefault="00A22140" w:rsidP="00A22140">
      <w:pPr>
        <w:jc w:val="center"/>
      </w:pPr>
      <w:r w:rsidRPr="00651556">
        <w:rPr>
          <w:bCs/>
          <w:lang w:val="ms-MY"/>
        </w:rPr>
        <w:t/>
      </w:r>
      <w:r w:rsidRPr="00651556">
        <w:rPr>
          <w:bCs/>
          <w:vertAlign w:val="superscript"/>
          <w:lang w:val="ms-MY"/>
        </w:rPr>
        <w:t xml:space="preserve"/>
      </w:r>
      <w:r w:rsidRPr="00651556">
        <w:rPr>
          <w:bCs/>
          <w:vertAlign w:val="superscript"/>
        </w:rPr>
        <w:t/>
      </w:r>
      <w:r w:rsidR="00D557FA">
        <w:rPr>
          <w:bCs/>
          <w:vertAlign w:val="superscript"/>
        </w:rPr>
        <w:t/>
      </w:r>
      <w:r w:rsidR="00D557FA" w:rsidRPr="00D95FED">
        <w:rPr>
          <w:bCs/>
          <w:vertAlign w:val="superscript"/>
        </w:rPr>
        <w:t xml:space="preserve"/>
      </w:r>
      <w:r w:rsidR="00D557FA" w:rsidRPr="00D95FED">
        <w:rPr>
          <w:vertAlign w:val="superscript"/>
        </w:rPr>
        <w:t/>
      </w:r>
      <w:r w:rsidRPr="00D95FED">
        <w:rPr>
          <w:vertAlign w:val="superscript"/>
        </w:rPr>
        <w:t/>
      </w:r>
    </w:p>
    <w:p w14:paraId="5AF4F9DD" w14:textId="77777777" w:rsidR="00A22140" w:rsidRDefault="00A22140" w:rsidP="00A22140">
      <w:pPr>
        <w:jc w:val="center"/>
      </w:pPr>
      <w:r>
        <w:t xml:space="preserve"> </w:t>
      </w:r>
    </w:p>
    <w:p w14:paraId="032282B4" w14:textId="30E2AFA8" w:rsidR="00A22140" w:rsidRDefault="00A22140" w:rsidP="00A22140">
      <w:pPr>
        <w:jc w:val="center"/>
      </w:pPr>
      <w:r>
        <w:rPr>
          <w:vertAlign w:val="superscript"/>
        </w:rPr>
        <w:t/>
      </w:r>
      <w:r w:rsidRPr="00651556">
        <w:rPr>
          <w:rFonts w:eastAsiaTheme="minorHAnsi" w:cstheme="minorBidi"/>
          <w:noProof/>
          <w:szCs w:val="22"/>
          <w:lang w:val="ms-MY" w:eastAsia="en-US"/>
        </w:rPr>
        <w:t xml:space="preserve"/>
      </w:r>
      <w:r w:rsidRPr="00A22140">
        <w:t/>
      </w:r>
      <w:r w:rsidRPr="00651556">
        <w:rPr>
          <w:lang w:val="ms-MY"/>
        </w:rPr>
        <w:t/>
      </w:r>
      <w:r w:rsidRPr="00651556">
        <w:t xml:space="preserve"/>
      </w:r>
    </w:p>
    <w:p w14:paraId="72D2D1BF" w14:textId="22D6C446" w:rsidR="00442EA5" w:rsidRPr="000808F3" w:rsidRDefault="00D95FED" w:rsidP="00A22140">
      <w:pPr>
        <w:jc w:val="center"/>
      </w:pPr>
      <w:r w:rsidRPr="00D95FED">
        <w:rPr>
          <w:vertAlign w:val="superscript"/>
        </w:rPr>
        <w:t/>
      </w:r>
      <w:r>
        <w:rPr>
          <w:vertAlign w:val="superscript"/>
        </w:rPr>
        <w:t xml:space="preserve"/>
      </w:r>
      <w:r w:rsidR="00685745">
        <w:t xml:space="preserve"/>
      </w:r>
      <w:r w:rsidR="00731126">
        <w:t/>
      </w:r>
      <w:r w:rsidR="004D117A">
        <w:t/>
      </w:r>
      <w:r w:rsidR="00731126">
        <w:t xml:space="preserve"/>
      </w:r>
    </w:p>
    <w:p w14:paraId="5DFCD794" w14:textId="66D81950" w:rsidR="00A22140" w:rsidRDefault="00A22140" w:rsidP="00A22140">
      <w:pPr>
        <w:jc w:val="center"/>
      </w:pPr>
    </w:p>
    <w:p w14:paraId="47E73EB4" w14:textId="5BB524D6" w:rsidR="00A22140" w:rsidRDefault="00A22140" w:rsidP="00A22140">
      <w:pPr>
        <w:jc w:val="center"/>
      </w:pPr>
      <w:r>
        <w:rPr>
          <w:vertAlign w:val="superscript"/>
        </w:rPr>
        <w:t/>
      </w:r>
      <w:r>
        <w:t/>
      </w:r>
      <w:r w:rsidR="00B9089B">
        <w:t/>
      </w:r>
    </w:p>
    <w:p w14:paraId="5723019A" w14:textId="77777777" w:rsidR="00F208E2" w:rsidRDefault="00F208E2"/>
    <w:p w14:paraId="33312DEA" w14:textId="11DD3421" w:rsidR="00A22140" w:rsidRPr="00ED45D7" w:rsidRDefault="004D47B7">
      <w:pPr>
        <w:rPr>
          <w:b/>
          <w:bCs/>
          <w:sz w:val="28"/>
          <w:szCs w:val="28"/>
        </w:rPr>
      </w:pPr>
      <w:r w:rsidRPr="00ED45D7">
        <w:rPr>
          <w:b/>
          <w:bCs/>
          <w:sz w:val="28"/>
          <w:szCs w:val="28"/>
        </w:rPr>
        <w:t>ABSTRACT</w:t>
      </w:r>
    </w:p>
    <w:p w14:paraId="1F8234CE" w14:textId="62ED5F3B" w:rsidR="00491F2D" w:rsidRDefault="00491F2D" w:rsidP="00491F2D"/>
    <w:p w14:paraId="744B12A8" w14:textId="38371C99" w:rsidR="00491F2D" w:rsidRDefault="00491F2D" w:rsidP="00ED45D7">
      <w:pPr>
        <w:jc w:val="both"/>
      </w:pPr>
      <w:r>
        <w:t>This study examines how well the official Majlis Amanah Rakyat (MARA) website serves the public in areas like education and business. By using data from February 2026, the research analyzes how people use the site and how visible it is online.</w:t>
      </w:r>
      <w:r w:rsidR="004D47B7">
        <w:t xml:space="preserve"> </w:t>
      </w:r>
      <w:r>
        <w:t>The data shows that the website is a busy hub, recording over 625,000 visits in February, with most users (59%) accessing it via mobile phones. The site is very helpful because it clearly links to important government services like loan applications and business support. However, the study also found that website traffic dropped by about 15% compared to the previous month.</w:t>
      </w:r>
      <w:r w:rsidR="004D47B7">
        <w:t xml:space="preserve"> </w:t>
      </w:r>
      <w:r>
        <w:t>While the website is well-organized, there are areas that need improvement. Specifically, some parts of the site are not fully translated into English, and the mobile experience could be smoother. Additionally, while the site ranks well within Malaysia, it could reach more people globally by improving its search engine settings and building more links from other websites. Overall, the MARA portal is a strong and useful tool, but making these updates will help it better serve the public and grow its online presence.</w:t>
      </w:r>
    </w:p>
    <w:p w14:paraId="2600A990" w14:textId="77777777" w:rsidR="00A22140" w:rsidRDefault="00A22140" w:rsidP="00ED45D7">
      <w:pPr>
        <w:jc w:val="both"/>
      </w:pPr>
    </w:p>
    <w:p w14:paraId="7AC28CE6" w14:textId="77777777" w:rsidR="00A22140" w:rsidRDefault="00A22140" w:rsidP="00ED45D7">
      <w:pPr>
        <w:jc w:val="both"/>
      </w:pPr>
    </w:p>
    <w:p w14:paraId="00E5EE72" w14:textId="77777777" w:rsidR="00A22140" w:rsidRDefault="00A22140" w:rsidP="00ED45D7">
      <w:pPr>
        <w:jc w:val="both"/>
      </w:pPr>
    </w:p>
    <w:p w14:paraId="650BC3BC" w14:textId="77777777" w:rsidR="00A22140" w:rsidRDefault="00A22140" w:rsidP="00ED45D7">
      <w:pPr>
        <w:jc w:val="both"/>
      </w:pPr>
    </w:p>
    <w:p w14:paraId="17364E0E" w14:textId="77777777" w:rsidR="00A22140" w:rsidRDefault="00A22140" w:rsidP="00ED45D7">
      <w:pPr>
        <w:jc w:val="both"/>
      </w:pPr>
    </w:p>
    <w:p w14:paraId="28B8554F" w14:textId="77777777" w:rsidR="00A22140" w:rsidRDefault="00A22140" w:rsidP="00ED45D7">
      <w:pPr>
        <w:jc w:val="both"/>
      </w:pPr>
    </w:p>
    <w:p w14:paraId="150ECB54" w14:textId="77777777" w:rsidR="00A22140" w:rsidRDefault="00A22140"/>
    <w:p w14:paraId="1FA8F372" w14:textId="77777777" w:rsidR="00A22140" w:rsidRDefault="00A22140"/>
    <w:p w14:paraId="7643A535" w14:textId="77777777" w:rsidR="00C055C9" w:rsidRDefault="00C055C9"/>
    <w:p w14:paraId="743116E4" w14:textId="77777777" w:rsidR="00C055C9" w:rsidRDefault="00C055C9"/>
    <w:p w14:paraId="59027BA0" w14:textId="77777777" w:rsidR="00C055C9" w:rsidRDefault="00C055C9"/>
    <w:p w14:paraId="6EDF0A49" w14:textId="77777777" w:rsidR="00C055C9" w:rsidRDefault="00C055C9"/>
    <w:p w14:paraId="2924AC9F" w14:textId="77777777" w:rsidR="00C055C9" w:rsidRDefault="00C055C9"/>
    <w:p w14:paraId="0EA349E1" w14:textId="77777777" w:rsidR="00A22140" w:rsidRDefault="00A22140"/>
    <w:p w14:paraId="5F15D4DC" w14:textId="77777777" w:rsidR="00A22140" w:rsidRDefault="00A22140"/>
    <w:p w14:paraId="7A27D2F3" w14:textId="77777777" w:rsidR="00A22140" w:rsidRDefault="00A22140"/>
    <w:p w14:paraId="3132A75D" w14:textId="77777777" w:rsidR="00187317" w:rsidRDefault="00187317"/>
    <w:p w14:paraId="33BF842E" w14:textId="77777777" w:rsidR="00A22140" w:rsidRDefault="00A22140"/>
    <w:p w14:paraId="61E4566D" w14:textId="0D332AE3" w:rsidR="00A22140" w:rsidRDefault="00187317">
      <w:pPr>
        <w:rPr>
          <w:b/>
          <w:bCs/>
        </w:rPr>
      </w:pPr>
      <w:r w:rsidRPr="00A22140">
        <w:rPr>
          <w:b/>
          <w:bCs/>
        </w:rPr>
        <w:lastRenderedPageBreak/>
        <w:t>INTRODUCTION</w:t>
      </w:r>
    </w:p>
    <w:p w14:paraId="2F83D0CE" w14:textId="77777777" w:rsidR="00A22140" w:rsidRDefault="00A22140">
      <w:pPr>
        <w:rPr>
          <w:b/>
          <w:bCs/>
        </w:rPr>
      </w:pPr>
    </w:p>
    <w:p w14:paraId="41BB1C52" w14:textId="3A30333F" w:rsidR="00A22140" w:rsidRDefault="00AB134C" w:rsidP="00AB134C">
      <w:pPr>
        <w:jc w:val="both"/>
      </w:pPr>
      <w:r w:rsidRPr="00AB134C">
        <w:t>The official website of Majlis Amanah Rakyat (MARA) serves as a central digital platform for delivering information, services, and updates related to education, entrepreneurship, and socioeconomic development in Malaysia. As a government agency under the Ministry of Rural and Regional Development, MARA’s website plays a crucial role in connecting the public with institutional services and initiatives. This review evaluates the MARA portal in terms of design, content, usability, accessibility, and webometric visibility, providing a comprehensive assessment of its effectiveness as a digital platform.</w:t>
      </w:r>
    </w:p>
    <w:p w14:paraId="59035FA3" w14:textId="77777777" w:rsidR="00035EA0" w:rsidRPr="00035EA0" w:rsidRDefault="00035EA0" w:rsidP="00035EA0">
      <w:pPr>
        <w:jc w:val="both"/>
      </w:pPr>
      <w:r>
        <w:tab/>
      </w:r>
      <w:r w:rsidRPr="00035EA0">
        <w:t>The exponential growth of the internet and digital technologies has significantly reshaped how organizations communicate, deliver services, and establish their institutional presence. In this evolving landscape, webometrics has emerged as a vital analytical approach for assessing the visibility, impact, and accessibility of organizations in the online environment. By examining web-based indicators such as traffic, user engagement, referral networks, and content reach, webometric studies provide valuable insights into the effectiveness of digital platforms in achieving organizational objectives (Isidro F. Aguillo, 2009; Seyed Farashi &amp; Saeid Bashirian, 2021). These approaches are further strengthened by advancements in web analytics, which enable more precise measurement of user interactions and behavioral patterns across websites (Bernard J. Jansen et al., 2022).</w:t>
      </w:r>
    </w:p>
    <w:p w14:paraId="7178C51B" w14:textId="77777777" w:rsidR="00035EA0" w:rsidRPr="00035EA0" w:rsidRDefault="00035EA0" w:rsidP="00035EA0">
      <w:pPr>
        <w:ind w:firstLine="720"/>
        <w:jc w:val="both"/>
      </w:pPr>
      <w:r w:rsidRPr="00035EA0">
        <w:t>As a prominent government agency in Malaysia, Majlis Amanah Rakyat (MARA) plays a critical role in advancing education, entrepreneurship, and socioeconomic development, particularly among the Bumiputera community. With the increasing reliance on digital platforms for information dissemination and service delivery, MARA’s official website has become a central hub for engaging stakeholders, providing access to e-services, and promoting institutional initiatives. Previous studies have emphasized that website usability, content quality, and accessibility are key determinants in enhancing institutional effectiveness and user satisfaction (Philip Gooding, 2016; Chin Yap et al., 2022; Karla Palacios-Zamora et al., 2023). Consequently, evaluating MARA’s webometric visibility is essential for understanding how effectively the organization leverages its digital presence to reach and serve its target audience.</w:t>
      </w:r>
    </w:p>
    <w:p w14:paraId="412E954B" w14:textId="77777777" w:rsidR="00035EA0" w:rsidRPr="00035EA0" w:rsidRDefault="00035EA0" w:rsidP="00035EA0">
      <w:pPr>
        <w:ind w:firstLine="720"/>
        <w:jc w:val="both"/>
      </w:pPr>
      <w:r w:rsidRPr="00035EA0">
        <w:t>This study adopts a mapping approach to analyze the webometric visibility of MARA using SimilarWeb Pro, a widely recognized digital intelligence platform that provides comprehensive data on website traffic, audience behavior, traffic sources, and competitive positioning. The use of such analytical tools aligns with contemporary research highlighting the importance of integrating traffic metrics and website quality indicators in evaluating web performance (Seyed Farashi &amp; Saeid Bashirian, 2021; Rizki Kertamukti et al., 2021). Through SimilarWeb Pro, this research is able to generate detailed insights into key performance indicators such as total visits, engagement metrics (including bounce rate and session duration), geographic distribution of users, and referral channels, which are essential for mapping digital visibility.</w:t>
      </w:r>
    </w:p>
    <w:p w14:paraId="33223B15" w14:textId="77777777" w:rsidR="00035EA0" w:rsidRPr="00035EA0" w:rsidRDefault="00035EA0" w:rsidP="00035EA0">
      <w:pPr>
        <w:ind w:firstLine="720"/>
        <w:jc w:val="both"/>
      </w:pPr>
      <w:r w:rsidRPr="00035EA0">
        <w:t>Furthermore, the application of webometric mapping techniques allows for a deeper exploration of MARA’s position within the broader digital ecosystem, including its connectivity with other government agencies, educational institutions, and external platforms. The increasing role of digital platforms and search engines in shaping information access and visibility underscores the need to analyze these interconnections (Filipe Mattos, 2024; Anuar Mohamad et al., 2022). By visualizing and interpreting these relationships, the study aims to identify both strengths and gaps in MARA’s web presence, particularly in terms of external reach and engagement.</w:t>
      </w:r>
    </w:p>
    <w:p w14:paraId="4341707E" w14:textId="3D96C65D" w:rsidR="00035EA0" w:rsidRPr="00035EA0" w:rsidRDefault="00035EA0" w:rsidP="00035EA0">
      <w:pPr>
        <w:ind w:firstLine="720"/>
        <w:jc w:val="both"/>
      </w:pPr>
      <w:r>
        <w:t>In conclusion</w:t>
      </w:r>
      <w:r w:rsidRPr="00035EA0">
        <w:t xml:space="preserve">, this research seeks to bridge the gap between theoretical webometric frameworks and practical digital performance evaluation by applying advanced analytics tools to a real-world institutional context. Prior studies have demonstrated that improving website </w:t>
      </w:r>
      <w:r w:rsidRPr="00035EA0">
        <w:lastRenderedPageBreak/>
        <w:t>quality, design, and user interaction significantly contributes to better webometric rankings and online influence (Rizki Kertamukti et al., 2021; Krzysztof Król, 2018; Ksenija Mitrović et al., 2020). Therefore, the findings of this study are expected to provide meaningful recommendations for optimizing MARA’s web presence, enhancing user engagement, and strengthening its visibility in the increasingly competitive digital landscape.</w:t>
      </w:r>
    </w:p>
    <w:p w14:paraId="5620762C" w14:textId="40855FC6" w:rsidR="00AB134C" w:rsidRDefault="00AB134C" w:rsidP="00035EA0">
      <w:pPr>
        <w:jc w:val="both"/>
      </w:pPr>
    </w:p>
    <w:p w14:paraId="4097C541" w14:textId="37DEECAD" w:rsidR="00D56FC3" w:rsidRPr="00D56FC3" w:rsidRDefault="00D56FC3" w:rsidP="00D56FC3">
      <w:pPr>
        <w:jc w:val="both"/>
      </w:pPr>
    </w:p>
    <w:p w14:paraId="197722D6" w14:textId="10B5A0DF" w:rsidR="00D56FC3" w:rsidRDefault="00272871" w:rsidP="00D56FC3">
      <w:pPr>
        <w:jc w:val="both"/>
        <w:rPr>
          <w:b/>
          <w:bCs/>
        </w:rPr>
      </w:pPr>
      <w:r w:rsidRPr="00D56FC3">
        <w:rPr>
          <w:b/>
          <w:bCs/>
        </w:rPr>
        <w:t>WEBSITE STRUCTURE AND NAVIGATION</w:t>
      </w:r>
    </w:p>
    <w:p w14:paraId="450E78E2" w14:textId="77777777" w:rsidR="0025451E" w:rsidRPr="00D56FC3" w:rsidRDefault="0025451E" w:rsidP="00D56FC3">
      <w:pPr>
        <w:jc w:val="both"/>
        <w:rPr>
          <w:b/>
          <w:bCs/>
        </w:rPr>
      </w:pPr>
    </w:p>
    <w:p w14:paraId="0A802584" w14:textId="77777777" w:rsidR="00D56FC3" w:rsidRPr="00D56FC3" w:rsidRDefault="00D56FC3" w:rsidP="00D56FC3">
      <w:pPr>
        <w:jc w:val="both"/>
      </w:pPr>
      <w:r w:rsidRPr="00D56FC3">
        <w:t xml:space="preserve">The official portal of Majlis Amanah Rakyat exhibits a highly structured layout designed to facilitate easy navigation for diverse users. The top-level navigation bar is prominently displayed across the homepage and is segmented into clearly defined sections, including </w:t>
      </w:r>
      <w:r w:rsidRPr="00D56FC3">
        <w:rPr>
          <w:i/>
          <w:iCs/>
        </w:rPr>
        <w:t>Home</w:t>
      </w:r>
      <w:r w:rsidRPr="00D56FC3">
        <w:t xml:space="preserve">, </w:t>
      </w:r>
      <w:r w:rsidRPr="00D56FC3">
        <w:rPr>
          <w:i/>
          <w:iCs/>
        </w:rPr>
        <w:t>Info MARA</w:t>
      </w:r>
      <w:r w:rsidRPr="00D56FC3">
        <w:t xml:space="preserve">, </w:t>
      </w:r>
      <w:r w:rsidRPr="00D56FC3">
        <w:rPr>
          <w:i/>
          <w:iCs/>
        </w:rPr>
        <w:t>Contact Us</w:t>
      </w:r>
      <w:r w:rsidRPr="00D56FC3">
        <w:t xml:space="preserve">, and </w:t>
      </w:r>
      <w:r w:rsidRPr="00D56FC3">
        <w:rPr>
          <w:i/>
          <w:iCs/>
        </w:rPr>
        <w:t>Portal Rasmi Kementerian Kemajuan Desa dan Wilayah</w:t>
      </w:r>
      <w:r w:rsidRPr="00D56FC3">
        <w:t>, providing direct access to essential institutional information and government-linked resources. Submenus under each section allow users to drill down into specific topics, such as education programs, entrepreneurial initiatives, investment opportunities, and e-services, ensuring that the website accommodates both general information seekers and those looking for specialized services.</w:t>
      </w:r>
    </w:p>
    <w:p w14:paraId="712BEE26" w14:textId="77777777" w:rsidR="00D56FC3" w:rsidRPr="00D56FC3" w:rsidRDefault="00D56FC3" w:rsidP="00D56FC3">
      <w:pPr>
        <w:ind w:firstLine="720"/>
        <w:jc w:val="both"/>
      </w:pPr>
      <w:r w:rsidRPr="00D56FC3">
        <w:t>Supplementary navigation aids enhance usability and accessibility. For instance, the FAQ section addresses common user queries, the Sitemap provides an overview of the website’s hierarchical structure, and the Maklumbalas (Feedback) option enables users to communicate issues or suggestions directly with MARA. The portal also incorporates bilingual functionality (Bahasa Melayu and English), allowing for wider reach, although certain subsections and menu items remain untranslated in English, which may hinder comprehension for international visitors.</w:t>
      </w:r>
    </w:p>
    <w:p w14:paraId="3D5C26A9" w14:textId="77777777" w:rsidR="00D56FC3" w:rsidRPr="00D56FC3" w:rsidRDefault="00D56FC3" w:rsidP="00D56FC3">
      <w:pPr>
        <w:ind w:firstLine="720"/>
        <w:jc w:val="both"/>
      </w:pPr>
      <w:r w:rsidRPr="00D56FC3">
        <w:t>Additionally, the homepage integrates quick links and call-to-action tiles for high-demand services, such as MyEduloan, MyUsahawan, e-Baki, Portal Alumni, and other institutional platforms. This approach reduces the number of clicks required to access frequently used services, improving efficiency and user satisfaction. MARA also utilizes a responsive design to some extent, ensuring that navigation menus adjust to various screen sizes, although there is potential to further optimize mobile usability for enhanced accessibility.</w:t>
      </w:r>
    </w:p>
    <w:p w14:paraId="1343E8CE" w14:textId="77777777" w:rsidR="00D56FC3" w:rsidRPr="00D56FC3" w:rsidRDefault="00D56FC3" w:rsidP="00D56FC3">
      <w:pPr>
        <w:ind w:firstLine="720"/>
        <w:jc w:val="both"/>
      </w:pPr>
      <w:r w:rsidRPr="00D56FC3">
        <w:t>From a webometric perspective, the well-organized internal linking structure contributes to better indexing by search engines, facilitating discoverability and improving institutional visibility online (Aguillo, 2009; Farashi &amp; Bashirian, 2021). By combining hierarchical menus, supplementary navigation aids, and strategic placement of quick links, MARA demonstrates a thoughtful approach to structuring its digital content, balancing both informational depth and usability for diverse audiences.</w:t>
      </w:r>
    </w:p>
    <w:p w14:paraId="3F9C1E67" w14:textId="1A833D9A" w:rsidR="00AB134C" w:rsidRPr="00AB134C" w:rsidRDefault="00AB134C" w:rsidP="00AB134C">
      <w:pPr>
        <w:jc w:val="both"/>
      </w:pPr>
    </w:p>
    <w:p w14:paraId="7021C5BC" w14:textId="2B87A4B0" w:rsidR="00D56FC3" w:rsidRPr="00D56FC3" w:rsidRDefault="00D56FC3" w:rsidP="00D56FC3">
      <w:pPr>
        <w:jc w:val="both"/>
      </w:pPr>
    </w:p>
    <w:p w14:paraId="5AABA286" w14:textId="67E42088" w:rsidR="00D56FC3" w:rsidRDefault="00272871" w:rsidP="00D56FC3">
      <w:pPr>
        <w:jc w:val="both"/>
        <w:rPr>
          <w:b/>
          <w:bCs/>
        </w:rPr>
      </w:pPr>
      <w:r w:rsidRPr="00D56FC3">
        <w:rPr>
          <w:b/>
          <w:bCs/>
        </w:rPr>
        <w:t>CONTENT QUALITY AND INFORMATION DELIVERY</w:t>
      </w:r>
    </w:p>
    <w:p w14:paraId="57B81433" w14:textId="77777777" w:rsidR="0025451E" w:rsidRPr="00D56FC3" w:rsidRDefault="0025451E" w:rsidP="00D56FC3">
      <w:pPr>
        <w:jc w:val="both"/>
        <w:rPr>
          <w:b/>
          <w:bCs/>
        </w:rPr>
      </w:pPr>
    </w:p>
    <w:p w14:paraId="0586D7CF" w14:textId="77777777" w:rsidR="00D56FC3" w:rsidRPr="00D56FC3" w:rsidRDefault="00D56FC3" w:rsidP="00D56FC3">
      <w:pPr>
        <w:jc w:val="both"/>
      </w:pPr>
      <w:r w:rsidRPr="00D56FC3">
        <w:t>The content presented on the official Majlis Amanah Rakyat portal reflects a comprehensive approach to information dissemination, covering MARA’s core areas of education, entrepreneurship, investment, and socioeconomic development. The homepage prominently features current news, announcements, and event updates, such as leadership initiatives, student programs, international collaborations, and system launches like the Integrated MARA Accounting System (IMAS). These updates are strategically prioritized to reflect institutional achievements, policy changes, and ongoing projects, ensuring that users have immediate access to the most relevant and time-sensitive information.</w:t>
      </w:r>
    </w:p>
    <w:p w14:paraId="2111CD9C" w14:textId="77777777" w:rsidR="00D56FC3" w:rsidRPr="00D56FC3" w:rsidRDefault="00D56FC3" w:rsidP="00D56FC3">
      <w:pPr>
        <w:ind w:firstLine="720"/>
        <w:jc w:val="both"/>
      </w:pPr>
      <w:r w:rsidRPr="00D56FC3">
        <w:lastRenderedPageBreak/>
        <w:t>The website’s content extends beyond news to include detailed information on programs, institutional structures, and public services. Educational content covers scholarships, training programs, and academic institutions under MARA’s purview, while entrepreneurial sections provide guidance for start-ups, business incubation, and investment opportunities. The inclusion of e-services, such as MyEduloan, MyUsahawan, and the Portal Alumni, demonstrates the integration of informational and functional content, allowing users to transition seamlessly from knowledge acquisition to action.</w:t>
      </w:r>
    </w:p>
    <w:p w14:paraId="43098FFF" w14:textId="77777777" w:rsidR="00D56FC3" w:rsidRPr="00D56FC3" w:rsidRDefault="00D56FC3" w:rsidP="00D56FC3">
      <w:pPr>
        <w:ind w:firstLine="720"/>
        <w:jc w:val="both"/>
      </w:pPr>
      <w:r w:rsidRPr="00D56FC3">
        <w:t>Despite the breadth and relevance of the content, there are areas that could benefit from enhancement. Certain sections are text-heavy, which may overwhelm users or reduce engagement, particularly for first-time visitors. Visual aids such as infographics, videos, or interactive dashboards are limited, which could improve comprehension and retention of complex information. Moreover, some news articles and program details are only available in Bahasa Melayu, limiting accessibility for international users or non-Malay-speaking audiences.</w:t>
      </w:r>
    </w:p>
    <w:p w14:paraId="60E5F78F" w14:textId="7D279A5E" w:rsidR="00D56FC3" w:rsidRPr="00D56FC3" w:rsidRDefault="00D56FC3" w:rsidP="00D56FC3">
      <w:pPr>
        <w:ind w:firstLine="720"/>
        <w:jc w:val="both"/>
      </w:pPr>
      <w:r w:rsidRPr="00D56FC3">
        <w:t>From a webometric perspective, the consistent publication of high-quality content supports MARA’s online visibility and indexing by search engines. Regular updates, combined with relevant programmatic information, enhance the portal’s authority and credibility, making it a reliable reference point for stakeholders, researchers, and the general</w:t>
      </w:r>
      <w:r>
        <w:t xml:space="preserve"> </w:t>
      </w:r>
      <w:r w:rsidRPr="00D56FC3">
        <w:t>public. Overall, MARA demonstrates strong content management practices, although the portal could further benefit from the integration of multimedia and enhanced multilingual support to maximize engagement and accessibility.</w:t>
      </w:r>
    </w:p>
    <w:p w14:paraId="7157258D" w14:textId="29CFFF73" w:rsidR="00D56FC3" w:rsidRPr="00D56FC3" w:rsidRDefault="00D56FC3" w:rsidP="00D56FC3">
      <w:pPr>
        <w:jc w:val="both"/>
      </w:pPr>
    </w:p>
    <w:p w14:paraId="7428814D" w14:textId="55F863CA" w:rsidR="00D56FC3" w:rsidRPr="00D56FC3" w:rsidRDefault="00D56FC3" w:rsidP="00D56FC3">
      <w:pPr>
        <w:jc w:val="both"/>
      </w:pPr>
    </w:p>
    <w:p w14:paraId="50F54EBF" w14:textId="439386F4" w:rsidR="00D56FC3" w:rsidRDefault="00272871" w:rsidP="00D56FC3">
      <w:pPr>
        <w:jc w:val="both"/>
        <w:rPr>
          <w:b/>
          <w:bCs/>
        </w:rPr>
      </w:pPr>
      <w:r w:rsidRPr="00D56FC3">
        <w:rPr>
          <w:b/>
          <w:bCs/>
        </w:rPr>
        <w:t>E-SERVICES INTEGRATION</w:t>
      </w:r>
    </w:p>
    <w:p w14:paraId="2E168720" w14:textId="77777777" w:rsidR="0025451E" w:rsidRPr="00D56FC3" w:rsidRDefault="0025451E" w:rsidP="00D56FC3">
      <w:pPr>
        <w:jc w:val="both"/>
        <w:rPr>
          <w:b/>
          <w:bCs/>
        </w:rPr>
      </w:pPr>
    </w:p>
    <w:p w14:paraId="6DDAE541" w14:textId="77777777" w:rsidR="00D56FC3" w:rsidRPr="00D56FC3" w:rsidRDefault="00D56FC3" w:rsidP="00D56FC3">
      <w:pPr>
        <w:jc w:val="both"/>
      </w:pPr>
      <w:r w:rsidRPr="00D56FC3">
        <w:t>A notable strength of the Majlis Amanah Rakyat portal is its extensive integration of e-services, which facilitates efficient and convenient access to institutional functions. The website provides a wide array of digital platforms catering to education, entrepreneurship, financial management, and alumni engagement. Key services include MyEduloan, which allows students to apply for educational loans; MyUsahawan, which supports entrepreneurial development and business registration; e-Baki, for managing financial accounts; MyPremis, for business premise registration; and the Portal Alumni, enabling ongoing communication and engagement with former students. Additionally, systems such as SISPAA allow users to lodge complaints or provide feedback directly, demonstrating MARA’s commitment to transparency and responsive service delivery.</w:t>
      </w:r>
    </w:p>
    <w:p w14:paraId="0199CFB9" w14:textId="372D0633" w:rsidR="00D56FC3" w:rsidRPr="00D56FC3" w:rsidRDefault="00D56FC3" w:rsidP="00D56FC3">
      <w:pPr>
        <w:ind w:firstLine="720"/>
        <w:jc w:val="both"/>
      </w:pPr>
      <w:r w:rsidRPr="00D56FC3">
        <w:t>These e-services are strategically integrated into the website, with direct links and prominent call-to-action tiles on the homepage, enabling users to access services with minimal navigation effort. Such integration not only reduces barriers for users but also enhances operational efficiency by digitizing previously manual processes. By connecting information provision with actionable platforms, MARA effectively combines content and functionality, aligning with global best practices for institutional web portals.</w:t>
      </w:r>
    </w:p>
    <w:p w14:paraId="04C2AF46" w14:textId="77777777" w:rsidR="00D56FC3" w:rsidRPr="00D56FC3" w:rsidRDefault="00D56FC3" w:rsidP="00D56FC3">
      <w:pPr>
        <w:ind w:firstLine="720"/>
        <w:jc w:val="both"/>
      </w:pPr>
      <w:r w:rsidRPr="00D56FC3">
        <w:t>Despite the robustness of the e-service ecosystem, some areas present challenges. Users transitioning between different e-service platforms may encounter inconsistencies in interface design, which can affect usability and user experience. Moreover, while most platforms are accessible via desktop, mobile optimization varies, potentially limiting access for users who primarily rely on smartphones or tablets. Addressing these issues through uniform interface design and enhanced responsive functionality could further improve user satisfaction and engagement.</w:t>
      </w:r>
    </w:p>
    <w:p w14:paraId="5A328155" w14:textId="55539BCE" w:rsidR="00AB134C" w:rsidRDefault="00D56FC3" w:rsidP="00D56FC3">
      <w:pPr>
        <w:ind w:firstLine="720"/>
        <w:jc w:val="both"/>
      </w:pPr>
      <w:r w:rsidRPr="00D56FC3">
        <w:t xml:space="preserve">From a webometric perspective, the integration of e-services contributes significantly to MARA’s online footprint. The linking of multiple functional platforms within a central portal supports internal web connectivity, improves site indexing, and enhances institutional </w:t>
      </w:r>
      <w:r w:rsidRPr="00D56FC3">
        <w:lastRenderedPageBreak/>
        <w:t>visibility (Aguillo, 2009; Palacios-Zamora et al., 2023). Overall, MARA demonstrates a strong commitment to digital transformation through its e-service infrastructure, which positions the agency as a modern, user-focused public institution capable of delivering information and services efficiently.</w:t>
      </w:r>
    </w:p>
    <w:p w14:paraId="0BFA4D16" w14:textId="77777777" w:rsidR="00470CBF" w:rsidRDefault="00470CBF" w:rsidP="00D56FC3">
      <w:pPr>
        <w:ind w:firstLine="720"/>
        <w:jc w:val="both"/>
      </w:pPr>
    </w:p>
    <w:p w14:paraId="75B4BEED" w14:textId="77777777" w:rsidR="00470CBF" w:rsidRPr="00AB134C" w:rsidRDefault="00470CBF" w:rsidP="00D56FC3">
      <w:pPr>
        <w:ind w:firstLine="720"/>
        <w:jc w:val="both"/>
      </w:pPr>
    </w:p>
    <w:p w14:paraId="144EC880" w14:textId="45996C75" w:rsidR="00D56FC3" w:rsidRDefault="00272871" w:rsidP="00D56FC3">
      <w:pPr>
        <w:jc w:val="both"/>
        <w:rPr>
          <w:b/>
          <w:bCs/>
        </w:rPr>
      </w:pPr>
      <w:r w:rsidRPr="00D56FC3">
        <w:rPr>
          <w:b/>
          <w:bCs/>
        </w:rPr>
        <w:t>DESIGN AND USER INTERFACE (UI/UX)</w:t>
      </w:r>
    </w:p>
    <w:p w14:paraId="4AEA2FE1" w14:textId="77777777" w:rsidR="00470CBF" w:rsidRPr="00D56FC3" w:rsidRDefault="00470CBF" w:rsidP="00D56FC3">
      <w:pPr>
        <w:jc w:val="both"/>
        <w:rPr>
          <w:b/>
          <w:bCs/>
        </w:rPr>
      </w:pPr>
    </w:p>
    <w:p w14:paraId="2D6E8362" w14:textId="77777777" w:rsidR="00D56FC3" w:rsidRPr="00D56FC3" w:rsidRDefault="00D56FC3" w:rsidP="00D56FC3">
      <w:pPr>
        <w:jc w:val="both"/>
      </w:pPr>
      <w:r w:rsidRPr="00D56FC3">
        <w:t>The MARA portal employs a formal and professional design, reflecting its status as a government institution. The homepage features a structured layout with banner sliders highlighting key announcements, programs, and events. Sections are clearly segmented, providing visual hierarchy that guides users through content efficiently. The use of MARA’s official branding and color scheme maintains a consistent identity across the portal, reinforcing institutional recognition.</w:t>
      </w:r>
    </w:p>
    <w:p w14:paraId="03B318E0" w14:textId="77777777" w:rsidR="00D56FC3" w:rsidRPr="00D56FC3" w:rsidRDefault="00D56FC3" w:rsidP="00D56FC3">
      <w:pPr>
        <w:ind w:firstLine="720"/>
        <w:jc w:val="both"/>
      </w:pPr>
      <w:r w:rsidRPr="00D56FC3">
        <w:t>Despite these strengths, the user interface has areas that could benefit from modernization. The homepage is somewhat information-dense, with multiple sections and links presented simultaneously, which may overwhelm first-time visitors. Interactive elements such as visual dashboards, hover effects, or collapsible menus are limited, reducing engagement opportunities for users. Additionally, while the portal is partially responsive, some design elements are not fully optimized for mobile devices, which may affect usability for users accessing the site on smartphones or tablets.</w:t>
      </w:r>
    </w:p>
    <w:p w14:paraId="08CE0DCA" w14:textId="77777777" w:rsidR="00D56FC3" w:rsidRPr="00D56FC3" w:rsidRDefault="00D56FC3" w:rsidP="00D56FC3">
      <w:pPr>
        <w:ind w:firstLine="720"/>
        <w:jc w:val="both"/>
      </w:pPr>
      <w:r w:rsidRPr="00D56FC3">
        <w:t>Overall, the portal’s design effectively communicates MARA’s professionalism and authority. However, improvements in visual simplicity, interactive elements, and mobile responsiveness could enhance the overall user experience, making navigation more intuitive and content easier to digest.</w:t>
      </w:r>
    </w:p>
    <w:p w14:paraId="3422F49F" w14:textId="340FB387" w:rsidR="00AB134C" w:rsidRPr="00AB134C" w:rsidRDefault="00AB134C" w:rsidP="00AB134C">
      <w:pPr>
        <w:jc w:val="both"/>
      </w:pPr>
    </w:p>
    <w:p w14:paraId="682DFBCD" w14:textId="50E8394A" w:rsidR="00D56FC3" w:rsidRPr="00D56FC3" w:rsidRDefault="00D56FC3" w:rsidP="00D56FC3">
      <w:pPr>
        <w:jc w:val="both"/>
      </w:pPr>
    </w:p>
    <w:p w14:paraId="4721DA7D" w14:textId="767CA0A7" w:rsidR="00D56FC3" w:rsidRDefault="00272871" w:rsidP="00D56FC3">
      <w:pPr>
        <w:jc w:val="both"/>
        <w:rPr>
          <w:b/>
          <w:bCs/>
        </w:rPr>
      </w:pPr>
      <w:r w:rsidRPr="00D56FC3">
        <w:rPr>
          <w:b/>
          <w:bCs/>
        </w:rPr>
        <w:t>ACCESSIBILITY AND USER EXPERIENCE</w:t>
      </w:r>
    </w:p>
    <w:p w14:paraId="2CEBEA84" w14:textId="77777777" w:rsidR="00470CBF" w:rsidRPr="00D56FC3" w:rsidRDefault="00470CBF" w:rsidP="00D56FC3">
      <w:pPr>
        <w:jc w:val="both"/>
        <w:rPr>
          <w:b/>
          <w:bCs/>
        </w:rPr>
      </w:pPr>
    </w:p>
    <w:p w14:paraId="78C7C047" w14:textId="77777777" w:rsidR="00D56FC3" w:rsidRPr="00D56FC3" w:rsidRDefault="00D56FC3" w:rsidP="00D56FC3">
      <w:pPr>
        <w:jc w:val="both"/>
      </w:pPr>
      <w:r w:rsidRPr="00D56FC3">
        <w:t>The MARA website incorporates several features aimed at enhancing accessibility and overall user experience. The availability of bilingual options (Bahasa Melayu and English) allows the portal to serve a broader audience, including international users and non-Malay speakers. Key accessibility features such as the sitemap, FAQ section, and direct feedback channels (Maklumbalas) support users in finding information quickly and efficiently. Clear contact information, including a hotline and email addresses, further facilitates communication and responsiveness.</w:t>
      </w:r>
    </w:p>
    <w:p w14:paraId="22285FF4" w14:textId="77777777" w:rsidR="00D56FC3" w:rsidRPr="00D56FC3" w:rsidRDefault="00D56FC3" w:rsidP="00D56FC3">
      <w:pPr>
        <w:ind w:firstLine="720"/>
        <w:jc w:val="both"/>
      </w:pPr>
      <w:r w:rsidRPr="00D56FC3">
        <w:t>While these elements contribute positively to usability, there are areas for improvement. Some sections of the website remain untranslated in English, which may limit accessibility for non-Malay-speaking visitors. The portal also contains densely packed information in certain pages, making it harder to navigate quickly for first-time users. In addition, although the website is partially responsive, some content does not adapt seamlessly to mobile devices, potentially affecting user experience on smartphones and tablets.</w:t>
      </w:r>
    </w:p>
    <w:p w14:paraId="01F5C65F" w14:textId="77777777" w:rsidR="00D56FC3" w:rsidRPr="00D56FC3" w:rsidRDefault="00D56FC3" w:rsidP="00D56FC3">
      <w:pPr>
        <w:ind w:firstLine="720"/>
        <w:jc w:val="both"/>
      </w:pPr>
      <w:r w:rsidRPr="00D56FC3">
        <w:t>Enhancing visual clarity, ensuring consistent bilingual presentation, and optimizing mobile responsiveness could significantly improve accessibility. Overall, the MARA portal demonstrates a commitment to user experience, but further refinements would increase its inclusivity and ease of use for a diverse range of stakeholders.</w:t>
      </w:r>
    </w:p>
    <w:p w14:paraId="565A6112" w14:textId="63D080C0" w:rsidR="00AB134C" w:rsidRDefault="00AB134C" w:rsidP="00AB134C">
      <w:pPr>
        <w:jc w:val="both"/>
      </w:pPr>
    </w:p>
    <w:p w14:paraId="5278B07B" w14:textId="77777777" w:rsidR="00470CBF" w:rsidRDefault="00470CBF" w:rsidP="00AB134C">
      <w:pPr>
        <w:jc w:val="both"/>
      </w:pPr>
    </w:p>
    <w:p w14:paraId="469AEA6F" w14:textId="77777777" w:rsidR="00470CBF" w:rsidRPr="00AB134C" w:rsidRDefault="00470CBF" w:rsidP="00AB134C">
      <w:pPr>
        <w:jc w:val="both"/>
      </w:pPr>
    </w:p>
    <w:p w14:paraId="2AACFD9C" w14:textId="4FF3910F" w:rsidR="00D56FC3" w:rsidRPr="00D56FC3" w:rsidRDefault="00D56FC3" w:rsidP="00D56FC3">
      <w:pPr>
        <w:jc w:val="both"/>
      </w:pPr>
    </w:p>
    <w:p w14:paraId="498A1AF8" w14:textId="07EFFE59" w:rsidR="00D56FC3" w:rsidRDefault="00272871" w:rsidP="00D56FC3">
      <w:pPr>
        <w:jc w:val="both"/>
        <w:rPr>
          <w:b/>
          <w:bCs/>
        </w:rPr>
      </w:pPr>
      <w:r w:rsidRPr="00D56FC3">
        <w:rPr>
          <w:b/>
          <w:bCs/>
        </w:rPr>
        <w:lastRenderedPageBreak/>
        <w:t>WEBOMETRIC VISIBILITY ANALYSIS</w:t>
      </w:r>
    </w:p>
    <w:p w14:paraId="3F1E051E" w14:textId="77777777" w:rsidR="00470CBF" w:rsidRPr="00D56FC3" w:rsidRDefault="00470CBF" w:rsidP="00D56FC3">
      <w:pPr>
        <w:jc w:val="both"/>
        <w:rPr>
          <w:b/>
          <w:bCs/>
        </w:rPr>
      </w:pPr>
    </w:p>
    <w:p w14:paraId="52397901" w14:textId="77777777" w:rsidR="00D56FC3" w:rsidRPr="00D56FC3" w:rsidRDefault="00D56FC3" w:rsidP="00D56FC3">
      <w:pPr>
        <w:jc w:val="both"/>
      </w:pPr>
      <w:r w:rsidRPr="00D56FC3">
        <w:t>From a webometric perspective, the MARA website demonstrates a moderate-to-strong online presence, reflecting its institutional significance and outreach efforts. The portal’s structured internal linking, frequent content updates, and integration of multiple e-services contribute to its visibility and accessibility in search engines. MARA is also well-connected to other government agencies and partner institutions through hyperlinks, which enhances the organization’s web network and reinforces its credibility as a reliable information source.</w:t>
      </w:r>
    </w:p>
    <w:p w14:paraId="01E3FE33" w14:textId="77777777" w:rsidR="00D56FC3" w:rsidRPr="00D56FC3" w:rsidRDefault="00D56FC3" w:rsidP="00D56FC3">
      <w:pPr>
        <w:ind w:firstLine="720"/>
        <w:jc w:val="both"/>
      </w:pPr>
      <w:r w:rsidRPr="00D56FC3">
        <w:t>Key indicators of webometric performance include website traffic, user engagement, referral sources, and content reach. The integration of e-services and news sections supports frequent user interaction, increasing metrics such as page views and session duration. Additionally, the portal’s multilingual features and clear navigation contribute to accessibility, indirectly supporting webometric impact by reducing bounce rates and encouraging repeat visits.</w:t>
      </w:r>
    </w:p>
    <w:p w14:paraId="229B8E0C" w14:textId="77777777" w:rsidR="00D56FC3" w:rsidRPr="00D56FC3" w:rsidRDefault="00D56FC3" w:rsidP="00D56FC3">
      <w:pPr>
        <w:ind w:firstLine="720"/>
        <w:jc w:val="both"/>
      </w:pPr>
      <w:r w:rsidRPr="00D56FC3">
        <w:t>Despite these strengths, there are areas that could be improved to enhance MARA’s webometric footprint. External backlinks from educational, academic, and international platforms are limited, which restricts global visibility. Search engine optimization (SEO) could be further strengthened to improve indexing and ranking in both local and international search results. The use of metadata, structured data, and enhanced multimedia content would also support discoverability and engagement.</w:t>
      </w:r>
    </w:p>
    <w:p w14:paraId="44A51995" w14:textId="77777777" w:rsidR="00D56FC3" w:rsidRPr="00D56FC3" w:rsidRDefault="00D56FC3" w:rsidP="00D56FC3">
      <w:pPr>
        <w:ind w:firstLine="720"/>
        <w:jc w:val="both"/>
      </w:pPr>
      <w:r w:rsidRPr="00D56FC3">
        <w:t>Overall, MARA demonstrates a solid digital presence, but strategic enhancements in SEO, global linking, and content optimization could significantly increase its webometric visibility and online influence, positioning the organization more prominently within the digital ecosystem.</w:t>
      </w:r>
    </w:p>
    <w:p w14:paraId="65B87B64" w14:textId="3C1A1710" w:rsidR="00AB134C" w:rsidRPr="00AB134C" w:rsidRDefault="00AB134C" w:rsidP="00AB134C">
      <w:pPr>
        <w:jc w:val="both"/>
      </w:pPr>
    </w:p>
    <w:p w14:paraId="281772E8" w14:textId="2237A33F" w:rsidR="006218D5" w:rsidRPr="006218D5" w:rsidRDefault="006218D5" w:rsidP="006218D5">
      <w:pPr>
        <w:jc w:val="both"/>
      </w:pPr>
    </w:p>
    <w:p w14:paraId="269FECB3" w14:textId="3C19B350" w:rsidR="006218D5" w:rsidRDefault="00272871" w:rsidP="006218D5">
      <w:pPr>
        <w:jc w:val="both"/>
        <w:rPr>
          <w:b/>
          <w:bCs/>
        </w:rPr>
      </w:pPr>
      <w:r w:rsidRPr="006218D5">
        <w:rPr>
          <w:b/>
          <w:bCs/>
        </w:rPr>
        <w:t>STRENGTHS AND WEAKNESSES SUMMARY</w:t>
      </w:r>
    </w:p>
    <w:p w14:paraId="77CE9D8F" w14:textId="77777777" w:rsidR="00470CBF" w:rsidRPr="006218D5" w:rsidRDefault="00470CBF" w:rsidP="006218D5">
      <w:pPr>
        <w:jc w:val="both"/>
        <w:rPr>
          <w:b/>
          <w:bCs/>
        </w:rPr>
      </w:pPr>
    </w:p>
    <w:p w14:paraId="60484E44" w14:textId="77777777" w:rsidR="006218D5" w:rsidRPr="006218D5" w:rsidRDefault="006218D5" w:rsidP="006218D5">
      <w:pPr>
        <w:jc w:val="both"/>
      </w:pPr>
      <w:r w:rsidRPr="006218D5">
        <w:t>The MARA website exhibits several key strengths that enhance its effectiveness as a digital platform. One of the primary advantages is its comprehensive integration of e-services, which enables users to access educational, entrepreneurial, financial, and alumni-related platforms directly from the portal. The site also provides timely updates on institutional programs, events, and initiatives, demonstrating strong content management practices and relevance for stakeholders. The clear and hierarchical navigation structure, supplemented by features such as the sitemap, FAQ, and feedback channels, supports user accessibility and efficiency. Furthermore, the portal’s connection with related government agencies and institutions strengthens its credibility and web network presence.</w:t>
      </w:r>
    </w:p>
    <w:p w14:paraId="50EF6C3B" w14:textId="77777777" w:rsidR="006218D5" w:rsidRPr="006218D5" w:rsidRDefault="006218D5" w:rsidP="006218D5">
      <w:pPr>
        <w:ind w:firstLine="720"/>
        <w:jc w:val="both"/>
      </w:pPr>
      <w:r w:rsidRPr="006218D5">
        <w:t>However, the portal also presents some limitations. Certain sections remain untranslated in English, which restricts accessibility for international or non-Malay-speaking users. The interface, while professional, is somewhat information-dense and could benefit from modernization to improve visual clarity and interactivity. Mobile responsiveness is inconsistent in certain areas, potentially affecting user experience for smartphone and tablet users. Additionally, while internal linking is strong, external backlinks and global search engine optimization are limited, which constrains the website’s broader webometric visibility.</w:t>
      </w:r>
    </w:p>
    <w:p w14:paraId="0C17F1FF" w14:textId="77777777" w:rsidR="006218D5" w:rsidRDefault="006218D5" w:rsidP="006218D5">
      <w:pPr>
        <w:ind w:firstLine="720"/>
        <w:jc w:val="both"/>
      </w:pPr>
      <w:r w:rsidRPr="006218D5">
        <w:t>In summary, MARA’s website is a robust and functional digital platform, effectively supporting the organization’s mission. Strategic improvements in language accessibility, interface design, mobile optimization, and SEO could further strengthen its usability, engagement, and overall online influence.</w:t>
      </w:r>
    </w:p>
    <w:p w14:paraId="4672C4FA" w14:textId="77777777" w:rsidR="00173C87" w:rsidRDefault="00173C87" w:rsidP="00173C87">
      <w:pPr>
        <w:jc w:val="both"/>
      </w:pPr>
    </w:p>
    <w:p w14:paraId="39FDA600" w14:textId="77777777" w:rsidR="00173C87" w:rsidRDefault="00173C87" w:rsidP="00173C87">
      <w:pPr>
        <w:jc w:val="both"/>
      </w:pPr>
    </w:p>
    <w:p w14:paraId="4DDD2813" w14:textId="24C6591C" w:rsidR="003029C6" w:rsidRPr="00001A4C" w:rsidRDefault="00272871">
      <w:pPr>
        <w:pStyle w:val="p1"/>
        <w:rPr>
          <w:rFonts w:ascii="Times New Roman" w:hAnsi="Times New Roman"/>
          <w:b/>
          <w:bCs/>
          <w:color w:val="000000" w:themeColor="text1"/>
          <w:sz w:val="24"/>
          <w:szCs w:val="24"/>
        </w:rPr>
      </w:pPr>
      <w:r w:rsidRPr="00001A4C">
        <w:rPr>
          <w:rStyle w:val="s1"/>
          <w:rFonts w:ascii="Times New Roman" w:hAnsi="Times New Roman"/>
          <w:b/>
          <w:bCs/>
          <w:color w:val="000000" w:themeColor="text1"/>
          <w:sz w:val="24"/>
          <w:szCs w:val="24"/>
        </w:rPr>
        <w:lastRenderedPageBreak/>
        <w:t>OVERVIEW OF TRAFIK AND ENGAGEMENT</w:t>
      </w:r>
    </w:p>
    <w:p w14:paraId="74869052" w14:textId="77777777" w:rsidR="00927FA7" w:rsidRDefault="00927FA7" w:rsidP="00BA5689">
      <w:pPr>
        <w:jc w:val="both"/>
        <w:rPr>
          <w:color w:val="000000" w:themeColor="text1"/>
        </w:rPr>
      </w:pPr>
    </w:p>
    <w:p w14:paraId="28A75249" w14:textId="25AEB305" w:rsidR="00BA5689" w:rsidRDefault="00BA5689" w:rsidP="00BA5689">
      <w:pPr>
        <w:jc w:val="both"/>
      </w:pPr>
      <w:r>
        <w:t xml:space="preserve">The traffic and engagement data presented </w:t>
      </w:r>
      <w:r w:rsidR="00927FA7">
        <w:t>shows</w:t>
      </w:r>
      <w:r>
        <w:t xml:space="preserve"> an overview of a website</w:t>
      </w:r>
      <w:r w:rsidR="00927FA7">
        <w:t>’s</w:t>
      </w:r>
      <w:r>
        <w:t xml:space="preserve"> performance during February 2026. Throughout that month, the platform recorded a total of 625,023 visits, a figure that reflects a 15.65% decline from the previous month. Regarding how users accessed the site, mobile web usage dominated with 59.31% of the traffic, while desktop users accounted for the remaining 40.69%.</w:t>
      </w:r>
    </w:p>
    <w:p w14:paraId="6D722A8C" w14:textId="2111178E" w:rsidR="006218D5" w:rsidRDefault="00856CA0" w:rsidP="006218D5">
      <w:pPr>
        <w:jc w:val="both"/>
      </w:pPr>
      <w:r>
        <w:t xml:space="preserve">            </w:t>
      </w:r>
      <w:r w:rsidR="00BA5689">
        <w:t>In terms of market positioning, the website maintains a global rank of #58,565. Within Malaysia, it holds a country rank of #470, and in the government industry sector, it is ranked at #1,681.</w:t>
      </w:r>
      <w:r>
        <w:t xml:space="preserve"> </w:t>
      </w:r>
      <w:r w:rsidR="00BA5689">
        <w:t>Engagement metrics for February 2026 show that users viewed an average of 4.80 pages per visit, with an average visit duration of 00:02:33. Additionally, the site recorded a bounce rate of 35.09%, while data for monthly unique visitors was not available.</w:t>
      </w:r>
      <w:r w:rsidR="00EE22F2">
        <w:tab/>
      </w:r>
    </w:p>
    <w:p w14:paraId="1B9F3E4B" w14:textId="27C16E57" w:rsidR="0025451E" w:rsidRDefault="00F24CCE" w:rsidP="006218D5">
      <w:pPr>
        <w:jc w:val="both"/>
      </w:pPr>
      <w:r>
        <w:rPr>
          <w:noProof/>
          <w14:ligatures w14:val="standardContextual"/>
        </w:rPr>
        <w:drawing>
          <wp:anchor distT="0" distB="0" distL="114300" distR="114300" simplePos="0" relativeHeight="251659264" behindDoc="0" locked="0" layoutInCell="1" allowOverlap="1" wp14:anchorId="4C061528" wp14:editId="44C5872B">
            <wp:simplePos x="0" y="0"/>
            <wp:positionH relativeFrom="column">
              <wp:posOffset>-27940</wp:posOffset>
            </wp:positionH>
            <wp:positionV relativeFrom="paragraph">
              <wp:posOffset>182245</wp:posOffset>
            </wp:positionV>
            <wp:extent cx="5652135" cy="2849245"/>
            <wp:effectExtent l="0" t="0" r="0" b="0"/>
            <wp:wrapSquare wrapText="bothSides"/>
            <wp:docPr id="80163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36908" name="Picture 8016369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2135" cy="2849245"/>
                    </a:xfrm>
                    <a:prstGeom prst="rect">
                      <a:avLst/>
                    </a:prstGeom>
                    <a:effectLst/>
                  </pic:spPr>
                </pic:pic>
              </a:graphicData>
            </a:graphic>
            <wp14:sizeRelH relativeFrom="margin">
              <wp14:pctWidth>0</wp14:pctWidth>
            </wp14:sizeRelH>
            <wp14:sizeRelV relativeFrom="margin">
              <wp14:pctHeight>0</wp14:pctHeight>
            </wp14:sizeRelV>
          </wp:anchor>
        </w:drawing>
      </w:r>
    </w:p>
    <w:p w14:paraId="045F3C57" w14:textId="62B52E01" w:rsidR="0025451E" w:rsidRPr="006218D5" w:rsidRDefault="00905141" w:rsidP="006218D5">
      <w:pPr>
        <w:jc w:val="both"/>
      </w:pPr>
      <w:r w:rsidRPr="0023281C">
        <w:rPr>
          <w:b/>
          <w:bCs/>
        </w:rPr>
        <w:t xml:space="preserve">Figure 1. </w:t>
      </w:r>
      <w:r w:rsidR="0023281C">
        <w:t>Overview of traffic</w:t>
      </w:r>
      <w:r>
        <w:t xml:space="preserve"> engagement</w:t>
      </w:r>
    </w:p>
    <w:p w14:paraId="7469CD6D" w14:textId="77777777" w:rsidR="00905141" w:rsidRDefault="00905141" w:rsidP="006218D5">
      <w:pPr>
        <w:jc w:val="both"/>
        <w:rPr>
          <w:b/>
          <w:bCs/>
        </w:rPr>
      </w:pPr>
    </w:p>
    <w:p w14:paraId="43559D3E" w14:textId="77777777" w:rsidR="00905141" w:rsidRDefault="00905141" w:rsidP="006218D5">
      <w:pPr>
        <w:jc w:val="both"/>
        <w:rPr>
          <w:b/>
          <w:bCs/>
        </w:rPr>
      </w:pPr>
    </w:p>
    <w:p w14:paraId="4FD738DD" w14:textId="19FABDF2" w:rsidR="006218D5" w:rsidRDefault="003E6D92" w:rsidP="006218D5">
      <w:pPr>
        <w:jc w:val="both"/>
        <w:rPr>
          <w:b/>
          <w:bCs/>
        </w:rPr>
      </w:pPr>
      <w:r w:rsidRPr="006218D5">
        <w:rPr>
          <w:b/>
          <w:bCs/>
        </w:rPr>
        <w:t>CONCLUSION</w:t>
      </w:r>
    </w:p>
    <w:p w14:paraId="524716B0" w14:textId="6589BE14" w:rsidR="00470CBF" w:rsidRPr="00BA5689" w:rsidRDefault="00470CBF" w:rsidP="006218D5">
      <w:pPr>
        <w:jc w:val="both"/>
        <w:rPr>
          <w:b/>
          <w:bCs/>
          <w:lang w:val="ms-MY"/>
        </w:rPr>
      </w:pPr>
    </w:p>
    <w:p w14:paraId="0EAD67CE" w14:textId="4DF7A9B4" w:rsidR="006218D5" w:rsidRPr="006218D5" w:rsidRDefault="006218D5" w:rsidP="006218D5">
      <w:pPr>
        <w:jc w:val="both"/>
      </w:pPr>
      <w:r w:rsidRPr="006218D5">
        <w:t>The official portal of Majlis Amanah Rakyat functions as a comprehensive digital platform that effectively supports the organization’s core objectives in education, entrepreneurship, and socioeconomic development. The website combines well-structured navigation, timely content updates, and integrated e-services to provide users with both information and actionable tools, reflecting a strong commitment to digital engagement. Its connectivity with other government agencies and institutional platforms enhances credibility and webometric visibility, making it a central hub for stakeholders and the public.</w:t>
      </w:r>
    </w:p>
    <w:p w14:paraId="2D74046E" w14:textId="77777777" w:rsidR="006218D5" w:rsidRPr="006218D5" w:rsidRDefault="006218D5" w:rsidP="006218D5">
      <w:pPr>
        <w:ind w:firstLine="720"/>
        <w:jc w:val="both"/>
      </w:pPr>
      <w:r w:rsidRPr="006218D5">
        <w:t>While the portal demonstrates many strengths, including its professional layout, content richness, and functional integration, opportunities exist for further enhancement. Improvements in bilingual accessibility, interface modernization, mobile responsiveness, and search engine optimization would increase usability, engagement, and global visibility. By addressing these areas, MARA can strengthen its digital presence and expand its influence both nationally and internationally.</w:t>
      </w:r>
    </w:p>
    <w:p w14:paraId="3C3A173F" w14:textId="77777777" w:rsidR="00D739A5" w:rsidRDefault="006218D5" w:rsidP="00D739A5">
      <w:pPr>
        <w:ind w:firstLine="720"/>
        <w:jc w:val="both"/>
      </w:pPr>
      <w:r w:rsidRPr="006218D5">
        <w:t>Overall, the MARA</w:t>
      </w:r>
      <w:r w:rsidR="00891EB4">
        <w:t xml:space="preserve"> </w:t>
      </w:r>
      <w:r w:rsidRPr="006218D5">
        <w:t>website exemplifies a well-managed public sector portal, balancing institutional transparency, service delivery, and stakeholder engagement, while leaving room for strategic enhancements that align with evolving digital expectations.</w:t>
      </w:r>
    </w:p>
    <w:p w14:paraId="2D2306E9" w14:textId="084AE4D9" w:rsidR="00035EA0" w:rsidRPr="00D739A5" w:rsidRDefault="003E6D92" w:rsidP="00D739A5">
      <w:pPr>
        <w:jc w:val="both"/>
      </w:pPr>
      <w:r w:rsidRPr="006218D5">
        <w:rPr>
          <w:b/>
          <w:bCs/>
        </w:rPr>
        <w:lastRenderedPageBreak/>
        <w:t>REFERENCES</w:t>
      </w:r>
    </w:p>
    <w:p w14:paraId="403D417C" w14:textId="77777777" w:rsidR="00035EA0" w:rsidRDefault="00035EA0"/>
    <w:p w14:paraId="13C4A681"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Aguillo, I. (2009). Measuring the institution's footprint in the web. Library Hi Tech, 27(4), 540-556. https://doi.org/10.1108/073788309</w:t>
      </w:r>
    </w:p>
    <w:p w14:paraId="7A345C2E"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Farashi, S. and Bashirian, S. (2021). A complementary webometric ranking system based on the website quality and traffic measures: A study focusing on top-ranked world universities. Education for Information, 37(3), 337-354. https://doi.org/10.3233/efi-200422</w:t>
      </w:r>
    </w:p>
    <w:p w14:paraId="45C14F31"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Gooding, P. (2016). Exploring the information behaviour of users of Welsh Newspapers Online through web log analysis. Journal of Documentation, 72(2), 232-246. https://doi.org/10.1108/jd-10-2014-0149</w:t>
      </w:r>
    </w:p>
    <w:p w14:paraId="2407D5A8"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Jansen, B., Jung, S., &amp; Salminen, J. (2022). Measuring user interactions with websites: A comparison of two industry standard analytics approaches using data of 86 websites. Plos One, 17(5), e0268212. https://doi.org/10.1371/journal.pone.0268212</w:t>
      </w:r>
    </w:p>
    <w:p w14:paraId="5B9C531D"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Kertamukti, R., Sodik, M., &amp; Sujibto, B. (2021). Website Work Quality Assessment to Improve Webometrics Rank on the Website of https://uin-suka.ac.id/. Jurnal Pewarta Indonesia, 3(2), 105-123. https://doi.org/10.25008/jpi.v3i2.86</w:t>
      </w:r>
    </w:p>
    <w:p w14:paraId="172D6B82"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Król, K. (2018). Current trends in the usage of the digital version of the local master plan (eMPZP), as illustrated with the example of Tomice municipality. Geomatics Landmanagement and Landscape, (3). https://doi.org/10.15576/gll/2018.3.23</w:t>
      </w:r>
    </w:p>
    <w:p w14:paraId="44822A40"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Mattos, F. (2024). News platformization in Portugal: analysis of the dependence of the news media on social media and search engines. Observatorio (Obs*). https://doi.org/10.15847/obsobs17520232424</w:t>
      </w:r>
    </w:p>
    <w:p w14:paraId="509BB2CA"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Mitrović, K., Jakšić, A., &amp; Spajić, J. (2020). The analysis of graphic design platforms used in social media marketing., 651-657. https://doi.org/10.24867/grid-2020-p74</w:t>
      </w:r>
    </w:p>
    <w:p w14:paraId="0026CB8D"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Mohamad, A., Rizal, A., Kamarudin, S., &amp; Sahimi, M. (2022). Exploring the Co-Creation of Small and Medium Enterprises, and Service Providers Enabled by Digital Interactive Platforms for Internationalization: A Case Study in Malaysia. Sustainability, 14(23), 16119. https://doi.org/10.3390/su142316119</w:t>
      </w:r>
    </w:p>
    <w:p w14:paraId="6B5B7D5E"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Palacios-Zamora, K., Cordova-Morana, J., Mendoza-Cabrera, D., &amp; Pacheco-Mendoza, S. (2023). Measurement on University Websites: A Perspective of Effectiveness. Joiv International Journal on Informatics Visualization, 7(3-2), 1995. https://doi.org/10.30630/joiv.7.3-2.2369</w:t>
      </w:r>
    </w:p>
    <w:p w14:paraId="2FE5723E" w14:textId="77777777" w:rsidR="00035EA0" w:rsidRPr="00143D66" w:rsidRDefault="00035EA0" w:rsidP="00785F42">
      <w:pPr>
        <w:pStyle w:val="ListParagraph"/>
        <w:numPr>
          <w:ilvl w:val="0"/>
          <w:numId w:val="1"/>
        </w:numPr>
        <w:jc w:val="both"/>
        <w:rPr>
          <w:rFonts w:ascii="Times New Roman" w:hAnsi="Times New Roman" w:cs="Times New Roman"/>
        </w:rPr>
      </w:pPr>
      <w:r w:rsidRPr="00143D66">
        <w:rPr>
          <w:rFonts w:ascii="Times New Roman" w:hAnsi="Times New Roman" w:cs="Times New Roman"/>
        </w:rPr>
        <w:t>Yap, C., Hashim, H., Ainuddin, M., Rahman, M., Yusof, K., Rahman, N., … &amp; Cheng, W. (2022). Usability of University Websites as Information Sources: A Review  and Synthesis Based on 2021 Publications Indexed in Scopus Database. Cloud Computing and Data Science, 60-76. https://doi.org/10.37256/ccds.4120232019</w:t>
      </w:r>
    </w:p>
    <w:sectPr w:rsidR="00035EA0" w:rsidRPr="00143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84782"/>
    <w:multiLevelType w:val="hybridMultilevel"/>
    <w:tmpl w:val="2BB66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77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40"/>
    <w:rsid w:val="00001A4C"/>
    <w:rsid w:val="00035EA0"/>
    <w:rsid w:val="000808F3"/>
    <w:rsid w:val="00131886"/>
    <w:rsid w:val="00143D66"/>
    <w:rsid w:val="00173C87"/>
    <w:rsid w:val="00187317"/>
    <w:rsid w:val="0023281C"/>
    <w:rsid w:val="0025451E"/>
    <w:rsid w:val="00272871"/>
    <w:rsid w:val="002D4FB9"/>
    <w:rsid w:val="003029C6"/>
    <w:rsid w:val="00314061"/>
    <w:rsid w:val="00314CC0"/>
    <w:rsid w:val="00336C3E"/>
    <w:rsid w:val="003D7777"/>
    <w:rsid w:val="003E6D92"/>
    <w:rsid w:val="00442EA5"/>
    <w:rsid w:val="00460BE2"/>
    <w:rsid w:val="00470CBF"/>
    <w:rsid w:val="00491F2D"/>
    <w:rsid w:val="004D117A"/>
    <w:rsid w:val="004D47B7"/>
    <w:rsid w:val="005A5CFB"/>
    <w:rsid w:val="006218D5"/>
    <w:rsid w:val="006777A7"/>
    <w:rsid w:val="00685745"/>
    <w:rsid w:val="00731126"/>
    <w:rsid w:val="007720B6"/>
    <w:rsid w:val="00785F42"/>
    <w:rsid w:val="00801819"/>
    <w:rsid w:val="00856CA0"/>
    <w:rsid w:val="0086336E"/>
    <w:rsid w:val="00891EB4"/>
    <w:rsid w:val="008A0C04"/>
    <w:rsid w:val="00905141"/>
    <w:rsid w:val="00927FA7"/>
    <w:rsid w:val="009A4D74"/>
    <w:rsid w:val="00A01B4B"/>
    <w:rsid w:val="00A22140"/>
    <w:rsid w:val="00A305ED"/>
    <w:rsid w:val="00A8047B"/>
    <w:rsid w:val="00AB134C"/>
    <w:rsid w:val="00B9089B"/>
    <w:rsid w:val="00BA5689"/>
    <w:rsid w:val="00C055C9"/>
    <w:rsid w:val="00CA313D"/>
    <w:rsid w:val="00D557FA"/>
    <w:rsid w:val="00D56FC3"/>
    <w:rsid w:val="00D739A5"/>
    <w:rsid w:val="00D95FED"/>
    <w:rsid w:val="00DE5ABF"/>
    <w:rsid w:val="00E608D2"/>
    <w:rsid w:val="00EA6421"/>
    <w:rsid w:val="00ED45D7"/>
    <w:rsid w:val="00EE22F2"/>
    <w:rsid w:val="00F1746D"/>
    <w:rsid w:val="00F208E2"/>
    <w:rsid w:val="00F24CCE"/>
    <w:rsid w:val="00F419F3"/>
    <w:rsid w:val="00F74371"/>
    <w:rsid w:val="00FD2993"/>
    <w:rsid w:val="00FF65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2786"/>
  <w15:chartTrackingRefBased/>
  <w15:docId w15:val="{70F339B0-1F94-434F-86A3-B1A6D1C8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14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221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221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221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2214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2214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2214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2214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2214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2214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140"/>
    <w:rPr>
      <w:rFonts w:eastAsiaTheme="majorEastAsia" w:cstheme="majorBidi"/>
      <w:color w:val="272727" w:themeColor="text1" w:themeTint="D8"/>
    </w:rPr>
  </w:style>
  <w:style w:type="paragraph" w:styleId="Title">
    <w:name w:val="Title"/>
    <w:basedOn w:val="Normal"/>
    <w:next w:val="Normal"/>
    <w:link w:val="TitleChar"/>
    <w:uiPriority w:val="10"/>
    <w:qFormat/>
    <w:rsid w:val="00A221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22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1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22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14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22140"/>
    <w:rPr>
      <w:i/>
      <w:iCs/>
      <w:color w:val="404040" w:themeColor="text1" w:themeTint="BF"/>
    </w:rPr>
  </w:style>
  <w:style w:type="paragraph" w:styleId="ListParagraph">
    <w:name w:val="List Paragraph"/>
    <w:basedOn w:val="Normal"/>
    <w:uiPriority w:val="34"/>
    <w:qFormat/>
    <w:rsid w:val="00A2214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22140"/>
    <w:rPr>
      <w:i/>
      <w:iCs/>
      <w:color w:val="0F4761" w:themeColor="accent1" w:themeShade="BF"/>
    </w:rPr>
  </w:style>
  <w:style w:type="paragraph" w:styleId="IntenseQuote">
    <w:name w:val="Intense Quote"/>
    <w:basedOn w:val="Normal"/>
    <w:next w:val="Normal"/>
    <w:link w:val="IntenseQuoteChar"/>
    <w:uiPriority w:val="30"/>
    <w:qFormat/>
    <w:rsid w:val="00A221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22140"/>
    <w:rPr>
      <w:i/>
      <w:iCs/>
      <w:color w:val="0F4761" w:themeColor="accent1" w:themeShade="BF"/>
    </w:rPr>
  </w:style>
  <w:style w:type="character" w:styleId="IntenseReference">
    <w:name w:val="Intense Reference"/>
    <w:basedOn w:val="DefaultParagraphFont"/>
    <w:uiPriority w:val="32"/>
    <w:qFormat/>
    <w:rsid w:val="00A22140"/>
    <w:rPr>
      <w:b/>
      <w:bCs/>
      <w:smallCaps/>
      <w:color w:val="0F4761" w:themeColor="accent1" w:themeShade="BF"/>
      <w:spacing w:val="5"/>
    </w:rPr>
  </w:style>
  <w:style w:type="paragraph" w:styleId="NormalWeb">
    <w:name w:val="Normal (Web)"/>
    <w:basedOn w:val="Normal"/>
    <w:uiPriority w:val="99"/>
    <w:semiHidden/>
    <w:unhideWhenUsed/>
    <w:rsid w:val="00035EA0"/>
  </w:style>
  <w:style w:type="paragraph" w:customStyle="1" w:styleId="p1">
    <w:name w:val="p1"/>
    <w:basedOn w:val="Normal"/>
    <w:rsid w:val="003029C6"/>
    <w:rPr>
      <w:rFonts w:ascii="Helvetica" w:eastAsiaTheme="minorEastAsia" w:hAnsi="Helvetica"/>
      <w:color w:val="092540"/>
      <w:sz w:val="18"/>
      <w:szCs w:val="18"/>
    </w:rPr>
  </w:style>
  <w:style w:type="character" w:customStyle="1" w:styleId="s1">
    <w:name w:val="s1"/>
    <w:basedOn w:val="DefaultParagraphFont"/>
    <w:rsid w:val="003029C6"/>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6107">
      <w:bodyDiv w:val="1"/>
      <w:marLeft w:val="0"/>
      <w:marRight w:val="0"/>
      <w:marTop w:val="0"/>
      <w:marBottom w:val="0"/>
      <w:divBdr>
        <w:top w:val="none" w:sz="0" w:space="0" w:color="auto"/>
        <w:left w:val="none" w:sz="0" w:space="0" w:color="auto"/>
        <w:bottom w:val="none" w:sz="0" w:space="0" w:color="auto"/>
        <w:right w:val="none" w:sz="0" w:space="0" w:color="auto"/>
      </w:divBdr>
    </w:div>
    <w:div w:id="701442925">
      <w:bodyDiv w:val="1"/>
      <w:marLeft w:val="0"/>
      <w:marRight w:val="0"/>
      <w:marTop w:val="0"/>
      <w:marBottom w:val="0"/>
      <w:divBdr>
        <w:top w:val="none" w:sz="0" w:space="0" w:color="auto"/>
        <w:left w:val="none" w:sz="0" w:space="0" w:color="auto"/>
        <w:bottom w:val="none" w:sz="0" w:space="0" w:color="auto"/>
        <w:right w:val="none" w:sz="0" w:space="0" w:color="auto"/>
      </w:divBdr>
    </w:div>
    <w:div w:id="821501569">
      <w:bodyDiv w:val="1"/>
      <w:marLeft w:val="0"/>
      <w:marRight w:val="0"/>
      <w:marTop w:val="0"/>
      <w:marBottom w:val="0"/>
      <w:divBdr>
        <w:top w:val="none" w:sz="0" w:space="0" w:color="auto"/>
        <w:left w:val="none" w:sz="0" w:space="0" w:color="auto"/>
        <w:bottom w:val="none" w:sz="0" w:space="0" w:color="auto"/>
        <w:right w:val="none" w:sz="0" w:space="0" w:color="auto"/>
      </w:divBdr>
    </w:div>
    <w:div w:id="840197883">
      <w:bodyDiv w:val="1"/>
      <w:marLeft w:val="0"/>
      <w:marRight w:val="0"/>
      <w:marTop w:val="0"/>
      <w:marBottom w:val="0"/>
      <w:divBdr>
        <w:top w:val="none" w:sz="0" w:space="0" w:color="auto"/>
        <w:left w:val="none" w:sz="0" w:space="0" w:color="auto"/>
        <w:bottom w:val="none" w:sz="0" w:space="0" w:color="auto"/>
        <w:right w:val="none" w:sz="0" w:space="0" w:color="auto"/>
      </w:divBdr>
    </w:div>
    <w:div w:id="951129292">
      <w:bodyDiv w:val="1"/>
      <w:marLeft w:val="0"/>
      <w:marRight w:val="0"/>
      <w:marTop w:val="0"/>
      <w:marBottom w:val="0"/>
      <w:divBdr>
        <w:top w:val="none" w:sz="0" w:space="0" w:color="auto"/>
        <w:left w:val="none" w:sz="0" w:space="0" w:color="auto"/>
        <w:bottom w:val="none" w:sz="0" w:space="0" w:color="auto"/>
        <w:right w:val="none" w:sz="0" w:space="0" w:color="auto"/>
      </w:divBdr>
    </w:div>
    <w:div w:id="1072116814">
      <w:bodyDiv w:val="1"/>
      <w:marLeft w:val="0"/>
      <w:marRight w:val="0"/>
      <w:marTop w:val="0"/>
      <w:marBottom w:val="0"/>
      <w:divBdr>
        <w:top w:val="none" w:sz="0" w:space="0" w:color="auto"/>
        <w:left w:val="none" w:sz="0" w:space="0" w:color="auto"/>
        <w:bottom w:val="none" w:sz="0" w:space="0" w:color="auto"/>
        <w:right w:val="none" w:sz="0" w:space="0" w:color="auto"/>
      </w:divBdr>
    </w:div>
    <w:div w:id="1261067720">
      <w:bodyDiv w:val="1"/>
      <w:marLeft w:val="0"/>
      <w:marRight w:val="0"/>
      <w:marTop w:val="0"/>
      <w:marBottom w:val="0"/>
      <w:divBdr>
        <w:top w:val="none" w:sz="0" w:space="0" w:color="auto"/>
        <w:left w:val="none" w:sz="0" w:space="0" w:color="auto"/>
        <w:bottom w:val="none" w:sz="0" w:space="0" w:color="auto"/>
        <w:right w:val="none" w:sz="0" w:space="0" w:color="auto"/>
      </w:divBdr>
    </w:div>
    <w:div w:id="1294943512">
      <w:bodyDiv w:val="1"/>
      <w:marLeft w:val="0"/>
      <w:marRight w:val="0"/>
      <w:marTop w:val="0"/>
      <w:marBottom w:val="0"/>
      <w:divBdr>
        <w:top w:val="none" w:sz="0" w:space="0" w:color="auto"/>
        <w:left w:val="none" w:sz="0" w:space="0" w:color="auto"/>
        <w:bottom w:val="none" w:sz="0" w:space="0" w:color="auto"/>
        <w:right w:val="none" w:sz="0" w:space="0" w:color="auto"/>
      </w:divBdr>
    </w:div>
    <w:div w:id="1306397098">
      <w:bodyDiv w:val="1"/>
      <w:marLeft w:val="0"/>
      <w:marRight w:val="0"/>
      <w:marTop w:val="0"/>
      <w:marBottom w:val="0"/>
      <w:divBdr>
        <w:top w:val="none" w:sz="0" w:space="0" w:color="auto"/>
        <w:left w:val="none" w:sz="0" w:space="0" w:color="auto"/>
        <w:bottom w:val="none" w:sz="0" w:space="0" w:color="auto"/>
        <w:right w:val="none" w:sz="0" w:space="0" w:color="auto"/>
      </w:divBdr>
    </w:div>
    <w:div w:id="1445804363">
      <w:bodyDiv w:val="1"/>
      <w:marLeft w:val="0"/>
      <w:marRight w:val="0"/>
      <w:marTop w:val="0"/>
      <w:marBottom w:val="0"/>
      <w:divBdr>
        <w:top w:val="none" w:sz="0" w:space="0" w:color="auto"/>
        <w:left w:val="none" w:sz="0" w:space="0" w:color="auto"/>
        <w:bottom w:val="none" w:sz="0" w:space="0" w:color="auto"/>
        <w:right w:val="none" w:sz="0" w:space="0" w:color="auto"/>
      </w:divBdr>
    </w:div>
    <w:div w:id="1541865605">
      <w:bodyDiv w:val="1"/>
      <w:marLeft w:val="0"/>
      <w:marRight w:val="0"/>
      <w:marTop w:val="0"/>
      <w:marBottom w:val="0"/>
      <w:divBdr>
        <w:top w:val="none" w:sz="0" w:space="0" w:color="auto"/>
        <w:left w:val="none" w:sz="0" w:space="0" w:color="auto"/>
        <w:bottom w:val="none" w:sz="0" w:space="0" w:color="auto"/>
        <w:right w:val="none" w:sz="0" w:space="0" w:color="auto"/>
      </w:divBdr>
    </w:div>
    <w:div w:id="1844472193">
      <w:bodyDiv w:val="1"/>
      <w:marLeft w:val="0"/>
      <w:marRight w:val="0"/>
      <w:marTop w:val="0"/>
      <w:marBottom w:val="0"/>
      <w:divBdr>
        <w:top w:val="none" w:sz="0" w:space="0" w:color="auto"/>
        <w:left w:val="none" w:sz="0" w:space="0" w:color="auto"/>
        <w:bottom w:val="none" w:sz="0" w:space="0" w:color="auto"/>
        <w:right w:val="none" w:sz="0" w:space="0" w:color="auto"/>
      </w:divBdr>
    </w:div>
    <w:div w:id="20440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Fakruhayat Bin. Ab Rashid</dc:creator>
  <cp:keywords/>
  <dc:description/>
  <cp:lastModifiedBy>Muhammad Fakruhayat Bin. Ab Rashid</cp:lastModifiedBy>
  <cp:revision>2</cp:revision>
  <dcterms:created xsi:type="dcterms:W3CDTF">2026-06-16T03:36:00Z</dcterms:created>
  <dcterms:modified xsi:type="dcterms:W3CDTF">2026-06-16T03:36:00Z</dcterms:modified>
</cp:coreProperties>
</file>