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AFBAF" w14:textId="77777777" w:rsidR="000420D9" w:rsidRPr="000420D9" w:rsidRDefault="000420D9" w:rsidP="000420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n-GB"/>
        </w:rPr>
      </w:pPr>
      <w:r w:rsidRPr="000420D9">
        <w:rPr>
          <w:rFonts w:ascii="Times New Roman" w:eastAsia="Times New Roman" w:hAnsi="Times New Roman" w:cs="Times New Roman"/>
          <w:b/>
          <w:bCs/>
          <w:kern w:val="36"/>
          <w:sz w:val="28"/>
          <w:szCs w:val="28"/>
          <w:lang w:eastAsia="en-GB"/>
        </w:rPr>
        <w:t>DETERMINATION OF HEAVY METAL LEVELS IN HYBRID AND INDIGENOUS KAMBA MAIZE SEED VARIETIES FROM FARMS IN MASII, MACHAKOS COUNTY</w:t>
      </w:r>
    </w:p>
    <w:p w14:paraId="2676725F" w14:textId="7E5A9221" w:rsidR="000420D9" w:rsidRPr="008751EA" w:rsidRDefault="000420D9" w:rsidP="000420D9">
      <w:pPr>
        <w:spacing w:before="100" w:beforeAutospacing="1" w:after="100" w:afterAutospacing="1" w:line="240" w:lineRule="auto"/>
        <w:jc w:val="center"/>
        <w:rPr>
          <w:rFonts w:ascii="Times New Roman" w:eastAsia="Times New Roman" w:hAnsi="Times New Roman" w:cs="Times New Roman"/>
          <w:sz w:val="32"/>
          <w:szCs w:val="32"/>
          <w:lang w:eastAsia="en-GB"/>
        </w:rPr>
      </w:pPr>
      <w:r w:rsidRPr="008751EA">
        <w:rPr>
          <w:rFonts w:ascii="Times New Roman" w:eastAsia="Times New Roman" w:hAnsi="Times New Roman" w:cs="Times New Roman"/>
          <w:b/>
          <w:bCs/>
          <w:i/>
          <w:iCs/>
          <w:sz w:val="32"/>
          <w:szCs w:val="32"/>
          <w:lang w:eastAsia="en-GB"/>
        </w:rPr>
        <w:t>Joyce G.N. Kithure,</w:t>
      </w:r>
      <w:r w:rsidR="00F057F5" w:rsidRPr="008751EA">
        <w:rPr>
          <w:rFonts w:ascii="Times New Roman" w:eastAsia="Times New Roman" w:hAnsi="Times New Roman" w:cs="Times New Roman"/>
          <w:b/>
          <w:bCs/>
          <w:i/>
          <w:iCs/>
          <w:sz w:val="32"/>
          <w:szCs w:val="32"/>
          <w:lang w:eastAsia="en-GB"/>
        </w:rPr>
        <w:t xml:space="preserve"> </w:t>
      </w:r>
      <w:r w:rsidRPr="008751EA">
        <w:rPr>
          <w:rFonts w:ascii="Times New Roman" w:eastAsia="Times New Roman" w:hAnsi="Times New Roman" w:cs="Times New Roman"/>
          <w:b/>
          <w:bCs/>
          <w:i/>
          <w:iCs/>
          <w:sz w:val="32"/>
          <w:szCs w:val="32"/>
          <w:lang w:eastAsia="en-GB"/>
        </w:rPr>
        <w:t>Deborah A. Abong'o</w:t>
      </w:r>
      <w:r w:rsidR="00F057F5" w:rsidRPr="008751EA">
        <w:rPr>
          <w:rFonts w:ascii="Times New Roman" w:eastAsia="Times New Roman" w:hAnsi="Times New Roman" w:cs="Times New Roman"/>
          <w:b/>
          <w:bCs/>
          <w:i/>
          <w:iCs/>
          <w:sz w:val="32"/>
          <w:szCs w:val="32"/>
          <w:lang w:eastAsia="en-GB"/>
        </w:rPr>
        <w:t>, Precious M</w:t>
      </w:r>
      <w:r w:rsidR="001A0E29" w:rsidRPr="008751EA">
        <w:rPr>
          <w:rFonts w:ascii="Times New Roman" w:eastAsia="Times New Roman" w:hAnsi="Times New Roman" w:cs="Times New Roman"/>
          <w:b/>
          <w:bCs/>
          <w:i/>
          <w:iCs/>
          <w:sz w:val="32"/>
          <w:szCs w:val="32"/>
          <w:lang w:eastAsia="en-GB"/>
        </w:rPr>
        <w:t>.</w:t>
      </w:r>
      <w:r w:rsidR="00F057F5" w:rsidRPr="008751EA">
        <w:rPr>
          <w:rFonts w:ascii="Times New Roman" w:eastAsia="Times New Roman" w:hAnsi="Times New Roman" w:cs="Times New Roman"/>
          <w:b/>
          <w:bCs/>
          <w:i/>
          <w:iCs/>
          <w:sz w:val="32"/>
          <w:szCs w:val="32"/>
          <w:lang w:eastAsia="en-GB"/>
        </w:rPr>
        <w:t xml:space="preserve"> Mumo</w:t>
      </w:r>
    </w:p>
    <w:p w14:paraId="290E5B7D" w14:textId="77777777" w:rsidR="000420D9" w:rsidRPr="000420D9" w:rsidRDefault="000420D9" w:rsidP="00C1545B">
      <w:pPr>
        <w:spacing w:after="0" w:line="240" w:lineRule="auto"/>
        <w:jc w:val="center"/>
        <w:rPr>
          <w:i/>
          <w:color w:val="0563C1" w:themeColor="hyperlink"/>
          <w:sz w:val="20"/>
          <w:szCs w:val="20"/>
          <w:u w:val="single"/>
          <w:lang w:val="en-US"/>
        </w:rPr>
      </w:pPr>
      <w:r w:rsidRPr="000420D9">
        <w:rPr>
          <w:rFonts w:ascii="Times New Roman" w:eastAsia="Times New Roman" w:hAnsi="Times New Roman" w:cs="Times New Roman"/>
          <w:i/>
          <w:iCs/>
          <w:sz w:val="20"/>
          <w:szCs w:val="20"/>
          <w:lang w:eastAsia="en-GB"/>
        </w:rPr>
        <w:t>Department of Chemistry, University of Nairobi, P.O Box 30197-00100, Nairobi, Kenya</w:t>
      </w:r>
      <w:r w:rsidRPr="000420D9">
        <w:rPr>
          <w:rFonts w:ascii="Times New Roman" w:eastAsia="Times New Roman" w:hAnsi="Times New Roman" w:cs="Times New Roman"/>
          <w:sz w:val="20"/>
          <w:szCs w:val="20"/>
          <w:lang w:eastAsia="en-GB"/>
        </w:rPr>
        <w:br/>
      </w:r>
      <w:r w:rsidR="00C1545B">
        <w:rPr>
          <w:rFonts w:ascii="Times New Roman" w:eastAsia="Times New Roman" w:hAnsi="Times New Roman" w:cs="Times New Roman"/>
          <w:i/>
          <w:iCs/>
          <w:sz w:val="20"/>
          <w:szCs w:val="20"/>
          <w:lang w:eastAsia="en-GB"/>
        </w:rPr>
        <w:t xml:space="preserve">Email Address: </w:t>
      </w:r>
      <w:hyperlink r:id="rId8" w:history="1">
        <w:r w:rsidR="00C1545B" w:rsidRPr="004E311D">
          <w:rPr>
            <w:rStyle w:val="Hyperlink"/>
            <w:i/>
            <w:sz w:val="20"/>
            <w:szCs w:val="20"/>
            <w:lang w:val="en-US"/>
          </w:rPr>
          <w:t>jkithure@uonbi.ac.ke</w:t>
        </w:r>
      </w:hyperlink>
    </w:p>
    <w:p w14:paraId="26D88DFF" w14:textId="77777777" w:rsidR="000420D9" w:rsidRPr="000420D9" w:rsidRDefault="000420D9" w:rsidP="000F0C56">
      <w:pPr>
        <w:pBdr>
          <w:bottom w:val="single" w:sz="4" w:space="1" w:color="auto"/>
        </w:pBdr>
        <w:spacing w:after="0" w:line="240" w:lineRule="auto"/>
        <w:rPr>
          <w:rFonts w:ascii="Times New Roman" w:eastAsia="Times New Roman" w:hAnsi="Times New Roman" w:cs="Times New Roman"/>
          <w:sz w:val="24"/>
          <w:szCs w:val="24"/>
          <w:lang w:eastAsia="en-GB"/>
        </w:rPr>
      </w:pPr>
    </w:p>
    <w:p w14:paraId="5CCC4355" w14:textId="77777777" w:rsidR="00EF4C45" w:rsidRDefault="00EF4C45" w:rsidP="000420D9">
      <w:pPr>
        <w:spacing w:before="100" w:beforeAutospacing="1" w:after="100" w:afterAutospacing="1" w:line="240" w:lineRule="auto"/>
        <w:outlineLvl w:val="1"/>
        <w:rPr>
          <w:rFonts w:ascii="Times New Roman" w:eastAsia="Times New Roman" w:hAnsi="Times New Roman" w:cs="Times New Roman"/>
          <w:b/>
          <w:bCs/>
          <w:sz w:val="36"/>
          <w:szCs w:val="36"/>
          <w:lang w:eastAsia="en-GB"/>
        </w:rPr>
        <w:sectPr w:rsidR="00EF4C45">
          <w:headerReference w:type="default" r:id="rId9"/>
          <w:footerReference w:type="default" r:id="rId10"/>
          <w:pgSz w:w="11906" w:h="16838"/>
          <w:pgMar w:top="1440" w:right="1440" w:bottom="1440" w:left="1440" w:header="708" w:footer="708" w:gutter="0"/>
          <w:cols w:space="708"/>
          <w:docGrid w:linePitch="360"/>
        </w:sectPr>
      </w:pPr>
    </w:p>
    <w:p w14:paraId="233FE999" w14:textId="77777777" w:rsidR="000420D9" w:rsidRPr="000420D9" w:rsidRDefault="000420D9" w:rsidP="00011E3D">
      <w:pPr>
        <w:pBdr>
          <w:bottom w:val="single" w:sz="4" w:space="1" w:color="auto"/>
        </w:pBdr>
        <w:spacing w:before="100" w:beforeAutospacing="1" w:after="100" w:afterAutospacing="1" w:line="240" w:lineRule="auto"/>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ARTICLE INFO</w:t>
      </w:r>
    </w:p>
    <w:p w14:paraId="65F164A0" w14:textId="15A9E6A0" w:rsidR="000420D9" w:rsidRPr="000420D9" w:rsidRDefault="000420D9" w:rsidP="00011E3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Keywords:</w:t>
      </w:r>
      <w:r w:rsidRPr="000420D9">
        <w:rPr>
          <w:rFonts w:ascii="Times New Roman" w:eastAsia="Times New Roman" w:hAnsi="Times New Roman" w:cs="Times New Roman"/>
          <w:sz w:val="24"/>
          <w:szCs w:val="24"/>
          <w:lang w:eastAsia="en-GB"/>
        </w:rPr>
        <w:t xml:space="preserve"> Heavy metals, Maize seeds, Atomic Absorption Spectroscopy, SC Duma 43, SC Sungura 301, Indigenous Kamba maize, Lead, Cadmium, Food safety, Machakos County</w:t>
      </w:r>
      <w:r w:rsidR="00F057F5">
        <w:rPr>
          <w:rFonts w:ascii="Times New Roman" w:eastAsia="Times New Roman" w:hAnsi="Times New Roman" w:cs="Times New Roman"/>
          <w:sz w:val="24"/>
          <w:szCs w:val="24"/>
          <w:lang w:eastAsia="en-GB"/>
        </w:rPr>
        <w:t>.</w:t>
      </w:r>
    </w:p>
    <w:p w14:paraId="78AE4A5A" w14:textId="77777777" w:rsidR="000420D9" w:rsidRPr="000420D9" w:rsidRDefault="000420D9" w:rsidP="00011E3D">
      <w:pPr>
        <w:pBdr>
          <w:bottom w:val="single" w:sz="4" w:space="1" w:color="auto"/>
        </w:pBdr>
        <w:spacing w:after="0" w:line="240" w:lineRule="auto"/>
        <w:rPr>
          <w:rFonts w:ascii="Times New Roman" w:eastAsia="Times New Roman" w:hAnsi="Times New Roman" w:cs="Times New Roman"/>
          <w:sz w:val="24"/>
          <w:szCs w:val="24"/>
          <w:lang w:eastAsia="en-GB"/>
        </w:rPr>
      </w:pPr>
    </w:p>
    <w:p w14:paraId="5167650A" w14:textId="77777777" w:rsidR="000420D9" w:rsidRPr="000420D9" w:rsidRDefault="00011E3D" w:rsidP="00665BAD">
      <w:pPr>
        <w:pBdr>
          <w:bottom w:val="single" w:sz="4" w:space="1" w:color="auto"/>
        </w:pBdr>
        <w:spacing w:before="100" w:beforeAutospacing="1" w:after="100" w:afterAutospacing="1" w:line="240" w:lineRule="auto"/>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36"/>
          <w:szCs w:val="36"/>
          <w:lang w:eastAsia="en-GB"/>
        </w:rPr>
        <w:br w:type="column"/>
      </w:r>
      <w:r w:rsidR="000420D9" w:rsidRPr="000420D9">
        <w:rPr>
          <w:rFonts w:ascii="Times New Roman" w:eastAsia="Times New Roman" w:hAnsi="Times New Roman" w:cs="Times New Roman"/>
          <w:b/>
          <w:bCs/>
          <w:sz w:val="24"/>
          <w:szCs w:val="24"/>
          <w:lang w:eastAsia="en-GB"/>
        </w:rPr>
        <w:t>ABSTRACT</w:t>
      </w:r>
    </w:p>
    <w:p w14:paraId="069C24B3" w14:textId="77777777" w:rsidR="009E53C3" w:rsidRDefault="000420D9" w:rsidP="00665BA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Maize is a staple food consumed by millions of people in Kenya, yet heavy metal contamination in maize seeds poses significant health risks to consumers. This study was designed to determine the levels of lead (Pb), cadmium (Cd), zinc (Zn), copper (Cu), and manganese (Mn) in three maize seed varieties harvested from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Mwala Sub-County, Machakos County, Kenya. Fresh and dry samples of SC Duma 43 and SC Sungura 301 hybrids, along with the Indigenous Kamba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maize seeds, were collected from selected farms in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Kathama</w:t>
      </w:r>
      <w:proofErr w:type="spellEnd"/>
      <w:r w:rsidRPr="000420D9">
        <w:rPr>
          <w:rFonts w:ascii="Times New Roman" w:eastAsia="Times New Roman" w:hAnsi="Times New Roman" w:cs="Times New Roman"/>
          <w:sz w:val="24"/>
          <w:szCs w:val="24"/>
          <w:lang w:eastAsia="en-GB"/>
        </w:rPr>
        <w:t xml:space="preserve">, and </w:t>
      </w:r>
      <w:proofErr w:type="spellStart"/>
      <w:r w:rsidRPr="000420D9">
        <w:rPr>
          <w:rFonts w:ascii="Times New Roman" w:eastAsia="Times New Roman" w:hAnsi="Times New Roman" w:cs="Times New Roman"/>
          <w:sz w:val="24"/>
          <w:szCs w:val="24"/>
          <w:lang w:eastAsia="en-GB"/>
        </w:rPr>
        <w:t>Muthei</w:t>
      </w:r>
      <w:proofErr w:type="spellEnd"/>
      <w:r w:rsidRPr="000420D9">
        <w:rPr>
          <w:rFonts w:ascii="Times New Roman" w:eastAsia="Times New Roman" w:hAnsi="Times New Roman" w:cs="Times New Roman"/>
          <w:sz w:val="24"/>
          <w:szCs w:val="24"/>
          <w:lang w:eastAsia="en-GB"/>
        </w:rPr>
        <w:t xml:space="preserve"> Wards. The samples were transported to the Department of Chemistry, University of Nairobi, where they were dried, ground, and digested using an optimized acid mixture (2.5:0.75:0.5 ratio of HNO₃, </w:t>
      </w:r>
      <w:proofErr w:type="spellStart"/>
      <w:r w:rsidRPr="000420D9">
        <w:rPr>
          <w:rFonts w:ascii="Times New Roman" w:eastAsia="Times New Roman" w:hAnsi="Times New Roman" w:cs="Times New Roman"/>
          <w:sz w:val="24"/>
          <w:szCs w:val="24"/>
          <w:lang w:eastAsia="en-GB"/>
        </w:rPr>
        <w:t>HClO</w:t>
      </w:r>
      <w:proofErr w:type="spellEnd"/>
      <w:r w:rsidRPr="000420D9">
        <w:rPr>
          <w:rFonts w:ascii="Times New Roman" w:eastAsia="Times New Roman" w:hAnsi="Times New Roman" w:cs="Times New Roman"/>
          <w:sz w:val="24"/>
          <w:szCs w:val="24"/>
          <w:lang w:eastAsia="en-GB"/>
        </w:rPr>
        <w:t xml:space="preserve">₄, and H₂O₂) at 105°C for 2 hours 30 minutes. Heavy metal analysis was performed using Atomic Absorption Spectroscopy (AAS). Results showed that zinc levels ranged from 0.343 ± 0.0505 mg/g to 0.389 ± 0.0007 mg/g, cadmium from 0.562 ± 0.217 mg/g to 1.998 ± 0.110 mg/g, copper from 0.700 ± 0.0380 mg/g to 0.756 ± 0.101 mg/g, manganese from 0.270 ± 0.0586 mg/g to 2.745 ± 0.851 mg/g, and lead from 8.247 ± 0.798 mg/g to 10.449 ± 0.398 mg/g. While zinc, copper, and manganese levels were below the recommended limits set by the World Health Organization (WHO), Food and Agriculture Organization (FAO), and Kenya Bureau of Standards (KEBS), their presence warrants attention due to potential bioaccumulation effects. Critically, cadmium and lead concentrations exceeded the permissible limits of 0.1-0.5 mg/g, with lead showing particularly alarming levels across all three varieties. These findings indicate that the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maize seeds pose serious health risks and are not safe for human consumption. The study highlights the urgent need for regular monitoring of heavy metal contamination in food crops and implementation of remediation strategies to protect public health in Machakos County a</w:t>
      </w:r>
      <w:r w:rsidR="000F0C56">
        <w:rPr>
          <w:rFonts w:ascii="Times New Roman" w:eastAsia="Times New Roman" w:hAnsi="Times New Roman" w:cs="Times New Roman"/>
          <w:sz w:val="24"/>
          <w:szCs w:val="24"/>
          <w:lang w:eastAsia="en-GB"/>
        </w:rPr>
        <w:t>nd similar agricultural regions</w:t>
      </w:r>
    </w:p>
    <w:p w14:paraId="2F38A85E" w14:textId="77777777" w:rsidR="007C5034" w:rsidRDefault="007C5034" w:rsidP="00011E3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2B9FE09D" w14:textId="77777777" w:rsidR="007C5034" w:rsidRDefault="007C5034" w:rsidP="00011E3D">
      <w:pPr>
        <w:spacing w:before="100" w:beforeAutospacing="1" w:after="100" w:afterAutospacing="1" w:line="240" w:lineRule="auto"/>
        <w:jc w:val="both"/>
        <w:rPr>
          <w:rFonts w:ascii="Times New Roman" w:eastAsia="Times New Roman" w:hAnsi="Times New Roman" w:cs="Times New Roman"/>
          <w:sz w:val="24"/>
          <w:szCs w:val="24"/>
          <w:lang w:eastAsia="en-GB"/>
        </w:rPr>
        <w:sectPr w:rsidR="007C5034" w:rsidSect="007C5034">
          <w:type w:val="continuous"/>
          <w:pgSz w:w="11906" w:h="16838"/>
          <w:pgMar w:top="1440" w:right="1440" w:bottom="1440" w:left="1440" w:header="708" w:footer="708" w:gutter="0"/>
          <w:cols w:num="2" w:space="385" w:equalWidth="0">
            <w:col w:w="2642" w:space="385"/>
            <w:col w:w="5999"/>
          </w:cols>
          <w:docGrid w:linePitch="360"/>
        </w:sectPr>
      </w:pPr>
    </w:p>
    <w:p w14:paraId="2F789EEF"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lastRenderedPageBreak/>
        <w:t>1.0 INTRODUCTION</w:t>
      </w:r>
    </w:p>
    <w:p w14:paraId="4175FDA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 xml:space="preserve">1.1 </w:t>
      </w:r>
      <w:r w:rsidRPr="000420D9">
        <w:rPr>
          <w:rFonts w:ascii="Times New Roman" w:eastAsia="Times New Roman" w:hAnsi="Times New Roman" w:cs="Times New Roman"/>
          <w:b/>
          <w:bCs/>
          <w:sz w:val="24"/>
          <w:szCs w:val="24"/>
          <w:lang w:eastAsia="en-GB"/>
        </w:rPr>
        <w:t>Background of the Study</w:t>
      </w:r>
    </w:p>
    <w:p w14:paraId="668FFC4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Maize (</w:t>
      </w:r>
      <w:proofErr w:type="spellStart"/>
      <w:r w:rsidRPr="000420D9">
        <w:rPr>
          <w:rFonts w:ascii="Times New Roman" w:eastAsia="Times New Roman" w:hAnsi="Times New Roman" w:cs="Times New Roman"/>
          <w:sz w:val="24"/>
          <w:szCs w:val="24"/>
          <w:lang w:eastAsia="en-GB"/>
        </w:rPr>
        <w:t>Zea</w:t>
      </w:r>
      <w:proofErr w:type="spellEnd"/>
      <w:r w:rsidRPr="000420D9">
        <w:rPr>
          <w:rFonts w:ascii="Times New Roman" w:eastAsia="Times New Roman" w:hAnsi="Times New Roman" w:cs="Times New Roman"/>
          <w:sz w:val="24"/>
          <w:szCs w:val="24"/>
          <w:lang w:eastAsia="en-GB"/>
        </w:rPr>
        <w:t xml:space="preserve"> mays L.) stands as one of the most important cereal crops worldwide and serves as a primary staple food for billions of people, particularly in sub-Saharan Africa. In Kenya, maize occupies a central position in food security, with the majority of households depending on it as their main source of calories and nutrition. The crop is cultivated across diverse agro-ecological zones in the country, with Machakos County being one of the significant production areas. However, the safety and nutritional quality of maize can be compromised by the presence of heavy metal contaminants, which pose substantial risks to human health and environmental integrity.</w:t>
      </w:r>
    </w:p>
    <w:p w14:paraId="3CCE141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Heavy metals are defined as chemical elements with relatively high atomic weights and densities that exhibit strong toxic effects even at low concentrations. These metallic elements are persistent in the environment, non-biodegradable, and have a tendency to bioaccumulate in living organisms, making them particularly dangerous environmental pollutants. The primary heavy metals of concern in agricultural systems include lead (Pb), cadmium (Cd), zinc (Zn), copper (Cu), and manganese (Mn), among others. Their presence in agricultural soils and subsequently in food crops has become a matter of increasing concern among researchers, public health officials, and policymakers worldwide.</w:t>
      </w:r>
    </w:p>
    <w:p w14:paraId="48E6CB6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contamination of agricultural soils with heavy metals occurs through various anthropogenic and natural pathways. Industrial activities such as mining, smelting, and manufacturing release substantial amounts of heavy metals into the environment, contaminating both soil and water resources used for irrigation. Agricultural practices themselves </w:t>
      </w:r>
      <w:r w:rsidRPr="000420D9">
        <w:rPr>
          <w:rFonts w:ascii="Times New Roman" w:eastAsia="Times New Roman" w:hAnsi="Times New Roman" w:cs="Times New Roman"/>
          <w:sz w:val="24"/>
          <w:szCs w:val="24"/>
          <w:lang w:eastAsia="en-GB"/>
        </w:rPr>
        <w:t xml:space="preserve">contribute to this problem through the long-term application of phosphate fertilizers, which often contain heavy metal impurities, the use of pesticides with metallic components, and the application of sewage sludge as soil amendment. Additionally, atmospheric deposition from vehicle emissions and industrial discharges introduces heavy metals into farmlands, particularly in areas close to urban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or industrial zones. Natural geological formations in certain regions may also contribute elevated levels of specific heavy metals to the soil.</w:t>
      </w:r>
    </w:p>
    <w:p w14:paraId="59169FC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Maize plants are known to be sensitive to heavy metal stress and can absorb these contaminants from the soil through their root systems. Once absorbed, heavy metals are transported to various plant parts, including the grains, where they accumulate to varying degrees. The extent of accumulation depends on multiple factors including the concentration of metals in the soil, the specific metal type, the maize variety, soil pH, organic matter content, and prevailing environmental conditions. Research has demonstrated that different maize varieties exhibit varying capacities for heavy metal uptake and accumulation, with some cultivars showing higher susceptibility than others. Understanding these varietal differences is essential for developing appropriate mitigation strategies and breeding programs aimed at reducing heavy metal accumulation in edible portions of the crop.</w:t>
      </w:r>
    </w:p>
    <w:p w14:paraId="53FBD82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health implications of consuming heavy metal-contaminated maize are severe and multifaceted. Lead exposure, even at relatively low levels, has been associated with neurodevelopmental problems in children, including reduced intelligence quotient (IQ), learning disabilities, and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disorders. In adults, chronic lead exposure can lead to hypertension, cardiovascular disease, kidney damage, and reproductive problems. Cadmium, classified as a human carcinogen by </w:t>
      </w:r>
      <w:r w:rsidRPr="000420D9">
        <w:rPr>
          <w:rFonts w:ascii="Times New Roman" w:eastAsia="Times New Roman" w:hAnsi="Times New Roman" w:cs="Times New Roman"/>
          <w:sz w:val="24"/>
          <w:szCs w:val="24"/>
          <w:lang w:eastAsia="en-GB"/>
        </w:rPr>
        <w:lastRenderedPageBreak/>
        <w:t>international health agencies, accumulates primarily in the kidneys and liver, causing nephrotoxicity, hepatotoxicity, and bone disease. It interferes with calcium metabolism and can lead to osteoporosis and skeletal damage. Both lead and cadmium have been shown to induce oxidative stress, damage deoxyribonucleic acid (DNA), and disrupt multiple physiological systems including the endocrine, cardiovascular, and reproductive systems.</w:t>
      </w:r>
    </w:p>
    <w:p w14:paraId="7FA0219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While zinc, copper, and manganese are essential micronutrients required for normal physiological functions, their presence in excessive amounts can be equally harmful. Zinc toxicity manifests as gastrointestinal distress, including nausea, vomiting, and </w:t>
      </w:r>
      <w:proofErr w:type="spellStart"/>
      <w:r w:rsidRPr="000420D9">
        <w:rPr>
          <w:rFonts w:ascii="Times New Roman" w:eastAsia="Times New Roman" w:hAnsi="Times New Roman" w:cs="Times New Roman"/>
          <w:sz w:val="24"/>
          <w:szCs w:val="24"/>
          <w:lang w:eastAsia="en-GB"/>
        </w:rPr>
        <w:t>diarrhea</w:t>
      </w:r>
      <w:proofErr w:type="spellEnd"/>
      <w:r w:rsidRPr="000420D9">
        <w:rPr>
          <w:rFonts w:ascii="Times New Roman" w:eastAsia="Times New Roman" w:hAnsi="Times New Roman" w:cs="Times New Roman"/>
          <w:sz w:val="24"/>
          <w:szCs w:val="24"/>
          <w:lang w:eastAsia="en-GB"/>
        </w:rPr>
        <w:t>, and can interfere with the absorption of other essential minerals such as iron and copper, leading to secondary deficiencies. Excessive copper intake causes liver damage, neurological problems, and can trigger Wilson's disease-like symptoms. Manganese toxicity primarily affects the central nervous system, potentially causing a condition resembling Parkinson's disease, characterized by tremors, difficulty walking, and facial muscle spasms.</w:t>
      </w:r>
    </w:p>
    <w:p w14:paraId="3D366EE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This research aligns with several United Nations Sustainable Development Goals (SDGs), demonstrating its broader significance beyond immediate health concerns. SDG 2, which focuses on achieving zero hunger and ensuring access to safe and nutritious food, is directly addressed through this study's emphasis on food safety and the identification of contamination risks. SDG 3, promoting good health and wellbeing, is supported by efforts to prevent both acute and chronic health issues arising from heavy metal exposure. The study contributes to SDG 6 on clean water and sanitation by highlighting how contaminated irrigation water can affect food safety. Furthermore, it supports SDG 12 on responsible </w:t>
      </w:r>
      <w:r w:rsidRPr="000420D9">
        <w:rPr>
          <w:rFonts w:ascii="Times New Roman" w:eastAsia="Times New Roman" w:hAnsi="Times New Roman" w:cs="Times New Roman"/>
          <w:sz w:val="24"/>
          <w:szCs w:val="24"/>
          <w:lang w:eastAsia="en-GB"/>
        </w:rPr>
        <w:t>consumption and production by encouraging safer agricultural practices, including judicious use of fertilizers and pesticides. SDG 13 on climate action is relevant because climate change can influence heavy metal bioavailability in soils, and SDG 15 on life on land is addressed through the promotion of sustainable land use practices that minimize soil contamination.</w:t>
      </w:r>
    </w:p>
    <w:p w14:paraId="6C48AED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Despite the growing body of research on heavy metal contamination in food crops globally, there remains a significant knowledge gap regarding the levels and distribution of these contaminants in Kenyan maize, particularly in specific agricultural regions like Machakos County. Most existing studies have been conducted in other countries, particularly Nigeria and other West African nations, leaving East African contexts understudied. Additionally, limited analytical capacity in terms of laboratory infrastructure and sophisticated instrumentation has hindered comprehensive food safety monitoring in Kenya. There is also insufficient public awareness regarding heavy metal contamination risks among farming communities and consumers, which perpetuates unsafe agricultural practices and consumption patterns.</w:t>
      </w:r>
    </w:p>
    <w:p w14:paraId="3B6846A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present study was therefore designed to address these gaps by determining the concentrations of lead, cadmium, zinc, copper, and manganese in three commonly cultivated maize varieties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Machakos County. By comparing hybrid varieties (SC Duma 43 and SC Sungura 301) with the traditional Indigenous Kamba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maize, the research provides valuable insights into how different genetic backgrounds influence heavy metal accumulation. Furthermore, by comparing measured levels against the Maximum Residue Limits (MRL) established by WHO, FAO, and KEBS, the study offers a direct assessment </w:t>
      </w:r>
      <w:r w:rsidRPr="000420D9">
        <w:rPr>
          <w:rFonts w:ascii="Times New Roman" w:eastAsia="Times New Roman" w:hAnsi="Times New Roman" w:cs="Times New Roman"/>
          <w:sz w:val="24"/>
          <w:szCs w:val="24"/>
          <w:lang w:eastAsia="en-GB"/>
        </w:rPr>
        <w:lastRenderedPageBreak/>
        <w:t>of food safety status and potential health risks to consumers.</w:t>
      </w:r>
    </w:p>
    <w:p w14:paraId="2A6C02F0"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1.2 Statement of the Problem</w:t>
      </w:r>
    </w:p>
    <w:p w14:paraId="0CB96B7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Maize constitutes the primary staple food for the majority of Kenyan households, with particularly high consumption rates in rural and peri-urban communities. However, the potential for heavy metal accumulation in maize grains from contaminated agricultural soils presents a serious but often overlooked public health threat. In Machakos County, farmers cultivate maize in areas that may be exposed to various sources of heavy metal contamination, including long-term use of synthetic fertilizers, proximity to urban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with industrial activities, and irrigation with potentially contaminated water sources.</w:t>
      </w:r>
    </w:p>
    <w:p w14:paraId="405D33A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Reports of unexplained health problems among local populations have emerged, yet these ailments have not been systematically investigated or linked to specific causal agents. While some preliminary studies have suggested associations between heavy metal-contaminated food consumption and various health conditions, comprehensive research specifically focused on maize from Machakos County has not been conducted. This knowledge gap is particularly concerning given that heavy metals such as lead, cadmium, copper, zinc, and manganese can cause devastating health effects ranging from neurological damage and developmental delays in children to cardiovascular disease, kidney failure, and cancer in adults.</w:t>
      </w:r>
    </w:p>
    <w:p w14:paraId="5293BC6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situation is further complicated by the fact that different maize varieties may accumulate heavy metals at different rates, meaning that some commonly planted hybrids or traditional varieties could pose greater risks than others. Without adequate data on heavy metal levels in locally consumed maize varieties, it is impossible to make informed decisions about food </w:t>
      </w:r>
      <w:r w:rsidRPr="000420D9">
        <w:rPr>
          <w:rFonts w:ascii="Times New Roman" w:eastAsia="Times New Roman" w:hAnsi="Times New Roman" w:cs="Times New Roman"/>
          <w:sz w:val="24"/>
          <w:szCs w:val="24"/>
          <w:lang w:eastAsia="en-GB"/>
        </w:rPr>
        <w:t>safety, implement appropriate interventions, or provide evidence-based guidance to farming communities. There is therefore an urgent need to conduct detailed assessments of heavy metal contamination in maize seeds from Machakos County to protect public health and inform agricultural and food safety policies.</w:t>
      </w:r>
    </w:p>
    <w:p w14:paraId="08AF8560"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 xml:space="preserve">1.3 </w:t>
      </w:r>
      <w:r w:rsidRPr="000420D9">
        <w:rPr>
          <w:rFonts w:ascii="Times New Roman" w:eastAsia="Times New Roman" w:hAnsi="Times New Roman" w:cs="Times New Roman"/>
          <w:b/>
          <w:bCs/>
          <w:sz w:val="24"/>
          <w:szCs w:val="24"/>
          <w:lang w:eastAsia="en-GB"/>
        </w:rPr>
        <w:t>Research Questions</w:t>
      </w:r>
    </w:p>
    <w:p w14:paraId="509C721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This study sought to answer the following research questions:</w:t>
      </w:r>
    </w:p>
    <w:p w14:paraId="1CD0C6E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0420D9">
        <w:rPr>
          <w:rFonts w:ascii="Times New Roman" w:eastAsia="Times New Roman" w:hAnsi="Times New Roman" w:cs="Times New Roman"/>
          <w:sz w:val="24"/>
          <w:szCs w:val="24"/>
          <w:lang w:eastAsia="en-GB"/>
        </w:rPr>
        <w:t>i</w:t>
      </w:r>
      <w:proofErr w:type="spellEnd"/>
      <w:r w:rsidRPr="000420D9">
        <w:rPr>
          <w:rFonts w:ascii="Times New Roman" w:eastAsia="Times New Roman" w:hAnsi="Times New Roman" w:cs="Times New Roman"/>
          <w:sz w:val="24"/>
          <w:szCs w:val="24"/>
          <w:lang w:eastAsia="en-GB"/>
        </w:rPr>
        <w:t xml:space="preserve">. What are the levels of heavy metals (lead, cadmium, zinc, copper, and manganese) present in SC Duma 43, SC Sungura 301 hybrid maize, and Indigenous Kamba maize seeds from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w:t>
      </w:r>
    </w:p>
    <w:p w14:paraId="106A4AE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ii. How do heavy metal concentrations compare among the three different maize seed varieties?</w:t>
      </w:r>
    </w:p>
    <w:p w14:paraId="58C85D5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iii. Do the measured heavy metal levels exceed the Maximum Residue Limits stipulated by WHO, FAO, and KEBS?</w:t>
      </w:r>
    </w:p>
    <w:p w14:paraId="19B232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iv. What are the potential health risks associated with consumption of maize with the observed heavy metal levels?</w:t>
      </w:r>
    </w:p>
    <w:p w14:paraId="64591A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v. What are the possible pathways through which heavy metals contaminate maize seeds in the study area?</w:t>
      </w:r>
    </w:p>
    <w:p w14:paraId="496B961F"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1.4 General Objective</w:t>
      </w:r>
    </w:p>
    <w:p w14:paraId="3F6B05C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general objective of this study was to determine the levels of heavy metals in SC Duma 43, SC Sungura 301 hybrid maize, and Indigenous Kamba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maize seeds obtained from farms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Mwala Sub-County, Machakos County, Kenya.</w:t>
      </w:r>
    </w:p>
    <w:p w14:paraId="07CA111E"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1.4.1 Specific Objectives</w:t>
      </w:r>
    </w:p>
    <w:p w14:paraId="6DFF739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specific objectives of this study were to:</w:t>
      </w:r>
    </w:p>
    <w:p w14:paraId="7C02D4A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0420D9">
        <w:rPr>
          <w:rFonts w:ascii="Times New Roman" w:eastAsia="Times New Roman" w:hAnsi="Times New Roman" w:cs="Times New Roman"/>
          <w:sz w:val="24"/>
          <w:szCs w:val="24"/>
          <w:lang w:eastAsia="en-GB"/>
        </w:rPr>
        <w:lastRenderedPageBreak/>
        <w:t>i</w:t>
      </w:r>
      <w:proofErr w:type="spellEnd"/>
      <w:r w:rsidRPr="000420D9">
        <w:rPr>
          <w:rFonts w:ascii="Times New Roman" w:eastAsia="Times New Roman" w:hAnsi="Times New Roman" w:cs="Times New Roman"/>
          <w:sz w:val="24"/>
          <w:szCs w:val="24"/>
          <w:lang w:eastAsia="en-GB"/>
        </w:rPr>
        <w:t>. Determine the concentrations of lead, cadmium, zinc, copper, and manganese in SC Duma 43, SC Sungura 301 hybrid maize, and Indigenous Kamba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maize seeds from selected farms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Machakos County.</w:t>
      </w:r>
    </w:p>
    <w:p w14:paraId="13A3FDB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ii. Compare the heavy metal levels among the three different maize seed varieties to identify varietal differences in metal accumulation.</w:t>
      </w:r>
    </w:p>
    <w:p w14:paraId="1549AF4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iii. Compare the measured heavy metal concentrations with the Maximum Residue Limits (MRL) stipulated by the World Health Organization (WHO), Kenya Bureau of Standards (KEBS), and Food and Agriculture Organization (FAO) to assess food safety status.</w:t>
      </w:r>
    </w:p>
    <w:p w14:paraId="46D6D19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iv. Evaluate the potential health risks associated with consumption of the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maize varieties based on their heavy metal content.</w:t>
      </w:r>
    </w:p>
    <w:p w14:paraId="3A32BB83"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1.5 Justification of the Study</w:t>
      </w:r>
    </w:p>
    <w:p w14:paraId="4750528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This study addresses a critical knowledge gap regarding food safety and heavy metal contamination in one of Kenya's important maize-producing regions. The findings provide essential baseline data on the levels of toxic heavy metals in commonly consumed maize varieties, information that is currently lacking for Machakos County and similar agricultural areas in Kenya. By </w:t>
      </w:r>
      <w:proofErr w:type="spellStart"/>
      <w:r w:rsidRPr="000420D9">
        <w:rPr>
          <w:rFonts w:ascii="Times New Roman" w:eastAsia="Times New Roman" w:hAnsi="Times New Roman" w:cs="Times New Roman"/>
          <w:sz w:val="24"/>
          <w:szCs w:val="24"/>
          <w:lang w:eastAsia="en-GB"/>
        </w:rPr>
        <w:t>analyzing</w:t>
      </w:r>
      <w:proofErr w:type="spellEnd"/>
      <w:r w:rsidRPr="000420D9">
        <w:rPr>
          <w:rFonts w:ascii="Times New Roman" w:eastAsia="Times New Roman" w:hAnsi="Times New Roman" w:cs="Times New Roman"/>
          <w:sz w:val="24"/>
          <w:szCs w:val="24"/>
          <w:lang w:eastAsia="en-GB"/>
        </w:rPr>
        <w:t xml:space="preserve"> both modern hybrid varieties and traditional indigenous maize, the study offers insights relevant to diverse farming communities with different varietal preferences.</w:t>
      </w:r>
    </w:p>
    <w:p w14:paraId="6F7AD8E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research has significant implications for public health protection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and the broader Machakos County region. By identifying maize varieties with excessive heavy metal levels, the study enables targeted interventions and informed decision-making by consumers, farmers, and health authorities. The comparison with </w:t>
      </w:r>
      <w:r w:rsidRPr="000420D9">
        <w:rPr>
          <w:rFonts w:ascii="Times New Roman" w:eastAsia="Times New Roman" w:hAnsi="Times New Roman" w:cs="Times New Roman"/>
          <w:sz w:val="24"/>
          <w:szCs w:val="24"/>
          <w:lang w:eastAsia="en-GB"/>
        </w:rPr>
        <w:t>international and national safety standards provides a clear framework for assessing food safety risks and determining which maize varieties may pose health hazards.</w:t>
      </w:r>
    </w:p>
    <w:p w14:paraId="56DF601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From a policy perspective, the study generates evidence that can inform agricultural extension services, food safety regulations, and public health campaigns. The findings can guide recommendations on safe farming practices, appropriate fertilizer use, and water quality management to minimize heavy metal accumulation in food crops. Additionally, the data supports broader efforts to achieve food safety and nutritional security aligned with Kenya's national development agenda and international sustainable development goals.</w:t>
      </w:r>
    </w:p>
    <w:p w14:paraId="52774F3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research methodology developed through this study, particularly the optimized acid digestion protocol, contributes to analytical chemistry practices and can be adapted for future monitoring programs. By demonstrating the application of Atomic Absorption Spectroscopy for heavy metal analysis in maize, the study strengthens local analytical capacity and provides a template for similar investigations in other regions.</w:t>
      </w:r>
    </w:p>
    <w:p w14:paraId="4626D58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Finally, the study serves an important educational function by raising awareness among farming communities about heavy metal contamination risks. By sharing findings with local stakeholders, the research empowers communities to make informed choices about crop production and consumption, ultimately contributing to improved health outcomes and sustainable agricultural development in Machakos County.</w:t>
      </w:r>
    </w:p>
    <w:p w14:paraId="5ADAB977"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1409FC20"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2.0 LITERATURE REVIEW</w:t>
      </w:r>
    </w:p>
    <w:p w14:paraId="5E1A0EB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2.1 Heavy Metals: Sources and Pathways of Contamination</w:t>
      </w:r>
    </w:p>
    <w:p w14:paraId="28B2AFE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Heavy metals represent a class of environmental contaminants that have garnered increasing attention from the scientific community due to their persistence, toxicity, and potential for bioaccumulation in food chains. These metallic elements are defined by their relatively high atomic weights and densities, typically exceeding 5 g/cm³, and their ability to exert toxic effects on living organisms even at trace concentrations. The contamination of agricultural systems with heavy metals has become a global concern, affecting food security and public health across both developed and developing nations.</w:t>
      </w:r>
    </w:p>
    <w:p w14:paraId="6A13510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pathways through which heavy metals enter agricultural soils are diverse and often interconnected. Industrial activities stand as major contributors to environmental heavy metal loading. Mining operations, particularly those involving extraction of metal ores, release substantial quantities of heavy metals into surrounding environments through both atmospheric emissions and water discharge. Smelting facilities and manufacturing plants processing metallic materials emit particulate matter containing various heavy metals, which subsequently deposit on agricultural lands through atmospheric fallout. In regions with significant industrial activity, this atmospheric deposition can become a primary source of soil contamination, affecting farmlands located several </w:t>
      </w:r>
      <w:proofErr w:type="spellStart"/>
      <w:r w:rsidRPr="000420D9">
        <w:rPr>
          <w:rFonts w:ascii="Times New Roman" w:eastAsia="Times New Roman" w:hAnsi="Times New Roman" w:cs="Times New Roman"/>
          <w:sz w:val="24"/>
          <w:szCs w:val="24"/>
          <w:lang w:eastAsia="en-GB"/>
        </w:rPr>
        <w:t>kilometers</w:t>
      </w:r>
      <w:proofErr w:type="spellEnd"/>
      <w:r w:rsidRPr="000420D9">
        <w:rPr>
          <w:rFonts w:ascii="Times New Roman" w:eastAsia="Times New Roman" w:hAnsi="Times New Roman" w:cs="Times New Roman"/>
          <w:sz w:val="24"/>
          <w:szCs w:val="24"/>
          <w:lang w:eastAsia="en-GB"/>
        </w:rPr>
        <w:t xml:space="preserve"> away from the emission sources.</w:t>
      </w:r>
    </w:p>
    <w:p w14:paraId="0218CCD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Agricultural practices themselves, while intended to enhance crop productivity, can inadvertently introduce heavy metals into farming systems. Phosphate fertilizers, widely used to supply essential phosphorus to crops, often contain significant concentrations of cadmium and other heavy metals as natural impurities derived from phosphate rock deposits. Long-term and intensive application of these fertilizers leads to gradual accumulation of heavy </w:t>
      </w:r>
      <w:r w:rsidRPr="000420D9">
        <w:rPr>
          <w:rFonts w:ascii="Times New Roman" w:eastAsia="Times New Roman" w:hAnsi="Times New Roman" w:cs="Times New Roman"/>
          <w:sz w:val="24"/>
          <w:szCs w:val="24"/>
          <w:lang w:eastAsia="en-GB"/>
        </w:rPr>
        <w:t>metals in topsoil. Similarly, pesticides formulated with metallic compounds, though less common in modern agriculture, have historically contributed to copper, lead, and arsenic accumulation in soils. The practice of applying sewage sludge and industrial waste as soil amendments, while potentially beneficial for soil organic matter content, carries the risk of introducing multiple heavy metals if the waste materials are not adequately treated or monitored.</w:t>
      </w:r>
    </w:p>
    <w:p w14:paraId="0C7736A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Urban and peri-urban agriculture faces particular challenges related to heavy metal contamination. Vehicle emissions from nearby roads contribute lead and other metals through exhaust fumes and tire wear particles. Industrial facilities in or near urban areas release various metallic contaminants through their operations. Additionally, improper waste disposal and the use of contaminated wastewater for irrigation in water-scarce regions can introduce heavy metals directly into the soil-water-plant system.</w:t>
      </w:r>
    </w:p>
    <w:p w14:paraId="5477DF9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Natural geological factors also play a role in determining background heavy metal levels in agricultural soils. Certain geological formations naturally contain elevated concentrations of specific metals, and weathering of these parent materials can release metals into the soil profile. Volcanic soils, for instance, may exhibit naturally high levels of certain heavy metals, though these are often bound in relatively stable forms with limited bioavailability.</w:t>
      </w:r>
    </w:p>
    <w:p w14:paraId="15C95C3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2.2 Heavy Metal Uptake and Accumulation in Maize Plants</w:t>
      </w:r>
    </w:p>
    <w:p w14:paraId="68E2A52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Maize plants, like other crops, absorb heavy metals from contaminated soils through their extensive root systems. The mechanisms of heavy metal uptake in maize involve both passive and active transport processes. Passive uptake occurs when metals enter root cells along with water and nutrients during transpiration-</w:t>
      </w:r>
      <w:r w:rsidRPr="000420D9">
        <w:rPr>
          <w:rFonts w:ascii="Times New Roman" w:eastAsia="Times New Roman" w:hAnsi="Times New Roman" w:cs="Times New Roman"/>
          <w:sz w:val="24"/>
          <w:szCs w:val="24"/>
          <w:lang w:eastAsia="en-GB"/>
        </w:rPr>
        <w:lastRenderedPageBreak/>
        <w:t>driven mass flow and diffusion processes. This non-selective pathway allows various metal ions to cross root membranes without specific regulation. Active uptake, conversely, involves specific transporter proteins located in root cell membranes that facilitate the movement of metal ions against concentration gradients, utilizing cellular energy. While these transporters primarily evolved to facilitate uptake of essential mineral nutrients, they can also inadvertently transport toxic heavy metals that share chemical similarities with essential elements.</w:t>
      </w:r>
    </w:p>
    <w:p w14:paraId="59E5E15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bioavailability of heavy metals in soil, which determines how readily plants can absorb them, depends on multiple soil properties. Soil pH plays a crucial role, with most heavy metals becoming more mobile and bioavailable under acidic conditions and less available in alkaline soils. Soil organic matter content influences metal speciation and binding, generally reducing bioavailability by forming stable organo-metallic complexes. Clay content and mineral composition affect metal retention and release through sorption and desorption processes. Redox conditions, particularly in waterlogged soils, can dramatically alter metal speciation and mobility.</w:t>
      </w:r>
    </w:p>
    <w:p w14:paraId="6301C3B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Once absorbed by roots, heavy metals are translocated to various plant tissues through the xylem, driven by transpiration. However, different metals exhibit varying patterns of distribution within plants. Some metals, like cadmium, are readily transported to aerial parts and grains, while others, like lead, tend to accumulate primarily in root tissues with limited translocation to shoots. This differential </w:t>
      </w:r>
      <w:proofErr w:type="spellStart"/>
      <w:r w:rsidRPr="000420D9">
        <w:rPr>
          <w:rFonts w:ascii="Times New Roman" w:eastAsia="Times New Roman" w:hAnsi="Times New Roman" w:cs="Times New Roman"/>
          <w:sz w:val="24"/>
          <w:szCs w:val="24"/>
          <w:lang w:eastAsia="en-GB"/>
        </w:rPr>
        <w:t>behavior</w:t>
      </w:r>
      <w:proofErr w:type="spellEnd"/>
      <w:r w:rsidRPr="000420D9">
        <w:rPr>
          <w:rFonts w:ascii="Times New Roman" w:eastAsia="Times New Roman" w:hAnsi="Times New Roman" w:cs="Times New Roman"/>
          <w:sz w:val="24"/>
          <w:szCs w:val="24"/>
          <w:lang w:eastAsia="en-GB"/>
        </w:rPr>
        <w:t xml:space="preserve"> is influenced by metal-specific binding to cellular components, formation of metal-organic acid complexes, and sequestration in vacuoles.</w:t>
      </w:r>
    </w:p>
    <w:p w14:paraId="55BDC41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Research has demonstrated significant varietal differences in heavy metal accumulation among maize cultivars. A </w:t>
      </w:r>
      <w:r w:rsidRPr="000420D9">
        <w:rPr>
          <w:rFonts w:ascii="Times New Roman" w:eastAsia="Times New Roman" w:hAnsi="Times New Roman" w:cs="Times New Roman"/>
          <w:sz w:val="24"/>
          <w:szCs w:val="24"/>
          <w:lang w:eastAsia="en-GB"/>
        </w:rPr>
        <w:t>study by Nura and colleagues in 2024 showed that certain maize varieties, including QJN3 and JN20, exhibited higher metal accumulation capacities compared to other varieties. The QJN3 variety absorbed cadmium at concentrations reaching 2.72 mg/kg and lead at 0.474 mg/kg, levels that raised concerns about food safety. Abdullahi et al. (2024) reported that cadmium had the most pronounced impact on maize plant growth and heavy metal accumulation patterns, with measured levels ranging between 1.147-1.613 mg/kg for cadmium and 0.193-1.793 mg/kg for lead across different varieties.</w:t>
      </w:r>
    </w:p>
    <w:p w14:paraId="6C181E7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presence of heavy metals in soil above certain threshold levels triggers stress responses in maize plants. When lead concentrations exceed 300 mg/kg or zinc exceeds 1200 mg/kg in soil, maize plants exhibit reduced growth rates, chlorosis, and overall </w:t>
      </w:r>
      <w:proofErr w:type="spellStart"/>
      <w:r w:rsidRPr="000420D9">
        <w:rPr>
          <w:rFonts w:ascii="Times New Roman" w:eastAsia="Times New Roman" w:hAnsi="Times New Roman" w:cs="Times New Roman"/>
          <w:sz w:val="24"/>
          <w:szCs w:val="24"/>
          <w:lang w:eastAsia="en-GB"/>
        </w:rPr>
        <w:t>vigor</w:t>
      </w:r>
      <w:proofErr w:type="spellEnd"/>
      <w:r w:rsidRPr="000420D9">
        <w:rPr>
          <w:rFonts w:ascii="Times New Roman" w:eastAsia="Times New Roman" w:hAnsi="Times New Roman" w:cs="Times New Roman"/>
          <w:sz w:val="24"/>
          <w:szCs w:val="24"/>
          <w:lang w:eastAsia="en-GB"/>
        </w:rPr>
        <w:t xml:space="preserve"> decline. These metals also negatively impact beneficial soil microorganisms, indirectly affecting plant health and nutrient acquisition. Interestingly, maize plants demonstrate adaptive mechanisms to cope with heavy metal stress, including modifications to root architecture such as altered root length and diameter, changes that may represent strategies to either avoid contaminated soil zones or enhance metal sequestration capacity.</w:t>
      </w:r>
    </w:p>
    <w:p w14:paraId="74567879"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 Health Effects of Heavy Metals in Humans</w:t>
      </w:r>
    </w:p>
    <w:p w14:paraId="3458BCD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health implications of heavy metal exposure through food consumption are extensive and well-documented in scientific literature. Different heavy metals exert their toxic effects through distinct mechanisms, though many share common pathways involving oxidative stress, enzyme inhibition, and disruption of cellular processes.</w:t>
      </w:r>
    </w:p>
    <w:p w14:paraId="4B5203FC"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2.3.1 Lead (Pb) Toxicity</w:t>
      </w:r>
    </w:p>
    <w:p w14:paraId="246FC00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 xml:space="preserve">Lead stands among the most thoroughly studied environmental toxicants, with effects documented across multiple organ systems. The metal exerts its toxicity primarily through interference with normal calcium metabolism and enzyme function. In the nervous system, lead disrupts neurotransmitter release, damages myelin sheaths, and interferes with neuronal development and function. Children are particularly vulnerable to lead neurotoxicity, with exposure associated with reduced intelligence quotient (IQ), learning disabilities, attention deficit disorders, and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problems. These neurodevelopmental impacts can persist throughout life, even after exposure cessation.</w:t>
      </w:r>
    </w:p>
    <w:p w14:paraId="6E25979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In adults, chronic lead exposure contributes to hypertension and cardiovascular disease through multiple mechanisms including direct effects on vascular smooth muscle, interference with nitric oxide </w:t>
      </w:r>
      <w:proofErr w:type="spellStart"/>
      <w:r w:rsidRPr="000420D9">
        <w:rPr>
          <w:rFonts w:ascii="Times New Roman" w:eastAsia="Times New Roman" w:hAnsi="Times New Roman" w:cs="Times New Roman"/>
          <w:sz w:val="24"/>
          <w:szCs w:val="24"/>
          <w:lang w:eastAsia="en-GB"/>
        </w:rPr>
        <w:t>signaling</w:t>
      </w:r>
      <w:proofErr w:type="spellEnd"/>
      <w:r w:rsidRPr="000420D9">
        <w:rPr>
          <w:rFonts w:ascii="Times New Roman" w:eastAsia="Times New Roman" w:hAnsi="Times New Roman" w:cs="Times New Roman"/>
          <w:sz w:val="24"/>
          <w:szCs w:val="24"/>
          <w:lang w:eastAsia="en-GB"/>
        </w:rPr>
        <w:t>, and promotion of oxidative stress. Lead nephrotoxicity manifests initially as proximal tubular dysfunction, sometimes presenting as Fanconi-like syndrome with glucosuria, phosphaturia, and aminoaciduria. Prolonged exposure leads to chronic interstitial nephritis, tubular atrophy, and eventually chronic kidney disease and renal failure.</w:t>
      </w:r>
    </w:p>
    <w:p w14:paraId="333562A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Lead also impairs reproductive function in both males and females, affecting sperm quality, hormone production, and pregnancy outcomes. The metal crosses the placental barrier readily, exposing developing </w:t>
      </w:r>
      <w:proofErr w:type="spellStart"/>
      <w:r w:rsidRPr="000420D9">
        <w:rPr>
          <w:rFonts w:ascii="Times New Roman" w:eastAsia="Times New Roman" w:hAnsi="Times New Roman" w:cs="Times New Roman"/>
          <w:sz w:val="24"/>
          <w:szCs w:val="24"/>
          <w:lang w:eastAsia="en-GB"/>
        </w:rPr>
        <w:t>fetuses</w:t>
      </w:r>
      <w:proofErr w:type="spellEnd"/>
      <w:r w:rsidRPr="000420D9">
        <w:rPr>
          <w:rFonts w:ascii="Times New Roman" w:eastAsia="Times New Roman" w:hAnsi="Times New Roman" w:cs="Times New Roman"/>
          <w:sz w:val="24"/>
          <w:szCs w:val="24"/>
          <w:lang w:eastAsia="en-GB"/>
        </w:rPr>
        <w:t xml:space="preserve"> to its neurotoxic effects. Furthermore, lead exhibits carcinogenic properties, damaging DNA repair mechanisms, disrupting cell cycle regulation, and promoting chromosomal aberrations through generation of reactive oxygen species (ROS).</w:t>
      </w:r>
    </w:p>
    <w:p w14:paraId="2216A8F7"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2.3.2 Cadmium (Cd) Toxicity</w:t>
      </w:r>
    </w:p>
    <w:p w14:paraId="5A5CCEB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Cadmium is classified as a Group 1 carcinogen by the International Agency for Research on Cancer, with sufficient evidence for carcinogenicity in humans. The metal accumulates primarily in the kidneys and liver, where it persists with an extremely long biological half-life exceeding 10-30 years. This prolonged retention results in progressive organ damage even after exposure cessation.</w:t>
      </w:r>
    </w:p>
    <w:p w14:paraId="35732B2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Cadmium nephrotoxicity represents the most characteristic manifestation of chronic exposure. The metal damages proximal tubular cells, interfering with reabsorption processes and leading to low-molecular-weight proteinuria, particularly β2-microglobulinuria. Advanced cadmium nephropathy presents with generalized proximal tubular dysfunction (Fanconi syndrome), characterized by glucosuria, phosphaturia, aminoaciduria, and impaired acid-base regulation. These tubular defects lead to excessive urinary losses of calcium and phosphate, contributing to skeletal effects.</w:t>
      </w:r>
    </w:p>
    <w:p w14:paraId="1E4B6DD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skeletal manifestations of cadmium toxicity include </w:t>
      </w:r>
      <w:proofErr w:type="spellStart"/>
      <w:r w:rsidRPr="000420D9">
        <w:rPr>
          <w:rFonts w:ascii="Times New Roman" w:eastAsia="Times New Roman" w:hAnsi="Times New Roman" w:cs="Times New Roman"/>
          <w:sz w:val="24"/>
          <w:szCs w:val="24"/>
          <w:lang w:eastAsia="en-GB"/>
        </w:rPr>
        <w:t>osteomalacia</w:t>
      </w:r>
      <w:proofErr w:type="spellEnd"/>
      <w:r w:rsidRPr="000420D9">
        <w:rPr>
          <w:rFonts w:ascii="Times New Roman" w:eastAsia="Times New Roman" w:hAnsi="Times New Roman" w:cs="Times New Roman"/>
          <w:sz w:val="24"/>
          <w:szCs w:val="24"/>
          <w:lang w:eastAsia="en-GB"/>
        </w:rPr>
        <w:t xml:space="preserve">, osteoporosis, and in severe cases, a painful condition known as </w:t>
      </w:r>
      <w:proofErr w:type="spellStart"/>
      <w:r w:rsidRPr="000420D9">
        <w:rPr>
          <w:rFonts w:ascii="Times New Roman" w:eastAsia="Times New Roman" w:hAnsi="Times New Roman" w:cs="Times New Roman"/>
          <w:sz w:val="24"/>
          <w:szCs w:val="24"/>
          <w:lang w:eastAsia="en-GB"/>
        </w:rPr>
        <w:t>itai-itai</w:t>
      </w:r>
      <w:proofErr w:type="spellEnd"/>
      <w:r w:rsidRPr="000420D9">
        <w:rPr>
          <w:rFonts w:ascii="Times New Roman" w:eastAsia="Times New Roman" w:hAnsi="Times New Roman" w:cs="Times New Roman"/>
          <w:sz w:val="24"/>
          <w:szCs w:val="24"/>
          <w:lang w:eastAsia="en-GB"/>
        </w:rPr>
        <w:t xml:space="preserve"> disease, first described in Japan. Cadmium interferes with vitamin D metabolism, disrupts calcium-phosphate homeostasis, and directly damages bone cells. The resulting bone demineralization leads to increased fracture risk and chronic pain.</w:t>
      </w:r>
    </w:p>
    <w:p w14:paraId="4EC2399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Beyond its effects on kidneys and bones, cadmium induces hepatotoxicity, manifesting as elevated liver enzymes, steatosis, and in severe cases, liver fibrosis. The metal generates oxidative stress through depletion of cellular antioxidants, particularly glutathione, and through Fenton reaction-mediated production of reactive oxygen species. Cadmium also demonstrates neurotoxic properties, affecting both central and peripheral nervous systems, with documented impacts </w:t>
      </w:r>
      <w:r w:rsidRPr="000420D9">
        <w:rPr>
          <w:rFonts w:ascii="Times New Roman" w:eastAsia="Times New Roman" w:hAnsi="Times New Roman" w:cs="Times New Roman"/>
          <w:sz w:val="24"/>
          <w:szCs w:val="24"/>
          <w:lang w:eastAsia="en-GB"/>
        </w:rPr>
        <w:lastRenderedPageBreak/>
        <w:t xml:space="preserve">including olfactory dysfunction, learning disabilities,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changes, and motor function impairment. As reported by Jaishankar et al. (2015), these neurological effects can manifest in both adults and children following chronic exposure.</w:t>
      </w:r>
    </w:p>
    <w:p w14:paraId="0C28E15A"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2.3.3 Zinc (Zn) Toxicity</w:t>
      </w:r>
    </w:p>
    <w:p w14:paraId="1759FEB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While zinc is an essential micronutrient required for numerous physiological functions including immune response, wound healing, and DNA synthesis, excessive intake can produce adverse health effects. Acute zinc toxicity, typically resulting from ingestion of large doses, causes gastrointestinal irritation with symptoms including nausea, vomiting, abdominal cramps, and </w:t>
      </w:r>
      <w:proofErr w:type="spellStart"/>
      <w:r w:rsidRPr="000420D9">
        <w:rPr>
          <w:rFonts w:ascii="Times New Roman" w:eastAsia="Times New Roman" w:hAnsi="Times New Roman" w:cs="Times New Roman"/>
          <w:sz w:val="24"/>
          <w:szCs w:val="24"/>
          <w:lang w:eastAsia="en-GB"/>
        </w:rPr>
        <w:t>diarrhea</w:t>
      </w:r>
      <w:proofErr w:type="spellEnd"/>
      <w:r w:rsidRPr="000420D9">
        <w:rPr>
          <w:rFonts w:ascii="Times New Roman" w:eastAsia="Times New Roman" w:hAnsi="Times New Roman" w:cs="Times New Roman"/>
          <w:sz w:val="24"/>
          <w:szCs w:val="24"/>
          <w:lang w:eastAsia="en-GB"/>
        </w:rPr>
        <w:t>. These symptoms usually appear when zinc intake exceeds 100 mg per day for extended periods.</w:t>
      </w:r>
    </w:p>
    <w:p w14:paraId="728D246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Chronic excessive zinc consumption, particularly above 95 mg/g in food sources, can lead to copper deficiency through competitive inhibition of copper absorption in the gastrointestinal tract. This induced copper deficiency manifests as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xml:space="preserve">, neutropenia, and neurological problems including myelopathy and peripheral neuropathy. Additionally, very high zinc levels can suppress immune function paradoxically, despite zinc's essential role in immunity at appropriate levels. The metal can also interfere with iron absorption, potentially contributing to iron deficiency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w:t>
      </w:r>
    </w:p>
    <w:p w14:paraId="2BBA0AD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In animal studies, zinc toxicity in birds manifests as </w:t>
      </w:r>
      <w:proofErr w:type="spellStart"/>
      <w:r w:rsidRPr="000420D9">
        <w:rPr>
          <w:rFonts w:ascii="Times New Roman" w:eastAsia="Times New Roman" w:hAnsi="Times New Roman" w:cs="Times New Roman"/>
          <w:sz w:val="24"/>
          <w:szCs w:val="24"/>
          <w:lang w:eastAsia="en-GB"/>
        </w:rPr>
        <w:t>hemolytic</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pancreatic damage, and immune system suppression at levels exceeding 100 mg/g. Aquatic organisms experience gill damage, hepatotoxicity, and nephrotoxicity when exposed to zinc concentrations above 100 mg/L, as documented by Khan et al. (2023).</w:t>
      </w:r>
    </w:p>
    <w:p w14:paraId="1B3E8CFC"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2.3.4 Copper (Cu) Toxicity</w:t>
      </w:r>
    </w:p>
    <w:p w14:paraId="49B35FD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Copper, another essential trace element, becomes toxic when present in excessive amounts. Acute copper poisoning, which can occur from ingestion of large quantities, produces severe gastrointestinal symptoms including nausea, vomiting, abdominal pain, and </w:t>
      </w:r>
      <w:proofErr w:type="spellStart"/>
      <w:r w:rsidRPr="000420D9">
        <w:rPr>
          <w:rFonts w:ascii="Times New Roman" w:eastAsia="Times New Roman" w:hAnsi="Times New Roman" w:cs="Times New Roman"/>
          <w:sz w:val="24"/>
          <w:szCs w:val="24"/>
          <w:lang w:eastAsia="en-GB"/>
        </w:rPr>
        <w:t>diarrhea</w:t>
      </w:r>
      <w:proofErr w:type="spellEnd"/>
      <w:r w:rsidRPr="000420D9">
        <w:rPr>
          <w:rFonts w:ascii="Times New Roman" w:eastAsia="Times New Roman" w:hAnsi="Times New Roman" w:cs="Times New Roman"/>
          <w:sz w:val="24"/>
          <w:szCs w:val="24"/>
          <w:lang w:eastAsia="en-GB"/>
        </w:rPr>
        <w:t xml:space="preserve">. In severe cases, acute copper toxicity can progress to </w:t>
      </w:r>
      <w:proofErr w:type="spellStart"/>
      <w:r w:rsidRPr="000420D9">
        <w:rPr>
          <w:rFonts w:ascii="Times New Roman" w:eastAsia="Times New Roman" w:hAnsi="Times New Roman" w:cs="Times New Roman"/>
          <w:sz w:val="24"/>
          <w:szCs w:val="24"/>
          <w:lang w:eastAsia="en-GB"/>
        </w:rPr>
        <w:t>hemolytic</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hepatic necrosis, renal failure, seizures, and even death.</w:t>
      </w:r>
    </w:p>
    <w:p w14:paraId="017068B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Chronic copper toxicity develops from prolonged exposure to elevated copper levels and primarily affects the liver. The metal accumulates in hepatocytes, causing oxidative stress, mitochondrial dysfunction, and eventually cirrhosis. Chronic exposure can also lead to neurological manifestations similar to Wilson's disease, a genetic disorder of copper metabolism. These neurological effects include tremors, dystonia, dysarthria, and cognitive impairment.</w:t>
      </w:r>
    </w:p>
    <w:p w14:paraId="506EE5E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Research by Briffa et al. (2020) documented that copper toxicity affects multiple systems, including induction of oxidative stress, disruption of cellular redox balance, and interference with other mineral homeostasis. In wildlife, copper levels above 21.5 mg/L cause liver and kidney damage in fish, while birds experience damage to brain tissue, feathers, and lungs following high copper exposure.</w:t>
      </w:r>
    </w:p>
    <w:p w14:paraId="49761D64"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2.3.5 Manganese (Mn) Toxicity</w:t>
      </w:r>
    </w:p>
    <w:p w14:paraId="5352682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Manganese is an essential mineral required for bone formation, amino acid metabolism, and antioxidant </w:t>
      </w:r>
      <w:proofErr w:type="spellStart"/>
      <w:r w:rsidRPr="000420D9">
        <w:rPr>
          <w:rFonts w:ascii="Times New Roman" w:eastAsia="Times New Roman" w:hAnsi="Times New Roman" w:cs="Times New Roman"/>
          <w:sz w:val="24"/>
          <w:szCs w:val="24"/>
          <w:lang w:eastAsia="en-GB"/>
        </w:rPr>
        <w:t>defense</w:t>
      </w:r>
      <w:proofErr w:type="spellEnd"/>
      <w:r w:rsidRPr="000420D9">
        <w:rPr>
          <w:rFonts w:ascii="Times New Roman" w:eastAsia="Times New Roman" w:hAnsi="Times New Roman" w:cs="Times New Roman"/>
          <w:sz w:val="24"/>
          <w:szCs w:val="24"/>
          <w:lang w:eastAsia="en-GB"/>
        </w:rPr>
        <w:t xml:space="preserve"> through manganese superoxide dismutase. However, excessive manganese exposure, particularly when levels exceed 20 mg/L in food or water, can cause serious health problems. The most concerning manifestation of manganese toxicity is </w:t>
      </w:r>
      <w:proofErr w:type="spellStart"/>
      <w:r w:rsidRPr="000420D9">
        <w:rPr>
          <w:rFonts w:ascii="Times New Roman" w:eastAsia="Times New Roman" w:hAnsi="Times New Roman" w:cs="Times New Roman"/>
          <w:sz w:val="24"/>
          <w:szCs w:val="24"/>
          <w:lang w:eastAsia="en-GB"/>
        </w:rPr>
        <w:t>manganism</w:t>
      </w:r>
      <w:proofErr w:type="spellEnd"/>
      <w:r w:rsidRPr="000420D9">
        <w:rPr>
          <w:rFonts w:ascii="Times New Roman" w:eastAsia="Times New Roman" w:hAnsi="Times New Roman" w:cs="Times New Roman"/>
          <w:sz w:val="24"/>
          <w:szCs w:val="24"/>
          <w:lang w:eastAsia="en-GB"/>
        </w:rPr>
        <w:t>, a neurological disorder resembling Parkinson's disease.</w:t>
      </w:r>
    </w:p>
    <w:p w14:paraId="1B72B6C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Manganese preferentially accumulates in the basal ganglia of the brain, particularly </w:t>
      </w:r>
      <w:r w:rsidRPr="000420D9">
        <w:rPr>
          <w:rFonts w:ascii="Times New Roman" w:eastAsia="Times New Roman" w:hAnsi="Times New Roman" w:cs="Times New Roman"/>
          <w:sz w:val="24"/>
          <w:szCs w:val="24"/>
          <w:lang w:eastAsia="en-GB"/>
        </w:rPr>
        <w:lastRenderedPageBreak/>
        <w:t xml:space="preserve">the globus pallidus and striatum. This accumulation disrupts dopaminergic neurotransmission and causes oxidative damage to neurons. The clinical presentation of </w:t>
      </w:r>
      <w:proofErr w:type="spellStart"/>
      <w:r w:rsidRPr="000420D9">
        <w:rPr>
          <w:rFonts w:ascii="Times New Roman" w:eastAsia="Times New Roman" w:hAnsi="Times New Roman" w:cs="Times New Roman"/>
          <w:sz w:val="24"/>
          <w:szCs w:val="24"/>
          <w:lang w:eastAsia="en-GB"/>
        </w:rPr>
        <w:t>manganism</w:t>
      </w:r>
      <w:proofErr w:type="spellEnd"/>
      <w:r w:rsidRPr="000420D9">
        <w:rPr>
          <w:rFonts w:ascii="Times New Roman" w:eastAsia="Times New Roman" w:hAnsi="Times New Roman" w:cs="Times New Roman"/>
          <w:sz w:val="24"/>
          <w:szCs w:val="24"/>
          <w:lang w:eastAsia="en-GB"/>
        </w:rPr>
        <w:t xml:space="preserve"> includes tremors, bradykinesia (slow movement), rigidity, dystonia, gait disturbances, and facial mask-like expression. Unlike Parkinson's disease, </w:t>
      </w:r>
      <w:proofErr w:type="spellStart"/>
      <w:r w:rsidRPr="000420D9">
        <w:rPr>
          <w:rFonts w:ascii="Times New Roman" w:eastAsia="Times New Roman" w:hAnsi="Times New Roman" w:cs="Times New Roman"/>
          <w:sz w:val="24"/>
          <w:szCs w:val="24"/>
          <w:lang w:eastAsia="en-GB"/>
        </w:rPr>
        <w:t>manganism</w:t>
      </w:r>
      <w:proofErr w:type="spellEnd"/>
      <w:r w:rsidRPr="000420D9">
        <w:rPr>
          <w:rFonts w:ascii="Times New Roman" w:eastAsia="Times New Roman" w:hAnsi="Times New Roman" w:cs="Times New Roman"/>
          <w:sz w:val="24"/>
          <w:szCs w:val="24"/>
          <w:lang w:eastAsia="en-GB"/>
        </w:rPr>
        <w:t xml:space="preserve"> typically shows poor response to levodopa therapy and may progress despite cessation of exposure.</w:t>
      </w:r>
    </w:p>
    <w:p w14:paraId="1ADAA78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Mitra et al. (2022) reported that acute manganese exposure can paradoxically exert neuroprotective effects by reducing apoptotic cell death. However, chronic excessive exposure overwhelms homeostatic mechanisms, leading to harmful neurological complications. The body's regulatory systems attempt to manage excess manganese by down-regulating metal uptake receptors and up-regulating efflux transporters, but these compensatory mechanisms prove insufficient during sustained high-level exposure.</w:t>
      </w:r>
    </w:p>
    <w:p w14:paraId="515947C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In aquatic organisms, manganese levels above 20 mg/L disrupt osmoregulation, impair gill function, and interfere with growth and development. Birds exposed to excessive manganese experience dietary imbalances, reduced eggshell quality, kidney stress, and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changes, as documented by Khan et al. (2023).</w:t>
      </w:r>
    </w:p>
    <w:p w14:paraId="69234215"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2.4 Analytical Techniques for Heavy Metal Determination</w:t>
      </w:r>
    </w:p>
    <w:p w14:paraId="08AB0097"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2.4.1 Atomic Absorption Spectroscopy (AAS)</w:t>
      </w:r>
    </w:p>
    <w:p w14:paraId="234255F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Atomic Absorption Spectroscopy represents one of the most widely used analytical techniques for determination of heavy metal concentrations in various matrices, including food samples, environmental specimens, and biological tissues. The technique is based on the </w:t>
      </w:r>
      <w:r w:rsidRPr="000420D9">
        <w:rPr>
          <w:rFonts w:ascii="Times New Roman" w:eastAsia="Times New Roman" w:hAnsi="Times New Roman" w:cs="Times New Roman"/>
          <w:sz w:val="24"/>
          <w:szCs w:val="24"/>
          <w:lang w:eastAsia="en-GB"/>
        </w:rPr>
        <w:t>principle that ground-state atoms in the gas phase absorb electromagnetic radiation at characteristic wavelengths specific to each element. When a sample containing the analyte is atomized and exposed to radiation of the appropriate wavelength, the atoms absorb a portion of this radiation, and the degree of absorption correlates directly with the concentration of the analyte present.</w:t>
      </w:r>
    </w:p>
    <w:p w14:paraId="42E94FB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fundamental theory underlying AAS is described by the Beer-Lambert Law, which establishes a linear relationship between absorbance and concentration under ideal conditions. This relationship is expressed mathematically as:</w:t>
      </w:r>
    </w:p>
    <w:p w14:paraId="0BA39E3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 = </w:t>
      </w:r>
      <w:proofErr w:type="spellStart"/>
      <w:r w:rsidRPr="000420D9">
        <w:rPr>
          <w:rFonts w:ascii="Times New Roman" w:eastAsia="Times New Roman" w:hAnsi="Times New Roman" w:cs="Times New Roman"/>
          <w:sz w:val="24"/>
          <w:szCs w:val="24"/>
          <w:lang w:eastAsia="en-GB"/>
        </w:rPr>
        <w:t>εbc</w:t>
      </w:r>
      <w:proofErr w:type="spellEnd"/>
    </w:p>
    <w:p w14:paraId="1EF92DB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where A represents absorbance, ε is the molar absorptivity coefficient (a constant specific to each analyte at a given wavelength), b is the path length through which radiation passes, and c is the concentration of the analyte.</w:t>
      </w:r>
    </w:p>
    <w:p w14:paraId="585BDD3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 typical AAS instrument comprises several essential components working in concert. The radiation source, most commonly a hollow cathode lamp containing the element of interest, emits element-specific radiation at characteristic wavelengths. The atomizer, which may be either a flame or an electrothermal (graphite furnace) system, converts the sample into free atomic vapor. Flame atomizers typically use an air-acetylene or nitrous oxide-acetylene flame, with the choice depending on the element being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and the required sensitivity. The sample is aspirated into the flame as a fine aerosol, where it undergoes </w:t>
      </w:r>
      <w:proofErr w:type="spellStart"/>
      <w:r w:rsidRPr="000420D9">
        <w:rPr>
          <w:rFonts w:ascii="Times New Roman" w:eastAsia="Times New Roman" w:hAnsi="Times New Roman" w:cs="Times New Roman"/>
          <w:sz w:val="24"/>
          <w:szCs w:val="24"/>
          <w:lang w:eastAsia="en-GB"/>
        </w:rPr>
        <w:t>desolvation</w:t>
      </w:r>
      <w:proofErr w:type="spellEnd"/>
      <w:r w:rsidRPr="000420D9">
        <w:rPr>
          <w:rFonts w:ascii="Times New Roman" w:eastAsia="Times New Roman" w:hAnsi="Times New Roman" w:cs="Times New Roman"/>
          <w:sz w:val="24"/>
          <w:szCs w:val="24"/>
          <w:lang w:eastAsia="en-GB"/>
        </w:rPr>
        <w:t>, vaporization, and atomization.</w:t>
      </w:r>
    </w:p>
    <w:p w14:paraId="574233A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Electrothermal atomizers offer superior sensitivity and require smaller sample volumes compared to flame systems, making them particularly suitable for trace element analysis. However, they generally </w:t>
      </w:r>
      <w:r w:rsidRPr="000420D9">
        <w:rPr>
          <w:rFonts w:ascii="Times New Roman" w:eastAsia="Times New Roman" w:hAnsi="Times New Roman" w:cs="Times New Roman"/>
          <w:sz w:val="24"/>
          <w:szCs w:val="24"/>
          <w:lang w:eastAsia="en-GB"/>
        </w:rPr>
        <w:lastRenderedPageBreak/>
        <w:t>have slower analysis times and may be more susceptible to matrix interferences. The monochromator selects the specific wavelength of interest from the radiation source and excludes other wavelengths that might interfere with the measurement. The detector, typically a photomultiplier tube, measures the intensity of radiation after it passes through the atomic vapor, and modern instruments convert this signal to digital readout of absorbance or concentration.</w:t>
      </w:r>
    </w:p>
    <w:p w14:paraId="21C3D7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AAS offers several advantages for heavy metal analysis including excellent sensitivity for most metals, relatively simple operation compared to more sophisticated techniques, good precision and accuracy, and wide applicability across diverse sample types. The technique can detect most metals at parts-per-million (ppm) or even parts-per-billion (ppb) levels, depending on the element and atomization system employed. However, AAS also has limitations including the need for separate analysis of each element (though modern instruments can be equipped with multiple lamps), potential interferences from sample matrix components, and the requirement for liquid samples or extracts.</w:t>
      </w:r>
    </w:p>
    <w:p w14:paraId="71402FA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In the context of food safety monitoring and heavy metal analysis in agricultural products, AAS has proven invaluable due to its reliability, cost-effectiveness relative to more advanced techniques, and widespread availability in analytical laboratories. The technique is officially recognized by various international organizations including WHO, FAO, and AOAC International for heavy metal determination in food and agricultural commodities.</w:t>
      </w:r>
    </w:p>
    <w:p w14:paraId="4672456F"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2.4.2 Complementary Analytical Techniques</w:t>
      </w:r>
    </w:p>
    <w:p w14:paraId="28DE8CB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While AAS serves as the primary analytical tool in this study, other sophisticated techniques are available for heavy metal </w:t>
      </w:r>
      <w:r w:rsidRPr="000420D9">
        <w:rPr>
          <w:rFonts w:ascii="Times New Roman" w:eastAsia="Times New Roman" w:hAnsi="Times New Roman" w:cs="Times New Roman"/>
          <w:sz w:val="24"/>
          <w:szCs w:val="24"/>
          <w:lang w:eastAsia="en-GB"/>
        </w:rPr>
        <w:t>analysis, each with unique advantages. Inductively Coupled Plasma Mass Spectrometry (ICP-MS) offers exceptional sensitivity and the capability for simultaneous multi-element analysis, making it suitable for comprehensive elemental profiling. The technique can achieve detection limits in the parts-per-trillion range for many elements. However, ICP-MS instruments are expensive to purchase and maintain, require highly trained operators, and may suffer from polyatomic interferences that necessitate careful method development.</w:t>
      </w:r>
    </w:p>
    <w:p w14:paraId="7CC916B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X-ray Fluorescence Spectroscopy (XRF) provides a non-destructive analytical option that requires minimal sample preparation. The technique is particularly useful for screening purposes and can </w:t>
      </w:r>
      <w:proofErr w:type="spellStart"/>
      <w:r w:rsidRPr="000420D9">
        <w:rPr>
          <w:rFonts w:ascii="Times New Roman" w:eastAsia="Times New Roman" w:hAnsi="Times New Roman" w:cs="Times New Roman"/>
          <w:sz w:val="24"/>
          <w:szCs w:val="24"/>
          <w:lang w:eastAsia="en-GB"/>
        </w:rPr>
        <w:t>analyze</w:t>
      </w:r>
      <w:proofErr w:type="spellEnd"/>
      <w:r w:rsidRPr="000420D9">
        <w:rPr>
          <w:rFonts w:ascii="Times New Roman" w:eastAsia="Times New Roman" w:hAnsi="Times New Roman" w:cs="Times New Roman"/>
          <w:sz w:val="24"/>
          <w:szCs w:val="24"/>
          <w:lang w:eastAsia="en-GB"/>
        </w:rPr>
        <w:t xml:space="preserve"> solid samples directly. However, XRF generally offers lower sensitivity compared to AAS or ICP-MS and may not be suitable for trace-level determinations. Inductively Coupled Plasma Optical Emission Spectroscopy (ICP-OES) combines multi-element capability with good sensitivity and is less susceptible to certain interferences compared to ICP-MS, though it typically has higher detection limits.</w:t>
      </w:r>
    </w:p>
    <w:p w14:paraId="4978E98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2.5 Previous Studies on Heavy Metals in Maize</w:t>
      </w:r>
    </w:p>
    <w:p w14:paraId="3EA2EC4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scientific literature contains numerous studies examining heavy metal contamination in maize and other cereal crops from various regions worldwide. These studies provide context for understanding contamination patterns, sources, and health implications. Research by Atta et al. (2023) investigated the effects of heavy metals on maize growth and their implications for phytoremediation, demonstrating that contaminated soils significantly impair plant development while potentially offering opportunities for using maize in soil cleanup strategies.</w:t>
      </w:r>
    </w:p>
    <w:p w14:paraId="0B4F47A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0420D9">
        <w:rPr>
          <w:rFonts w:ascii="Times New Roman" w:eastAsia="Times New Roman" w:hAnsi="Times New Roman" w:cs="Times New Roman"/>
          <w:sz w:val="24"/>
          <w:szCs w:val="24"/>
          <w:lang w:eastAsia="en-GB"/>
        </w:rPr>
        <w:lastRenderedPageBreak/>
        <w:t>Aladesanmi</w:t>
      </w:r>
      <w:proofErr w:type="spellEnd"/>
      <w:r w:rsidRPr="000420D9">
        <w:rPr>
          <w:rFonts w:ascii="Times New Roman" w:eastAsia="Times New Roman" w:hAnsi="Times New Roman" w:cs="Times New Roman"/>
          <w:sz w:val="24"/>
          <w:szCs w:val="24"/>
          <w:lang w:eastAsia="en-GB"/>
        </w:rPr>
        <w:t xml:space="preserve"> et al. (2019) calculated bioaccumulation factors for selected heavy metals in maize, providing insights into how efficiently different metals transfer from soil to plant tissues. Their work highlighted varietal differences in metal uptake and identified environmental factors that influence bioaccumulation processes. Liu et al. (2023) examined pollution characteristics and health exposure risks associated with heavy metals in crops grown near contaminated sites, emphasizing the pathway from environmental contamination to human exposure through food consumption.</w:t>
      </w:r>
    </w:p>
    <w:p w14:paraId="7B7C555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Studies focused on specific metals have elucidated mechanisms of toxicity and uptake. Khan et al. (2021) investigated lead-induced oxidative stress effects on rice morphology and biochemistry, findings applicable to understanding similar processes in maize. The research demonstrated that lead exposure induces production of reactive oxygen species, damages cellular membranes through lipid peroxidation, and interferes with photosynthetic processes. These oxidative stress mechanisms are common across different crop species exposed to heavy metal contamination.</w:t>
      </w:r>
    </w:p>
    <w:p w14:paraId="6BE2C09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Gargouri et al. (2018) studied lead-induced nephrotoxicity in animal models, demonstrating the renal damage potential of lead and exploring potential ameliorative strategies using natural compounds. Their work on oxidative stress modulation and histopathological changes provides important insights into the health consequences of lead exposure through dietary pathways. Similarly, research on cadmium toxicity has revealed the metal's carcinogenic properties and its particular affinity for kidney tissue, where it causes progressive damage over time.</w:t>
      </w:r>
    </w:p>
    <w:p w14:paraId="750481A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Despite this growing body of international research, significant gaps remain in understanding heavy metal contamination </w:t>
      </w:r>
      <w:r w:rsidRPr="000420D9">
        <w:rPr>
          <w:rFonts w:ascii="Times New Roman" w:eastAsia="Times New Roman" w:hAnsi="Times New Roman" w:cs="Times New Roman"/>
          <w:sz w:val="24"/>
          <w:szCs w:val="24"/>
          <w:lang w:eastAsia="en-GB"/>
        </w:rPr>
        <w:t>patterns in Kenyan maize production systems. Most existing studies focus on Asian, European, or West African contexts, with limited data available for East African agricultural environments. The specific combination of soil types, climate patterns, agricultural practices, and maize varieties found in Kenya creates unique conditions that may influence heavy metal dynamics differently from other regions. Furthermore, comparative studies examining traditional indigenous varieties alongside modern hybrids are scarce, yet such comparisons are essential for understanding how breeding programs and varietal selection may influence food safety outcomes.</w:t>
      </w:r>
    </w:p>
    <w:p w14:paraId="48EFDC08"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34D9076F"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3.0 MATERIALS AND METHODS</w:t>
      </w:r>
    </w:p>
    <w:p w14:paraId="04FEEFB7"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3.1 Study Area</w:t>
      </w:r>
    </w:p>
    <w:p w14:paraId="433EF06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research was conducted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which is situated within Mwala Sub-County of Machakos County, Kenya. Machakos County is located in the Eastern region of Kenya, approximately 64 </w:t>
      </w:r>
      <w:proofErr w:type="spellStart"/>
      <w:r w:rsidRPr="000420D9">
        <w:rPr>
          <w:rFonts w:ascii="Times New Roman" w:eastAsia="Times New Roman" w:hAnsi="Times New Roman" w:cs="Times New Roman"/>
          <w:sz w:val="24"/>
          <w:szCs w:val="24"/>
          <w:lang w:eastAsia="en-GB"/>
        </w:rPr>
        <w:t>kilometers</w:t>
      </w:r>
      <w:proofErr w:type="spellEnd"/>
      <w:r w:rsidRPr="000420D9">
        <w:rPr>
          <w:rFonts w:ascii="Times New Roman" w:eastAsia="Times New Roman" w:hAnsi="Times New Roman" w:cs="Times New Roman"/>
          <w:sz w:val="24"/>
          <w:szCs w:val="24"/>
          <w:lang w:eastAsia="en-GB"/>
        </w:rPr>
        <w:t xml:space="preserve"> southeast of Nairobi, the capital city. The county lies within the semi-arid to arid agro-ecological zones, characterized by erratic rainfall patterns and generally challenging conditions for rain-fed agriculture. Despite these environmental constraints, the region supports substantial maize production, with farmers relying on this crop as both a staple food and a source of income.</w:t>
      </w:r>
    </w:p>
    <w:p w14:paraId="6099B71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study area encompasses approximately 9 </w:t>
      </w:r>
      <w:proofErr w:type="spellStart"/>
      <w:r w:rsidRPr="000420D9">
        <w:rPr>
          <w:rFonts w:ascii="Times New Roman" w:eastAsia="Times New Roman" w:hAnsi="Times New Roman" w:cs="Times New Roman"/>
          <w:sz w:val="24"/>
          <w:szCs w:val="24"/>
          <w:lang w:eastAsia="en-GB"/>
        </w:rPr>
        <w:t>kilometers</w:t>
      </w:r>
      <w:proofErr w:type="spellEnd"/>
      <w:r w:rsidRPr="000420D9">
        <w:rPr>
          <w:rFonts w:ascii="Times New Roman" w:eastAsia="Times New Roman" w:hAnsi="Times New Roman" w:cs="Times New Roman"/>
          <w:sz w:val="24"/>
          <w:szCs w:val="24"/>
          <w:lang w:eastAsia="en-GB"/>
        </w:rPr>
        <w:t xml:space="preserve"> and covers a catchment area of 72 square </w:t>
      </w:r>
      <w:proofErr w:type="spellStart"/>
      <w:r w:rsidRPr="000420D9">
        <w:rPr>
          <w:rFonts w:ascii="Times New Roman" w:eastAsia="Times New Roman" w:hAnsi="Times New Roman" w:cs="Times New Roman"/>
          <w:sz w:val="24"/>
          <w:szCs w:val="24"/>
          <w:lang w:eastAsia="en-GB"/>
        </w:rPr>
        <w:t>kilometers</w:t>
      </w:r>
      <w:proofErr w:type="spellEnd"/>
      <w:r w:rsidRPr="000420D9">
        <w:rPr>
          <w:rFonts w:ascii="Times New Roman" w:eastAsia="Times New Roman" w:hAnsi="Times New Roman" w:cs="Times New Roman"/>
          <w:sz w:val="24"/>
          <w:szCs w:val="24"/>
          <w:lang w:eastAsia="en-GB"/>
        </w:rPr>
        <w:t xml:space="preserve">. Geographically, the location falls between longitude 37.3912° to 37.5496° East and latitude 1.4767° to 1.4104° South. The topography is characterized by gently rolling hills and valleys typical of the Eastern Highlands, with elevation varying across the study sites. This variation in altitude influences </w:t>
      </w:r>
      <w:r w:rsidRPr="000420D9">
        <w:rPr>
          <w:rFonts w:ascii="Times New Roman" w:eastAsia="Times New Roman" w:hAnsi="Times New Roman" w:cs="Times New Roman"/>
          <w:sz w:val="24"/>
          <w:szCs w:val="24"/>
          <w:lang w:eastAsia="en-GB"/>
        </w:rPr>
        <w:lastRenderedPageBreak/>
        <w:t>local microclimates and agricultural practices, with farmers adapting their crop management strategies to local conditions.</w:t>
      </w:r>
    </w:p>
    <w:p w14:paraId="04111FF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Three specific sampling sites were selected within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representing different wards: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Kathama</w:t>
      </w:r>
      <w:proofErr w:type="spellEnd"/>
      <w:r w:rsidRPr="000420D9">
        <w:rPr>
          <w:rFonts w:ascii="Times New Roman" w:eastAsia="Times New Roman" w:hAnsi="Times New Roman" w:cs="Times New Roman"/>
          <w:sz w:val="24"/>
          <w:szCs w:val="24"/>
          <w:lang w:eastAsia="en-GB"/>
        </w:rPr>
        <w:t xml:space="preserve">, and </w:t>
      </w:r>
      <w:proofErr w:type="spellStart"/>
      <w:r w:rsidRPr="000420D9">
        <w:rPr>
          <w:rFonts w:ascii="Times New Roman" w:eastAsia="Times New Roman" w:hAnsi="Times New Roman" w:cs="Times New Roman"/>
          <w:sz w:val="24"/>
          <w:szCs w:val="24"/>
          <w:lang w:eastAsia="en-GB"/>
        </w:rPr>
        <w:t>Muthei</w:t>
      </w:r>
      <w:proofErr w:type="spellEnd"/>
      <w:r w:rsidRPr="000420D9">
        <w:rPr>
          <w:rFonts w:ascii="Times New Roman" w:eastAsia="Times New Roman" w:hAnsi="Times New Roman" w:cs="Times New Roman"/>
          <w:sz w:val="24"/>
          <w:szCs w:val="24"/>
          <w:lang w:eastAsia="en-GB"/>
        </w:rPr>
        <w:t xml:space="preserve">. These sites were chosen based on several criteria including active maize cultivation, accessibility for sample collection, representation of typical farming systems in the area, and willingness of farmers to participate in the research. The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site is located at latitude -1.45196° and longitude 37.48384°, with an elevation of approximately 1200 meters above sea level. This area is characterized primarily by agricultural activities, with maize being a dominant crop alongside beans, pigeon peas, and vegetables. The soils in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are predominantly reddish-brown, suggesting weathered volcanic parent material, and farmers typically apply both organic manures and synthetic fertilizers to maintain soil fertility.</w:t>
      </w:r>
    </w:p>
    <w:p w14:paraId="2003BB7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w:t>
      </w:r>
      <w:proofErr w:type="spellStart"/>
      <w:r w:rsidRPr="000420D9">
        <w:rPr>
          <w:rFonts w:ascii="Times New Roman" w:eastAsia="Times New Roman" w:hAnsi="Times New Roman" w:cs="Times New Roman"/>
          <w:sz w:val="24"/>
          <w:szCs w:val="24"/>
          <w:lang w:eastAsia="en-GB"/>
        </w:rPr>
        <w:t>Kathama</w:t>
      </w:r>
      <w:proofErr w:type="spellEnd"/>
      <w:r w:rsidRPr="000420D9">
        <w:rPr>
          <w:rFonts w:ascii="Times New Roman" w:eastAsia="Times New Roman" w:hAnsi="Times New Roman" w:cs="Times New Roman"/>
          <w:sz w:val="24"/>
          <w:szCs w:val="24"/>
          <w:lang w:eastAsia="en-GB"/>
        </w:rPr>
        <w:t xml:space="preserve"> sampling site, positioned at latitude -1.44074° and longitude 37.41032°, sits at an elevation of approximately 1190 meters above sea level. This ward exhibits more diverse economic activities compared to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with trade and commerce playing significant roles alongside agriculture. The proximity to local markets and trading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means that agricultural inputs including fertilizers and pesticides are readily accessible to farmers. The area experiences moderate human activity and vehicle traffic, which could potentially contribute to atmospheric deposition of certain contaminants.</w:t>
      </w:r>
    </w:p>
    <w:p w14:paraId="4A3CA12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0420D9">
        <w:rPr>
          <w:rFonts w:ascii="Times New Roman" w:eastAsia="Times New Roman" w:hAnsi="Times New Roman" w:cs="Times New Roman"/>
          <w:sz w:val="24"/>
          <w:szCs w:val="24"/>
          <w:lang w:eastAsia="en-GB"/>
        </w:rPr>
        <w:t>Muthei</w:t>
      </w:r>
      <w:proofErr w:type="spellEnd"/>
      <w:r w:rsidRPr="000420D9">
        <w:rPr>
          <w:rFonts w:ascii="Times New Roman" w:eastAsia="Times New Roman" w:hAnsi="Times New Roman" w:cs="Times New Roman"/>
          <w:sz w:val="24"/>
          <w:szCs w:val="24"/>
          <w:lang w:eastAsia="en-GB"/>
        </w:rPr>
        <w:t xml:space="preserve"> ward, the third sampling location, is found at latitude -1.43958° and longitude 37.4078°, with a lower elevation of approximately 1011 meters above sea level. This site is characterized by mixed farming systems with particular emphasis on livestock management alongside crop production. The integration of livestock </w:t>
      </w:r>
      <w:r w:rsidRPr="000420D9">
        <w:rPr>
          <w:rFonts w:ascii="Times New Roman" w:eastAsia="Times New Roman" w:hAnsi="Times New Roman" w:cs="Times New Roman"/>
          <w:sz w:val="24"/>
          <w:szCs w:val="24"/>
          <w:lang w:eastAsia="en-GB"/>
        </w:rPr>
        <w:t>activities means that animal manures are commonly used as soil amendments, and the area maintains higher organic matter inputs compared to areas relying solely on synthetic fertilizers. The lower elevation also results in slightly warmer conditions and potentially different cropping patterns.</w:t>
      </w:r>
    </w:p>
    <w:p w14:paraId="12FFEB0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climate across all three sites is classified as semi-arid, with mean annual rainfall ranging between 600-900 </w:t>
      </w:r>
      <w:proofErr w:type="spellStart"/>
      <w:r w:rsidRPr="000420D9">
        <w:rPr>
          <w:rFonts w:ascii="Times New Roman" w:eastAsia="Times New Roman" w:hAnsi="Times New Roman" w:cs="Times New Roman"/>
          <w:sz w:val="24"/>
          <w:szCs w:val="24"/>
          <w:lang w:eastAsia="en-GB"/>
        </w:rPr>
        <w:t>millimeters</w:t>
      </w:r>
      <w:proofErr w:type="spellEnd"/>
      <w:r w:rsidRPr="000420D9">
        <w:rPr>
          <w:rFonts w:ascii="Times New Roman" w:eastAsia="Times New Roman" w:hAnsi="Times New Roman" w:cs="Times New Roman"/>
          <w:sz w:val="24"/>
          <w:szCs w:val="24"/>
          <w:lang w:eastAsia="en-GB"/>
        </w:rPr>
        <w:t>, distributed in a bimodal pattern. The long rains typically occur from March to May, while short rains fall between October and December. Temperatures are moderate, with mean annual temperatures ranging from 18°C to 26°C. These climatic conditions, combined with the soil characteristics and topography, create an environment where maize production requires careful management and is often supplemented with supplementary irrigation during dry periods.</w:t>
      </w:r>
    </w:p>
    <w:p w14:paraId="7EE74CE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Human activities in the study area that could potentially influence heavy metal levels in agricultural soils include intensive farming with regular application of agrochemicals, small-scale commercial activities, transport-related emissions from the roads connecting rural areas to market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and in some areas, use of wastewater or water from potentially contaminated sources for irrigation during dry seasons. The area also experiences population pressure, leading to continuous cultivation with minimal fallow periods, which may affect soil health and contaminant dynamics.</w:t>
      </w:r>
    </w:p>
    <w:p w14:paraId="0A7EBF1F" w14:textId="77777777" w:rsid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Income-generating activities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include smallholder agriculture focused on maize, beans, and horticultural crops, livestock rearing including cattle, goats, sheep, and poultry, trade and commerce </w:t>
      </w:r>
      <w:proofErr w:type="spellStart"/>
      <w:r w:rsidRPr="000420D9">
        <w:rPr>
          <w:rFonts w:ascii="Times New Roman" w:eastAsia="Times New Roman" w:hAnsi="Times New Roman" w:cs="Times New Roman"/>
          <w:sz w:val="24"/>
          <w:szCs w:val="24"/>
          <w:lang w:eastAsia="en-GB"/>
        </w:rPr>
        <w:t>centered</w:t>
      </w:r>
      <w:proofErr w:type="spellEnd"/>
      <w:r w:rsidRPr="000420D9">
        <w:rPr>
          <w:rFonts w:ascii="Times New Roman" w:eastAsia="Times New Roman" w:hAnsi="Times New Roman" w:cs="Times New Roman"/>
          <w:sz w:val="24"/>
          <w:szCs w:val="24"/>
          <w:lang w:eastAsia="en-GB"/>
        </w:rPr>
        <w:t xml:space="preserve"> around local markets, and transport services connecting rural communities to urban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These economic activities influence agricultural </w:t>
      </w:r>
      <w:r w:rsidRPr="000420D9">
        <w:rPr>
          <w:rFonts w:ascii="Times New Roman" w:eastAsia="Times New Roman" w:hAnsi="Times New Roman" w:cs="Times New Roman"/>
          <w:sz w:val="24"/>
          <w:szCs w:val="24"/>
          <w:lang w:eastAsia="en-GB"/>
        </w:rPr>
        <w:lastRenderedPageBreak/>
        <w:t>practices and may contribute to environmental contamination through various pathways.</w:t>
      </w:r>
    </w:p>
    <w:p w14:paraId="3B76C388" w14:textId="77777777" w:rsidR="00285697" w:rsidRPr="000420D9" w:rsidRDefault="00285697"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hAnsi="Times New Roman" w:cs="Times New Roman"/>
          <w:b/>
          <w:bCs/>
          <w:noProof/>
          <w:color w:val="0070C0"/>
          <w:lang w:eastAsia="en-GB"/>
        </w:rPr>
        <w:drawing>
          <wp:inline distT="0" distB="0" distL="0" distR="0" wp14:anchorId="2385155C" wp14:editId="43913BB8">
            <wp:extent cx="2835959" cy="2271096"/>
            <wp:effectExtent l="0" t="0" r="2540" b="0"/>
            <wp:docPr id="37028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81058"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6817" cy="2279791"/>
                    </a:xfrm>
                    <a:prstGeom prst="rect">
                      <a:avLst/>
                    </a:prstGeom>
                  </pic:spPr>
                </pic:pic>
              </a:graphicData>
            </a:graphic>
          </wp:inline>
        </w:drawing>
      </w:r>
    </w:p>
    <w:p w14:paraId="563805E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[Figure</w:t>
      </w:r>
      <w:r w:rsidR="00285697">
        <w:rPr>
          <w:rFonts w:ascii="Times New Roman" w:eastAsia="Times New Roman" w:hAnsi="Times New Roman" w:cs="Times New Roman"/>
          <w:b/>
          <w:bCs/>
          <w:sz w:val="24"/>
          <w:szCs w:val="24"/>
          <w:lang w:eastAsia="en-GB"/>
        </w:rPr>
        <w:t xml:space="preserve"> 3.1(a) </w:t>
      </w:r>
      <w:r w:rsidRPr="006B0DCE">
        <w:rPr>
          <w:rFonts w:ascii="Times New Roman" w:eastAsia="Times New Roman" w:hAnsi="Times New Roman" w:cs="Times New Roman"/>
          <w:bCs/>
          <w:sz w:val="24"/>
          <w:szCs w:val="24"/>
          <w:lang w:eastAsia="en-GB"/>
        </w:rPr>
        <w:t>Map of Machakos County showing sampling sites in Mwala Sub-County]</w:t>
      </w:r>
    </w:p>
    <w:p w14:paraId="3E4681E6" w14:textId="77777777" w:rsidR="00285697" w:rsidRDefault="00CD25A2"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b/>
          <w:bCs/>
          <w:noProof/>
          <w:color w:val="FF0000"/>
          <w:lang w:eastAsia="en-GB"/>
        </w:rPr>
        <mc:AlternateContent>
          <mc:Choice Requires="wps">
            <w:drawing>
              <wp:anchor distT="0" distB="0" distL="114300" distR="114300" simplePos="0" relativeHeight="251659264" behindDoc="0" locked="0" layoutInCell="1" allowOverlap="1" wp14:anchorId="35ACDEC1" wp14:editId="43EA74F2">
                <wp:simplePos x="0" y="0"/>
                <wp:positionH relativeFrom="column">
                  <wp:posOffset>866774</wp:posOffset>
                </wp:positionH>
                <wp:positionV relativeFrom="paragraph">
                  <wp:posOffset>1316355</wp:posOffset>
                </wp:positionV>
                <wp:extent cx="238125" cy="1171575"/>
                <wp:effectExtent l="38100" t="0" r="28575" b="47625"/>
                <wp:wrapNone/>
                <wp:docPr id="774018847" name="Straight Arrow Connector 5"/>
                <wp:cNvGraphicFramePr/>
                <a:graphic xmlns:a="http://schemas.openxmlformats.org/drawingml/2006/main">
                  <a:graphicData uri="http://schemas.microsoft.com/office/word/2010/wordprocessingShape">
                    <wps:wsp>
                      <wps:cNvCnPr/>
                      <wps:spPr>
                        <a:xfrm flipH="1">
                          <a:off x="0" y="0"/>
                          <a:ext cx="238125" cy="117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1A7942" id="_x0000_t32" coordsize="21600,21600" o:spt="32" o:oned="t" path="m,l21600,21600e" filled="f">
                <v:path arrowok="t" fillok="f" o:connecttype="none"/>
                <o:lock v:ext="edit" shapetype="t"/>
              </v:shapetype>
              <v:shape id="Straight Arrow Connector 5" o:spid="_x0000_s1026" type="#_x0000_t32" style="position:absolute;margin-left:68.25pt;margin-top:103.65pt;width:18.75pt;height:92.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" strokecolor="#5b9bd5 [3204]" strokeweight=".5pt">
                <v:stroke endarrow="block" joinstyle="miter"/>
              </v:shape>
            </w:pict>
          </mc:Fallback>
        </mc:AlternateContent>
      </w:r>
      <w:r w:rsidR="00285697">
        <w:rPr>
          <w:rFonts w:ascii="Times New Roman" w:hAnsi="Times New Roman" w:cs="Times New Roman"/>
          <w:b/>
          <w:bCs/>
          <w:noProof/>
          <w:color w:val="FF0000"/>
          <w:lang w:eastAsia="en-GB"/>
        </w:rPr>
        <w:drawing>
          <wp:inline distT="0" distB="0" distL="0" distR="0" wp14:anchorId="149531CC" wp14:editId="3AA41655">
            <wp:extent cx="2931690" cy="2009775"/>
            <wp:effectExtent l="0" t="0" r="2540" b="0"/>
            <wp:docPr id="2030131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31189"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1538" cy="2016526"/>
                    </a:xfrm>
                    <a:prstGeom prst="rect">
                      <a:avLst/>
                    </a:prstGeom>
                  </pic:spPr>
                </pic:pic>
              </a:graphicData>
            </a:graphic>
          </wp:inline>
        </w:drawing>
      </w:r>
      <w:r w:rsidR="00285697" w:rsidRPr="000420D9">
        <w:rPr>
          <w:rFonts w:ascii="Times New Roman" w:eastAsia="Times New Roman" w:hAnsi="Times New Roman" w:cs="Times New Roman"/>
          <w:b/>
          <w:bCs/>
          <w:sz w:val="24"/>
          <w:szCs w:val="24"/>
          <w:lang w:eastAsia="en-GB"/>
        </w:rPr>
        <w:t xml:space="preserve"> </w:t>
      </w:r>
    </w:p>
    <w:p w14:paraId="31F22361" w14:textId="77777777" w:rsidR="00285697" w:rsidRDefault="00285697"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285697">
        <w:rPr>
          <w:rFonts w:ascii="Times New Roman" w:eastAsia="DengXian" w:hAnsi="Times New Roman" w:cs="Times New Roman"/>
          <w:b/>
          <w:bCs/>
          <w:noProof/>
          <w:color w:val="0070C0"/>
          <w:kern w:val="2"/>
          <w:sz w:val="24"/>
          <w:szCs w:val="24"/>
          <w:lang w:eastAsia="en-GB"/>
          <w14:ligatures w14:val="standardContextual"/>
        </w:rPr>
        <w:drawing>
          <wp:inline distT="0" distB="0" distL="0" distR="0" wp14:anchorId="43F98FB3" wp14:editId="580A912E">
            <wp:extent cx="2788576" cy="18764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3135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5497" cy="1887811"/>
                    </a:xfrm>
                    <a:prstGeom prst="rect">
                      <a:avLst/>
                    </a:prstGeom>
                  </pic:spPr>
                </pic:pic>
              </a:graphicData>
            </a:graphic>
          </wp:inline>
        </w:drawing>
      </w:r>
      <w:r w:rsidRPr="000420D9">
        <w:rPr>
          <w:rFonts w:ascii="Times New Roman" w:eastAsia="Times New Roman" w:hAnsi="Times New Roman" w:cs="Times New Roman"/>
          <w:b/>
          <w:bCs/>
          <w:sz w:val="24"/>
          <w:szCs w:val="24"/>
          <w:lang w:eastAsia="en-GB"/>
        </w:rPr>
        <w:t xml:space="preserve"> </w:t>
      </w:r>
    </w:p>
    <w:p w14:paraId="31441D60" w14:textId="77777777" w:rsidR="00285697" w:rsidRPr="006B0DCE" w:rsidRDefault="000420D9" w:rsidP="0038231D">
      <w:pPr>
        <w:spacing w:before="100" w:beforeAutospacing="1" w:after="100" w:afterAutospacing="1" w:line="240" w:lineRule="auto"/>
        <w:jc w:val="both"/>
        <w:rPr>
          <w:rFonts w:ascii="Times New Roman" w:eastAsia="Times New Roman" w:hAnsi="Times New Roman" w:cs="Times New Roman"/>
          <w:bCs/>
          <w:sz w:val="24"/>
          <w:szCs w:val="24"/>
          <w:lang w:eastAsia="en-GB"/>
        </w:rPr>
      </w:pPr>
      <w:r w:rsidRPr="000420D9">
        <w:rPr>
          <w:rFonts w:ascii="Times New Roman" w:eastAsia="Times New Roman" w:hAnsi="Times New Roman" w:cs="Times New Roman"/>
          <w:b/>
          <w:bCs/>
          <w:sz w:val="24"/>
          <w:szCs w:val="24"/>
          <w:lang w:eastAsia="en-GB"/>
        </w:rPr>
        <w:t>[Figure</w:t>
      </w:r>
      <w:r w:rsidR="00285697">
        <w:rPr>
          <w:rFonts w:ascii="Times New Roman" w:eastAsia="Times New Roman" w:hAnsi="Times New Roman" w:cs="Times New Roman"/>
          <w:b/>
          <w:bCs/>
          <w:sz w:val="24"/>
          <w:szCs w:val="24"/>
          <w:lang w:eastAsia="en-GB"/>
        </w:rPr>
        <w:t xml:space="preserve"> 3.1(b) </w:t>
      </w:r>
      <w:r w:rsidRPr="006B0DCE">
        <w:rPr>
          <w:rFonts w:ascii="Times New Roman" w:eastAsia="Times New Roman" w:hAnsi="Times New Roman" w:cs="Times New Roman"/>
          <w:bCs/>
          <w:sz w:val="24"/>
          <w:szCs w:val="24"/>
          <w:lang w:eastAsia="en-GB"/>
        </w:rPr>
        <w:t xml:space="preserve">Map of Mwala Sub-County showing the three sampling sites in </w:t>
      </w:r>
      <w:proofErr w:type="spellStart"/>
      <w:r w:rsidRPr="006B0DCE">
        <w:rPr>
          <w:rFonts w:ascii="Times New Roman" w:eastAsia="Times New Roman" w:hAnsi="Times New Roman" w:cs="Times New Roman"/>
          <w:bCs/>
          <w:sz w:val="24"/>
          <w:szCs w:val="24"/>
          <w:lang w:eastAsia="en-GB"/>
        </w:rPr>
        <w:t>Masii</w:t>
      </w:r>
      <w:proofErr w:type="spellEnd"/>
      <w:r w:rsidRPr="006B0DCE">
        <w:rPr>
          <w:rFonts w:ascii="Times New Roman" w:eastAsia="Times New Roman" w:hAnsi="Times New Roman" w:cs="Times New Roman"/>
          <w:bCs/>
          <w:sz w:val="24"/>
          <w:szCs w:val="24"/>
          <w:lang w:eastAsia="en-GB"/>
        </w:rPr>
        <w:t xml:space="preserve"> Location]</w:t>
      </w:r>
    </w:p>
    <w:p w14:paraId="1D27BD40" w14:textId="77777777" w:rsidR="000420D9" w:rsidRPr="00801435" w:rsidRDefault="00801435" w:rsidP="0038231D">
      <w:pPr>
        <w:pStyle w:val="Caption"/>
        <w:spacing w:line="360" w:lineRule="auto"/>
        <w:jc w:val="both"/>
        <w:rPr>
          <w:rFonts w:ascii="Times New Roman" w:hAnsi="Times New Roman" w:cs="Times New Roman"/>
          <w:i w:val="0"/>
          <w:iCs w:val="0"/>
          <w:color w:val="000000" w:themeColor="text1"/>
          <w:sz w:val="24"/>
          <w:szCs w:val="24"/>
        </w:rPr>
      </w:pPr>
      <w:bookmarkStart w:id="0" w:name="_Toc198897935"/>
      <w:r>
        <w:rPr>
          <w:rFonts w:ascii="Times New Roman" w:hAnsi="Times New Roman" w:cs="Times New Roman"/>
          <w:i w:val="0"/>
          <w:iCs w:val="0"/>
          <w:color w:val="000000" w:themeColor="text1"/>
          <w:sz w:val="24"/>
          <w:szCs w:val="24"/>
        </w:rPr>
        <w:t>Table 3.</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Table_3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:The name of sampling</w:t>
      </w:r>
      <w:r>
        <w:rPr>
          <w:rStyle w:val="Heading4Char"/>
          <w:rFonts w:eastAsiaTheme="minorEastAsia"/>
          <w:i w:val="0"/>
          <w:iCs w:val="0"/>
          <w:color w:val="000000" w:themeColor="text1"/>
        </w:rPr>
        <w:t xml:space="preserve"> sites, coordinates, heights above the sea levels</w:t>
      </w:r>
      <w:bookmarkEnd w:id="0"/>
      <w:r>
        <w:rPr>
          <w:rStyle w:val="Heading4Char"/>
          <w:rFonts w:eastAsiaTheme="minorEastAsia"/>
          <w:i w:val="0"/>
          <w:iCs w:val="0"/>
          <w:color w:val="000000" w:themeColor="text1"/>
        </w:rPr>
        <w:t xml:space="preserve"> </w:t>
      </w:r>
    </w:p>
    <w:tbl>
      <w:tblPr>
        <w:tblStyle w:val="GridTable4-Accent511"/>
        <w:tblW w:w="4579" w:type="dxa"/>
        <w:tblInd w:w="137" w:type="dxa"/>
        <w:tblLayout w:type="fixed"/>
        <w:tblLook w:val="04A0" w:firstRow="1" w:lastRow="0" w:firstColumn="1" w:lastColumn="0" w:noHBand="0" w:noVBand="1"/>
      </w:tblPr>
      <w:tblGrid>
        <w:gridCol w:w="908"/>
        <w:gridCol w:w="793"/>
        <w:gridCol w:w="851"/>
        <w:gridCol w:w="567"/>
        <w:gridCol w:w="1460"/>
      </w:tblGrid>
      <w:tr w:rsidR="00CB1A8C" w:rsidRPr="00CB1A8C" w14:paraId="0EFD71DA" w14:textId="77777777" w:rsidTr="00CB1A8C">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08" w:type="dxa"/>
          </w:tcPr>
          <w:p w14:paraId="1893FDC5" w14:textId="77777777" w:rsidR="00801435" w:rsidRPr="00801435" w:rsidRDefault="00801435" w:rsidP="0038231D">
            <w:pPr>
              <w:spacing w:line="360" w:lineRule="auto"/>
              <w:jc w:val="both"/>
              <w:rPr>
                <w:rFonts w:ascii="Times New Roman" w:eastAsia="DengXian" w:hAnsi="Times New Roman" w:cs="Times New Roman"/>
                <w:color w:val="000000"/>
                <w:sz w:val="16"/>
                <w:szCs w:val="16"/>
                <w:lang w:val="en-US"/>
              </w:rPr>
            </w:pPr>
            <w:r w:rsidRPr="00801435">
              <w:rPr>
                <w:rFonts w:ascii="Times New Roman" w:eastAsia="DengXian" w:hAnsi="Times New Roman" w:cs="Times New Roman"/>
                <w:sz w:val="16"/>
                <w:szCs w:val="16"/>
                <w:lang w:val="en-US"/>
              </w:rPr>
              <w:br w:type="page"/>
              <w:t>S</w:t>
            </w:r>
            <w:r w:rsidRPr="00801435">
              <w:rPr>
                <w:rFonts w:ascii="DengXian" w:eastAsia="DengXian" w:hAnsi="DengXian" w:cs="Times New Roman"/>
                <w:sz w:val="16"/>
                <w:szCs w:val="16"/>
                <w:lang w:val="en-US"/>
              </w:rPr>
              <w:t>ite name</w:t>
            </w:r>
          </w:p>
        </w:tc>
        <w:tc>
          <w:tcPr>
            <w:tcW w:w="793" w:type="dxa"/>
          </w:tcPr>
          <w:p w14:paraId="007B26EB" w14:textId="77777777" w:rsidR="00801435" w:rsidRPr="00801435" w:rsidRDefault="00801435" w:rsidP="003823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Latitude</w:t>
            </w:r>
          </w:p>
        </w:tc>
        <w:tc>
          <w:tcPr>
            <w:tcW w:w="851" w:type="dxa"/>
          </w:tcPr>
          <w:p w14:paraId="0F90A944" w14:textId="77777777" w:rsidR="00801435" w:rsidRPr="00801435" w:rsidRDefault="00801435" w:rsidP="003823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Longitude</w:t>
            </w:r>
          </w:p>
        </w:tc>
        <w:tc>
          <w:tcPr>
            <w:tcW w:w="567" w:type="dxa"/>
          </w:tcPr>
          <w:p w14:paraId="3BBA4968" w14:textId="77777777" w:rsidR="00801435" w:rsidRPr="00801435" w:rsidRDefault="00801435" w:rsidP="003823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Elevation(m)</w:t>
            </w:r>
          </w:p>
        </w:tc>
        <w:tc>
          <w:tcPr>
            <w:tcW w:w="1460" w:type="dxa"/>
          </w:tcPr>
          <w:p w14:paraId="749EE67E" w14:textId="77777777" w:rsidR="00801435" w:rsidRPr="00801435" w:rsidRDefault="00801435" w:rsidP="003823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Human activities</w:t>
            </w:r>
          </w:p>
        </w:tc>
      </w:tr>
      <w:tr w:rsidR="00CB1A8C" w:rsidRPr="00CB1A8C" w14:paraId="7776DB85" w14:textId="77777777" w:rsidTr="00CB1A8C">
        <w:trPr>
          <w:trHeight w:val="253"/>
        </w:trPr>
        <w:tc>
          <w:tcPr>
            <w:cnfStyle w:val="001000000000" w:firstRow="0" w:lastRow="0" w:firstColumn="1" w:lastColumn="0" w:oddVBand="0" w:evenVBand="0" w:oddHBand="0" w:evenHBand="0" w:firstRowFirstColumn="0" w:firstRowLastColumn="0" w:lastRowFirstColumn="0" w:lastRowLastColumn="0"/>
            <w:tcW w:w="908" w:type="dxa"/>
            <w:shd w:val="clear" w:color="auto" w:fill="DEEAF6"/>
          </w:tcPr>
          <w:p w14:paraId="2C057843" w14:textId="77777777" w:rsidR="00801435" w:rsidRPr="00801435" w:rsidRDefault="00801435" w:rsidP="0038231D">
            <w:pPr>
              <w:spacing w:line="360" w:lineRule="auto"/>
              <w:jc w:val="both"/>
              <w:rPr>
                <w:rFonts w:ascii="Times New Roman" w:eastAsia="DengXian" w:hAnsi="Times New Roman" w:cs="Times New Roman"/>
                <w:color w:val="000000"/>
                <w:sz w:val="16"/>
                <w:szCs w:val="16"/>
                <w:lang w:val="en-US"/>
              </w:rPr>
            </w:pPr>
            <w:proofErr w:type="spellStart"/>
            <w:r w:rsidRPr="00801435">
              <w:rPr>
                <w:rFonts w:ascii="Times New Roman" w:eastAsia="DengXian" w:hAnsi="Times New Roman" w:cs="Times New Roman"/>
                <w:color w:val="000000"/>
                <w:sz w:val="16"/>
                <w:szCs w:val="16"/>
                <w:lang w:val="en-US"/>
              </w:rPr>
              <w:t>Mbaani</w:t>
            </w:r>
            <w:proofErr w:type="spellEnd"/>
          </w:p>
        </w:tc>
        <w:tc>
          <w:tcPr>
            <w:tcW w:w="793" w:type="dxa"/>
            <w:shd w:val="clear" w:color="auto" w:fill="DEEAF6"/>
          </w:tcPr>
          <w:p w14:paraId="68E3616D"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-1.45196</w:t>
            </w:r>
          </w:p>
        </w:tc>
        <w:tc>
          <w:tcPr>
            <w:tcW w:w="851" w:type="dxa"/>
            <w:shd w:val="clear" w:color="auto" w:fill="DEEAF6"/>
          </w:tcPr>
          <w:p w14:paraId="761D908D"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37.48384</w:t>
            </w:r>
          </w:p>
        </w:tc>
        <w:tc>
          <w:tcPr>
            <w:tcW w:w="567" w:type="dxa"/>
            <w:shd w:val="clear" w:color="auto" w:fill="DEEAF6"/>
          </w:tcPr>
          <w:p w14:paraId="673F5806"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1200</w:t>
            </w:r>
          </w:p>
        </w:tc>
        <w:tc>
          <w:tcPr>
            <w:tcW w:w="1460" w:type="dxa"/>
            <w:shd w:val="clear" w:color="auto" w:fill="DEEAF6"/>
          </w:tcPr>
          <w:p w14:paraId="0420C01D"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Agriculture</w:t>
            </w:r>
          </w:p>
        </w:tc>
      </w:tr>
      <w:tr w:rsidR="00CB1A8C" w:rsidRPr="00CB1A8C" w14:paraId="4A297BC0" w14:textId="77777777" w:rsidTr="00CB1A8C">
        <w:trPr>
          <w:trHeight w:val="260"/>
        </w:trPr>
        <w:tc>
          <w:tcPr>
            <w:cnfStyle w:val="001000000000" w:firstRow="0" w:lastRow="0" w:firstColumn="1" w:lastColumn="0" w:oddVBand="0" w:evenVBand="0" w:oddHBand="0" w:evenHBand="0" w:firstRowFirstColumn="0" w:firstRowLastColumn="0" w:lastRowFirstColumn="0" w:lastRowLastColumn="0"/>
            <w:tcW w:w="908" w:type="dxa"/>
          </w:tcPr>
          <w:p w14:paraId="25D065FE" w14:textId="77777777" w:rsidR="00801435" w:rsidRPr="00801435" w:rsidRDefault="00801435" w:rsidP="0038231D">
            <w:pPr>
              <w:spacing w:line="360" w:lineRule="auto"/>
              <w:jc w:val="both"/>
              <w:rPr>
                <w:rFonts w:ascii="Times New Roman" w:eastAsia="DengXian" w:hAnsi="Times New Roman" w:cs="Times New Roman"/>
                <w:color w:val="000000"/>
                <w:sz w:val="16"/>
                <w:szCs w:val="16"/>
                <w:lang w:val="en-US"/>
              </w:rPr>
            </w:pPr>
            <w:proofErr w:type="spellStart"/>
            <w:r w:rsidRPr="00801435">
              <w:rPr>
                <w:rFonts w:ascii="Times New Roman" w:eastAsia="DengXian" w:hAnsi="Times New Roman" w:cs="Times New Roman"/>
                <w:color w:val="000000"/>
                <w:sz w:val="16"/>
                <w:szCs w:val="16"/>
                <w:lang w:val="en-US"/>
              </w:rPr>
              <w:t>Kathama</w:t>
            </w:r>
            <w:proofErr w:type="spellEnd"/>
          </w:p>
        </w:tc>
        <w:tc>
          <w:tcPr>
            <w:tcW w:w="793" w:type="dxa"/>
          </w:tcPr>
          <w:p w14:paraId="46E591AC"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-1.44074</w:t>
            </w:r>
          </w:p>
        </w:tc>
        <w:tc>
          <w:tcPr>
            <w:tcW w:w="851" w:type="dxa"/>
          </w:tcPr>
          <w:p w14:paraId="70124980"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37.41032</w:t>
            </w:r>
          </w:p>
        </w:tc>
        <w:tc>
          <w:tcPr>
            <w:tcW w:w="567" w:type="dxa"/>
          </w:tcPr>
          <w:p w14:paraId="089AA16C"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1190</w:t>
            </w:r>
          </w:p>
        </w:tc>
        <w:tc>
          <w:tcPr>
            <w:tcW w:w="1460" w:type="dxa"/>
          </w:tcPr>
          <w:p w14:paraId="2F2F71B2"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Trade and commerce</w:t>
            </w:r>
          </w:p>
        </w:tc>
      </w:tr>
      <w:tr w:rsidR="00CB1A8C" w:rsidRPr="00CB1A8C" w14:paraId="370E4EF5" w14:textId="77777777" w:rsidTr="00CB1A8C">
        <w:trPr>
          <w:trHeight w:val="260"/>
        </w:trPr>
        <w:tc>
          <w:tcPr>
            <w:cnfStyle w:val="001000000000" w:firstRow="0" w:lastRow="0" w:firstColumn="1" w:lastColumn="0" w:oddVBand="0" w:evenVBand="0" w:oddHBand="0" w:evenHBand="0" w:firstRowFirstColumn="0" w:firstRowLastColumn="0" w:lastRowFirstColumn="0" w:lastRowLastColumn="0"/>
            <w:tcW w:w="908" w:type="dxa"/>
            <w:shd w:val="clear" w:color="auto" w:fill="DEEAF6"/>
          </w:tcPr>
          <w:p w14:paraId="347D5688" w14:textId="77777777" w:rsidR="00801435" w:rsidRPr="00801435" w:rsidRDefault="00801435" w:rsidP="0038231D">
            <w:pPr>
              <w:spacing w:line="360" w:lineRule="auto"/>
              <w:jc w:val="both"/>
              <w:rPr>
                <w:rFonts w:ascii="Times New Roman" w:eastAsia="DengXian" w:hAnsi="Times New Roman" w:cs="Times New Roman"/>
                <w:color w:val="000000"/>
                <w:sz w:val="16"/>
                <w:szCs w:val="16"/>
                <w:lang w:val="en-US"/>
              </w:rPr>
            </w:pPr>
            <w:proofErr w:type="spellStart"/>
            <w:r w:rsidRPr="00801435">
              <w:rPr>
                <w:rFonts w:ascii="Times New Roman" w:eastAsia="DengXian" w:hAnsi="Times New Roman" w:cs="Times New Roman"/>
                <w:color w:val="000000"/>
                <w:sz w:val="16"/>
                <w:szCs w:val="16"/>
                <w:lang w:val="en-US"/>
              </w:rPr>
              <w:t>Muthei</w:t>
            </w:r>
            <w:proofErr w:type="spellEnd"/>
          </w:p>
        </w:tc>
        <w:tc>
          <w:tcPr>
            <w:tcW w:w="793" w:type="dxa"/>
            <w:shd w:val="clear" w:color="auto" w:fill="DEEAF6"/>
          </w:tcPr>
          <w:p w14:paraId="476D7AD2"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-1.43958</w:t>
            </w:r>
          </w:p>
        </w:tc>
        <w:tc>
          <w:tcPr>
            <w:tcW w:w="851" w:type="dxa"/>
            <w:shd w:val="clear" w:color="auto" w:fill="DEEAF6"/>
          </w:tcPr>
          <w:p w14:paraId="4E0D94D8" w14:textId="77777777" w:rsidR="00801435" w:rsidRPr="00801435" w:rsidRDefault="00801435" w:rsidP="003823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37.4078</w:t>
            </w:r>
          </w:p>
        </w:tc>
        <w:tc>
          <w:tcPr>
            <w:tcW w:w="567" w:type="dxa"/>
            <w:shd w:val="clear" w:color="auto" w:fill="DEEAF6"/>
          </w:tcPr>
          <w:p w14:paraId="7A13F20A" w14:textId="77777777" w:rsidR="00801435" w:rsidRPr="00801435" w:rsidRDefault="00801435" w:rsidP="0038231D">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1011</w:t>
            </w:r>
          </w:p>
        </w:tc>
        <w:tc>
          <w:tcPr>
            <w:tcW w:w="1460" w:type="dxa"/>
            <w:shd w:val="clear" w:color="auto" w:fill="DEEAF6"/>
          </w:tcPr>
          <w:p w14:paraId="6A396616" w14:textId="77777777" w:rsidR="00801435" w:rsidRPr="00801435" w:rsidRDefault="00801435" w:rsidP="0038231D">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16"/>
                <w:szCs w:val="16"/>
                <w:lang w:val="en-US"/>
              </w:rPr>
            </w:pPr>
            <w:r w:rsidRPr="00801435">
              <w:rPr>
                <w:rFonts w:ascii="Times New Roman" w:eastAsia="DengXian" w:hAnsi="Times New Roman" w:cs="Times New Roman"/>
                <w:color w:val="000000"/>
                <w:sz w:val="16"/>
                <w:szCs w:val="16"/>
                <w:lang w:val="en-US"/>
              </w:rPr>
              <w:t>Livestock Management</w:t>
            </w:r>
          </w:p>
        </w:tc>
      </w:tr>
    </w:tbl>
    <w:p w14:paraId="3AF7D53C" w14:textId="77777777" w:rsidR="00285697" w:rsidRPr="000420D9" w:rsidRDefault="00285697"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50BC3C88"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 xml:space="preserve">3.2 </w:t>
      </w:r>
      <w:r w:rsidRPr="000420D9">
        <w:rPr>
          <w:rFonts w:ascii="Times New Roman" w:eastAsia="Times New Roman" w:hAnsi="Times New Roman" w:cs="Times New Roman"/>
          <w:b/>
          <w:bCs/>
          <w:sz w:val="24"/>
          <w:szCs w:val="24"/>
          <w:lang w:eastAsia="en-GB"/>
        </w:rPr>
        <w:t>Equipment and Apparatus</w:t>
      </w:r>
    </w:p>
    <w:p w14:paraId="606B1029" w14:textId="77777777" w:rsidR="000420D9" w:rsidRPr="000420D9" w:rsidRDefault="000420D9" w:rsidP="00CB1A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analytical work required a comprehensive array of laboratory equipment and apparatus to ensure accurate and reliable results. The primary analytical instrument was an Atomic Absorption Spectrophotometer (AAS), which served as the core tool for heavy metal quantification. This sophisticated instrument was equipped with appropriate hollow cathode lamps for each element of interest and was capable of both flame and graphite furnace atomization, though flame atomization was primarily utilized in this study.</w:t>
      </w:r>
    </w:p>
    <w:p w14:paraId="0657DE2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Sample preparation and processing utilized an analytical weighing balance with precision to four decimal places, ensuring accurate measurement of sample masses and reagent volumes. A mortar and pestle made of porcelain was employed for grinding dried maize samples to fine powder, facilitating complete digestion. A hot plate with temperature control capability up to 200°C provided the heat source for acid digestion of samples. A muffle furnace, though primarily kept as backup, was available for alternative sample preparation methods if needed.</w:t>
      </w:r>
    </w:p>
    <w:p w14:paraId="73F2F95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Glassware employed in the study included 100 mL conical flasks for sample digestion, volumetric flasks of various sizes (25 mL, 50 mL, and 100 mL) for preparation of </w:t>
      </w:r>
      <w:r w:rsidRPr="000420D9">
        <w:rPr>
          <w:rFonts w:ascii="Times New Roman" w:eastAsia="Times New Roman" w:hAnsi="Times New Roman" w:cs="Times New Roman"/>
          <w:sz w:val="24"/>
          <w:szCs w:val="24"/>
          <w:lang w:eastAsia="en-GB"/>
        </w:rPr>
        <w:lastRenderedPageBreak/>
        <w:t>standard solutions and dilution of digested samples, measuring cylinders of 10 mL and 50 mL capacity for reagent measurements, filter funnels with appropriate diameter to accommodate filter papers, wash bottles for dispensing distilled water, and glass stirring rods for mixing solutions.</w:t>
      </w:r>
    </w:p>
    <w:p w14:paraId="4B53DFF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Additional equipment included a polyurethane cool box for sample transportation and temporary storage, maintaining samples at appropriate temperatures during transit from the field to the laboratory. Khaki paper bags, which are breathable and prevent moisture accumulation, were used for collecting and packaging individual samples. A permanent marker pen was essential for </w:t>
      </w:r>
      <w:proofErr w:type="spellStart"/>
      <w:r w:rsidRPr="000420D9">
        <w:rPr>
          <w:rFonts w:ascii="Times New Roman" w:eastAsia="Times New Roman" w:hAnsi="Times New Roman" w:cs="Times New Roman"/>
          <w:sz w:val="24"/>
          <w:szCs w:val="24"/>
          <w:lang w:eastAsia="en-GB"/>
        </w:rPr>
        <w:t>labeling</w:t>
      </w:r>
      <w:proofErr w:type="spellEnd"/>
      <w:r w:rsidRPr="000420D9">
        <w:rPr>
          <w:rFonts w:ascii="Times New Roman" w:eastAsia="Times New Roman" w:hAnsi="Times New Roman" w:cs="Times New Roman"/>
          <w:sz w:val="24"/>
          <w:szCs w:val="24"/>
          <w:lang w:eastAsia="en-GB"/>
        </w:rPr>
        <w:t xml:space="preserve"> samples and containers. Spatulas made of stainless steel or porcelain facilitated transfer of ground samples. Filter papers of appropriate pore size (Whatman Grade 1 or equivalent) were used for filtration of digested samples. Bumping chips or boiling stones were added to digestion flasks to promote smooth boiling and prevent violent bumping during heating. Cork stoppers or appropriate closures were used to seal containers and prevent contamination or evaporation.</w:t>
      </w:r>
    </w:p>
    <w:p w14:paraId="6BC3AF1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All glassware was thoroughly cleaned before use following a rigorous protocol. Items were first washed with laboratory detergent and tap water, then rinsed multiple times with distilled water. For heavy metal analysis, additional cleaning involved soaking glassware in 10% nitric acid for at least 24 hours, followed by thorough rinsing with distilled water. This acid wash step was critical for removing any residual metal contamination that could interfere with trace metal analysis. Glassware was air-dried in a dust-free environment or in a drying oven before use.</w:t>
      </w:r>
    </w:p>
    <w:p w14:paraId="4D21E811"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3.3 Chemicals and Reagents</w:t>
      </w:r>
    </w:p>
    <w:p w14:paraId="28D0A9D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All chemicals and reagents used in this study were of analytical grade to ensure </w:t>
      </w:r>
      <w:r w:rsidRPr="000420D9">
        <w:rPr>
          <w:rFonts w:ascii="Times New Roman" w:eastAsia="Times New Roman" w:hAnsi="Times New Roman" w:cs="Times New Roman"/>
          <w:sz w:val="24"/>
          <w:szCs w:val="24"/>
          <w:lang w:eastAsia="en-GB"/>
        </w:rPr>
        <w:t>high purity and minimize contamination. Concentrated nitric acid (HNO₃, 65-70% purity) served as the primary digestion acid, selected for its strong oxidizing properties and ability to dissolve organic matter and release bound metals. Perchloric acid (</w:t>
      </w:r>
      <w:proofErr w:type="spellStart"/>
      <w:r w:rsidRPr="000420D9">
        <w:rPr>
          <w:rFonts w:ascii="Times New Roman" w:eastAsia="Times New Roman" w:hAnsi="Times New Roman" w:cs="Times New Roman"/>
          <w:sz w:val="24"/>
          <w:szCs w:val="24"/>
          <w:lang w:eastAsia="en-GB"/>
        </w:rPr>
        <w:t>HClO</w:t>
      </w:r>
      <w:proofErr w:type="spellEnd"/>
      <w:r w:rsidRPr="000420D9">
        <w:rPr>
          <w:rFonts w:ascii="Times New Roman" w:eastAsia="Times New Roman" w:hAnsi="Times New Roman" w:cs="Times New Roman"/>
          <w:sz w:val="24"/>
          <w:szCs w:val="24"/>
          <w:lang w:eastAsia="en-GB"/>
        </w:rPr>
        <w:t xml:space="preserve">₄, 70% purity) was included in the digestion mixture to enhance breakdown of resistant organic compounds and ensure complete sample dissolution. Hydrogen peroxide (H₂O₂, 30% purity) acted as an additional oxidizing agent, facilitating digestion of organic materials and helping to achieve clear, </w:t>
      </w:r>
      <w:proofErr w:type="spellStart"/>
      <w:r w:rsidRPr="000420D9">
        <w:rPr>
          <w:rFonts w:ascii="Times New Roman" w:eastAsia="Times New Roman" w:hAnsi="Times New Roman" w:cs="Times New Roman"/>
          <w:sz w:val="24"/>
          <w:szCs w:val="24"/>
          <w:lang w:eastAsia="en-GB"/>
        </w:rPr>
        <w:t>colorless</w:t>
      </w:r>
      <w:proofErr w:type="spellEnd"/>
      <w:r w:rsidRPr="000420D9">
        <w:rPr>
          <w:rFonts w:ascii="Times New Roman" w:eastAsia="Times New Roman" w:hAnsi="Times New Roman" w:cs="Times New Roman"/>
          <w:sz w:val="24"/>
          <w:szCs w:val="24"/>
          <w:lang w:eastAsia="en-GB"/>
        </w:rPr>
        <w:t xml:space="preserve"> digestates.</w:t>
      </w:r>
    </w:p>
    <w:p w14:paraId="680FA85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Distilled water, with conductivity less than 2 </w:t>
      </w:r>
      <w:proofErr w:type="spellStart"/>
      <w:r w:rsidRPr="000420D9">
        <w:rPr>
          <w:rFonts w:ascii="Times New Roman" w:eastAsia="Times New Roman" w:hAnsi="Times New Roman" w:cs="Times New Roman"/>
          <w:sz w:val="24"/>
          <w:szCs w:val="24"/>
          <w:lang w:eastAsia="en-GB"/>
        </w:rPr>
        <w:t>μS</w:t>
      </w:r>
      <w:proofErr w:type="spellEnd"/>
      <w:r w:rsidRPr="000420D9">
        <w:rPr>
          <w:rFonts w:ascii="Times New Roman" w:eastAsia="Times New Roman" w:hAnsi="Times New Roman" w:cs="Times New Roman"/>
          <w:sz w:val="24"/>
          <w:szCs w:val="24"/>
          <w:lang w:eastAsia="en-GB"/>
        </w:rPr>
        <w:t>/cm, was used throughout the study for preparation of solutions, dilutions, rinsing, and as a blank in analytical measurements. The use of high-purity water was essential to avoid introducing metallic contaminants from the water itself.</w:t>
      </w:r>
    </w:p>
    <w:p w14:paraId="3BBAF82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Standard stock solutions of the target heavy metals were obtained from reputable suppliers and were certified reference materials with known concentrations and traceability to international standards. Individual standard solutions were available for lead (Pb), cadmium (Cd), zinc (Zn), copper (Cu), and manganese (Mn), typically at concentrations of 1000 mg/L (1000 ppm). From these stock solutions, working standard solutions at appropriate concentration ranges were prepared by serial dilution using volumetric glassware and acidified distilled water (typically 2% HNO₃) to prevent metal adsorption onto container walls and precipitation.</w:t>
      </w:r>
    </w:p>
    <w:p w14:paraId="0ECE365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Dilute nitric acid solutions at various concentrations (2%, 5%, and 10%) were prepared from the concentrated acid for different purposes including cleaning glassware, acidifying solutions, and preparing blanks and standards. All reagent bottles were clearly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with content information, concentration, preparation date, and expiry date where applicable. Reagents were stored according to </w:t>
      </w:r>
      <w:r w:rsidRPr="000420D9">
        <w:rPr>
          <w:rFonts w:ascii="Times New Roman" w:eastAsia="Times New Roman" w:hAnsi="Times New Roman" w:cs="Times New Roman"/>
          <w:sz w:val="24"/>
          <w:szCs w:val="24"/>
          <w:lang w:eastAsia="en-GB"/>
        </w:rPr>
        <w:lastRenderedPageBreak/>
        <w:t>manufacturer recommendations, with acids kept in designated acid storage cabinets in well-ventilated areas.</w:t>
      </w:r>
    </w:p>
    <w:p w14:paraId="1806DF4D"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3.4 Sample Collection, Transportation, Storage, and Preparation</w:t>
      </w:r>
    </w:p>
    <w:p w14:paraId="5AB15B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Sample collection was conducted during the harvest season in March 2024 when maize had reached physiological maturity and grains had dried on the cob. The timing of collection was important to ensure that samples represented the actual product consumed by local populations. Three different maize varieties were targeted: SC Duma 43 hybrid, SC Sungura 301 hybrid, and Indigenous Kamba maize (locally known as </w:t>
      </w:r>
      <w:proofErr w:type="spellStart"/>
      <w:r w:rsidRPr="000420D9">
        <w:rPr>
          <w:rFonts w:ascii="Times New Roman" w:eastAsia="Times New Roman" w:hAnsi="Times New Roman" w:cs="Times New Roman"/>
          <w:sz w:val="24"/>
          <w:szCs w:val="24"/>
          <w:lang w:eastAsia="en-GB"/>
        </w:rPr>
        <w:t>Kinyaanya</w:t>
      </w:r>
      <w:proofErr w:type="spellEnd"/>
      <w:r w:rsidRPr="000420D9">
        <w:rPr>
          <w:rFonts w:ascii="Times New Roman" w:eastAsia="Times New Roman" w:hAnsi="Times New Roman" w:cs="Times New Roman"/>
          <w:sz w:val="24"/>
          <w:szCs w:val="24"/>
          <w:lang w:eastAsia="en-GB"/>
        </w:rPr>
        <w:t xml:space="preserve">). These varieties represent the range of maize types commonly grown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with the two hybrids being improved varieties promoted through agricultural extension services, while the indigenous variety represents traditional germplasm maintained by farmers over generations.</w:t>
      </w:r>
    </w:p>
    <w:p w14:paraId="61213DF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Samples were collected from three separate farms located in </w:t>
      </w:r>
      <w:proofErr w:type="spellStart"/>
      <w:r w:rsidRPr="000420D9">
        <w:rPr>
          <w:rFonts w:ascii="Times New Roman" w:eastAsia="Times New Roman" w:hAnsi="Times New Roman" w:cs="Times New Roman"/>
          <w:sz w:val="24"/>
          <w:szCs w:val="24"/>
          <w:lang w:eastAsia="en-GB"/>
        </w:rPr>
        <w:t>Mbaani</w:t>
      </w:r>
      <w:proofErr w:type="spellEnd"/>
      <w:r w:rsidRPr="000420D9">
        <w:rPr>
          <w:rFonts w:ascii="Times New Roman" w:eastAsia="Times New Roman" w:hAnsi="Times New Roman" w:cs="Times New Roman"/>
          <w:sz w:val="24"/>
          <w:szCs w:val="24"/>
          <w:lang w:eastAsia="en-GB"/>
        </w:rPr>
        <w:t xml:space="preserve">, </w:t>
      </w:r>
      <w:proofErr w:type="spellStart"/>
      <w:r w:rsidRPr="000420D9">
        <w:rPr>
          <w:rFonts w:ascii="Times New Roman" w:eastAsia="Times New Roman" w:hAnsi="Times New Roman" w:cs="Times New Roman"/>
          <w:sz w:val="24"/>
          <w:szCs w:val="24"/>
          <w:lang w:eastAsia="en-GB"/>
        </w:rPr>
        <w:t>Kathama</w:t>
      </w:r>
      <w:proofErr w:type="spellEnd"/>
      <w:r w:rsidRPr="000420D9">
        <w:rPr>
          <w:rFonts w:ascii="Times New Roman" w:eastAsia="Times New Roman" w:hAnsi="Times New Roman" w:cs="Times New Roman"/>
          <w:sz w:val="24"/>
          <w:szCs w:val="24"/>
          <w:lang w:eastAsia="en-GB"/>
        </w:rPr>
        <w:t xml:space="preserve">, and </w:t>
      </w:r>
      <w:proofErr w:type="spellStart"/>
      <w:r w:rsidRPr="000420D9">
        <w:rPr>
          <w:rFonts w:ascii="Times New Roman" w:eastAsia="Times New Roman" w:hAnsi="Times New Roman" w:cs="Times New Roman"/>
          <w:sz w:val="24"/>
          <w:szCs w:val="24"/>
          <w:lang w:eastAsia="en-GB"/>
        </w:rPr>
        <w:t>Muthei</w:t>
      </w:r>
      <w:proofErr w:type="spellEnd"/>
      <w:r w:rsidRPr="000420D9">
        <w:rPr>
          <w:rFonts w:ascii="Times New Roman" w:eastAsia="Times New Roman" w:hAnsi="Times New Roman" w:cs="Times New Roman"/>
          <w:sz w:val="24"/>
          <w:szCs w:val="24"/>
          <w:lang w:eastAsia="en-GB"/>
        </w:rPr>
        <w:t xml:space="preserve"> wards respectively. At each farm, both fresh maize (recently harvested with higher moisture content) and dry maize (stored after field drying) were obtained to provide a comprehensive assessment. A random sampling approach was employed to ensure representative samples and minimize selection bias. From each farm, maize was collected from different parts of the field rather than from a single location, and multiple cobs were combined to create a composite sample representing that farm.</w:t>
      </w:r>
    </w:p>
    <w:p w14:paraId="5353DC0A" w14:textId="77777777" w:rsidR="00801435" w:rsidRDefault="00801435"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bCs/>
          <w:noProof/>
          <w:color w:val="000000" w:themeColor="text1"/>
          <w:lang w:eastAsia="en-GB"/>
        </w:rPr>
        <w:drawing>
          <wp:inline distT="0" distB="0" distL="0" distR="0" wp14:anchorId="287072AB" wp14:editId="7CEBE59B">
            <wp:extent cx="2550990" cy="1590675"/>
            <wp:effectExtent l="0" t="0" r="1905" b="0"/>
            <wp:docPr id="132776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6086"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6943" cy="1600623"/>
                    </a:xfrm>
                    <a:prstGeom prst="rect">
                      <a:avLst/>
                    </a:prstGeom>
                  </pic:spPr>
                </pic:pic>
              </a:graphicData>
            </a:graphic>
          </wp:inline>
        </w:drawing>
      </w:r>
      <w:r w:rsidRPr="000420D9">
        <w:rPr>
          <w:rFonts w:ascii="Times New Roman" w:eastAsia="Times New Roman" w:hAnsi="Times New Roman" w:cs="Times New Roman"/>
          <w:b/>
          <w:bCs/>
          <w:sz w:val="24"/>
          <w:szCs w:val="24"/>
          <w:lang w:eastAsia="en-GB"/>
        </w:rPr>
        <w:t xml:space="preserve"> </w:t>
      </w:r>
    </w:p>
    <w:p w14:paraId="532D504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[Figure</w:t>
      </w:r>
      <w:r w:rsidR="00801435">
        <w:rPr>
          <w:rFonts w:ascii="Times New Roman" w:eastAsia="Times New Roman" w:hAnsi="Times New Roman" w:cs="Times New Roman"/>
          <w:b/>
          <w:bCs/>
          <w:sz w:val="24"/>
          <w:szCs w:val="24"/>
          <w:lang w:eastAsia="en-GB"/>
        </w:rPr>
        <w:t xml:space="preserve"> 3.2 </w:t>
      </w:r>
      <w:r w:rsidRPr="00CD25A2">
        <w:rPr>
          <w:rFonts w:ascii="Times New Roman" w:eastAsia="Times New Roman" w:hAnsi="Times New Roman" w:cs="Times New Roman"/>
          <w:bCs/>
          <w:sz w:val="24"/>
          <w:szCs w:val="24"/>
          <w:lang w:eastAsia="en-GB"/>
        </w:rPr>
        <w:t xml:space="preserve">Maize seeds samples collection from </w:t>
      </w:r>
      <w:proofErr w:type="spellStart"/>
      <w:r w:rsidRPr="00CD25A2">
        <w:rPr>
          <w:rFonts w:ascii="Times New Roman" w:eastAsia="Times New Roman" w:hAnsi="Times New Roman" w:cs="Times New Roman"/>
          <w:bCs/>
          <w:sz w:val="24"/>
          <w:szCs w:val="24"/>
          <w:lang w:eastAsia="en-GB"/>
        </w:rPr>
        <w:t>Mbaani</w:t>
      </w:r>
      <w:proofErr w:type="spellEnd"/>
      <w:r w:rsidRPr="00CD25A2">
        <w:rPr>
          <w:rFonts w:ascii="Times New Roman" w:eastAsia="Times New Roman" w:hAnsi="Times New Roman" w:cs="Times New Roman"/>
          <w:bCs/>
          <w:sz w:val="24"/>
          <w:szCs w:val="24"/>
          <w:lang w:eastAsia="en-GB"/>
        </w:rPr>
        <w:t xml:space="preserve"> sampling site]</w:t>
      </w:r>
    </w:p>
    <w:p w14:paraId="0C6CF20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Each sample, consisting of approximately one kilogram of maize kernels, was carefully packed in clean khaki paper bags. Khaki bags were chosen because they are breathable, preventing moisture accumulation that could promote </w:t>
      </w:r>
      <w:proofErr w:type="spellStart"/>
      <w:r w:rsidRPr="000420D9">
        <w:rPr>
          <w:rFonts w:ascii="Times New Roman" w:eastAsia="Times New Roman" w:hAnsi="Times New Roman" w:cs="Times New Roman"/>
          <w:sz w:val="24"/>
          <w:szCs w:val="24"/>
          <w:lang w:eastAsia="en-GB"/>
        </w:rPr>
        <w:t>mold</w:t>
      </w:r>
      <w:proofErr w:type="spellEnd"/>
      <w:r w:rsidRPr="000420D9">
        <w:rPr>
          <w:rFonts w:ascii="Times New Roman" w:eastAsia="Times New Roman" w:hAnsi="Times New Roman" w:cs="Times New Roman"/>
          <w:sz w:val="24"/>
          <w:szCs w:val="24"/>
          <w:lang w:eastAsia="en-GB"/>
        </w:rPr>
        <w:t xml:space="preserve"> growth, while also being strong enough to prevent spillage during transportation. Each bag was clearly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with detailed information including sample identification code, variety name, collection site, collection date, and whether the sample was fresh or dry. The </w:t>
      </w:r>
      <w:proofErr w:type="spellStart"/>
      <w:r w:rsidRPr="000420D9">
        <w:rPr>
          <w:rFonts w:ascii="Times New Roman" w:eastAsia="Times New Roman" w:hAnsi="Times New Roman" w:cs="Times New Roman"/>
          <w:sz w:val="24"/>
          <w:szCs w:val="24"/>
          <w:lang w:eastAsia="en-GB"/>
        </w:rPr>
        <w:t>labeling</w:t>
      </w:r>
      <w:proofErr w:type="spellEnd"/>
      <w:r w:rsidRPr="000420D9">
        <w:rPr>
          <w:rFonts w:ascii="Times New Roman" w:eastAsia="Times New Roman" w:hAnsi="Times New Roman" w:cs="Times New Roman"/>
          <w:sz w:val="24"/>
          <w:szCs w:val="24"/>
          <w:lang w:eastAsia="en-GB"/>
        </w:rPr>
        <w:t xml:space="preserve"> system ensured proper tracking throughout the analytical process.</w:t>
      </w:r>
    </w:p>
    <w:p w14:paraId="4A8CFE2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samples were placed in a clean polyurethane cool box for transportation to the laboratory. While refrigeration was not strictly necessary for dry grain samples, the cool box provided protection from temperature extremes, physical damage, and contamination during the approximately two-hour journey from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to the University of Nairobi's Department of Chemistry. Upon arrival at the laboratory, samples were transferred to the Inorganic Chemistry Laboratory where they were stored in airtight containers at room temperature in a dry, well-ventilated area until analysis.</w:t>
      </w:r>
    </w:p>
    <w:p w14:paraId="1DFE3C2A" w14:textId="77777777" w:rsidR="000420D9" w:rsidRPr="000420D9" w:rsidRDefault="00801435"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cs="Times New Roman"/>
          <w:noProof/>
          <w:lang w:eastAsia="en-GB"/>
        </w:rPr>
        <w:drawing>
          <wp:inline distT="0" distB="0" distL="0" distR="0" wp14:anchorId="00D46333" wp14:editId="6EEE409D">
            <wp:extent cx="2693182" cy="2038350"/>
            <wp:effectExtent l="0" t="0" r="0" b="0"/>
            <wp:docPr id="810178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78012"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437" cy="2047625"/>
                    </a:xfrm>
                    <a:prstGeom prst="rect">
                      <a:avLst/>
                    </a:prstGeom>
                  </pic:spPr>
                </pic:pic>
              </a:graphicData>
            </a:graphic>
          </wp:inline>
        </w:drawing>
      </w:r>
      <w:r w:rsidRPr="000420D9">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b/>
          <w:bCs/>
          <w:sz w:val="24"/>
          <w:szCs w:val="24"/>
          <w:lang w:eastAsia="en-GB"/>
        </w:rPr>
        <w:br/>
      </w:r>
      <w:r>
        <w:rPr>
          <w:rFonts w:ascii="Times New Roman" w:eastAsia="Times New Roman" w:hAnsi="Times New Roman" w:cs="Times New Roman"/>
          <w:b/>
          <w:bCs/>
          <w:sz w:val="24"/>
          <w:szCs w:val="24"/>
          <w:lang w:eastAsia="en-GB"/>
        </w:rPr>
        <w:br/>
        <w:t>[Figure 3</w:t>
      </w:r>
      <w:r w:rsidR="000420D9" w:rsidRPr="000420D9">
        <w:rPr>
          <w:rFonts w:ascii="Times New Roman" w:eastAsia="Times New Roman" w:hAnsi="Times New Roman" w:cs="Times New Roman"/>
          <w:b/>
          <w:bCs/>
          <w:sz w:val="24"/>
          <w:szCs w:val="24"/>
          <w:lang w:eastAsia="en-GB"/>
        </w:rPr>
        <w:t xml:space="preserve"> </w:t>
      </w:r>
      <w:r w:rsidR="000420D9" w:rsidRPr="00CD25A2">
        <w:rPr>
          <w:rFonts w:ascii="Times New Roman" w:eastAsia="Times New Roman" w:hAnsi="Times New Roman" w:cs="Times New Roman"/>
          <w:bCs/>
          <w:sz w:val="24"/>
          <w:szCs w:val="24"/>
          <w:lang w:eastAsia="en-GB"/>
        </w:rPr>
        <w:t xml:space="preserve">Maize seeds samples collected for analysis from </w:t>
      </w:r>
      <w:proofErr w:type="spellStart"/>
      <w:r w:rsidR="000420D9" w:rsidRPr="00CD25A2">
        <w:rPr>
          <w:rFonts w:ascii="Times New Roman" w:eastAsia="Times New Roman" w:hAnsi="Times New Roman" w:cs="Times New Roman"/>
          <w:bCs/>
          <w:sz w:val="24"/>
          <w:szCs w:val="24"/>
          <w:lang w:eastAsia="en-GB"/>
        </w:rPr>
        <w:t>Mbaani</w:t>
      </w:r>
      <w:proofErr w:type="spellEnd"/>
      <w:r w:rsidR="000420D9" w:rsidRPr="00CD25A2">
        <w:rPr>
          <w:rFonts w:ascii="Times New Roman" w:eastAsia="Times New Roman" w:hAnsi="Times New Roman" w:cs="Times New Roman"/>
          <w:bCs/>
          <w:sz w:val="24"/>
          <w:szCs w:val="24"/>
          <w:lang w:eastAsia="en-GB"/>
        </w:rPr>
        <w:t xml:space="preserve"> Site</w:t>
      </w:r>
      <w:r w:rsidR="000420D9" w:rsidRPr="000420D9">
        <w:rPr>
          <w:rFonts w:ascii="Times New Roman" w:eastAsia="Times New Roman" w:hAnsi="Times New Roman" w:cs="Times New Roman"/>
          <w:b/>
          <w:bCs/>
          <w:sz w:val="24"/>
          <w:szCs w:val="24"/>
          <w:lang w:eastAsia="en-GB"/>
        </w:rPr>
        <w:t>]</w:t>
      </w:r>
    </w:p>
    <w:p w14:paraId="3D56DA9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 xml:space="preserve">Sample preparation began with drying fresh samples to remove excess moisture, which could interfere with accurate weighing and subsequent digestion. Samples were spread in thin layers on clean </w:t>
      </w:r>
      <w:proofErr w:type="spellStart"/>
      <w:r w:rsidRPr="000420D9">
        <w:rPr>
          <w:rFonts w:ascii="Times New Roman" w:eastAsia="Times New Roman" w:hAnsi="Times New Roman" w:cs="Times New Roman"/>
          <w:sz w:val="24"/>
          <w:szCs w:val="24"/>
          <w:lang w:eastAsia="en-GB"/>
        </w:rPr>
        <w:t>aluminum</w:t>
      </w:r>
      <w:proofErr w:type="spellEnd"/>
      <w:r w:rsidRPr="000420D9">
        <w:rPr>
          <w:rFonts w:ascii="Times New Roman" w:eastAsia="Times New Roman" w:hAnsi="Times New Roman" w:cs="Times New Roman"/>
          <w:sz w:val="24"/>
          <w:szCs w:val="24"/>
          <w:lang w:eastAsia="en-GB"/>
        </w:rPr>
        <w:t xml:space="preserve"> foil and placed in a drying oven set at 60°C for 24-48 hours, with the exact duration depending on initial moisture content. This temperature was selected to efficiently remove water without causing thermal degradation of the grain matrix or potential volatilization of certain metal species. Samples were considered sufficiently dry when consecutive </w:t>
      </w:r>
      <w:proofErr w:type="spellStart"/>
      <w:r w:rsidRPr="000420D9">
        <w:rPr>
          <w:rFonts w:ascii="Times New Roman" w:eastAsia="Times New Roman" w:hAnsi="Times New Roman" w:cs="Times New Roman"/>
          <w:sz w:val="24"/>
          <w:szCs w:val="24"/>
          <w:lang w:eastAsia="en-GB"/>
        </w:rPr>
        <w:t>weighings</w:t>
      </w:r>
      <w:proofErr w:type="spellEnd"/>
      <w:r w:rsidRPr="000420D9">
        <w:rPr>
          <w:rFonts w:ascii="Times New Roman" w:eastAsia="Times New Roman" w:hAnsi="Times New Roman" w:cs="Times New Roman"/>
          <w:sz w:val="24"/>
          <w:szCs w:val="24"/>
          <w:lang w:eastAsia="en-GB"/>
        </w:rPr>
        <w:t xml:space="preserve"> showed less than 0.1% weight change, indicating stable moisture content.</w:t>
      </w:r>
    </w:p>
    <w:p w14:paraId="480DC48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Once dried, samples were ground to fine powder using a clean porcelain mortar and pestle. The grinding process was conducted systematically, with thorough cleaning of the mortar and pestle between different samples using distilled water and ethanol, followed by air drying. This prevented cross-contamination between samples. The ground material was passed through a fine mesh sieve to ensure particle size uniformity, with the aim of achieving particles smaller than 0.5 mm in diameter. Fine particle size is crucial for efficient acid digestion as it increases the surface area available for acid attack and ensures homogeneity of the sample.</w:t>
      </w:r>
    </w:p>
    <w:p w14:paraId="533A374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ground and sieved samples were stored in clean,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plastic containers with tight-fitting lids. The containers were kept in a desiccator when not in use to prevent moisture absorption from the atmosphere, which could alter sample weight and introduce potential contamination. Prior to digestion, samples were allowed to equilibrate to room temperature while still in sealed containers.</w:t>
      </w:r>
    </w:p>
    <w:p w14:paraId="7B687C41"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3.5 Sample Digestion Protocol</w:t>
      </w:r>
    </w:p>
    <w:p w14:paraId="7273D06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digestion of maize samples constitutes a critical step in heavy metal analysis, as it must completely break down the organic </w:t>
      </w:r>
      <w:r w:rsidRPr="000420D9">
        <w:rPr>
          <w:rFonts w:ascii="Times New Roman" w:eastAsia="Times New Roman" w:hAnsi="Times New Roman" w:cs="Times New Roman"/>
          <w:sz w:val="24"/>
          <w:szCs w:val="24"/>
          <w:lang w:eastAsia="en-GB"/>
        </w:rPr>
        <w:t>matrix and release all metals into solution without losses due to volatilization or incomplete dissolution. For this study, a novel optimized digestion method was developed through preliminary trials, resulting in an efficient protocol that minimized reagent consumption, reduced digestion time, and simplified the overall procedure while maintaining excellent recovery rates.</w:t>
      </w:r>
    </w:p>
    <w:p w14:paraId="600F1D4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optimized digestion mixture consisted of nitric acid, perchloric acid, and hydrogen peroxide in a volume ratio of 2.5:0.75:0.5. This specific combination was selected based on preliminary experiments that tested various acid ratios and evaluated their effectiveness in achieving complete digestion while producing clear, </w:t>
      </w:r>
      <w:proofErr w:type="spellStart"/>
      <w:r w:rsidRPr="000420D9">
        <w:rPr>
          <w:rFonts w:ascii="Times New Roman" w:eastAsia="Times New Roman" w:hAnsi="Times New Roman" w:cs="Times New Roman"/>
          <w:sz w:val="24"/>
          <w:szCs w:val="24"/>
          <w:lang w:eastAsia="en-GB"/>
        </w:rPr>
        <w:t>colorless</w:t>
      </w:r>
      <w:proofErr w:type="spellEnd"/>
      <w:r w:rsidRPr="000420D9">
        <w:rPr>
          <w:rFonts w:ascii="Times New Roman" w:eastAsia="Times New Roman" w:hAnsi="Times New Roman" w:cs="Times New Roman"/>
          <w:sz w:val="24"/>
          <w:szCs w:val="24"/>
          <w:lang w:eastAsia="en-GB"/>
        </w:rPr>
        <w:t xml:space="preserve"> digestates suitable for AAS analysis. The synergistic action of these three oxidizing agents ensured thorough breakdown of complex organic compounds present in maize kernels, including proteins, lipids, and carbohydrates.</w:t>
      </w:r>
    </w:p>
    <w:p w14:paraId="3EE3954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For each sample, 2.0 grams of the ground, dried maize powder was accurately weighed using the analytical balance and transferred into a clean 100 mL conical flask. The samples were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in triplicate, meaning three separate 2.0-gram portions were weighed from each sample to provide statistical reliability and allow calculation of mean values and standard deviations. The conical flask shape was preferred for digestion as it allows for refluxing of acid </w:t>
      </w:r>
      <w:proofErr w:type="spellStart"/>
      <w:r w:rsidRPr="000420D9">
        <w:rPr>
          <w:rFonts w:ascii="Times New Roman" w:eastAsia="Times New Roman" w:hAnsi="Times New Roman" w:cs="Times New Roman"/>
          <w:sz w:val="24"/>
          <w:szCs w:val="24"/>
          <w:lang w:eastAsia="en-GB"/>
        </w:rPr>
        <w:t>vapors</w:t>
      </w:r>
      <w:proofErr w:type="spellEnd"/>
      <w:r w:rsidRPr="000420D9">
        <w:rPr>
          <w:rFonts w:ascii="Times New Roman" w:eastAsia="Times New Roman" w:hAnsi="Times New Roman" w:cs="Times New Roman"/>
          <w:sz w:val="24"/>
          <w:szCs w:val="24"/>
          <w:lang w:eastAsia="en-GB"/>
        </w:rPr>
        <w:t xml:space="preserve"> and minimizes sample loss during heating.</w:t>
      </w:r>
    </w:p>
    <w:p w14:paraId="3BE3504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To each flask containing 2.0 grams of sample, the acid mixture was added. Specifically, 2.5 mL of concentrated nitric acid was added first, followed by 0.75 mL of perchloric acid, and finally 0.5 mL of hydrogen peroxide. The acids were dispensed using calibrated pipettes or micropipettes for accuracy. After addition of the acid mixture, the flasks were gently swirled to ensure the sample was </w:t>
      </w:r>
      <w:r w:rsidRPr="000420D9">
        <w:rPr>
          <w:rFonts w:ascii="Times New Roman" w:eastAsia="Times New Roman" w:hAnsi="Times New Roman" w:cs="Times New Roman"/>
          <w:sz w:val="24"/>
          <w:szCs w:val="24"/>
          <w:lang w:eastAsia="en-GB"/>
        </w:rPr>
        <w:lastRenderedPageBreak/>
        <w:t>thoroughly wetted and mixed with the acids. The flasks were then allowed to stand at room temperature for approximately 30 minutes to permit initial pre-digestion reactions to occur, which helps prevent violent reactions when heating begins.</w:t>
      </w:r>
    </w:p>
    <w:p w14:paraId="1A8BEBE5" w14:textId="77777777" w:rsidR="00801435" w:rsidRDefault="00801435"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p>
    <w:p w14:paraId="04E56ED6" w14:textId="77777777" w:rsidR="00801435" w:rsidRDefault="00801435"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531C3DE" wp14:editId="2133F231">
            <wp:extent cx="2525346" cy="1790700"/>
            <wp:effectExtent l="0" t="0" r="889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6322" cy="1805574"/>
                    </a:xfrm>
                    <a:prstGeom prst="rect">
                      <a:avLst/>
                    </a:prstGeom>
                  </pic:spPr>
                </pic:pic>
              </a:graphicData>
            </a:graphic>
          </wp:inline>
        </w:drawing>
      </w:r>
    </w:p>
    <w:p w14:paraId="70D9B58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w:t>
      </w:r>
      <w:r w:rsidR="00801435">
        <w:rPr>
          <w:rFonts w:ascii="Times New Roman" w:eastAsia="Times New Roman" w:hAnsi="Times New Roman" w:cs="Times New Roman"/>
          <w:b/>
          <w:bCs/>
          <w:sz w:val="24"/>
          <w:szCs w:val="24"/>
          <w:lang w:eastAsia="en-GB"/>
        </w:rPr>
        <w:t>gure 3.4</w:t>
      </w:r>
      <w:r w:rsidRPr="000420D9">
        <w:rPr>
          <w:rFonts w:ascii="Times New Roman" w:eastAsia="Times New Roman" w:hAnsi="Times New Roman" w:cs="Times New Roman"/>
          <w:b/>
          <w:bCs/>
          <w:sz w:val="24"/>
          <w:szCs w:val="24"/>
          <w:lang w:eastAsia="en-GB"/>
        </w:rPr>
        <w:t xml:space="preserve"> </w:t>
      </w:r>
      <w:r w:rsidRPr="00CD25A2">
        <w:rPr>
          <w:rFonts w:ascii="Times New Roman" w:eastAsia="Times New Roman" w:hAnsi="Times New Roman" w:cs="Times New Roman"/>
          <w:bCs/>
          <w:sz w:val="24"/>
          <w:szCs w:val="24"/>
          <w:lang w:eastAsia="en-GB"/>
        </w:rPr>
        <w:t>Maize seeds samples undergoing digestion using a hot plate]</w:t>
      </w:r>
    </w:p>
    <w:p w14:paraId="6B15AED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Following the pre-digestion period, the flasks were placed on a hot plate in a fume hood. The fume hood was essential for safety, as the digestion process releases nitrogen oxides and other potentially harmful fumes. The hot plate temperature was set to 105°C, a temperature selected through optimization studies as providing efficient digestion without excessive loss of acids through evaporation. The samples were heated at this temperature for 2 hours and 30 minutes, with occasional gentle swirling to ensure uniform heating and mixing.</w:t>
      </w:r>
    </w:p>
    <w:p w14:paraId="39E1744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During the digestion process, the initially thick, yellow-brown mixture gradually became clearer as organic matter was oxidized and dissolved. The endpoint of successful digestion was indicated by the formation of a clear, </w:t>
      </w:r>
      <w:proofErr w:type="spellStart"/>
      <w:r w:rsidRPr="000420D9">
        <w:rPr>
          <w:rFonts w:ascii="Times New Roman" w:eastAsia="Times New Roman" w:hAnsi="Times New Roman" w:cs="Times New Roman"/>
          <w:sz w:val="24"/>
          <w:szCs w:val="24"/>
          <w:lang w:eastAsia="en-GB"/>
        </w:rPr>
        <w:t>colorless</w:t>
      </w:r>
      <w:proofErr w:type="spellEnd"/>
      <w:r w:rsidRPr="000420D9">
        <w:rPr>
          <w:rFonts w:ascii="Times New Roman" w:eastAsia="Times New Roman" w:hAnsi="Times New Roman" w:cs="Times New Roman"/>
          <w:sz w:val="24"/>
          <w:szCs w:val="24"/>
          <w:lang w:eastAsia="en-GB"/>
        </w:rPr>
        <w:t xml:space="preserve"> or very pale yellow solution with no visible particulate matter. If any sample remained turbid or showed brownish coloration after the prescribed digestion time, heating was continued for an additional 30 minutes. However, with the optimized protocol, </w:t>
      </w:r>
      <w:r w:rsidRPr="000420D9">
        <w:rPr>
          <w:rFonts w:ascii="Times New Roman" w:eastAsia="Times New Roman" w:hAnsi="Times New Roman" w:cs="Times New Roman"/>
          <w:sz w:val="24"/>
          <w:szCs w:val="24"/>
          <w:lang w:eastAsia="en-GB"/>
        </w:rPr>
        <w:t>most samples achieved complete digestion within the standard 2.5-hour period.</w:t>
      </w:r>
    </w:p>
    <w:p w14:paraId="1937941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After digestion was complete, the flasks were removed from the hot plate and allowed to cool to room temperature. Cooling was important before filtration to prevent thermal stress on filter papers and to allow any fumes to dissipate. The cooled digestates were filtered through Whatman Grade 1 filter paper (or equivalent) placed in glass funnels. The filtration step removed any undissolved residue, though with complete digestion, minimal residue should remain.</w:t>
      </w:r>
    </w:p>
    <w:p w14:paraId="0439730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clear filtrate was collected in clean volumetric flasks and diluted to a final volume of 50 mL using distilled water. This dilution served multiple purposes including reducing acid concentration to levels compatible with the AAS instrument, bringing metal concentrations into the optimal measurement range of the instrument, and providing sufficient volume for replicate analysis if needed. The diluted digestates were transferred to clean plastic bottles and </w:t>
      </w:r>
      <w:proofErr w:type="spellStart"/>
      <w:r w:rsidRPr="000420D9">
        <w:rPr>
          <w:rFonts w:ascii="Times New Roman" w:eastAsia="Times New Roman" w:hAnsi="Times New Roman" w:cs="Times New Roman"/>
          <w:sz w:val="24"/>
          <w:szCs w:val="24"/>
          <w:lang w:eastAsia="en-GB"/>
        </w:rPr>
        <w:t>labeled</w:t>
      </w:r>
      <w:proofErr w:type="spellEnd"/>
      <w:r w:rsidRPr="000420D9">
        <w:rPr>
          <w:rFonts w:ascii="Times New Roman" w:eastAsia="Times New Roman" w:hAnsi="Times New Roman" w:cs="Times New Roman"/>
          <w:sz w:val="24"/>
          <w:szCs w:val="24"/>
          <w:lang w:eastAsia="en-GB"/>
        </w:rPr>
        <w:t xml:space="preserve"> with sample identification, digestion date, and any dilution factors applied.</w:t>
      </w:r>
    </w:p>
    <w:p w14:paraId="2AFE9542" w14:textId="77777777" w:rsidR="00801435" w:rsidRDefault="00801435"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60DF13C5" wp14:editId="40962E35">
            <wp:extent cx="2660641" cy="1971675"/>
            <wp:effectExtent l="0" t="0" r="6985" b="0"/>
            <wp:docPr id="11013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655"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9752" cy="1978427"/>
                    </a:xfrm>
                    <a:prstGeom prst="rect">
                      <a:avLst/>
                    </a:prstGeom>
                  </pic:spPr>
                </pic:pic>
              </a:graphicData>
            </a:graphic>
          </wp:inline>
        </w:drawing>
      </w:r>
    </w:p>
    <w:p w14:paraId="03B0C3E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w:t>
      </w:r>
      <w:r w:rsidR="00352203">
        <w:rPr>
          <w:rFonts w:ascii="Times New Roman" w:eastAsia="Times New Roman" w:hAnsi="Times New Roman" w:cs="Times New Roman"/>
          <w:b/>
          <w:bCs/>
          <w:sz w:val="24"/>
          <w:szCs w:val="24"/>
          <w:lang w:eastAsia="en-GB"/>
        </w:rPr>
        <w:t>gure 3.5</w:t>
      </w:r>
      <w:r w:rsidRPr="000420D9">
        <w:rPr>
          <w:rFonts w:ascii="Times New Roman" w:eastAsia="Times New Roman" w:hAnsi="Times New Roman" w:cs="Times New Roman"/>
          <w:b/>
          <w:bCs/>
          <w:sz w:val="24"/>
          <w:szCs w:val="24"/>
          <w:lang w:eastAsia="en-GB"/>
        </w:rPr>
        <w:t xml:space="preserve"> </w:t>
      </w:r>
      <w:r w:rsidRPr="00CD25A2">
        <w:rPr>
          <w:rFonts w:ascii="Times New Roman" w:eastAsia="Times New Roman" w:hAnsi="Times New Roman" w:cs="Times New Roman"/>
          <w:bCs/>
          <w:sz w:val="24"/>
          <w:szCs w:val="24"/>
          <w:lang w:eastAsia="en-GB"/>
        </w:rPr>
        <w:t>Prepared samples and the standard solutions for analysis]</w:t>
      </w:r>
    </w:p>
    <w:p w14:paraId="2F58D80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efficiency and reliability of the digestion protocol were validated through spike-recovery experiments. In these validation studies, known quantities of </w:t>
      </w:r>
      <w:r w:rsidRPr="000420D9">
        <w:rPr>
          <w:rFonts w:ascii="Times New Roman" w:eastAsia="Times New Roman" w:hAnsi="Times New Roman" w:cs="Times New Roman"/>
          <w:sz w:val="24"/>
          <w:szCs w:val="24"/>
          <w:lang w:eastAsia="en-GB"/>
        </w:rPr>
        <w:lastRenderedPageBreak/>
        <w:t xml:space="preserve">metal standards were added to portions of sample matrix, and the samples were digested and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following the standard protocol. The measured concentrations were compared to expected values based on the added spike amounts. Recovery percentages, calculated as (measured concentration / expected concentration) × 100, ranged between 94% and 110% for all five target metals. These recovery values fall within the acceptable range of 85-115% typically required for trace metal analysis, confirming that the digestion method effectively released metals from the sample matrix without significant losses or contamination.</w:t>
      </w:r>
    </w:p>
    <w:p w14:paraId="7E644D38"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3.6 Heavy Metal Analysis Using Atomic Absorption Spectroscopy</w:t>
      </w:r>
    </w:p>
    <w:p w14:paraId="68F364E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Following digestion and dilution, samples were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using Atomic Absorption Spectroscopy to quantify the concentrations of lead, cadmium, zinc, copper, and manganese. The analysis was performed on a flame atomic absorption spectrophotometer equipped with appropriate hollow cathode lamps for each element and using an air-acetylene flame for atomization.</w:t>
      </w:r>
    </w:p>
    <w:p w14:paraId="5C7248EE"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sz w:val="24"/>
          <w:szCs w:val="24"/>
          <w:lang w:eastAsia="en-GB"/>
        </w:rPr>
        <w:drawing>
          <wp:inline distT="0" distB="0" distL="0" distR="0" wp14:anchorId="34E3E61F" wp14:editId="36B7B48C">
            <wp:extent cx="2545311" cy="1657350"/>
            <wp:effectExtent l="0" t="0" r="7620" b="0"/>
            <wp:docPr id="800583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83591"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5439" cy="1676967"/>
                    </a:xfrm>
                    <a:prstGeom prst="rect">
                      <a:avLst/>
                    </a:prstGeom>
                  </pic:spPr>
                </pic:pic>
              </a:graphicData>
            </a:graphic>
          </wp:inline>
        </w:drawing>
      </w:r>
    </w:p>
    <w:p w14:paraId="2764C4F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w:t>
      </w:r>
      <w:r w:rsidR="00352203">
        <w:rPr>
          <w:rFonts w:ascii="Times New Roman" w:eastAsia="Times New Roman" w:hAnsi="Times New Roman" w:cs="Times New Roman"/>
          <w:b/>
          <w:bCs/>
          <w:sz w:val="24"/>
          <w:szCs w:val="24"/>
          <w:lang w:eastAsia="en-GB"/>
        </w:rPr>
        <w:t>gure 3.6</w:t>
      </w:r>
      <w:r w:rsidRPr="000420D9">
        <w:rPr>
          <w:rFonts w:ascii="Times New Roman" w:eastAsia="Times New Roman" w:hAnsi="Times New Roman" w:cs="Times New Roman"/>
          <w:b/>
          <w:bCs/>
          <w:sz w:val="24"/>
          <w:szCs w:val="24"/>
          <w:lang w:eastAsia="en-GB"/>
        </w:rPr>
        <w:t xml:space="preserve"> Analysis of standard solutions and the digested samples using AAS]</w:t>
      </w:r>
    </w:p>
    <w:p w14:paraId="5FE48D1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Prior to sample analysis, the AAS instrument was calibrated using standard solutions prepared from certified reference materials. For each element, a series of </w:t>
      </w:r>
      <w:r w:rsidRPr="000420D9">
        <w:rPr>
          <w:rFonts w:ascii="Times New Roman" w:eastAsia="Times New Roman" w:hAnsi="Times New Roman" w:cs="Times New Roman"/>
          <w:sz w:val="24"/>
          <w:szCs w:val="24"/>
          <w:lang w:eastAsia="en-GB"/>
        </w:rPr>
        <w:t>standard solutions at different concentrations were prepared by serial dilution of stock solutions. The concentration ranges were selected to bracket the expected levels in samples and to span the linear response range of the instrument. Specifically, zinc standards were prepared at concentrations of 0, 2, 4, 6, 8, and 10 parts per million (ppm). Cadmium standards covered 0, 5, 10, 15, and 20 ppm. Copper standards were at 0, 2, 4, 6, 8, and 10 ppm. Manganese standards ranged from 0, 5, 10, 15, to 20 ppm. Lead standards were prepared at 0, 2, 4, 6, and 8 ppm.</w:t>
      </w:r>
    </w:p>
    <w:p w14:paraId="5E05C45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zero concentration standard served as the blank and was prepared using the same acid matrix as the samples (typically 5% nitric acid) to match matrix composition and minimize interference effects. All standards were prepared fresh on the day of analysis or stored at 4°C for no more than one week to prevent degradation or adsorption losses.</w:t>
      </w:r>
    </w:p>
    <w:p w14:paraId="1E4AD3D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Calibration curves were constructed by measuring the absorbance of each standard solution at the element-specific wavelength and plotting absorbance versus concentration. The wavelengths used for analysis were optimized for maximum sensitivity and were as follows: zinc at 213.9 nm, cadmium at 228.8 nm, copper at 324.8 nm, manganese at 279.5 nm, and lead at 217.0 nm. These wavelengths correspond to the most sensitive absorption lines for each element and are standard analytical wavelengths used in atomic absorption spectroscopy.</w:t>
      </w:r>
    </w:p>
    <w:p w14:paraId="37ACBCF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flame composition and flow rates were optimized for each element to achieve maximum absorbance signal and stability. For most elements, an air-acetylene flame was used with fuel-lean (oxidizing) conditions. The burner height was adjusted to position the optical beam through the optimal part of the flame where the </w:t>
      </w:r>
      <w:r w:rsidRPr="000420D9">
        <w:rPr>
          <w:rFonts w:ascii="Times New Roman" w:eastAsia="Times New Roman" w:hAnsi="Times New Roman" w:cs="Times New Roman"/>
          <w:sz w:val="24"/>
          <w:szCs w:val="24"/>
          <w:lang w:eastAsia="en-GB"/>
        </w:rPr>
        <w:lastRenderedPageBreak/>
        <w:t>population of free ground-state atoms is maximized.</w:t>
      </w:r>
    </w:p>
    <w:p w14:paraId="78DA008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For each calibration standard, the solution was aspirated into the flame through the nebulizer system, which converts the liquid into a fine aerosol. The instrument measured the absorbance and the data were recorded. Linear regression analysis was performed to determine the calibration equation relating absorbance to concentration. The quality of the calibration was assessed using the correlation coefficient (R²), with values above 0.99 considered acceptable for quantitative analysis.</w:t>
      </w:r>
    </w:p>
    <w:p w14:paraId="5E525E9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Following calibration, the digested sample solutions were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xml:space="preserve"> in the same manner. Each sample was run in triplicate by aspirating the solution three times and recording the average absorbance. Between samples, the nebulizer system was rinsed with dilute nitric acid and distilled water to prevent carryover contamination. Blank solutions (acid matrix without sample) were run periodically to monitor baseline stability and check for instrumental drift.</w:t>
      </w:r>
    </w:p>
    <w:p w14:paraId="19034E9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instrument's software automatically calculated sample concentrations based on the calibration curves. However, these concentrations represented the levels in the diluted digestate and required correction for dilution factors to determine the actual concentration in the original dry sample. The calculation accounted for the mass of sample digested, the final volume of digestate, and any additional dilutions performed.</w:t>
      </w:r>
    </w:p>
    <w:p w14:paraId="2EEA2C1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Quality control measures implemented during analysis included running certified reference materials when available, </w:t>
      </w:r>
      <w:proofErr w:type="spellStart"/>
      <w:r w:rsidRPr="000420D9">
        <w:rPr>
          <w:rFonts w:ascii="Times New Roman" w:eastAsia="Times New Roman" w:hAnsi="Times New Roman" w:cs="Times New Roman"/>
          <w:sz w:val="24"/>
          <w:szCs w:val="24"/>
          <w:lang w:eastAsia="en-GB"/>
        </w:rPr>
        <w:t>analyzing</w:t>
      </w:r>
      <w:proofErr w:type="spellEnd"/>
      <w:r w:rsidRPr="000420D9">
        <w:rPr>
          <w:rFonts w:ascii="Times New Roman" w:eastAsia="Times New Roman" w:hAnsi="Times New Roman" w:cs="Times New Roman"/>
          <w:sz w:val="24"/>
          <w:szCs w:val="24"/>
          <w:lang w:eastAsia="en-GB"/>
        </w:rPr>
        <w:t xml:space="preserve"> blank samples to check for contamination, running duplicate samples to assess precision, conducting spike recovery tests by adding known amounts of metals to selected samples and measuring recovery, and periodically re-calibrating the </w:t>
      </w:r>
      <w:r w:rsidRPr="000420D9">
        <w:rPr>
          <w:rFonts w:ascii="Times New Roman" w:eastAsia="Times New Roman" w:hAnsi="Times New Roman" w:cs="Times New Roman"/>
          <w:sz w:val="24"/>
          <w:szCs w:val="24"/>
          <w:lang w:eastAsia="en-GB"/>
        </w:rPr>
        <w:t>instrument during extended analysis sessions to compensate for any instrumental drift.</w:t>
      </w:r>
    </w:p>
    <w:p w14:paraId="68A9CA76" w14:textId="77777777" w:rsidR="00352203"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limit of detection (LOD) for each element was determined as three times the standard deviation of ten replicate measurements of the blank, divided by the slope of the calibration curve. The limits of quantification (LOQ) were calculated as ten times the standard deviation of the blank divided by the slope. These parameters provide information about the lowest concentrations that can be reliably detected and quantified by the analytical method.</w:t>
      </w:r>
    </w:p>
    <w:p w14:paraId="54C910D8" w14:textId="77777777" w:rsidR="00352203" w:rsidRDefault="00352203" w:rsidP="0038231D">
      <w:pPr>
        <w:pStyle w:val="Caption"/>
        <w:jc w:val="both"/>
        <w:rPr>
          <w:rFonts w:ascii="Times New Roman" w:hAnsi="Times New Roman" w:cs="Times New Roman"/>
          <w:i w:val="0"/>
          <w:iCs w:val="0"/>
          <w:color w:val="000000" w:themeColor="text1"/>
          <w:sz w:val="24"/>
          <w:szCs w:val="24"/>
        </w:rPr>
      </w:pPr>
      <w:bookmarkStart w:id="1" w:name="_Toc198897936"/>
      <w:r>
        <w:rPr>
          <w:rFonts w:ascii="Times New Roman" w:hAnsi="Times New Roman" w:cs="Times New Roman"/>
          <w:i w:val="0"/>
          <w:iCs w:val="0"/>
          <w:color w:val="000000" w:themeColor="text1"/>
          <w:sz w:val="24"/>
          <w:szCs w:val="24"/>
        </w:rPr>
        <w:t xml:space="preserve">Table 3.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Table_3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2</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The Optimum conditions for AAS operation</w:t>
      </w:r>
      <w:bookmarkEnd w:id="1"/>
    </w:p>
    <w:p w14:paraId="40981199"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tbl>
      <w:tblPr>
        <w:tblStyle w:val="TableGrid1"/>
        <w:tblW w:w="0" w:type="auto"/>
        <w:tblInd w:w="562" w:type="dxa"/>
        <w:tblLook w:val="04A0" w:firstRow="1" w:lastRow="0" w:firstColumn="1" w:lastColumn="0" w:noHBand="0" w:noVBand="1"/>
      </w:tblPr>
      <w:tblGrid>
        <w:gridCol w:w="1560"/>
        <w:gridCol w:w="1559"/>
      </w:tblGrid>
      <w:tr w:rsidR="00352203" w:rsidRPr="00352203" w14:paraId="05B6F64A" w14:textId="77777777" w:rsidTr="0002012A">
        <w:tc>
          <w:tcPr>
            <w:tcW w:w="1560" w:type="dxa"/>
          </w:tcPr>
          <w:p w14:paraId="24E80056" w14:textId="77777777" w:rsidR="00352203" w:rsidRPr="00352203" w:rsidRDefault="00352203" w:rsidP="0038231D">
            <w:pPr>
              <w:spacing w:line="360" w:lineRule="auto"/>
              <w:jc w:val="both"/>
              <w:rPr>
                <w:rFonts w:ascii="Times New Roman" w:hAnsi="Times New Roman" w:cs="Times New Roman"/>
                <w:b/>
                <w:color w:val="000000"/>
                <w:kern w:val="2"/>
                <w:sz w:val="24"/>
                <w:szCs w:val="24"/>
                <w:lang w:val="en-US"/>
                <w14:ligatures w14:val="standardContextual"/>
              </w:rPr>
            </w:pPr>
            <w:r w:rsidRPr="00352203">
              <w:rPr>
                <w:rFonts w:ascii="Times New Roman" w:hAnsi="Times New Roman" w:cs="Times New Roman"/>
                <w:b/>
                <w:color w:val="000000"/>
                <w:kern w:val="2"/>
                <w:sz w:val="24"/>
                <w:szCs w:val="24"/>
                <w:lang w:val="en-US"/>
                <w14:ligatures w14:val="standardContextual"/>
              </w:rPr>
              <w:t>Metal ion</w:t>
            </w:r>
          </w:p>
        </w:tc>
        <w:tc>
          <w:tcPr>
            <w:tcW w:w="1559" w:type="dxa"/>
          </w:tcPr>
          <w:p w14:paraId="7361B057" w14:textId="77777777" w:rsidR="00352203" w:rsidRPr="00352203" w:rsidRDefault="00352203" w:rsidP="0038231D">
            <w:pPr>
              <w:spacing w:line="360" w:lineRule="auto"/>
              <w:jc w:val="both"/>
              <w:rPr>
                <w:rFonts w:ascii="Times New Roman" w:hAnsi="Times New Roman" w:cs="Times New Roman"/>
                <w:b/>
                <w:color w:val="000000"/>
                <w:kern w:val="2"/>
                <w:sz w:val="24"/>
                <w:szCs w:val="24"/>
                <w:lang w:val="en-US"/>
                <w14:ligatures w14:val="standardContextual"/>
              </w:rPr>
            </w:pPr>
            <w:r w:rsidRPr="00352203">
              <w:rPr>
                <w:rFonts w:ascii="Times New Roman" w:hAnsi="Times New Roman" w:cs="Times New Roman"/>
                <w:b/>
                <w:color w:val="000000"/>
                <w:kern w:val="2"/>
                <w:sz w:val="24"/>
                <w:szCs w:val="24"/>
                <w:lang w:val="en-US"/>
                <w14:ligatures w14:val="standardContextual"/>
              </w:rPr>
              <w:t>Wavelength</w:t>
            </w:r>
          </w:p>
        </w:tc>
      </w:tr>
      <w:tr w:rsidR="00352203" w:rsidRPr="00352203" w14:paraId="64841B1C" w14:textId="77777777" w:rsidTr="0002012A">
        <w:tc>
          <w:tcPr>
            <w:tcW w:w="1560" w:type="dxa"/>
          </w:tcPr>
          <w:p w14:paraId="571331F3"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Zn</w:t>
            </w:r>
          </w:p>
        </w:tc>
        <w:tc>
          <w:tcPr>
            <w:tcW w:w="1559" w:type="dxa"/>
          </w:tcPr>
          <w:p w14:paraId="1670128B"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217.0005</w:t>
            </w:r>
          </w:p>
        </w:tc>
      </w:tr>
      <w:tr w:rsidR="00352203" w:rsidRPr="00352203" w14:paraId="09655634" w14:textId="77777777" w:rsidTr="0002012A">
        <w:tc>
          <w:tcPr>
            <w:tcW w:w="1560" w:type="dxa"/>
          </w:tcPr>
          <w:p w14:paraId="3B10FF5A"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Cd</w:t>
            </w:r>
          </w:p>
        </w:tc>
        <w:tc>
          <w:tcPr>
            <w:tcW w:w="1559" w:type="dxa"/>
          </w:tcPr>
          <w:p w14:paraId="1620F50B"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357.8687</w:t>
            </w:r>
          </w:p>
        </w:tc>
      </w:tr>
      <w:tr w:rsidR="00352203" w:rsidRPr="00352203" w14:paraId="3593AC68" w14:textId="77777777" w:rsidTr="0002012A">
        <w:tc>
          <w:tcPr>
            <w:tcW w:w="1560" w:type="dxa"/>
          </w:tcPr>
          <w:p w14:paraId="0FA8CD01"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Cu</w:t>
            </w:r>
          </w:p>
        </w:tc>
        <w:tc>
          <w:tcPr>
            <w:tcW w:w="1559" w:type="dxa"/>
          </w:tcPr>
          <w:p w14:paraId="59CD571C"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324.7540</w:t>
            </w:r>
          </w:p>
        </w:tc>
      </w:tr>
      <w:tr w:rsidR="00352203" w:rsidRPr="00352203" w14:paraId="75796554" w14:textId="77777777" w:rsidTr="0002012A">
        <w:tc>
          <w:tcPr>
            <w:tcW w:w="1560" w:type="dxa"/>
          </w:tcPr>
          <w:p w14:paraId="7D49E672"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Mn</w:t>
            </w:r>
          </w:p>
        </w:tc>
        <w:tc>
          <w:tcPr>
            <w:tcW w:w="1559" w:type="dxa"/>
          </w:tcPr>
          <w:p w14:paraId="171AAD5C"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232.0030</w:t>
            </w:r>
          </w:p>
        </w:tc>
      </w:tr>
      <w:tr w:rsidR="00352203" w:rsidRPr="00352203" w14:paraId="28A222DD" w14:textId="77777777" w:rsidTr="0002012A">
        <w:tc>
          <w:tcPr>
            <w:tcW w:w="1560" w:type="dxa"/>
          </w:tcPr>
          <w:p w14:paraId="4D314F96"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Pb</w:t>
            </w:r>
          </w:p>
        </w:tc>
        <w:tc>
          <w:tcPr>
            <w:tcW w:w="1559" w:type="dxa"/>
          </w:tcPr>
          <w:p w14:paraId="77C701EF" w14:textId="77777777" w:rsidR="00352203" w:rsidRPr="00352203" w:rsidRDefault="00352203" w:rsidP="003823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217.0005</w:t>
            </w:r>
          </w:p>
        </w:tc>
      </w:tr>
    </w:tbl>
    <w:p w14:paraId="6F2047A2" w14:textId="77777777" w:rsidR="00352203" w:rsidRPr="000420D9" w:rsidRDefault="00352203"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4468F967"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3.7 Data Analysis and Statistical Treatment</w:t>
      </w:r>
    </w:p>
    <w:p w14:paraId="0A34BF7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All measurements were performed in triplicate to ensure reliability and allow statistical evaluation of results. The triplicate values for each sample were examined for outliers using appropriate statistical tests, though in general, values that differed from the mean by more than three standard deviations were flagged for investigation.</w:t>
      </w:r>
    </w:p>
    <w:p w14:paraId="24A1B99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Results for heavy metal concentrations were expressed as mean ± standard deviation, calculated using Microsoft Excel. The standard deviation provides a </w:t>
      </w:r>
      <w:r w:rsidRPr="000420D9">
        <w:rPr>
          <w:rFonts w:ascii="Times New Roman" w:eastAsia="Times New Roman" w:hAnsi="Times New Roman" w:cs="Times New Roman"/>
          <w:sz w:val="24"/>
          <w:szCs w:val="24"/>
          <w:lang w:eastAsia="en-GB"/>
        </w:rPr>
        <w:lastRenderedPageBreak/>
        <w:t>measure of the precision of the measurements, with smaller values indicating better reproducibility. Data were organized in tables showing concentrations for each metal in each variety from each sampling location.</w:t>
      </w:r>
    </w:p>
    <w:p w14:paraId="6B5946F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Graphical presentations were prepared using Excel software to facilitate visual comparison of metal levels across varieties and against regulatory limits. Bar charts with error bars representing standard deviations were created to show mean concentrations. These visualizations help identify patterns and differences that may not be immediately apparent from tabular data alone.</w:t>
      </w:r>
    </w:p>
    <w:p w14:paraId="5B03862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Comparison with regulatory limits established by the World Health Organization, Food and Agriculture Organization, and Kenya Bureau of Standards allowed assessment of food safety status. Samples with concentrations exceeding maximum permissible limits were flagged as potential health risks.</w:t>
      </w:r>
    </w:p>
    <w:p w14:paraId="313DA67C"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2528BE9C"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4.0 RESULTS AND DISCUSSION</w:t>
      </w:r>
    </w:p>
    <w:p w14:paraId="27253F2A"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4.1 Calibration Curves and Analytical Performance</w:t>
      </w:r>
    </w:p>
    <w:p w14:paraId="5AF4F59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reliability and accuracy of heavy metal determinations by atomic absorption spectroscopy depend fundamentally on the quality of calibration curves generated from standard solutions. In this study, calibration curves were prepared for each of the five target metals using freshly prepared standard solutions at multiple concentration levels. The calibration data, regression equations, and correlation coefficients provide important information about the analytical method's performance and the relationship between absorbance and concentration.</w:t>
      </w:r>
    </w:p>
    <w:p w14:paraId="027E78B4"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692085D7" wp14:editId="1FBB8AA9">
            <wp:extent cx="2562225" cy="1847850"/>
            <wp:effectExtent l="0" t="0" r="9525" b="0"/>
            <wp:docPr id="13751801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E9328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352203">
        <w:rPr>
          <w:rFonts w:ascii="Times New Roman" w:eastAsia="Times New Roman" w:hAnsi="Times New Roman" w:cs="Times New Roman"/>
          <w:b/>
          <w:bCs/>
          <w:sz w:val="24"/>
          <w:szCs w:val="24"/>
          <w:lang w:eastAsia="en-GB"/>
        </w:rPr>
        <w:t xml:space="preserve">ure 4.1 </w:t>
      </w:r>
      <w:r w:rsidRPr="00CD25A2">
        <w:rPr>
          <w:rFonts w:ascii="Times New Roman" w:eastAsia="Times New Roman" w:hAnsi="Times New Roman" w:cs="Times New Roman"/>
          <w:bCs/>
          <w:sz w:val="24"/>
          <w:szCs w:val="24"/>
          <w:lang w:eastAsia="en-GB"/>
        </w:rPr>
        <w:t>Zinc metal ion calibration curve]</w:t>
      </w:r>
    </w:p>
    <w:p w14:paraId="35438A0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calibration curve for zinc demonstrated excellent linearity across the concentration range of 0-10 ppm. The data points aligned very closely with the regression line, and the coefficient of determination (R²) was 1.0000, indicating a perfect linear relationship between concentration and absorbance. The regression equation obtained was y = 0.0183x + 0.0018, where y represents absorbance and x represents concentration in ppm. The positive y-intercept of 0.0018 is very small and close to zero, which is desirable as it suggests minimal systematic error or background absorbance. The slope of 0.0183 indicates good sensitivity for zinc measurement under the conditions employed. This excellent calibration performance for zinc gave confidence in the accuracy of zinc determinations in the maize samples.</w:t>
      </w:r>
    </w:p>
    <w:p w14:paraId="7B1244F7"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sz w:val="24"/>
          <w:szCs w:val="24"/>
          <w:lang w:eastAsia="en-GB"/>
        </w:rPr>
        <w:drawing>
          <wp:inline distT="0" distB="0" distL="0" distR="0" wp14:anchorId="78C32B0A" wp14:editId="725720EE">
            <wp:extent cx="2476500" cy="2409825"/>
            <wp:effectExtent l="0" t="0" r="0" b="9525"/>
            <wp:docPr id="6527617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ECBA8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lastRenderedPageBreak/>
        <w:t>[Fig</w:t>
      </w:r>
      <w:r w:rsidR="00352203">
        <w:rPr>
          <w:rFonts w:ascii="Times New Roman" w:eastAsia="Times New Roman" w:hAnsi="Times New Roman" w:cs="Times New Roman"/>
          <w:b/>
          <w:bCs/>
          <w:sz w:val="24"/>
          <w:szCs w:val="24"/>
          <w:lang w:eastAsia="en-GB"/>
        </w:rPr>
        <w:t xml:space="preserve">ure 4.2 </w:t>
      </w:r>
      <w:r w:rsidRPr="000420D9">
        <w:rPr>
          <w:rFonts w:ascii="Times New Roman" w:eastAsia="Times New Roman" w:hAnsi="Times New Roman" w:cs="Times New Roman"/>
          <w:b/>
          <w:bCs/>
          <w:sz w:val="24"/>
          <w:szCs w:val="24"/>
          <w:lang w:eastAsia="en-GB"/>
        </w:rPr>
        <w:t>Cadmium metal ion calibration curve]</w:t>
      </w:r>
    </w:p>
    <w:p w14:paraId="42BDB91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cadmium calibration curve, spanning concentrations from 0 to 20 ppm, showed strong linearity though not quite as perfect as zinc. The correlation coefficient was R² = 0.9913, still indicating an excellent fit between the data and the linear model. The regression equation was y = 0.0015x - 0.0026, with a slope of 0.0015 and a small negative intercept. While a negative intercept is not physically meaningful (absorbance cannot be negative), small negative values can arise from instrumental baseline variations and are acceptable when the magnitude is small relative to sample absorbances. The standard error of the regression was 0.000186, a very low value indicating minimal scatter of data points around the regression line and high precision in the cadmium measurements.</w:t>
      </w:r>
    </w:p>
    <w:p w14:paraId="0373A472"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139745DF" wp14:editId="2D6035C8">
            <wp:extent cx="2619375" cy="2133600"/>
            <wp:effectExtent l="0" t="0" r="9525" b="0"/>
            <wp:docPr id="2278981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785626" w14:textId="77777777" w:rsidR="000420D9" w:rsidRPr="000420D9" w:rsidRDefault="00352203"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[Figure 4.3 </w:t>
      </w:r>
      <w:r w:rsidR="000420D9" w:rsidRPr="000420D9">
        <w:rPr>
          <w:rFonts w:ascii="Times New Roman" w:eastAsia="Times New Roman" w:hAnsi="Times New Roman" w:cs="Times New Roman"/>
          <w:b/>
          <w:bCs/>
          <w:sz w:val="24"/>
          <w:szCs w:val="24"/>
          <w:lang w:eastAsia="en-GB"/>
        </w:rPr>
        <w:t>Copper metal ion calibration curve]</w:t>
      </w:r>
    </w:p>
    <w:p w14:paraId="518DB42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copper calibration curve demonstrated outstanding performance with R² = 1.0000, indicating perfect linearity. The regression equation was y = 0.0065x + 0.0034. The slope of 0.0065 is higher than that for cadmium, reflecting greater atomic absorption sensitivity for copper at the selected wavelength and under the flame conditions used. The very small standard error of 1.6 × 10⁻⁷ demonstrates exceptional precision and reproducibility in copper </w:t>
      </w:r>
      <w:r w:rsidRPr="000420D9">
        <w:rPr>
          <w:rFonts w:ascii="Times New Roman" w:eastAsia="Times New Roman" w:hAnsi="Times New Roman" w:cs="Times New Roman"/>
          <w:sz w:val="24"/>
          <w:szCs w:val="24"/>
          <w:lang w:eastAsia="en-GB"/>
        </w:rPr>
        <w:t>measurements. The near-zero intercept and perfect correlation coefficient confirm that the calibration met all requirements for accurate quantitative analysis.</w:t>
      </w:r>
    </w:p>
    <w:p w14:paraId="444495BB"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5EFC1538" wp14:editId="07C6DDD6">
            <wp:extent cx="2667000" cy="2914650"/>
            <wp:effectExtent l="0" t="0" r="0" b="0"/>
            <wp:docPr id="12943956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30F9C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352203">
        <w:rPr>
          <w:rFonts w:ascii="Times New Roman" w:eastAsia="Times New Roman" w:hAnsi="Times New Roman" w:cs="Times New Roman"/>
          <w:b/>
          <w:bCs/>
          <w:sz w:val="24"/>
          <w:szCs w:val="24"/>
          <w:lang w:eastAsia="en-GB"/>
        </w:rPr>
        <w:t xml:space="preserve">ure 4.4 </w:t>
      </w:r>
      <w:r w:rsidRPr="000420D9">
        <w:rPr>
          <w:rFonts w:ascii="Times New Roman" w:eastAsia="Times New Roman" w:hAnsi="Times New Roman" w:cs="Times New Roman"/>
          <w:b/>
          <w:bCs/>
          <w:sz w:val="24"/>
          <w:szCs w:val="24"/>
          <w:lang w:eastAsia="en-GB"/>
        </w:rPr>
        <w:t>Manganese metal ion calibration curve]</w:t>
      </w:r>
    </w:p>
    <w:p w14:paraId="6FEC29A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manganese calibration curve showed good but somewhat less ideal performance compared to zinc and copper. The R² value was 0.9761, indicating a strong but not perfect linear relationship. Visual inspection of the calibration graph revealed that the regression line passed through only some of the data points, with slight deviations observed at certain concentrations. The regression equation was y = 0.0006x + 0.0022. The lower slope value of 0.0006 compared to other metals suggests that manganese exhibits lower atomic absorption sensitivity under the analytical conditions employed. The standard error was 0.0015, which while relatively small, is higher than those for zinc and copper. This greater scatter in the manganese calibration may reflect matrix effects, spectral interferences, or suboptimal flame conditions for manganese atomization. Despite these minor limitations, the correlation coefficient above 0.97 is generally considered </w:t>
      </w:r>
      <w:r w:rsidRPr="000420D9">
        <w:rPr>
          <w:rFonts w:ascii="Times New Roman" w:eastAsia="Times New Roman" w:hAnsi="Times New Roman" w:cs="Times New Roman"/>
          <w:sz w:val="24"/>
          <w:szCs w:val="24"/>
          <w:lang w:eastAsia="en-GB"/>
        </w:rPr>
        <w:lastRenderedPageBreak/>
        <w:t>acceptable for quantitative analysis, though the results should be interpreted with appropriate consideration of the somewhat greater uncertainty.</w:t>
      </w:r>
    </w:p>
    <w:p w14:paraId="5205DE81" w14:textId="77777777" w:rsidR="00352203" w:rsidRDefault="00352203"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73392212" wp14:editId="71DD09BE">
            <wp:extent cx="2609850" cy="2343150"/>
            <wp:effectExtent l="0" t="0" r="0" b="0"/>
            <wp:docPr id="18756589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35CC9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352203">
        <w:rPr>
          <w:rFonts w:ascii="Times New Roman" w:eastAsia="Times New Roman" w:hAnsi="Times New Roman" w:cs="Times New Roman"/>
          <w:b/>
          <w:bCs/>
          <w:sz w:val="24"/>
          <w:szCs w:val="24"/>
          <w:lang w:eastAsia="en-GB"/>
        </w:rPr>
        <w:t xml:space="preserve">ure 4.5 </w:t>
      </w:r>
      <w:r w:rsidRPr="00CD25A2">
        <w:rPr>
          <w:rFonts w:ascii="Times New Roman" w:eastAsia="Times New Roman" w:hAnsi="Times New Roman" w:cs="Times New Roman"/>
          <w:bCs/>
          <w:sz w:val="24"/>
          <w:szCs w:val="24"/>
          <w:lang w:eastAsia="en-GB"/>
        </w:rPr>
        <w:t>Lead metal ion calibration curve]</w:t>
      </w:r>
    </w:p>
    <w:p w14:paraId="18F75D0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lead calibration curve presented the most challenging analytical performance among the five metals studied. The R² value was 0.9884, indicating good but imperfect linearity. The regression equation was y = 0.0019x + 0.0005. Visual examination of the calibration plot showed that the regression line passed through very few of the actual data points, suggesting either random scatter in the measurements or possible systematic deviations from linearity at certain concentration levels. Lead analysis by flame AAS can be challenging due to the relatively low volatility of many lead compounds and incomplete atomization in air-acetylene flames. For more sensitive lead determinations, graphite furnace AAS would typically be preferred. However, given the relatively high lead concentrations detected in the samples, flame AAS proved adequate despite its limitations. The correlation coefficient above 0.98 is generally considered acceptable, though the lead results should be viewed with recognition of the somewhat greater measurement uncertainty compared to zinc or copper.</w:t>
      </w:r>
    </w:p>
    <w:p w14:paraId="64B8C60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limit of detection (LOD) values, representing the lowest concentration that can be reliably distinguished from a blank, were determined for each metal. For zinc, the LOD was 0.05 mg/g, for cadmium 0.05 mg/g, for copper 0.01 mg/g, for manganese 0.02 mg/g, and for lead 0.01 mg/g. These detection limits were well below the concentrations found in the maize samples, ensuring that all measurements were well above the quantification threshold and could be reported with confidence.</w:t>
      </w:r>
    </w:p>
    <w:p w14:paraId="1F912D38"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 Heavy Metal Concentrations in Maize Varieties</w:t>
      </w:r>
    </w:p>
    <w:p w14:paraId="1F8085CD" w14:textId="77777777" w:rsid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analysis of heavy metals in the three maize varieties from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revealed significant contamination, particularly with lead and cadmium, while zinc, copper, and manganese were present at lower levels. Table 4.1 presents a comprehensive summary of the measured concentrations for all five metals in each variety, along with the regulatory limits established by WHO, FAO, and KEBS, and the analytical limits of detection.</w:t>
      </w:r>
    </w:p>
    <w:p w14:paraId="2099D5C0" w14:textId="77777777" w:rsidR="000E0C6D" w:rsidRDefault="000E0C6D" w:rsidP="0038231D">
      <w:pPr>
        <w:pStyle w:val="Caption"/>
        <w:jc w:val="both"/>
        <w:rPr>
          <w:rFonts w:ascii="Times New Roman" w:hAnsi="Times New Roman" w:cs="Times New Roman"/>
          <w:i w:val="0"/>
          <w:iCs w:val="0"/>
          <w:color w:val="000000" w:themeColor="text1"/>
          <w:sz w:val="24"/>
          <w:szCs w:val="24"/>
        </w:rPr>
      </w:pPr>
      <w:bookmarkStart w:id="2" w:name="_Toc198897937"/>
      <w:r>
        <w:rPr>
          <w:rFonts w:ascii="Times New Roman" w:hAnsi="Times New Roman" w:cs="Times New Roman"/>
          <w:i w:val="0"/>
          <w:iCs w:val="0"/>
          <w:color w:val="000000" w:themeColor="text1"/>
          <w:sz w:val="24"/>
          <w:szCs w:val="24"/>
        </w:rPr>
        <w:t xml:space="preserve">Table 4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Table_4 \* ARABIC </w:instrText>
      </w:r>
      <w:r>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color w:val="000000" w:themeColor="text1"/>
          <w:sz w:val="24"/>
          <w:szCs w:val="24"/>
        </w:rPr>
        <w:t>1</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Heavy metal levels in three maize seeds varieties and the recommended values</w:t>
      </w:r>
      <w:bookmarkEnd w:id="2"/>
      <w:r>
        <w:rPr>
          <w:rFonts w:ascii="Times New Roman" w:hAnsi="Times New Roman" w:cs="Times New Roman"/>
          <w:i w:val="0"/>
          <w:iCs w:val="0"/>
          <w:color w:val="000000" w:themeColor="text1"/>
          <w:sz w:val="24"/>
          <w:szCs w:val="24"/>
        </w:rPr>
        <w:t xml:space="preserve">  </w:t>
      </w:r>
    </w:p>
    <w:p w14:paraId="48A9FD24" w14:textId="77777777" w:rsidR="000E0C6D" w:rsidRDefault="000E0C6D"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tbl>
      <w:tblPr>
        <w:tblStyle w:val="TableGrid"/>
        <w:tblW w:w="5000" w:type="pct"/>
        <w:tblLook w:val="04A0" w:firstRow="1" w:lastRow="0" w:firstColumn="1" w:lastColumn="0" w:noHBand="0" w:noVBand="1"/>
      </w:tblPr>
      <w:tblGrid>
        <w:gridCol w:w="662"/>
        <w:gridCol w:w="766"/>
        <w:gridCol w:w="1025"/>
        <w:gridCol w:w="999"/>
        <w:gridCol w:w="697"/>
      </w:tblGrid>
      <w:tr w:rsidR="00D3795E" w:rsidRPr="00D3795E" w14:paraId="3E845FCC" w14:textId="77777777" w:rsidTr="00D3795E">
        <w:trPr>
          <w:trHeight w:val="1037"/>
        </w:trPr>
        <w:tc>
          <w:tcPr>
            <w:tcW w:w="781" w:type="pct"/>
          </w:tcPr>
          <w:p w14:paraId="3C61387A"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Heavy metals level in the three maize seeds varieties</w:t>
            </w:r>
          </w:p>
        </w:tc>
        <w:tc>
          <w:tcPr>
            <w:tcW w:w="944" w:type="pct"/>
          </w:tcPr>
          <w:p w14:paraId="78C07775"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Maize seeds Varieties</w:t>
            </w:r>
          </w:p>
        </w:tc>
        <w:tc>
          <w:tcPr>
            <w:tcW w:w="1268" w:type="pct"/>
          </w:tcPr>
          <w:p w14:paraId="0AB3CD3A"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Metal levels (mg/g)</w:t>
            </w:r>
          </w:p>
        </w:tc>
        <w:tc>
          <w:tcPr>
            <w:tcW w:w="1183" w:type="pct"/>
          </w:tcPr>
          <w:p w14:paraId="2ED4D827"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WHO, KEBS and FAO (mg/g)</w:t>
            </w:r>
          </w:p>
          <w:p w14:paraId="36751ED8"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(2022)</w:t>
            </w:r>
          </w:p>
          <w:p w14:paraId="462D13AB"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 xml:space="preserve">Recommended </w:t>
            </w:r>
          </w:p>
          <w:p w14:paraId="4A5860BC"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levels</w:t>
            </w:r>
          </w:p>
        </w:tc>
        <w:tc>
          <w:tcPr>
            <w:tcW w:w="824" w:type="pct"/>
          </w:tcPr>
          <w:p w14:paraId="3B83EF6D" w14:textId="77777777" w:rsidR="000E0C6D" w:rsidRPr="00D3795E" w:rsidRDefault="000E0C6D" w:rsidP="0038231D">
            <w:pPr>
              <w:spacing w:line="360" w:lineRule="auto"/>
              <w:jc w:val="both"/>
              <w:rPr>
                <w:rFonts w:ascii="Times New Roman" w:hAnsi="Times New Roman" w:cs="Times New Roman"/>
                <w:b/>
                <w:color w:val="000000" w:themeColor="text1"/>
                <w:sz w:val="16"/>
                <w:szCs w:val="16"/>
              </w:rPr>
            </w:pPr>
            <w:r w:rsidRPr="00D3795E">
              <w:rPr>
                <w:rFonts w:ascii="Times New Roman" w:hAnsi="Times New Roman" w:cs="Times New Roman"/>
                <w:b/>
                <w:color w:val="000000" w:themeColor="text1"/>
                <w:sz w:val="16"/>
                <w:szCs w:val="16"/>
              </w:rPr>
              <w:t>Limits of detection</w:t>
            </w:r>
          </w:p>
          <w:p w14:paraId="4F850E5A"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b/>
                <w:color w:val="000000" w:themeColor="text1"/>
                <w:sz w:val="16"/>
                <w:szCs w:val="16"/>
              </w:rPr>
              <w:t>(LOD, mg/g)</w:t>
            </w:r>
          </w:p>
        </w:tc>
      </w:tr>
      <w:tr w:rsidR="00D3795E" w:rsidRPr="00D3795E" w14:paraId="10608404" w14:textId="77777777" w:rsidTr="00D3795E">
        <w:trPr>
          <w:trHeight w:val="692"/>
        </w:trPr>
        <w:tc>
          <w:tcPr>
            <w:tcW w:w="781" w:type="pct"/>
          </w:tcPr>
          <w:p w14:paraId="775BEB6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1C63980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Zn</w:t>
            </w:r>
          </w:p>
        </w:tc>
        <w:tc>
          <w:tcPr>
            <w:tcW w:w="944" w:type="pct"/>
          </w:tcPr>
          <w:p w14:paraId="33CC1FE2"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 xml:space="preserve"> SC Sungura 301</w:t>
            </w:r>
          </w:p>
          <w:p w14:paraId="38EFE4B0"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 xml:space="preserve">  SC Duma 43</w:t>
            </w:r>
          </w:p>
          <w:p w14:paraId="662507A1"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lastRenderedPageBreak/>
              <w:t>Indigenous Kamba Maize</w:t>
            </w:r>
          </w:p>
        </w:tc>
        <w:tc>
          <w:tcPr>
            <w:tcW w:w="1268" w:type="pct"/>
          </w:tcPr>
          <w:p w14:paraId="35A2A792"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3" w:name="_Hlk197693254"/>
            <w:r w:rsidRPr="00D3795E">
              <w:rPr>
                <w:rFonts w:ascii="Times New Roman" w:hAnsi="Times New Roman" w:cs="Times New Roman"/>
                <w:color w:val="000000" w:themeColor="text1"/>
                <w:sz w:val="16"/>
                <w:szCs w:val="16"/>
              </w:rPr>
              <w:lastRenderedPageBreak/>
              <w:t>0.343±0.0505</w:t>
            </w:r>
          </w:p>
          <w:p w14:paraId="3C035E16"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0.389±0.000704</w:t>
            </w:r>
          </w:p>
          <w:p w14:paraId="683D47D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0.372±0.0257</w:t>
            </w:r>
            <w:bookmarkEnd w:id="3"/>
          </w:p>
        </w:tc>
        <w:tc>
          <w:tcPr>
            <w:tcW w:w="1183" w:type="pct"/>
          </w:tcPr>
          <w:p w14:paraId="11FAA2E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30-95</w:t>
            </w:r>
          </w:p>
        </w:tc>
        <w:tc>
          <w:tcPr>
            <w:tcW w:w="824" w:type="pct"/>
          </w:tcPr>
          <w:p w14:paraId="57486BE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0.05</w:t>
            </w:r>
          </w:p>
        </w:tc>
      </w:tr>
      <w:tr w:rsidR="00D3795E" w:rsidRPr="00D3795E" w14:paraId="34D9E5FD" w14:textId="77777777" w:rsidTr="00D3795E">
        <w:trPr>
          <w:trHeight w:val="692"/>
        </w:trPr>
        <w:tc>
          <w:tcPr>
            <w:tcW w:w="781" w:type="pct"/>
          </w:tcPr>
          <w:p w14:paraId="61B55409"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0465BB29"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Cd</w:t>
            </w:r>
          </w:p>
        </w:tc>
        <w:tc>
          <w:tcPr>
            <w:tcW w:w="944" w:type="pct"/>
          </w:tcPr>
          <w:p w14:paraId="4DC9B7D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4" w:name="_Hlk197693555"/>
            <w:r w:rsidRPr="00D3795E">
              <w:rPr>
                <w:rFonts w:ascii="Times New Roman" w:hAnsi="Times New Roman" w:cs="Times New Roman"/>
                <w:color w:val="000000" w:themeColor="text1"/>
                <w:sz w:val="16"/>
                <w:szCs w:val="16"/>
              </w:rPr>
              <w:t>SC Sungura 301</w:t>
            </w:r>
          </w:p>
          <w:p w14:paraId="4E9F53F4"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SC Duma 43 Indigenous Kamba Maize</w:t>
            </w:r>
          </w:p>
        </w:tc>
        <w:tc>
          <w:tcPr>
            <w:tcW w:w="1268" w:type="pct"/>
          </w:tcPr>
          <w:p w14:paraId="51649A1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1.998±0.110</w:t>
            </w:r>
          </w:p>
          <w:p w14:paraId="1B787E7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0.562±0.217</w:t>
            </w:r>
          </w:p>
          <w:p w14:paraId="789926DF"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1.843±0.373</w:t>
            </w:r>
          </w:p>
        </w:tc>
        <w:tc>
          <w:tcPr>
            <w:tcW w:w="1183" w:type="pct"/>
          </w:tcPr>
          <w:p w14:paraId="26753253"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0.1-0.5</w:t>
            </w:r>
          </w:p>
        </w:tc>
        <w:tc>
          <w:tcPr>
            <w:tcW w:w="824" w:type="pct"/>
          </w:tcPr>
          <w:p w14:paraId="7918509F"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0.05</w:t>
            </w:r>
          </w:p>
        </w:tc>
      </w:tr>
      <w:tr w:rsidR="00D3795E" w:rsidRPr="00D3795E" w14:paraId="332F3C43" w14:textId="77777777" w:rsidTr="00D3795E">
        <w:trPr>
          <w:trHeight w:val="692"/>
        </w:trPr>
        <w:tc>
          <w:tcPr>
            <w:tcW w:w="781" w:type="pct"/>
          </w:tcPr>
          <w:p w14:paraId="2658E910"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3BF1CF99"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Cu</w:t>
            </w:r>
          </w:p>
        </w:tc>
        <w:tc>
          <w:tcPr>
            <w:tcW w:w="944" w:type="pct"/>
          </w:tcPr>
          <w:p w14:paraId="46B5F0AE"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5" w:name="_Hlk197693805"/>
            <w:bookmarkEnd w:id="4"/>
            <w:r w:rsidRPr="00D3795E">
              <w:rPr>
                <w:rFonts w:ascii="Times New Roman" w:hAnsi="Times New Roman" w:cs="Times New Roman"/>
                <w:color w:val="000000" w:themeColor="text1"/>
                <w:sz w:val="16"/>
                <w:szCs w:val="16"/>
              </w:rPr>
              <w:t>SC Sungura 301 SC Duma 43</w:t>
            </w:r>
          </w:p>
          <w:p w14:paraId="4CDF23B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Indigenous Kamba Maize</w:t>
            </w:r>
          </w:p>
        </w:tc>
        <w:tc>
          <w:tcPr>
            <w:tcW w:w="1268" w:type="pct"/>
          </w:tcPr>
          <w:p w14:paraId="276A21E3"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0.756±0.101</w:t>
            </w:r>
          </w:p>
          <w:p w14:paraId="2DA2C55A"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0.741±0.0741</w:t>
            </w:r>
          </w:p>
          <w:p w14:paraId="5879D6E6"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0.700±0.0380</w:t>
            </w:r>
          </w:p>
        </w:tc>
        <w:tc>
          <w:tcPr>
            <w:tcW w:w="1183" w:type="pct"/>
          </w:tcPr>
          <w:p w14:paraId="5536212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10-50</w:t>
            </w:r>
          </w:p>
        </w:tc>
        <w:tc>
          <w:tcPr>
            <w:tcW w:w="824" w:type="pct"/>
          </w:tcPr>
          <w:p w14:paraId="18A2A8B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0.01</w:t>
            </w:r>
          </w:p>
        </w:tc>
      </w:tr>
      <w:tr w:rsidR="00D3795E" w:rsidRPr="00D3795E" w14:paraId="27AA4DBE" w14:textId="77777777" w:rsidTr="00D3795E">
        <w:trPr>
          <w:trHeight w:val="692"/>
        </w:trPr>
        <w:tc>
          <w:tcPr>
            <w:tcW w:w="781" w:type="pct"/>
          </w:tcPr>
          <w:p w14:paraId="3627B0A1"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2BAFE59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Mn</w:t>
            </w:r>
          </w:p>
        </w:tc>
        <w:tc>
          <w:tcPr>
            <w:tcW w:w="944" w:type="pct"/>
          </w:tcPr>
          <w:p w14:paraId="16085256"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6" w:name="_Hlk197694020"/>
            <w:bookmarkEnd w:id="5"/>
            <w:r w:rsidRPr="00D3795E">
              <w:rPr>
                <w:rFonts w:ascii="Times New Roman" w:hAnsi="Times New Roman" w:cs="Times New Roman"/>
                <w:color w:val="000000" w:themeColor="text1"/>
                <w:sz w:val="16"/>
                <w:szCs w:val="16"/>
              </w:rPr>
              <w:t xml:space="preserve"> SC Sungura 301</w:t>
            </w:r>
          </w:p>
          <w:p w14:paraId="584B7DB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 xml:space="preserve"> SC Duma 43</w:t>
            </w:r>
          </w:p>
          <w:p w14:paraId="6322B27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 xml:space="preserve"> Indigenous Kamba Maize</w:t>
            </w:r>
          </w:p>
        </w:tc>
        <w:tc>
          <w:tcPr>
            <w:tcW w:w="1268" w:type="pct"/>
          </w:tcPr>
          <w:p w14:paraId="45256907"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7" w:name="_Hlk197679877"/>
            <w:r w:rsidRPr="00D3795E">
              <w:rPr>
                <w:rFonts w:ascii="Times New Roman" w:hAnsi="Times New Roman" w:cs="Times New Roman"/>
                <w:color w:val="000000" w:themeColor="text1"/>
                <w:sz w:val="16"/>
                <w:szCs w:val="16"/>
              </w:rPr>
              <w:t>2.745±0.851</w:t>
            </w:r>
          </w:p>
          <w:p w14:paraId="473B1DAA"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1.748±0.110</w:t>
            </w:r>
          </w:p>
          <w:p w14:paraId="41EDE0B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0.270±0.0586</w:t>
            </w:r>
            <w:bookmarkEnd w:id="7"/>
          </w:p>
        </w:tc>
        <w:tc>
          <w:tcPr>
            <w:tcW w:w="1183" w:type="pct"/>
          </w:tcPr>
          <w:p w14:paraId="5DD2C424"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5-20</w:t>
            </w:r>
          </w:p>
        </w:tc>
        <w:tc>
          <w:tcPr>
            <w:tcW w:w="824" w:type="pct"/>
          </w:tcPr>
          <w:p w14:paraId="79BB75FC"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0.02</w:t>
            </w:r>
          </w:p>
        </w:tc>
      </w:tr>
      <w:tr w:rsidR="00D3795E" w:rsidRPr="00D3795E" w14:paraId="6FCD70DC" w14:textId="77777777" w:rsidTr="00D3795E">
        <w:trPr>
          <w:trHeight w:val="686"/>
        </w:trPr>
        <w:tc>
          <w:tcPr>
            <w:tcW w:w="781" w:type="pct"/>
          </w:tcPr>
          <w:p w14:paraId="4B753BFA"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p>
          <w:p w14:paraId="6B8ACA5F"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Pb</w:t>
            </w:r>
          </w:p>
        </w:tc>
        <w:tc>
          <w:tcPr>
            <w:tcW w:w="944" w:type="pct"/>
          </w:tcPr>
          <w:p w14:paraId="46829593"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bookmarkStart w:id="8" w:name="_Hlk197687221"/>
            <w:bookmarkEnd w:id="6"/>
            <w:r w:rsidRPr="00D3795E">
              <w:rPr>
                <w:rFonts w:ascii="Times New Roman" w:hAnsi="Times New Roman" w:cs="Times New Roman"/>
                <w:color w:val="000000" w:themeColor="text1"/>
                <w:sz w:val="16"/>
                <w:szCs w:val="16"/>
              </w:rPr>
              <w:t xml:space="preserve"> SC Sungura 301</w:t>
            </w:r>
          </w:p>
          <w:p w14:paraId="1AB0F402"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SC Duma 43</w:t>
            </w:r>
          </w:p>
          <w:p w14:paraId="118DAEC5"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Indigenous Kamba Maize</w:t>
            </w:r>
          </w:p>
        </w:tc>
        <w:tc>
          <w:tcPr>
            <w:tcW w:w="1268" w:type="pct"/>
          </w:tcPr>
          <w:p w14:paraId="03767E55"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8.990±0.752</w:t>
            </w:r>
          </w:p>
          <w:p w14:paraId="73D93048"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10.449±0.398</w:t>
            </w:r>
          </w:p>
          <w:p w14:paraId="6E1E3D34"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8.247±0.798</w:t>
            </w:r>
          </w:p>
        </w:tc>
        <w:tc>
          <w:tcPr>
            <w:tcW w:w="1183" w:type="pct"/>
          </w:tcPr>
          <w:p w14:paraId="191EE842"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0.2-0.5</w:t>
            </w:r>
          </w:p>
        </w:tc>
        <w:tc>
          <w:tcPr>
            <w:tcW w:w="824" w:type="pct"/>
          </w:tcPr>
          <w:p w14:paraId="51C0E2E6" w14:textId="77777777" w:rsidR="000E0C6D" w:rsidRPr="00D3795E" w:rsidRDefault="000E0C6D" w:rsidP="0038231D">
            <w:pPr>
              <w:spacing w:line="360" w:lineRule="auto"/>
              <w:jc w:val="both"/>
              <w:rPr>
                <w:rFonts w:ascii="Times New Roman" w:hAnsi="Times New Roman" w:cs="Times New Roman"/>
                <w:color w:val="000000" w:themeColor="text1"/>
                <w:sz w:val="16"/>
                <w:szCs w:val="16"/>
              </w:rPr>
            </w:pPr>
            <w:r w:rsidRPr="00D3795E">
              <w:rPr>
                <w:rFonts w:ascii="Times New Roman" w:hAnsi="Times New Roman" w:cs="Times New Roman"/>
                <w:color w:val="000000" w:themeColor="text1"/>
                <w:sz w:val="16"/>
                <w:szCs w:val="16"/>
              </w:rPr>
              <w:t>0.01</w:t>
            </w:r>
          </w:p>
        </w:tc>
      </w:tr>
    </w:tbl>
    <w:bookmarkEnd w:id="8"/>
    <w:p w14:paraId="376FA9EC" w14:textId="77777777" w:rsidR="00352203" w:rsidRPr="000420D9" w:rsidRDefault="000E0C6D"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hAnsi="Times New Roman" w:cs="Times New Roman"/>
          <w:iCs/>
          <w:color w:val="000000" w:themeColor="text1"/>
        </w:rPr>
        <w:t>Reference</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WHO, KEBS and FAO (2022)</w:t>
      </w:r>
    </w:p>
    <w:p w14:paraId="51D6A24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Among the three varieties studied, SC Duma 43 hybrid generally exhibited the highest levels of heavy metal </w:t>
      </w:r>
      <w:r w:rsidRPr="000420D9">
        <w:rPr>
          <w:rFonts w:ascii="Times New Roman" w:eastAsia="Times New Roman" w:hAnsi="Times New Roman" w:cs="Times New Roman"/>
          <w:sz w:val="24"/>
          <w:szCs w:val="24"/>
          <w:lang w:eastAsia="en-GB"/>
        </w:rPr>
        <w:t>contamination, followed by the indigenous Kamba maize, with SC Sungura 301 showing somewhat lower but still concerning levels for certain metals. This pattern was not consistent across all metals, however, as different varieties showed variable accumulation for different elements, reflecting the complex interactions between plant genetics, metal uptake mechanisms, and environmental factors.</w:t>
      </w:r>
    </w:p>
    <w:p w14:paraId="321BFB3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overall pattern of heavy metal abundance in the maize samples followed the order: Lead &gt;&gt; Cadmium &gt; Manganese &gt; Copper ≈ Zinc. This distribution indicates that lead contamination was the most severe problem, with concentrations far exceeding all other metals. Cadmium, while lower than lead, still reached alarmingly high levels well above safety limits. The essential micronutrients zinc, copper, and manganese were present at much lower concentrations, generally below recommended nutritional levels.</w:t>
      </w:r>
    </w:p>
    <w:p w14:paraId="768272FB"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4.2.1 Zinc Levels in Maize Varieties</w:t>
      </w:r>
    </w:p>
    <w:p w14:paraId="0581F1E3" w14:textId="77777777" w:rsidR="000E0C6D" w:rsidRDefault="000E0C6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7CBABF1" wp14:editId="6B90285F">
            <wp:extent cx="2486025" cy="19335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2937C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0E0C6D">
        <w:rPr>
          <w:rFonts w:ascii="Times New Roman" w:eastAsia="Times New Roman" w:hAnsi="Times New Roman" w:cs="Times New Roman"/>
          <w:b/>
          <w:bCs/>
          <w:sz w:val="24"/>
          <w:szCs w:val="24"/>
          <w:lang w:eastAsia="en-GB"/>
        </w:rPr>
        <w:t xml:space="preserve">ure 4.6 </w:t>
      </w:r>
      <w:r w:rsidRPr="00CD25A2">
        <w:rPr>
          <w:rFonts w:ascii="Times New Roman" w:eastAsia="Times New Roman" w:hAnsi="Times New Roman" w:cs="Times New Roman"/>
          <w:bCs/>
          <w:sz w:val="24"/>
          <w:szCs w:val="24"/>
          <w:lang w:eastAsia="en-GB"/>
        </w:rPr>
        <w:t>Zinc levels in SC Sungura 301, SC Duma 43 and the Indigenous Kamba maize seeds]</w:t>
      </w:r>
    </w:p>
    <w:p w14:paraId="794CB9F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Zinc concentrations in the three maize varieties were relatively uniform and low. SC Sungura 301 contained 0.343 ± 0.0505 mg/g zinc, SC Duma 43 had 0.389 ± 0.000704 mg/g, and the indigenous Kamba maize showed 0.372 ± 0.0257 mg/g. </w:t>
      </w:r>
      <w:r w:rsidRPr="000420D9">
        <w:rPr>
          <w:rFonts w:ascii="Times New Roman" w:eastAsia="Times New Roman" w:hAnsi="Times New Roman" w:cs="Times New Roman"/>
          <w:sz w:val="24"/>
          <w:szCs w:val="24"/>
          <w:lang w:eastAsia="en-GB"/>
        </w:rPr>
        <w:lastRenderedPageBreak/>
        <w:t>Among the three varieties, SC Duma 43 hybrid exhibited the highest zinc content, though the difference from the other varieties was small and may not be biologically significant. SC Sungura 301 had the lowest zinc level, while the indigenous variety fell between the two hybrids.</w:t>
      </w:r>
    </w:p>
    <w:p w14:paraId="0F87CE5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All three zinc concentrations were dramatically below the recommended levels of 30-95 mg/g established by WHO, FAO, and KEBS for adequate nutritional content in cereal grains. This severe zinc deficiency in the maize samples raises important concerns from a nutritional standpoint. Zinc is an essential micronutrient required for numerous physiological functions including immune system function, wound healing, protein synthesis, DNA synthesis, and cell division. Adequate zinc intake is particularly crucial for children's growth and development, pregnant and lactating women, and for maintaining general health in all age groups.</w:t>
      </w:r>
    </w:p>
    <w:p w14:paraId="6803B8B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low zinc levels found in these maize varieties suggest that communities relying heavily on maize as their staple food may be at risk of zinc deficiency. Dietary zinc deficiency manifests as impaired immune function leading to increased susceptibility to infections, delayed wound healing, loss of appetite, growth retardation in children, hair loss, </w:t>
      </w:r>
      <w:proofErr w:type="spellStart"/>
      <w:r w:rsidRPr="000420D9">
        <w:rPr>
          <w:rFonts w:ascii="Times New Roman" w:eastAsia="Times New Roman" w:hAnsi="Times New Roman" w:cs="Times New Roman"/>
          <w:sz w:val="24"/>
          <w:szCs w:val="24"/>
          <w:lang w:eastAsia="en-GB"/>
        </w:rPr>
        <w:t>diarrhea</w:t>
      </w:r>
      <w:proofErr w:type="spellEnd"/>
      <w:r w:rsidRPr="000420D9">
        <w:rPr>
          <w:rFonts w:ascii="Times New Roman" w:eastAsia="Times New Roman" w:hAnsi="Times New Roman" w:cs="Times New Roman"/>
          <w:sz w:val="24"/>
          <w:szCs w:val="24"/>
          <w:lang w:eastAsia="en-GB"/>
        </w:rPr>
        <w:t>, and mental lethargy. In severe cases, particularly in young children, zinc deficiency can contribute to stunting and increased mortality from infectious diseases.</w:t>
      </w:r>
    </w:p>
    <w:p w14:paraId="71D15D6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reasons for low zinc content in these maize samples are likely multifactorial. Soil zinc deficiency is common in many Kenyan agricultural areas, particularly in soils with high pH, low organic matter content, or high phosphorus levels which can interfere with zinc availability. Additionally, the maize varieties themselves may not be efficient at zinc </w:t>
      </w:r>
      <w:r w:rsidRPr="000420D9">
        <w:rPr>
          <w:rFonts w:ascii="Times New Roman" w:eastAsia="Times New Roman" w:hAnsi="Times New Roman" w:cs="Times New Roman"/>
          <w:sz w:val="24"/>
          <w:szCs w:val="24"/>
          <w:lang w:eastAsia="en-GB"/>
        </w:rPr>
        <w:t>uptake or translocation to grains. Plant breeding efforts in recent decades have focused primarily on yield improvement rather than nutritional quality, potentially leading to reduced micronutrient density in modern cultivars.</w:t>
      </w:r>
    </w:p>
    <w:p w14:paraId="07F82E7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While the immediate health concern in this study relates to toxic metal contamination, the zinc deficiency represents a chronic nutritional problem that undermines health and wellbeing over the long term. Biofortification strategies, including development of zinc-enriched maize varieties through conventional breeding or agronomic interventions such as zinc fertilization, may be necessary to address this nutritional gap.</w:t>
      </w:r>
    </w:p>
    <w:p w14:paraId="571BC8DF"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It is worth noting that while the measured zinc levels are far below recommended nutritional levels, they are also well below concentrations that would cause toxicity. Zinc toxicity typically becomes a concern only at levels exceeding 100 mg/g, far above what was detected in these samples. Therefore, from a food safety perspective regarding zinc toxicity, these maize varieties pose no risk. However, the severe nutritional deficiency remains a significant public health concern that warrants attention through agricultural and nutritional interventions.</w:t>
      </w:r>
    </w:p>
    <w:p w14:paraId="5FF608F2"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4.2.2 Cadmium Levels in Maize Varieties</w:t>
      </w:r>
    </w:p>
    <w:p w14:paraId="7CC2285E" w14:textId="77777777" w:rsidR="000E0C6D" w:rsidRDefault="000E0C6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1469ACF7" wp14:editId="351D3B4D">
            <wp:extent cx="2619375" cy="19907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93930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lastRenderedPageBreak/>
        <w:t>[Fig</w:t>
      </w:r>
      <w:r w:rsidR="000E0C6D">
        <w:rPr>
          <w:rFonts w:ascii="Times New Roman" w:eastAsia="Times New Roman" w:hAnsi="Times New Roman" w:cs="Times New Roman"/>
          <w:b/>
          <w:bCs/>
          <w:sz w:val="24"/>
          <w:szCs w:val="24"/>
          <w:lang w:eastAsia="en-GB"/>
        </w:rPr>
        <w:t xml:space="preserve">ure 4.7 </w:t>
      </w:r>
      <w:r w:rsidRPr="00CD25A2">
        <w:rPr>
          <w:rFonts w:ascii="Times New Roman" w:eastAsia="Times New Roman" w:hAnsi="Times New Roman" w:cs="Times New Roman"/>
          <w:bCs/>
          <w:sz w:val="24"/>
          <w:szCs w:val="24"/>
          <w:lang w:eastAsia="en-GB"/>
        </w:rPr>
        <w:t>Cadmium levels in SC Sungura 301, SC Duma 43 and the Indigenous Kamba maize</w:t>
      </w:r>
      <w:r w:rsidRPr="000420D9">
        <w:rPr>
          <w:rFonts w:ascii="Times New Roman" w:eastAsia="Times New Roman" w:hAnsi="Times New Roman" w:cs="Times New Roman"/>
          <w:b/>
          <w:bCs/>
          <w:sz w:val="24"/>
          <w:szCs w:val="24"/>
          <w:lang w:eastAsia="en-GB"/>
        </w:rPr>
        <w:t>]</w:t>
      </w:r>
    </w:p>
    <w:p w14:paraId="1B7CA7E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Cadmium levels in the three maize varieties presented the first major food safety concern identified in this study. The concentrations measured were 1.998 ± 0.110 mg/g in SC Sungura 301, 0.562 ± 0.217 mg/g in SC Duma 43, and 1.843 ± 0.373 mg/g in the indigenous Kamba maize. These values far exceeded the maximum permissible limits of 0.1-0.5 mg/g established by WHO, FAO, and KEBS for cadmium in food grains. SC Sungura 301 showed the highest cadmium contamination, approximately four to twenty times higher than the upper safety limit, depending on which regulatory threshold is applied. The indigenous Kamba variety exhibited similarly elevated levels at 1.843 mg/g, while SC Duma 43 showed the lowest contamination among the three varieties, though still exceeding the safety limits.</w:t>
      </w:r>
    </w:p>
    <w:p w14:paraId="1841DE0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presence of cadmium at these elevated concentrations renders all three maize varieties unsafe for human consumption according to international food safety standards. Cadmium is classified as a Group 1 human carcinogen by the International Agency for Research on Cancer, with well-documented evidence of its carcinogenic potential. The metal accumulates primarily in kidneys and liver, where it has an extremely long biological half-life ranging from 10 to 30 years. This means that even relatively low daily intakes can lead to progressive accumulation over a lifetime, eventually reaching toxic levels.</w:t>
      </w:r>
    </w:p>
    <w:p w14:paraId="31F054B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health consequences of chronic cadmium exposure through dietary intake are severe and multisystemic. Kidney damage represents the most characteristic and sensitive endpoint of cadmium toxicity. The metal specifically targets the proximal tubules of the nephron, causing tubular dysfunction that manifests initially as low-</w:t>
      </w:r>
      <w:r w:rsidRPr="000420D9">
        <w:rPr>
          <w:rFonts w:ascii="Times New Roman" w:eastAsia="Times New Roman" w:hAnsi="Times New Roman" w:cs="Times New Roman"/>
          <w:sz w:val="24"/>
          <w:szCs w:val="24"/>
          <w:lang w:eastAsia="en-GB"/>
        </w:rPr>
        <w:t>molecular-weight proteinuria. As exposure continues and cadmium accumulates, more severe nephrotoxicity develops, including generalized proximal tubular dysfunction known as Fanconi syndrome. This condition is characterized by excessive urinary losses of glucose, phosphate, amino acids, and other substances that should be reabsorbed by healthy kidneys. The urinary losses of calcium and phosphate contribute to the skeletal manifestations of cadmium poisoning.</w:t>
      </w:r>
    </w:p>
    <w:p w14:paraId="6BEFC37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Cadmium-induced bone disease can present as </w:t>
      </w:r>
      <w:proofErr w:type="spellStart"/>
      <w:r w:rsidRPr="000420D9">
        <w:rPr>
          <w:rFonts w:ascii="Times New Roman" w:eastAsia="Times New Roman" w:hAnsi="Times New Roman" w:cs="Times New Roman"/>
          <w:sz w:val="24"/>
          <w:szCs w:val="24"/>
          <w:lang w:eastAsia="en-GB"/>
        </w:rPr>
        <w:t>osteomalacia</w:t>
      </w:r>
      <w:proofErr w:type="spellEnd"/>
      <w:r w:rsidRPr="000420D9">
        <w:rPr>
          <w:rFonts w:ascii="Times New Roman" w:eastAsia="Times New Roman" w:hAnsi="Times New Roman" w:cs="Times New Roman"/>
          <w:sz w:val="24"/>
          <w:szCs w:val="24"/>
          <w:lang w:eastAsia="en-GB"/>
        </w:rPr>
        <w:t xml:space="preserve">, osteoporosis, and in severe cases, the extremely painful condition known as </w:t>
      </w:r>
      <w:proofErr w:type="spellStart"/>
      <w:r w:rsidRPr="000420D9">
        <w:rPr>
          <w:rFonts w:ascii="Times New Roman" w:eastAsia="Times New Roman" w:hAnsi="Times New Roman" w:cs="Times New Roman"/>
          <w:sz w:val="24"/>
          <w:szCs w:val="24"/>
          <w:lang w:eastAsia="en-GB"/>
        </w:rPr>
        <w:t>itai-itai</w:t>
      </w:r>
      <w:proofErr w:type="spellEnd"/>
      <w:r w:rsidRPr="000420D9">
        <w:rPr>
          <w:rFonts w:ascii="Times New Roman" w:eastAsia="Times New Roman" w:hAnsi="Times New Roman" w:cs="Times New Roman"/>
          <w:sz w:val="24"/>
          <w:szCs w:val="24"/>
          <w:lang w:eastAsia="en-GB"/>
        </w:rPr>
        <w:t xml:space="preserve"> disease, which was first identified in Japan among populations exposed to high cadmium levels through contaminated rice consumption. The disease causes severe bone pain, fractures, and skeletal deformities due to cadmium's interference with vitamin D metabolism and calcium-phosphate homeostasis, combined with direct toxic effects on bone cells.</w:t>
      </w:r>
    </w:p>
    <w:p w14:paraId="682A2F7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Beyond kidney and bone effects, cadmium damages the liver, causing hepatocellular injury, elevated liver enzymes, and potentially fibrosis with prolonged exposure. The metal generates oxidative stress by depleting cellular antioxidant </w:t>
      </w:r>
      <w:proofErr w:type="spellStart"/>
      <w:r w:rsidRPr="000420D9">
        <w:rPr>
          <w:rFonts w:ascii="Times New Roman" w:eastAsia="Times New Roman" w:hAnsi="Times New Roman" w:cs="Times New Roman"/>
          <w:sz w:val="24"/>
          <w:szCs w:val="24"/>
          <w:lang w:eastAsia="en-GB"/>
        </w:rPr>
        <w:t>defenses</w:t>
      </w:r>
      <w:proofErr w:type="spellEnd"/>
      <w:r w:rsidRPr="000420D9">
        <w:rPr>
          <w:rFonts w:ascii="Times New Roman" w:eastAsia="Times New Roman" w:hAnsi="Times New Roman" w:cs="Times New Roman"/>
          <w:sz w:val="24"/>
          <w:szCs w:val="24"/>
          <w:lang w:eastAsia="en-GB"/>
        </w:rPr>
        <w:t xml:space="preserve">, particularly glutathione, and promoting formation of reactive oxygen species. This oxidative damage affects multiple cellular components including lipids, proteins, and DNA. Cadmium's neurotoxic properties affect both central and peripheral nervous systems, causing olfactory dysfunction, learning disabilities,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changes, and motor impairment.</w:t>
      </w:r>
    </w:p>
    <w:p w14:paraId="356B47C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high cadmium levels found in these maize varieties are particularly concerning given that maize serves as a staple food consumed daily in large quantities by households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and throughout Machakos County. With typical maize consumption rates in Kenya </w:t>
      </w:r>
      <w:r w:rsidRPr="000420D9">
        <w:rPr>
          <w:rFonts w:ascii="Times New Roman" w:eastAsia="Times New Roman" w:hAnsi="Times New Roman" w:cs="Times New Roman"/>
          <w:sz w:val="24"/>
          <w:szCs w:val="24"/>
          <w:lang w:eastAsia="en-GB"/>
        </w:rPr>
        <w:lastRenderedPageBreak/>
        <w:t>averaging 200-400 grams per person per day, individuals consuming this contaminated maize would be exposed to cadmium doses far exceeding safe intake levels. The provisional tolerable weekly intake for cadmium, as established by WHO and FAO, is 2.5 micrograms per kilogram body weight. For a 60-kilogram adult, this translates to 150 micrograms per week or approximately 21 micrograms per day. Consumption of just 100 grams of maize containing 1.8 mg/g cadmium would deliver 180 milligrams of cadmium, more than 8,500 times the acceptable daily intake. Even accounting for the fact that bioavailability from food is typically lower than 100%, the exposure levels remain grossly excessive and pose serious health risks.</w:t>
      </w:r>
    </w:p>
    <w:p w14:paraId="6FADD14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sources of cadmium contamination in these maize samples require investigation. Possible pathways include use of phosphate fertilizers contaminated with cadmium, irrigation with contaminated water, atmospheric deposition from industrial sources or waste burning, and natural geological sources if the area has cadmium-rich parent rock. The observation that all three varieties, including both modern hybrids and the traditional indigenous type, show elevated cadmium suggests that the contamination source is environmental rather than variety-specific, though the differences in uptake efficiency between varieties indicate that genetic factors also play a role.</w:t>
      </w:r>
    </w:p>
    <w:p w14:paraId="7A422971"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4.2.3 Copper Levels in Maize Varieties</w:t>
      </w:r>
    </w:p>
    <w:p w14:paraId="573CCB1C" w14:textId="77777777" w:rsidR="000E0C6D" w:rsidRDefault="000E0C6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3D78BBF6" wp14:editId="5BCF8EAD">
            <wp:extent cx="2590800" cy="2819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420D9">
        <w:rPr>
          <w:rFonts w:ascii="Times New Roman" w:eastAsia="Times New Roman" w:hAnsi="Times New Roman" w:cs="Times New Roman"/>
          <w:b/>
          <w:bCs/>
          <w:sz w:val="24"/>
          <w:szCs w:val="24"/>
          <w:lang w:eastAsia="en-GB"/>
        </w:rPr>
        <w:t xml:space="preserve"> </w:t>
      </w:r>
    </w:p>
    <w:p w14:paraId="5248E32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w:t>
      </w:r>
      <w:r w:rsidR="000E0C6D">
        <w:rPr>
          <w:rFonts w:ascii="Times New Roman" w:eastAsia="Times New Roman" w:hAnsi="Times New Roman" w:cs="Times New Roman"/>
          <w:b/>
          <w:bCs/>
          <w:sz w:val="24"/>
          <w:szCs w:val="24"/>
          <w:lang w:eastAsia="en-GB"/>
        </w:rPr>
        <w:t xml:space="preserve">Figure 4.8 </w:t>
      </w:r>
      <w:r w:rsidRPr="00CD25A2">
        <w:rPr>
          <w:rFonts w:ascii="Times New Roman" w:eastAsia="Times New Roman" w:hAnsi="Times New Roman" w:cs="Times New Roman"/>
          <w:bCs/>
          <w:sz w:val="24"/>
          <w:szCs w:val="24"/>
          <w:lang w:eastAsia="en-GB"/>
        </w:rPr>
        <w:t>Copper levels in SC Sungura 301, SC Duma 43 and the Indigenous Kamba maize</w:t>
      </w:r>
      <w:r w:rsidRPr="000420D9">
        <w:rPr>
          <w:rFonts w:ascii="Times New Roman" w:eastAsia="Times New Roman" w:hAnsi="Times New Roman" w:cs="Times New Roman"/>
          <w:b/>
          <w:bCs/>
          <w:sz w:val="24"/>
          <w:szCs w:val="24"/>
          <w:lang w:eastAsia="en-GB"/>
        </w:rPr>
        <w:t>]</w:t>
      </w:r>
    </w:p>
    <w:p w14:paraId="513E9A1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Copper concentrations in the maize varieties were relatively uniform and low, with SC Sungura 301 containing 0.756 ± 0.101 mg/g, SC Duma 43 showing 0.741 ± 0.0741 mg/g, and the indigenous Kamba maize having 0.700 ± 0.0380 mg/g. These values were substantially below the recommended range of 10-50 mg/g established by regulatory authorities for adequate nutritional content in cereal grains. The indigenous Kamba variety had the lowest copper content, while SC Sungura 301 exhibited slightly higher levels, though the differences among varieties were small.</w:t>
      </w:r>
    </w:p>
    <w:p w14:paraId="69AB5A0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From a food safety perspective regarding copper toxicity, these levels pose no concern. Copper toxicity in humans typically requires intake of amounts far exceeding what these maize samples contain. The absence of copper contamination is encouraging, as excessive copper can cause serious health problems including liver damage, gastrointestinal distress, and neurological effects. The levels detected are consistent with normal background copper content in cereals and suggest that agricultural practices in the </w:t>
      </w:r>
      <w:r w:rsidRPr="000420D9">
        <w:rPr>
          <w:rFonts w:ascii="Times New Roman" w:eastAsia="Times New Roman" w:hAnsi="Times New Roman" w:cs="Times New Roman"/>
          <w:sz w:val="24"/>
          <w:szCs w:val="24"/>
          <w:lang w:eastAsia="en-GB"/>
        </w:rPr>
        <w:lastRenderedPageBreak/>
        <w:t>study area are not introducing problematic copper contamination.</w:t>
      </w:r>
    </w:p>
    <w:p w14:paraId="6DA96B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However, similar to the situation with zinc, the low copper levels raise nutritional concerns. Copper is an essential trace element required for numerous physiological functions including iron metabolism and </w:t>
      </w:r>
      <w:proofErr w:type="spellStart"/>
      <w:r w:rsidRPr="000420D9">
        <w:rPr>
          <w:rFonts w:ascii="Times New Roman" w:eastAsia="Times New Roman" w:hAnsi="Times New Roman" w:cs="Times New Roman"/>
          <w:sz w:val="24"/>
          <w:szCs w:val="24"/>
          <w:lang w:eastAsia="en-GB"/>
        </w:rPr>
        <w:t>hemoglobin</w:t>
      </w:r>
      <w:proofErr w:type="spellEnd"/>
      <w:r w:rsidRPr="000420D9">
        <w:rPr>
          <w:rFonts w:ascii="Times New Roman" w:eastAsia="Times New Roman" w:hAnsi="Times New Roman" w:cs="Times New Roman"/>
          <w:sz w:val="24"/>
          <w:szCs w:val="24"/>
          <w:lang w:eastAsia="en-GB"/>
        </w:rPr>
        <w:t xml:space="preserve"> formation, connective tissue formation through </w:t>
      </w:r>
      <w:proofErr w:type="spellStart"/>
      <w:r w:rsidRPr="000420D9">
        <w:rPr>
          <w:rFonts w:ascii="Times New Roman" w:eastAsia="Times New Roman" w:hAnsi="Times New Roman" w:cs="Times New Roman"/>
          <w:sz w:val="24"/>
          <w:szCs w:val="24"/>
          <w:lang w:eastAsia="en-GB"/>
        </w:rPr>
        <w:t>lysyl</w:t>
      </w:r>
      <w:proofErr w:type="spellEnd"/>
      <w:r w:rsidRPr="000420D9">
        <w:rPr>
          <w:rFonts w:ascii="Times New Roman" w:eastAsia="Times New Roman" w:hAnsi="Times New Roman" w:cs="Times New Roman"/>
          <w:sz w:val="24"/>
          <w:szCs w:val="24"/>
          <w:lang w:eastAsia="en-GB"/>
        </w:rPr>
        <w:t xml:space="preserve"> oxidase activity, energy production in mitochondria, neurotransmitter synthesis, immune function, and antioxidant </w:t>
      </w:r>
      <w:proofErr w:type="spellStart"/>
      <w:r w:rsidRPr="000420D9">
        <w:rPr>
          <w:rFonts w:ascii="Times New Roman" w:eastAsia="Times New Roman" w:hAnsi="Times New Roman" w:cs="Times New Roman"/>
          <w:sz w:val="24"/>
          <w:szCs w:val="24"/>
          <w:lang w:eastAsia="en-GB"/>
        </w:rPr>
        <w:t>defense</w:t>
      </w:r>
      <w:proofErr w:type="spellEnd"/>
      <w:r w:rsidRPr="000420D9">
        <w:rPr>
          <w:rFonts w:ascii="Times New Roman" w:eastAsia="Times New Roman" w:hAnsi="Times New Roman" w:cs="Times New Roman"/>
          <w:sz w:val="24"/>
          <w:szCs w:val="24"/>
          <w:lang w:eastAsia="en-GB"/>
        </w:rPr>
        <w:t xml:space="preserve"> through copper-zinc superoxide dismutase. Copper deficiency, while less common than iron or zinc deficiency, can cause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xml:space="preserve"> that does not respond to iron supplementation, neutropenia leading to increased infection susceptibility, bone abnormalities including osteoporosis, neurological problems, and cardiovascular issues.</w:t>
      </w:r>
    </w:p>
    <w:p w14:paraId="179F25F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deficiency in copper, combined with the already noted zinc deficiency, suggests that maize from this region may not provide adequate levels of essential trace minerals. This micronutrient deficiency pattern likely reflects soil nutrient depletion, inadequate fertilization practices focusing primarily on macronutrients like nitrogen and phosphorus while neglecting micronutrients, and possibly selection of high-yielding varieties that have lower mineral density due to dilution effects as more biomass is produced from the same soil mineral supply.</w:t>
      </w:r>
    </w:p>
    <w:p w14:paraId="4F8042BB"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4.2.4 Manganese Levels in Maize Varieties</w:t>
      </w:r>
    </w:p>
    <w:p w14:paraId="068CDD26" w14:textId="77777777" w:rsidR="0038231D" w:rsidRDefault="0038231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4A17989" wp14:editId="01C04BD3">
            <wp:extent cx="2676525" cy="28479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0CACC8" w14:textId="77777777" w:rsidR="000420D9" w:rsidRPr="000420D9" w:rsidRDefault="0038231D"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[Figure 4.9 </w:t>
      </w:r>
      <w:r w:rsidR="000420D9" w:rsidRPr="00CD25A2">
        <w:rPr>
          <w:rFonts w:ascii="Times New Roman" w:eastAsia="Times New Roman" w:hAnsi="Times New Roman" w:cs="Times New Roman"/>
          <w:bCs/>
          <w:sz w:val="24"/>
          <w:szCs w:val="24"/>
          <w:lang w:eastAsia="en-GB"/>
        </w:rPr>
        <w:t>Manganese levels in SC Sungura 301, SC Duma 43 and the Indigenous Kamba maize</w:t>
      </w:r>
      <w:r w:rsidR="000420D9" w:rsidRPr="000420D9">
        <w:rPr>
          <w:rFonts w:ascii="Times New Roman" w:eastAsia="Times New Roman" w:hAnsi="Times New Roman" w:cs="Times New Roman"/>
          <w:b/>
          <w:bCs/>
          <w:sz w:val="24"/>
          <w:szCs w:val="24"/>
          <w:lang w:eastAsia="en-GB"/>
        </w:rPr>
        <w:t>]</w:t>
      </w:r>
    </w:p>
    <w:p w14:paraId="324D546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Manganese concentrations showed considerable variation among the three maize varieties. SC Sungura 301 contained 2.745 ± 0.851 mg/g, SC Duma 43 had 1.748 ± 0.110 mg/g, and the indigenous Kamba maize showed only 0.270 ± 0.0586 mg/g. This represents more than a ten-fold difference between the highest and lowest values, indicating substantial varietal differences in manganese accumulation. The indigenous Kamba variety had dramatically lower manganese content compared to both hybrid varieties, while SC Sungura 301 exhibited the highest levels.</w:t>
      </w:r>
    </w:p>
    <w:p w14:paraId="5BAC4597"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Despite this variability, all three values fell below the recommended range of 5-20 mg/g established by WHO, FAO, and KEBS for adequate manganese content in food grains. From a toxicity standpoint, none of the samples approached the threshold of concern, as manganese toxicity typically becomes problematic only at levels exceeding 20 mg/g. The absence of manganese contamination is positive from a safety perspective, as excessive manganese intake can cause serious neurological problems including a </w:t>
      </w:r>
      <w:r w:rsidRPr="000420D9">
        <w:rPr>
          <w:rFonts w:ascii="Times New Roman" w:eastAsia="Times New Roman" w:hAnsi="Times New Roman" w:cs="Times New Roman"/>
          <w:sz w:val="24"/>
          <w:szCs w:val="24"/>
          <w:lang w:eastAsia="en-GB"/>
        </w:rPr>
        <w:lastRenderedPageBreak/>
        <w:t xml:space="preserve">Parkinson's-like syndrome known as </w:t>
      </w:r>
      <w:proofErr w:type="spellStart"/>
      <w:r w:rsidRPr="000420D9">
        <w:rPr>
          <w:rFonts w:ascii="Times New Roman" w:eastAsia="Times New Roman" w:hAnsi="Times New Roman" w:cs="Times New Roman"/>
          <w:sz w:val="24"/>
          <w:szCs w:val="24"/>
          <w:lang w:eastAsia="en-GB"/>
        </w:rPr>
        <w:t>manganism</w:t>
      </w:r>
      <w:proofErr w:type="spellEnd"/>
      <w:r w:rsidRPr="000420D9">
        <w:rPr>
          <w:rFonts w:ascii="Times New Roman" w:eastAsia="Times New Roman" w:hAnsi="Times New Roman" w:cs="Times New Roman"/>
          <w:sz w:val="24"/>
          <w:szCs w:val="24"/>
          <w:lang w:eastAsia="en-GB"/>
        </w:rPr>
        <w:t>.</w:t>
      </w:r>
    </w:p>
    <w:p w14:paraId="7AF69EF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relatively high standard deviation observed for SC Sungura 301 manganese measurements (±0.851) compared to the mean value (2.745) indicates considerable variability among replicate samples. This variability could reflect heterogeneity in the original sample, variations in the growing conditions or soil manganese availability across different parts of the farm, or analytical measurement uncertainty. The coefficient of variation for this measurement is approximately 31%, which is higher than desirable for quantitative analysis and suggests that the manganese results should be interpreted with appropriate caution.</w:t>
      </w:r>
    </w:p>
    <w:p w14:paraId="623CBC19"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From a nutritional perspective, the low manganese levels, particularly in the indigenous variety, may contribute to dietary inadequacy. Manganese is an essential trace element required for bone formation, amino acid metabolism, cholesterol and carbohydrate metabolism, and functioning as a cofactor for several important enzymes including manganese superoxide dismutase, an antioxidant enzyme. While manganese deficiency in humans is rare due to the widespread occurrence of this element in plant foods, very low dietary intake could theoretically contribute to impaired growth, skeletal abnormalities, altered glucose and lipid metabolism, and increased oxidative stress.</w:t>
      </w:r>
    </w:p>
    <w:p w14:paraId="4F08F39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varietal differences in manganese accumulation are noteworthy and suggest that genetic factors influence uptake and translocation of this metal to grains. Modern breeding programs could potentially select for or develop varieties with improved manganese accumulation to enhance nutritional quality, though care must be taken not to select for varieties that also accumulate toxic metals like cadmium or lead more efficiently.</w:t>
      </w:r>
    </w:p>
    <w:p w14:paraId="25766A0F" w14:textId="77777777"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4.2.5 Lead Levels in Maize Varieties</w:t>
      </w:r>
    </w:p>
    <w:p w14:paraId="4ACF98BE" w14:textId="77777777" w:rsidR="0038231D" w:rsidRDefault="0038231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92982F7" wp14:editId="5892291B">
            <wp:extent cx="2495550" cy="32956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237BF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[Fig</w:t>
      </w:r>
      <w:r w:rsidR="0038231D">
        <w:rPr>
          <w:rFonts w:ascii="Times New Roman" w:eastAsia="Times New Roman" w:hAnsi="Times New Roman" w:cs="Times New Roman"/>
          <w:b/>
          <w:bCs/>
          <w:sz w:val="24"/>
          <w:szCs w:val="24"/>
          <w:lang w:eastAsia="en-GB"/>
        </w:rPr>
        <w:t>ure 4.10</w:t>
      </w:r>
      <w:r w:rsidRPr="000420D9">
        <w:rPr>
          <w:rFonts w:ascii="Times New Roman" w:eastAsia="Times New Roman" w:hAnsi="Times New Roman" w:cs="Times New Roman"/>
          <w:b/>
          <w:bCs/>
          <w:sz w:val="24"/>
          <w:szCs w:val="24"/>
          <w:lang w:eastAsia="en-GB"/>
        </w:rPr>
        <w:t xml:space="preserve"> </w:t>
      </w:r>
      <w:r w:rsidRPr="00CD25A2">
        <w:rPr>
          <w:rFonts w:ascii="Times New Roman" w:eastAsia="Times New Roman" w:hAnsi="Times New Roman" w:cs="Times New Roman"/>
          <w:bCs/>
          <w:sz w:val="24"/>
          <w:szCs w:val="24"/>
          <w:lang w:eastAsia="en-GB"/>
        </w:rPr>
        <w:t>Lead levels in SC Sungura 301, SC Duma 43 and the Indigenous Kamba maize</w:t>
      </w:r>
      <w:r w:rsidRPr="000420D9">
        <w:rPr>
          <w:rFonts w:ascii="Times New Roman" w:eastAsia="Times New Roman" w:hAnsi="Times New Roman" w:cs="Times New Roman"/>
          <w:b/>
          <w:bCs/>
          <w:sz w:val="24"/>
          <w:szCs w:val="24"/>
          <w:lang w:eastAsia="en-GB"/>
        </w:rPr>
        <w:t>]</w:t>
      </w:r>
    </w:p>
    <w:p w14:paraId="01570BB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Lead concentrations in the maize varieties represented the most severe food safety concern identified in this study. The levels measured were alarmingly high across all three varieties: SC Sungura 301 contained 8.990 ± 0.752 mg/g, SC Duma 43 showed 10.449 ± 0.398 mg/g, and the indigenous Kamba maize had 8.247 ± 0.798 mg/g. These concentrations exceeded the maximum permissible limit of 0.2-0.5 mg/g established by WHO, FAO, and KEBS by factors ranging from approximately 16 to 52 times, depending on which regulatory threshold is applied. SC Duma 43 hybrid exhibited the highest lead contamination, followed closely by SC Sungura 301, while the indigenous variety showed slightly lower but still extremely elevated levels.</w:t>
      </w:r>
    </w:p>
    <w:p w14:paraId="03686D2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presence of lead at these extraordinarily high concentrations renders all three maize varieties completely unsafe for human or animal consumption. Lead is one of the most thoroughly studied </w:t>
      </w:r>
      <w:r w:rsidRPr="000420D9">
        <w:rPr>
          <w:rFonts w:ascii="Times New Roman" w:eastAsia="Times New Roman" w:hAnsi="Times New Roman" w:cs="Times New Roman"/>
          <w:sz w:val="24"/>
          <w:szCs w:val="24"/>
          <w:lang w:eastAsia="en-GB"/>
        </w:rPr>
        <w:lastRenderedPageBreak/>
        <w:t>environmental toxicants, with no known safe level of exposure. Even very low blood lead levels, once considered acceptable, are now recognized to cause adverse health effects, particularly in children. The levels found in these maize samples would deliver lead doses far exceeding any conceivable safety limit.</w:t>
      </w:r>
    </w:p>
    <w:p w14:paraId="5830419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Lead exerts toxic effects across virtually every organ system in the body, with the nervous system, kidneys, blood-forming system, and cardiovascular system being particularly vulnerable. In children, lead neurotoxicity causes reduced intelligence quotient, learning disabilities, attention deficit disorders, </w:t>
      </w:r>
      <w:proofErr w:type="spellStart"/>
      <w:r w:rsidRPr="000420D9">
        <w:rPr>
          <w:rFonts w:ascii="Times New Roman" w:eastAsia="Times New Roman" w:hAnsi="Times New Roman" w:cs="Times New Roman"/>
          <w:sz w:val="24"/>
          <w:szCs w:val="24"/>
          <w:lang w:eastAsia="en-GB"/>
        </w:rPr>
        <w:t>behavioral</w:t>
      </w:r>
      <w:proofErr w:type="spellEnd"/>
      <w:r w:rsidRPr="000420D9">
        <w:rPr>
          <w:rFonts w:ascii="Times New Roman" w:eastAsia="Times New Roman" w:hAnsi="Times New Roman" w:cs="Times New Roman"/>
          <w:sz w:val="24"/>
          <w:szCs w:val="24"/>
          <w:lang w:eastAsia="en-GB"/>
        </w:rPr>
        <w:t xml:space="preserve"> problems, and impaired academic performance. These neurodevelopmental effects can occur at blood lead levels once thought to be safe and are largely irreversible even after exposure cessation. Longitudinal studies have demonstrated that childhood lead exposure is associated with reduced educational attainment, lower income in adulthood, and increased risk of criminal </w:t>
      </w:r>
      <w:proofErr w:type="spellStart"/>
      <w:r w:rsidRPr="000420D9">
        <w:rPr>
          <w:rFonts w:ascii="Times New Roman" w:eastAsia="Times New Roman" w:hAnsi="Times New Roman" w:cs="Times New Roman"/>
          <w:sz w:val="24"/>
          <w:szCs w:val="24"/>
          <w:lang w:eastAsia="en-GB"/>
        </w:rPr>
        <w:t>behavior</w:t>
      </w:r>
      <w:proofErr w:type="spellEnd"/>
      <w:r w:rsidRPr="000420D9">
        <w:rPr>
          <w:rFonts w:ascii="Times New Roman" w:eastAsia="Times New Roman" w:hAnsi="Times New Roman" w:cs="Times New Roman"/>
          <w:sz w:val="24"/>
          <w:szCs w:val="24"/>
          <w:lang w:eastAsia="en-GB"/>
        </w:rPr>
        <w:t>.</w:t>
      </w:r>
    </w:p>
    <w:p w14:paraId="4E50393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In adults, lead exposure contributes to hypertension and cardiovascular disease through multiple mechanisms including direct effects on vascular smooth muscle, interference with nitric oxide production, promotion of oxidative stress, and effects on the renin-angiotensin system. Chronic lead exposure is associated with increased risk of heart attack, stroke, and cardiovascular mortality. Lead nephrotoxicity initially presents as proximal tubular dysfunction but with continued exposure progresses to chronic interstitial nephritis, tubular atrophy, and chronic kidney disease that may eventually require dialysis.</w:t>
      </w:r>
    </w:p>
    <w:p w14:paraId="76AEDB6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Lead interferes with </w:t>
      </w:r>
      <w:proofErr w:type="spellStart"/>
      <w:r w:rsidRPr="000420D9">
        <w:rPr>
          <w:rFonts w:ascii="Times New Roman" w:eastAsia="Times New Roman" w:hAnsi="Times New Roman" w:cs="Times New Roman"/>
          <w:sz w:val="24"/>
          <w:szCs w:val="24"/>
          <w:lang w:eastAsia="en-GB"/>
        </w:rPr>
        <w:t>heme</w:t>
      </w:r>
      <w:proofErr w:type="spellEnd"/>
      <w:r w:rsidRPr="000420D9">
        <w:rPr>
          <w:rFonts w:ascii="Times New Roman" w:eastAsia="Times New Roman" w:hAnsi="Times New Roman" w:cs="Times New Roman"/>
          <w:sz w:val="24"/>
          <w:szCs w:val="24"/>
          <w:lang w:eastAsia="en-GB"/>
        </w:rPr>
        <w:t xml:space="preserve"> synthesis, causing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xml:space="preserve"> even at relatively low exposure levels. The metal inhibits several enzymes in the </w:t>
      </w:r>
      <w:proofErr w:type="spellStart"/>
      <w:r w:rsidRPr="000420D9">
        <w:rPr>
          <w:rFonts w:ascii="Times New Roman" w:eastAsia="Times New Roman" w:hAnsi="Times New Roman" w:cs="Times New Roman"/>
          <w:sz w:val="24"/>
          <w:szCs w:val="24"/>
          <w:lang w:eastAsia="en-GB"/>
        </w:rPr>
        <w:t>heme</w:t>
      </w:r>
      <w:proofErr w:type="spellEnd"/>
      <w:r w:rsidRPr="000420D9">
        <w:rPr>
          <w:rFonts w:ascii="Times New Roman" w:eastAsia="Times New Roman" w:hAnsi="Times New Roman" w:cs="Times New Roman"/>
          <w:sz w:val="24"/>
          <w:szCs w:val="24"/>
          <w:lang w:eastAsia="en-GB"/>
        </w:rPr>
        <w:t xml:space="preserve"> biosynthetic pathway, particularly </w:t>
      </w:r>
      <w:proofErr w:type="spellStart"/>
      <w:r w:rsidRPr="000420D9">
        <w:rPr>
          <w:rFonts w:ascii="Times New Roman" w:eastAsia="Times New Roman" w:hAnsi="Times New Roman" w:cs="Times New Roman"/>
          <w:sz w:val="24"/>
          <w:szCs w:val="24"/>
          <w:lang w:eastAsia="en-GB"/>
        </w:rPr>
        <w:t>aminolevulinic</w:t>
      </w:r>
      <w:proofErr w:type="spellEnd"/>
      <w:r w:rsidRPr="000420D9">
        <w:rPr>
          <w:rFonts w:ascii="Times New Roman" w:eastAsia="Times New Roman" w:hAnsi="Times New Roman" w:cs="Times New Roman"/>
          <w:sz w:val="24"/>
          <w:szCs w:val="24"/>
          <w:lang w:eastAsia="en-GB"/>
        </w:rPr>
        <w:t xml:space="preserve"> acid </w:t>
      </w:r>
      <w:r w:rsidRPr="000420D9">
        <w:rPr>
          <w:rFonts w:ascii="Times New Roman" w:eastAsia="Times New Roman" w:hAnsi="Times New Roman" w:cs="Times New Roman"/>
          <w:sz w:val="24"/>
          <w:szCs w:val="24"/>
          <w:lang w:eastAsia="en-GB"/>
        </w:rPr>
        <w:t xml:space="preserve">dehydratase and </w:t>
      </w:r>
      <w:proofErr w:type="spellStart"/>
      <w:r w:rsidRPr="000420D9">
        <w:rPr>
          <w:rFonts w:ascii="Times New Roman" w:eastAsia="Times New Roman" w:hAnsi="Times New Roman" w:cs="Times New Roman"/>
          <w:sz w:val="24"/>
          <w:szCs w:val="24"/>
          <w:lang w:eastAsia="en-GB"/>
        </w:rPr>
        <w:t>ferrochelatase</w:t>
      </w:r>
      <w:proofErr w:type="spellEnd"/>
      <w:r w:rsidRPr="000420D9">
        <w:rPr>
          <w:rFonts w:ascii="Times New Roman" w:eastAsia="Times New Roman" w:hAnsi="Times New Roman" w:cs="Times New Roman"/>
          <w:sz w:val="24"/>
          <w:szCs w:val="24"/>
          <w:lang w:eastAsia="en-GB"/>
        </w:rPr>
        <w:t xml:space="preserve">. This results in accumulation of intermediate compounds and reduced </w:t>
      </w:r>
      <w:proofErr w:type="spellStart"/>
      <w:r w:rsidRPr="000420D9">
        <w:rPr>
          <w:rFonts w:ascii="Times New Roman" w:eastAsia="Times New Roman" w:hAnsi="Times New Roman" w:cs="Times New Roman"/>
          <w:sz w:val="24"/>
          <w:szCs w:val="24"/>
          <w:lang w:eastAsia="en-GB"/>
        </w:rPr>
        <w:t>hemoglobin</w:t>
      </w:r>
      <w:proofErr w:type="spellEnd"/>
      <w:r w:rsidRPr="000420D9">
        <w:rPr>
          <w:rFonts w:ascii="Times New Roman" w:eastAsia="Times New Roman" w:hAnsi="Times New Roman" w:cs="Times New Roman"/>
          <w:sz w:val="24"/>
          <w:szCs w:val="24"/>
          <w:lang w:eastAsia="en-GB"/>
        </w:rPr>
        <w:t xml:space="preserve"> production. Lead also shortens red blood cell lifespan, contributing further to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w:t>
      </w:r>
    </w:p>
    <w:p w14:paraId="2D23C6A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reproductive toxicity of lead affects both males and females. In men, lead exposure reduces sperm count, impairs sperm motility, and alters sperm morphology. In women, lead interferes with normal reproductive function, increases risk of spontaneous abortion and stillbirth, and can cause premature delivery and low birth weight. Lead readily crosses the placenta, exposing the developing </w:t>
      </w:r>
      <w:proofErr w:type="spellStart"/>
      <w:r w:rsidRPr="000420D9">
        <w:rPr>
          <w:rFonts w:ascii="Times New Roman" w:eastAsia="Times New Roman" w:hAnsi="Times New Roman" w:cs="Times New Roman"/>
          <w:sz w:val="24"/>
          <w:szCs w:val="24"/>
          <w:lang w:eastAsia="en-GB"/>
        </w:rPr>
        <w:t>fetus</w:t>
      </w:r>
      <w:proofErr w:type="spellEnd"/>
      <w:r w:rsidRPr="000420D9">
        <w:rPr>
          <w:rFonts w:ascii="Times New Roman" w:eastAsia="Times New Roman" w:hAnsi="Times New Roman" w:cs="Times New Roman"/>
          <w:sz w:val="24"/>
          <w:szCs w:val="24"/>
          <w:lang w:eastAsia="en-GB"/>
        </w:rPr>
        <w:t xml:space="preserve"> to its neurotoxic effects during the critical periods of brain development.</w:t>
      </w:r>
    </w:p>
    <w:p w14:paraId="5088AC0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Lead is classified as a probable human carcinogen based on sufficient evidence in animal studies and limited evidence in humans. The metal damages DNA through generation of reactive oxygen species, interferes with DNA repair mechanisms, and disrupts normal cell cycle regulation. These carcinogenic mechanisms contribute to increased cancer risk with chronic exposure.</w:t>
      </w:r>
    </w:p>
    <w:p w14:paraId="263CDE6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Given typical maize consumption patterns in Kenya, individuals consuming this contaminated maize would be exposed to lead doses posing severe health risks. For a person consuming 300 grams of maize daily with a lead content of 9 mg/g, the daily lead intake would be 2,700 milligrams, an astronomical amount compared to safe intake levels. The provisional tolerable weekly intake for lead, according to WHO, is 25 micrograms per kilogram body weight. For a 60-kilogram adult, this translates to 1,500 micrograms per week or about 214 micrograms per day. The exposure from contaminated maize would exceed this by more than 12,000-fold. Even children consuming smaller portions would receive lead doses causing serious health consequences.</w:t>
      </w:r>
    </w:p>
    <w:p w14:paraId="082C653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The sources of such extreme lead contamination require urgent investigation. Possible pathways include use of contaminated irrigation water, atmospheric deposition from lead-emitting sources such as battery recycling facilities, lead smelting operations, or combustion of leaded fuel if still in use, contamination from lead-containing dust or residues in the agricultural environment, use of lead-contaminated fertilizers or soil amendments, and natural geological sources if the bedrock contains significant lead mineralization. The observation that lead levels are uniformly high across all three varieties and all sampling sites suggests a widespread environmental contamination issue affecting the entire study area rather than isolated contamination events.</w:t>
      </w:r>
    </w:p>
    <w:p w14:paraId="2A34B6DE" w14:textId="77777777" w:rsidR="000420D9" w:rsidRPr="000420D9" w:rsidRDefault="0060177A"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4.3 Comparison a</w:t>
      </w:r>
      <w:r w:rsidR="00ED3160">
        <w:rPr>
          <w:rFonts w:ascii="Times New Roman" w:eastAsia="Times New Roman" w:hAnsi="Times New Roman" w:cs="Times New Roman"/>
          <w:b/>
          <w:bCs/>
          <w:sz w:val="27"/>
          <w:szCs w:val="27"/>
          <w:lang w:eastAsia="en-GB"/>
        </w:rPr>
        <w:t>cross</w:t>
      </w:r>
      <w:r w:rsidR="000420D9" w:rsidRPr="000420D9">
        <w:rPr>
          <w:rFonts w:ascii="Times New Roman" w:eastAsia="Times New Roman" w:hAnsi="Times New Roman" w:cs="Times New Roman"/>
          <w:b/>
          <w:bCs/>
          <w:sz w:val="27"/>
          <w:szCs w:val="27"/>
          <w:lang w:eastAsia="en-GB"/>
        </w:rPr>
        <w:t xml:space="preserve"> Maize Varieties</w:t>
      </w:r>
    </w:p>
    <w:p w14:paraId="4358371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When comparing heavy metal accumulation patterns across the three maize varieties, several important observations emerge. SC Duma 43 hybrid showed the highest levels for lead, zinc, and copper, suggesting this variety may be somewhat more efficient at metal uptake and translocation to grains. SC Sungura 301 exhibited the highest levels of cadmium and manganese. The indigenous Kamba variety generally fell in the middle range for most metals except manganese, where it showed much lower accumulation than the two hybrid varieties.</w:t>
      </w:r>
    </w:p>
    <w:p w14:paraId="2A46626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These varietal differences, while statistically significant in some cases, should not be overemphasized given that all three varieties showed unacceptable levels of lead and cadmium. The differences in uptake efficiency between varieties likely reflect genetic variations in root architecture, metal transporter expression, translocation mechanisms, and grain loading processes. Understanding these genetic factors could inform future </w:t>
      </w:r>
      <w:r w:rsidRPr="000420D9">
        <w:rPr>
          <w:rFonts w:ascii="Times New Roman" w:eastAsia="Times New Roman" w:hAnsi="Times New Roman" w:cs="Times New Roman"/>
          <w:sz w:val="24"/>
          <w:szCs w:val="24"/>
          <w:lang w:eastAsia="en-GB"/>
        </w:rPr>
        <w:t>breeding efforts aimed at developing maize varieties with reduced accumulation of toxic metals while maintaining or enhancing accumulation of essential micronutrients.</w:t>
      </w:r>
    </w:p>
    <w:p w14:paraId="69398BE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It is noteworthy that the modern hybrid varieties did not consistently show lower heavy metal accumulation compared to the traditional indigenous variety. This suggests that breeding programs that developed these hybrids focused primarily on yield and agronomic performance rather than mineral quality or food safety considerations. Future breeding efforts should incorporate screening for reduced toxic metal accumulation and enhanced essential mineral content to improve both safety and nutritional quality.</w:t>
      </w:r>
    </w:p>
    <w:p w14:paraId="5FB88371"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4.4 Implications for Food Safety and Public Health</w:t>
      </w:r>
    </w:p>
    <w:p w14:paraId="4497692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findings of this study reveal a serious food safety crisis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and potentially across broader areas of Machakos County. The maize varieties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which represent common types cultivated and consumed in the region, contain lead and cadmium at levels far exceeding international safety standards. Consumption of this contaminated maize poses immediate and long-term health risks to the population, particularly vulnerable groups including children, pregnant women, and individuals with pre-existing health conditions.</w:t>
      </w:r>
    </w:p>
    <w:p w14:paraId="7FAAEF7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health implications are especially concerning given that maize serves as the primary staple food for most households in the study area. Unlike foods consumed occasionally or in small quantities, maize is eaten daily and forms the basis of multiple meals. This means that exposure to the heavy metal contamination is chronic, continuous, and at high doses. Over time, this chronic exposure will lead to progressive accumulation of cadmium and lead in body tissues, particularly kidneys, </w:t>
      </w:r>
      <w:r w:rsidRPr="000420D9">
        <w:rPr>
          <w:rFonts w:ascii="Times New Roman" w:eastAsia="Times New Roman" w:hAnsi="Times New Roman" w:cs="Times New Roman"/>
          <w:sz w:val="24"/>
          <w:szCs w:val="24"/>
          <w:lang w:eastAsia="en-GB"/>
        </w:rPr>
        <w:lastRenderedPageBreak/>
        <w:t>liver, and bones, eventually manifesting as clinical toxicity.</w:t>
      </w:r>
    </w:p>
    <w:p w14:paraId="5BB1755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Children are especially vulnerable to heavy metal toxicity for several reasons. They absorb ingested metals more efficiently than adults, their developing nervous systems are more susceptible to neurotoxic effects, they have longer remaining lifespans for accumulated metals to cause damage, and they typically have higher food intake relative to body weight compared to adults. The neurodevelopmental effects of lead exposure in children can have lifelong consequences affecting educational achievement, economic productivity, and quality of life.</w:t>
      </w:r>
    </w:p>
    <w:p w14:paraId="41EF144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concurrent deficiency in essential micronutrients like zinc, copper, and manganese compounds the public health problem. Populations consuming this maize face a double burden of toxic metal exposure combined with micronutrient malnutrition. Zinc and copper deficiencies impair immune function, potentially increasing susceptibility to infectious diseases. Iron deficiency, if also present due to low iron content in the maize or lead-induced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would further compromise health outcomes.</w:t>
      </w:r>
    </w:p>
    <w:p w14:paraId="0BE98578"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4.5 Potential Sources of Contamination</w:t>
      </w:r>
    </w:p>
    <w:p w14:paraId="18B1FD6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Identifying the sources of heavy metal contamination is essential for developing effective remediation strategies. The uniformly high levels of lead and cadmium across all three varieties and all sampling locations suggest widespread environmental contamination rather than variety-specific or site-specific issues.</w:t>
      </w:r>
    </w:p>
    <w:p w14:paraId="7F5208D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Potential agricultural sources include long-term use of phosphate fertilizers that may contain cadmium as a natural contaminant derived from phosphate rock deposits, application of contaminated organic amendments such as manure from animals </w:t>
      </w:r>
      <w:r w:rsidRPr="000420D9">
        <w:rPr>
          <w:rFonts w:ascii="Times New Roman" w:eastAsia="Times New Roman" w:hAnsi="Times New Roman" w:cs="Times New Roman"/>
          <w:sz w:val="24"/>
          <w:szCs w:val="24"/>
          <w:lang w:eastAsia="en-GB"/>
        </w:rPr>
        <w:t xml:space="preserve">exposed to contaminated feed, use of pesticides containing metallic compounds, and irrigation with water contaminated by upstream industrial discharges or urban runoff. The study area's proximity to urban </w:t>
      </w:r>
      <w:proofErr w:type="spellStart"/>
      <w:r w:rsidRPr="000420D9">
        <w:rPr>
          <w:rFonts w:ascii="Times New Roman" w:eastAsia="Times New Roman" w:hAnsi="Times New Roman" w:cs="Times New Roman"/>
          <w:sz w:val="24"/>
          <w:szCs w:val="24"/>
          <w:lang w:eastAsia="en-GB"/>
        </w:rPr>
        <w:t>centers</w:t>
      </w:r>
      <w:proofErr w:type="spellEnd"/>
      <w:r w:rsidRPr="000420D9">
        <w:rPr>
          <w:rFonts w:ascii="Times New Roman" w:eastAsia="Times New Roman" w:hAnsi="Times New Roman" w:cs="Times New Roman"/>
          <w:sz w:val="24"/>
          <w:szCs w:val="24"/>
          <w:lang w:eastAsia="en-GB"/>
        </w:rPr>
        <w:t xml:space="preserve"> and potential industrial activities could contribute atmospheric deposition of lead and other metals.</w:t>
      </w:r>
    </w:p>
    <w:p w14:paraId="092B00F2"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Soil contamination could also arise from historical use of leaded gasoline, if the area is near major roads where decades of vehicle emissions deposited lead, improper disposal or burning of lead-containing materials such as batteries, electronic waste, or painted materials, mining or quarrying activities that disturb lead-bearing geological formations, and natural geological sources if bedrock or parent soil materials contain elevated lead concentrations.</w:t>
      </w:r>
    </w:p>
    <w:p w14:paraId="51D004B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Distinguishing among these potential sources requires additional investigation including analysis of agricultural inputs used by farmers to test for metal contamination, testing of irrigation water sources for heavy metal content, analysis of soil samples from the farms to determine total metal content and bioavailable fractions, investigation of potential industrial or mining activities in the region that could release metals, and consultation with farmers about historical land use practices and inputs applied over time.</w:t>
      </w:r>
    </w:p>
    <w:p w14:paraId="345231FB"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50543EED"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5.0 CONCLUSIONS AND RECOMMENDATIONS</w:t>
      </w:r>
    </w:p>
    <w:p w14:paraId="4AFEF4A5"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5.1 Conclusions</w:t>
      </w:r>
    </w:p>
    <w:p w14:paraId="31FC430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This study successfully determined the levels of five heavy metals in three varieties of maize grown in </w:t>
      </w:r>
      <w:proofErr w:type="spellStart"/>
      <w:r w:rsidRPr="000420D9">
        <w:rPr>
          <w:rFonts w:ascii="Times New Roman" w:eastAsia="Times New Roman" w:hAnsi="Times New Roman" w:cs="Times New Roman"/>
          <w:sz w:val="24"/>
          <w:szCs w:val="24"/>
          <w:lang w:eastAsia="en-GB"/>
        </w:rPr>
        <w:t>Masii</w:t>
      </w:r>
      <w:proofErr w:type="spellEnd"/>
      <w:r w:rsidRPr="000420D9">
        <w:rPr>
          <w:rFonts w:ascii="Times New Roman" w:eastAsia="Times New Roman" w:hAnsi="Times New Roman" w:cs="Times New Roman"/>
          <w:sz w:val="24"/>
          <w:szCs w:val="24"/>
          <w:lang w:eastAsia="en-GB"/>
        </w:rPr>
        <w:t xml:space="preserve"> Location, Machakos County, using Atomic Absorption Spectroscopy following optimized acid digestion. The findings reveal a critical food safety crisis that </w:t>
      </w:r>
      <w:r w:rsidRPr="000420D9">
        <w:rPr>
          <w:rFonts w:ascii="Times New Roman" w:eastAsia="Times New Roman" w:hAnsi="Times New Roman" w:cs="Times New Roman"/>
          <w:sz w:val="24"/>
          <w:szCs w:val="24"/>
          <w:lang w:eastAsia="en-GB"/>
        </w:rPr>
        <w:lastRenderedPageBreak/>
        <w:t>demands urgent attention from health authorities, agricultural extension services, and policymakers.</w:t>
      </w:r>
    </w:p>
    <w:p w14:paraId="35A3F1E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Among the five heavy metals </w:t>
      </w:r>
      <w:proofErr w:type="spellStart"/>
      <w:r w:rsidRPr="000420D9">
        <w:rPr>
          <w:rFonts w:ascii="Times New Roman" w:eastAsia="Times New Roman" w:hAnsi="Times New Roman" w:cs="Times New Roman"/>
          <w:sz w:val="24"/>
          <w:szCs w:val="24"/>
          <w:lang w:eastAsia="en-GB"/>
        </w:rPr>
        <w:t>analyzed</w:t>
      </w:r>
      <w:proofErr w:type="spellEnd"/>
      <w:r w:rsidRPr="000420D9">
        <w:rPr>
          <w:rFonts w:ascii="Times New Roman" w:eastAsia="Times New Roman" w:hAnsi="Times New Roman" w:cs="Times New Roman"/>
          <w:sz w:val="24"/>
          <w:szCs w:val="24"/>
          <w:lang w:eastAsia="en-GB"/>
        </w:rPr>
        <w:t>, lead exhibited the highest concentrations across all three maize varieties, ranging from 8.247 to 10.449 mg/g, levels that exceed regulatory limits by factors of 16 to 52. Cadmium was the second most abundant contaminant, with concentrations ranging from 0.562 to 1.998 mg/g, exceeding permissible limits by factors of 1 to 20. These findings indicate severe contamination with toxic metals that pose serious health risks to consumers.</w:t>
      </w:r>
    </w:p>
    <w:p w14:paraId="6D850C8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In contrast, zinc, copper, and manganese were present at low levels, well below the recommended nutritional ranges of 30-95 mg/g for zinc, 10-50 mg/g for copper, and 5-20 mg/g for manganese. While these low levels do not pose toxicity risks, they indicate that the maize varieties provide inadequate amounts of essential micronutrients, potentially contributing to deficiency disorders in populations relying heavily on maize as their staple food.</w:t>
      </w:r>
    </w:p>
    <w:p w14:paraId="243D90EC"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SC Duma 43 hybrid generally showed the highest heavy metal levels, particularly for lead, followed by SC Sungura 301 and the indigenous Kamba variety. However, all three varieties exhibited unacceptable contamination levels that render them unsafe for human consumption according to international food safety standards established by WHO, FAO, and KEBS.</w:t>
      </w:r>
    </w:p>
    <w:p w14:paraId="68ED827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health implications of consuming this contaminated maize are severe and multisystemic. Lead exposure at the levels detected would cause neurodevelopmental damage in children, cardiovascular disease and hypertension in adults, kidney damage, </w:t>
      </w:r>
      <w:proofErr w:type="spellStart"/>
      <w:r w:rsidRPr="000420D9">
        <w:rPr>
          <w:rFonts w:ascii="Times New Roman" w:eastAsia="Times New Roman" w:hAnsi="Times New Roman" w:cs="Times New Roman"/>
          <w:sz w:val="24"/>
          <w:szCs w:val="24"/>
          <w:lang w:eastAsia="en-GB"/>
        </w:rPr>
        <w:t>anemia</w:t>
      </w:r>
      <w:proofErr w:type="spellEnd"/>
      <w:r w:rsidRPr="000420D9">
        <w:rPr>
          <w:rFonts w:ascii="Times New Roman" w:eastAsia="Times New Roman" w:hAnsi="Times New Roman" w:cs="Times New Roman"/>
          <w:sz w:val="24"/>
          <w:szCs w:val="24"/>
          <w:lang w:eastAsia="en-GB"/>
        </w:rPr>
        <w:t xml:space="preserve">, and reproductive problems, with long-term carcinogenic risks. Cadmium contamination would lead to kidney disease, bone disease, liver damage, and increased cancer risk. The combination of </w:t>
      </w:r>
      <w:r w:rsidRPr="000420D9">
        <w:rPr>
          <w:rFonts w:ascii="Times New Roman" w:eastAsia="Times New Roman" w:hAnsi="Times New Roman" w:cs="Times New Roman"/>
          <w:sz w:val="24"/>
          <w:szCs w:val="24"/>
          <w:lang w:eastAsia="en-GB"/>
        </w:rPr>
        <w:t>toxic metal exposure with essential micronutrient deficiency creates a double burden of malnutrition affecting both immediate and long-term health outcomes.</w:t>
      </w:r>
    </w:p>
    <w:p w14:paraId="7AB36CD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widespread nature of contamination across all varieties and sampling sites suggests that environmental contamination of soil, water, or both is the primary source rather than variety-specific characteristics. Urgent investigation is needed to identify specific contamination sources and pathways to enable targeted remediation efforts.</w:t>
      </w:r>
    </w:p>
    <w:p w14:paraId="506465B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This research contributes valuable baseline data on heavy metal contamination in Kenyan maize that has been largely lacking in scientific literature. The findings demonstrate the critical need for regular monitoring of heavy metals in food crops, particularly staple foods consumed in large quantities. The study also highlights the importance of considering both food safety and nutritional quality when assessing crop suitability for human consumption.</w:t>
      </w:r>
    </w:p>
    <w:p w14:paraId="369F6BC2"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420D9">
        <w:rPr>
          <w:rFonts w:ascii="Times New Roman" w:eastAsia="Times New Roman" w:hAnsi="Times New Roman" w:cs="Times New Roman"/>
          <w:b/>
          <w:bCs/>
          <w:sz w:val="27"/>
          <w:szCs w:val="27"/>
          <w:lang w:eastAsia="en-GB"/>
        </w:rPr>
        <w:t>5.2 Recommendations</w:t>
      </w:r>
    </w:p>
    <w:p w14:paraId="1CF5CD7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Based on the findings of this study, the following recommendations are proposed:</w:t>
      </w:r>
    </w:p>
    <w:p w14:paraId="1CD9105A"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Immediate action is needed to protect public health. Authorities should issue public health advisories warning residents of </w:t>
      </w:r>
      <w:proofErr w:type="spellStart"/>
      <w:r w:rsidRPr="0038231D">
        <w:rPr>
          <w:rFonts w:ascii="Times New Roman" w:eastAsia="Times New Roman" w:hAnsi="Times New Roman" w:cs="Times New Roman"/>
          <w:sz w:val="24"/>
          <w:szCs w:val="24"/>
          <w:lang w:eastAsia="en-GB"/>
        </w:rPr>
        <w:t>Masii</w:t>
      </w:r>
      <w:proofErr w:type="spellEnd"/>
      <w:r w:rsidRPr="0038231D">
        <w:rPr>
          <w:rFonts w:ascii="Times New Roman" w:eastAsia="Times New Roman" w:hAnsi="Times New Roman" w:cs="Times New Roman"/>
          <w:sz w:val="24"/>
          <w:szCs w:val="24"/>
          <w:lang w:eastAsia="en-GB"/>
        </w:rPr>
        <w:t xml:space="preserve"> Location and potentially broader areas of Machakos County about the contamination risks associated with locally grown maize. Distribution and consumption of maize from contaminated areas should be restricted until safety can be assured. Alternative safe food sources should be made available to affected communities to prevent food insecurity while contamination issues are addressed.</w:t>
      </w:r>
    </w:p>
    <w:p w14:paraId="4E54FB4D"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lastRenderedPageBreak/>
        <w:t xml:space="preserve">Comprehensive soil testing should be conducted across farms in </w:t>
      </w:r>
      <w:proofErr w:type="spellStart"/>
      <w:r w:rsidRPr="0038231D">
        <w:rPr>
          <w:rFonts w:ascii="Times New Roman" w:eastAsia="Times New Roman" w:hAnsi="Times New Roman" w:cs="Times New Roman"/>
          <w:sz w:val="24"/>
          <w:szCs w:val="24"/>
          <w:lang w:eastAsia="en-GB"/>
        </w:rPr>
        <w:t>Masii</w:t>
      </w:r>
      <w:proofErr w:type="spellEnd"/>
      <w:r w:rsidRPr="0038231D">
        <w:rPr>
          <w:rFonts w:ascii="Times New Roman" w:eastAsia="Times New Roman" w:hAnsi="Times New Roman" w:cs="Times New Roman"/>
          <w:sz w:val="24"/>
          <w:szCs w:val="24"/>
          <w:lang w:eastAsia="en-GB"/>
        </w:rPr>
        <w:t xml:space="preserve"> Location and surrounding areas to determine the extent and severity of heavy metal contamination in agricultural soils. This testing should include analysis of total metal content, bioavailable fractions, pH, organic matter, and other soil properties affecting metal mobility. Based on soil testing results, appropriate soil remediation strategies should be implemented, which may include phytoremediation using metal-accumulating plants that are not consumed by humans or animals, soil amendments to reduce metal bioavailability such as lime to raise pH or organic matter to bind metals, removal and safe disposal of heavily contaminated topsoil in extreme cases, and crop rotation or land use changes to reduce human exposure pathways.</w:t>
      </w:r>
    </w:p>
    <w:p w14:paraId="2D399210"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Water sources used for irrigation should be tested for heavy metal content to determine whether contaminated water is contributing to the problem. If irrigation water is found to be contaminated, alternative water sources should be identified or water treatment systems implemented to remove metals before agricultural use.</w:t>
      </w:r>
    </w:p>
    <w:p w14:paraId="14A54888"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Agricultural practices should be modified to reduce metal accumulation in crops. Farmers should be advised to use low-cadmium phosphate fertilizers and to minimize unnecessary fertilizer applications. Organic soil amendments should be tested for metal content before application. Agricultural extension services should provide training on safe farming practices and integrated soil fertility management that enhances beneficial nutrients while minimizing contaminant inputs.</w:t>
      </w:r>
    </w:p>
    <w:p w14:paraId="23DC3F48"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Research should be conducted on the specific sources of lead and cadmium contamination in the study area. This investigation should include surveys of potential industrial or mining activities, analysis of atmospheric deposition patterns, assessment of historical land use that might have introduced contaminants, and evaluation of all agricultural inputs including fertilizers, pesticides, manure, and irrigation water for metal content.</w:t>
      </w:r>
    </w:p>
    <w:p w14:paraId="537477A2"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Plant breeding programs should incorporate screening for reduced toxic metal accumulation and enhanced essential mineral content. Varieties showing low uptake of lead and cadmium but efficient accumulation of zinc, copper, and other beneficial minerals should be identified and promoted. Genetic studies could elucidate the mechanisms underlying varietal differences in metal accumulation, informing marker-assisted selection for improved food safety and nutritional quality.</w:t>
      </w:r>
    </w:p>
    <w:p w14:paraId="361E70D2"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A comprehensive monitoring program should be established to regularly assess heavy metal levels in maize and other food crops from various regions of Machakos County and Kenya more broadly. This monitoring would provide early warning of contamination problems, track the effectiveness of remediation efforts, and generate data to support evidence-based food safety policies.</w:t>
      </w:r>
    </w:p>
    <w:p w14:paraId="48DB0281"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Health screening programs should be implemented for populations in affected areas to assess the extent of heavy metal exposure and health impacts. Blood lead and cadmium testing, along with assessment of kidney function and other health indicators, would identify individuals requiring medical intervention and provide data on the </w:t>
      </w:r>
      <w:r w:rsidRPr="0038231D">
        <w:rPr>
          <w:rFonts w:ascii="Times New Roman" w:eastAsia="Times New Roman" w:hAnsi="Times New Roman" w:cs="Times New Roman"/>
          <w:sz w:val="24"/>
          <w:szCs w:val="24"/>
          <w:lang w:eastAsia="en-GB"/>
        </w:rPr>
        <w:lastRenderedPageBreak/>
        <w:t>public health burden of contamination.</w:t>
      </w:r>
    </w:p>
    <w:p w14:paraId="14FBDD04"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Public awareness campaigns should educate farming communities and consumers about heavy metal contamination risks, safe food handling and preparation practices that might reduce exposure, symptoms of heavy metal poisoning that should prompt medical attention, and the importance of dietary diversity to reduce dependence on potentially contaminated staple crops.</w:t>
      </w:r>
    </w:p>
    <w:p w14:paraId="1D5AA73D"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Policy interventions are needed at national and county levels to address food safety in agricultural systems. These should include establishment and enforcement of maximum permissible limits for heavy metals in agricultural soils and irrigation water, regulations requiring testing of agricultural inputs for contaminant content, mandatory food safety testing for crops from areas with known or suspected contamination, and development of compensation or support programs for farmers affected by contamination through no fault of their own.</w:t>
      </w:r>
    </w:p>
    <w:p w14:paraId="39CE9F42"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Further research should be conducted to investigate the bioavailability and health effects of the specific metal forms present in these maize samples, assess the effectiveness of different cooking methods in reducing metal content or bioavailability, examine heavy metal levels in other food crops grown in the region, and evaluate the potential for using contaminated maize for non-food purposes such as animal feed with appropriate safety protocols or industrial uses that do not enter the food chain.</w:t>
      </w:r>
    </w:p>
    <w:p w14:paraId="46C0877C"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631A7816" w14:textId="77777777"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6.0 REFERENCES</w:t>
      </w:r>
    </w:p>
    <w:p w14:paraId="097DCE3F"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Abdullahi, N., </w:t>
      </w:r>
      <w:proofErr w:type="spellStart"/>
      <w:r w:rsidRPr="0038231D">
        <w:rPr>
          <w:rFonts w:ascii="Times New Roman" w:eastAsia="Times New Roman" w:hAnsi="Times New Roman" w:cs="Times New Roman"/>
          <w:sz w:val="24"/>
          <w:szCs w:val="24"/>
          <w:lang w:eastAsia="en-GB"/>
        </w:rPr>
        <w:t>Dandago</w:t>
      </w:r>
      <w:proofErr w:type="spellEnd"/>
      <w:r w:rsidRPr="0038231D">
        <w:rPr>
          <w:rFonts w:ascii="Times New Roman" w:eastAsia="Times New Roman" w:hAnsi="Times New Roman" w:cs="Times New Roman"/>
          <w:sz w:val="24"/>
          <w:szCs w:val="24"/>
          <w:lang w:eastAsia="en-GB"/>
        </w:rPr>
        <w:t xml:space="preserve">, M. A., Gambo, M. S., Abubakar, S. S., </w:t>
      </w:r>
      <w:proofErr w:type="spellStart"/>
      <w:r w:rsidRPr="0038231D">
        <w:rPr>
          <w:rFonts w:ascii="Times New Roman" w:eastAsia="Times New Roman" w:hAnsi="Times New Roman" w:cs="Times New Roman"/>
          <w:sz w:val="24"/>
          <w:szCs w:val="24"/>
          <w:lang w:eastAsia="en-GB"/>
        </w:rPr>
        <w:t>Tsoho</w:t>
      </w:r>
      <w:proofErr w:type="spellEnd"/>
      <w:r w:rsidRPr="0038231D">
        <w:rPr>
          <w:rFonts w:ascii="Times New Roman" w:eastAsia="Times New Roman" w:hAnsi="Times New Roman" w:cs="Times New Roman"/>
          <w:sz w:val="24"/>
          <w:szCs w:val="24"/>
          <w:lang w:eastAsia="en-GB"/>
        </w:rPr>
        <w:t xml:space="preserve">, A. U., &amp; Idah, P. G. (2024). Seasonal variation and uptake pattern of heavy metals in maize. </w:t>
      </w:r>
      <w:proofErr w:type="spellStart"/>
      <w:r w:rsidRPr="0038231D">
        <w:rPr>
          <w:rFonts w:ascii="Times New Roman" w:eastAsia="Times New Roman" w:hAnsi="Times New Roman" w:cs="Times New Roman"/>
          <w:i/>
          <w:iCs/>
          <w:sz w:val="24"/>
          <w:szCs w:val="24"/>
          <w:lang w:eastAsia="en-GB"/>
        </w:rPr>
        <w:t>Dutse</w:t>
      </w:r>
      <w:proofErr w:type="spellEnd"/>
      <w:r w:rsidRPr="0038231D">
        <w:rPr>
          <w:rFonts w:ascii="Times New Roman" w:eastAsia="Times New Roman" w:hAnsi="Times New Roman" w:cs="Times New Roman"/>
          <w:i/>
          <w:iCs/>
          <w:sz w:val="24"/>
          <w:szCs w:val="24"/>
          <w:lang w:eastAsia="en-GB"/>
        </w:rPr>
        <w:t xml:space="preserve"> Journal of Pure and Applied Sciences</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10</w:t>
      </w:r>
      <w:r w:rsidRPr="0038231D">
        <w:rPr>
          <w:rFonts w:ascii="Times New Roman" w:eastAsia="Times New Roman" w:hAnsi="Times New Roman" w:cs="Times New Roman"/>
          <w:sz w:val="24"/>
          <w:szCs w:val="24"/>
          <w:lang w:eastAsia="en-GB"/>
        </w:rPr>
        <w:t>(1a), 78-87.</w:t>
      </w:r>
    </w:p>
    <w:p w14:paraId="3A5DE9BB"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38231D">
        <w:rPr>
          <w:rFonts w:ascii="Times New Roman" w:eastAsia="Times New Roman" w:hAnsi="Times New Roman" w:cs="Times New Roman"/>
          <w:sz w:val="24"/>
          <w:szCs w:val="24"/>
          <w:lang w:eastAsia="en-GB"/>
        </w:rPr>
        <w:t>Aladesanmi</w:t>
      </w:r>
      <w:proofErr w:type="spellEnd"/>
      <w:r w:rsidRPr="0038231D">
        <w:rPr>
          <w:rFonts w:ascii="Times New Roman" w:eastAsia="Times New Roman" w:hAnsi="Times New Roman" w:cs="Times New Roman"/>
          <w:sz w:val="24"/>
          <w:szCs w:val="24"/>
          <w:lang w:eastAsia="en-GB"/>
        </w:rPr>
        <w:t xml:space="preserve">, O. T., </w:t>
      </w:r>
      <w:proofErr w:type="spellStart"/>
      <w:r w:rsidRPr="0038231D">
        <w:rPr>
          <w:rFonts w:ascii="Times New Roman" w:eastAsia="Times New Roman" w:hAnsi="Times New Roman" w:cs="Times New Roman"/>
          <w:sz w:val="24"/>
          <w:szCs w:val="24"/>
          <w:lang w:eastAsia="en-GB"/>
        </w:rPr>
        <w:t>Oroboade</w:t>
      </w:r>
      <w:proofErr w:type="spellEnd"/>
      <w:r w:rsidRPr="0038231D">
        <w:rPr>
          <w:rFonts w:ascii="Times New Roman" w:eastAsia="Times New Roman" w:hAnsi="Times New Roman" w:cs="Times New Roman"/>
          <w:sz w:val="24"/>
          <w:szCs w:val="24"/>
          <w:lang w:eastAsia="en-GB"/>
        </w:rPr>
        <w:t xml:space="preserve">, J. G., </w:t>
      </w:r>
      <w:proofErr w:type="spellStart"/>
      <w:r w:rsidRPr="0038231D">
        <w:rPr>
          <w:rFonts w:ascii="Times New Roman" w:eastAsia="Times New Roman" w:hAnsi="Times New Roman" w:cs="Times New Roman"/>
          <w:sz w:val="24"/>
          <w:szCs w:val="24"/>
          <w:lang w:eastAsia="en-GB"/>
        </w:rPr>
        <w:t>Osisiogu</w:t>
      </w:r>
      <w:proofErr w:type="spellEnd"/>
      <w:r w:rsidRPr="0038231D">
        <w:rPr>
          <w:rFonts w:ascii="Times New Roman" w:eastAsia="Times New Roman" w:hAnsi="Times New Roman" w:cs="Times New Roman"/>
          <w:sz w:val="24"/>
          <w:szCs w:val="24"/>
          <w:lang w:eastAsia="en-GB"/>
        </w:rPr>
        <w:t xml:space="preserve">, C. P., &amp; </w:t>
      </w:r>
      <w:proofErr w:type="spellStart"/>
      <w:r w:rsidRPr="0038231D">
        <w:rPr>
          <w:rFonts w:ascii="Times New Roman" w:eastAsia="Times New Roman" w:hAnsi="Times New Roman" w:cs="Times New Roman"/>
          <w:sz w:val="24"/>
          <w:szCs w:val="24"/>
          <w:lang w:eastAsia="en-GB"/>
        </w:rPr>
        <w:t>Osewole</w:t>
      </w:r>
      <w:proofErr w:type="spellEnd"/>
      <w:r w:rsidRPr="0038231D">
        <w:rPr>
          <w:rFonts w:ascii="Times New Roman" w:eastAsia="Times New Roman" w:hAnsi="Times New Roman" w:cs="Times New Roman"/>
          <w:sz w:val="24"/>
          <w:szCs w:val="24"/>
          <w:lang w:eastAsia="en-GB"/>
        </w:rPr>
        <w:t xml:space="preserve">, A. O. (2019). Bioaccumulation factor of selected heavy metals in </w:t>
      </w:r>
      <w:proofErr w:type="spellStart"/>
      <w:r w:rsidRPr="0038231D">
        <w:rPr>
          <w:rFonts w:ascii="Times New Roman" w:eastAsia="Times New Roman" w:hAnsi="Times New Roman" w:cs="Times New Roman"/>
          <w:i/>
          <w:iCs/>
          <w:sz w:val="24"/>
          <w:szCs w:val="24"/>
          <w:lang w:eastAsia="en-GB"/>
        </w:rPr>
        <w:t>Zea</w:t>
      </w:r>
      <w:proofErr w:type="spellEnd"/>
      <w:r w:rsidRPr="0038231D">
        <w:rPr>
          <w:rFonts w:ascii="Times New Roman" w:eastAsia="Times New Roman" w:hAnsi="Times New Roman" w:cs="Times New Roman"/>
          <w:i/>
          <w:iCs/>
          <w:sz w:val="24"/>
          <w:szCs w:val="24"/>
          <w:lang w:eastAsia="en-GB"/>
        </w:rPr>
        <w:t xml:space="preserve"> mays</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Journal of Health and Pollution</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9</w:t>
      </w:r>
      <w:r w:rsidRPr="0038231D">
        <w:rPr>
          <w:rFonts w:ascii="Times New Roman" w:eastAsia="Times New Roman" w:hAnsi="Times New Roman" w:cs="Times New Roman"/>
          <w:sz w:val="24"/>
          <w:szCs w:val="24"/>
          <w:lang w:eastAsia="en-GB"/>
        </w:rPr>
        <w:t>(24), 191207.</w:t>
      </w:r>
    </w:p>
    <w:p w14:paraId="3FDC702B"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Atta, M. I., Zehra, S. S., Ali, H., Ali, B., Abbas, S. N., Aimen, S., Sarwar, S., Ahmad, I., Hussain, M., Al-Ashkar, I., Elango, D., &amp; El Sabagh, A. (2023). Assessing the effect of heavy metals on maize (</w:t>
      </w:r>
      <w:proofErr w:type="spellStart"/>
      <w:r w:rsidRPr="0038231D">
        <w:rPr>
          <w:rFonts w:ascii="Times New Roman" w:eastAsia="Times New Roman" w:hAnsi="Times New Roman" w:cs="Times New Roman"/>
          <w:i/>
          <w:iCs/>
          <w:sz w:val="24"/>
          <w:szCs w:val="24"/>
          <w:lang w:eastAsia="en-GB"/>
        </w:rPr>
        <w:t>Zea</w:t>
      </w:r>
      <w:proofErr w:type="spellEnd"/>
      <w:r w:rsidRPr="0038231D">
        <w:rPr>
          <w:rFonts w:ascii="Times New Roman" w:eastAsia="Times New Roman" w:hAnsi="Times New Roman" w:cs="Times New Roman"/>
          <w:i/>
          <w:iCs/>
          <w:sz w:val="24"/>
          <w:szCs w:val="24"/>
          <w:lang w:eastAsia="en-GB"/>
        </w:rPr>
        <w:t xml:space="preserve"> mays</w:t>
      </w:r>
      <w:r w:rsidRPr="0038231D">
        <w:rPr>
          <w:rFonts w:ascii="Times New Roman" w:eastAsia="Times New Roman" w:hAnsi="Times New Roman" w:cs="Times New Roman"/>
          <w:sz w:val="24"/>
          <w:szCs w:val="24"/>
          <w:lang w:eastAsia="en-GB"/>
        </w:rPr>
        <w:t xml:space="preserve"> L.) growth and soil characteristics: Implications for phytoremediation. </w:t>
      </w:r>
      <w:proofErr w:type="spellStart"/>
      <w:r w:rsidRPr="0038231D">
        <w:rPr>
          <w:rFonts w:ascii="Times New Roman" w:eastAsia="Times New Roman" w:hAnsi="Times New Roman" w:cs="Times New Roman"/>
          <w:i/>
          <w:iCs/>
          <w:sz w:val="24"/>
          <w:szCs w:val="24"/>
          <w:lang w:eastAsia="en-GB"/>
        </w:rPr>
        <w:t>PeerJ</w:t>
      </w:r>
      <w:proofErr w:type="spellEnd"/>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11</w:t>
      </w:r>
      <w:r w:rsidRPr="0038231D">
        <w:rPr>
          <w:rFonts w:ascii="Times New Roman" w:eastAsia="Times New Roman" w:hAnsi="Times New Roman" w:cs="Times New Roman"/>
          <w:sz w:val="24"/>
          <w:szCs w:val="24"/>
          <w:lang w:eastAsia="en-GB"/>
        </w:rPr>
        <w:t>, e16067.</w:t>
      </w:r>
    </w:p>
    <w:p w14:paraId="06C7F52C"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Briffa, J., Sinagra, E., &amp; Blundell, R. (2020). Heavy metal pollution in the environment and their toxicological effects on humans. </w:t>
      </w:r>
      <w:proofErr w:type="spellStart"/>
      <w:r w:rsidRPr="0038231D">
        <w:rPr>
          <w:rFonts w:ascii="Times New Roman" w:eastAsia="Times New Roman" w:hAnsi="Times New Roman" w:cs="Times New Roman"/>
          <w:i/>
          <w:iCs/>
          <w:sz w:val="24"/>
          <w:szCs w:val="24"/>
          <w:lang w:eastAsia="en-GB"/>
        </w:rPr>
        <w:t>Heliyon</w:t>
      </w:r>
      <w:proofErr w:type="spellEnd"/>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6</w:t>
      </w:r>
      <w:r w:rsidRPr="0038231D">
        <w:rPr>
          <w:rFonts w:ascii="Times New Roman" w:eastAsia="Times New Roman" w:hAnsi="Times New Roman" w:cs="Times New Roman"/>
          <w:sz w:val="24"/>
          <w:szCs w:val="24"/>
          <w:lang w:eastAsia="en-GB"/>
        </w:rPr>
        <w:t>(9), e04691.</w:t>
      </w:r>
    </w:p>
    <w:p w14:paraId="40153A67"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Gargouri, M., Soussi, A., Akrouti, A., </w:t>
      </w:r>
      <w:proofErr w:type="spellStart"/>
      <w:r w:rsidRPr="0038231D">
        <w:rPr>
          <w:rFonts w:ascii="Times New Roman" w:eastAsia="Times New Roman" w:hAnsi="Times New Roman" w:cs="Times New Roman"/>
          <w:sz w:val="24"/>
          <w:szCs w:val="24"/>
          <w:lang w:eastAsia="en-GB"/>
        </w:rPr>
        <w:t>Magné</w:t>
      </w:r>
      <w:proofErr w:type="spellEnd"/>
      <w:r w:rsidRPr="0038231D">
        <w:rPr>
          <w:rFonts w:ascii="Times New Roman" w:eastAsia="Times New Roman" w:hAnsi="Times New Roman" w:cs="Times New Roman"/>
          <w:sz w:val="24"/>
          <w:szCs w:val="24"/>
          <w:lang w:eastAsia="en-GB"/>
        </w:rPr>
        <w:t xml:space="preserve">, C., &amp; El Feki, A. (2018). Ameliorative effects of </w:t>
      </w:r>
      <w:r w:rsidRPr="0038231D">
        <w:rPr>
          <w:rFonts w:ascii="Times New Roman" w:eastAsia="Times New Roman" w:hAnsi="Times New Roman" w:cs="Times New Roman"/>
          <w:i/>
          <w:iCs/>
          <w:sz w:val="24"/>
          <w:szCs w:val="24"/>
          <w:lang w:eastAsia="en-GB"/>
        </w:rPr>
        <w:t>Spirulina platensis</w:t>
      </w:r>
      <w:r w:rsidRPr="0038231D">
        <w:rPr>
          <w:rFonts w:ascii="Times New Roman" w:eastAsia="Times New Roman" w:hAnsi="Times New Roman" w:cs="Times New Roman"/>
          <w:sz w:val="24"/>
          <w:szCs w:val="24"/>
          <w:lang w:eastAsia="en-GB"/>
        </w:rPr>
        <w:t xml:space="preserve"> against lead-induced nephrotoxicity in newborn rats: Modulation of oxidative stress and histopathological changes. </w:t>
      </w:r>
      <w:r w:rsidRPr="0038231D">
        <w:rPr>
          <w:rFonts w:ascii="Times New Roman" w:eastAsia="Times New Roman" w:hAnsi="Times New Roman" w:cs="Times New Roman"/>
          <w:i/>
          <w:iCs/>
          <w:sz w:val="24"/>
          <w:szCs w:val="24"/>
          <w:lang w:eastAsia="en-GB"/>
        </w:rPr>
        <w:t>EXCLI Journal</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17</w:t>
      </w:r>
      <w:r w:rsidRPr="0038231D">
        <w:rPr>
          <w:rFonts w:ascii="Times New Roman" w:eastAsia="Times New Roman" w:hAnsi="Times New Roman" w:cs="Times New Roman"/>
          <w:sz w:val="24"/>
          <w:szCs w:val="24"/>
          <w:lang w:eastAsia="en-GB"/>
        </w:rPr>
        <w:t>, 215-233.</w:t>
      </w:r>
    </w:p>
    <w:p w14:paraId="096E5BB6"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Jaishankar, M., Tseten, T., Anbalagan, N., Mathew, B. B., &amp; </w:t>
      </w:r>
      <w:proofErr w:type="spellStart"/>
      <w:r w:rsidRPr="0038231D">
        <w:rPr>
          <w:rFonts w:ascii="Times New Roman" w:eastAsia="Times New Roman" w:hAnsi="Times New Roman" w:cs="Times New Roman"/>
          <w:sz w:val="24"/>
          <w:szCs w:val="24"/>
          <w:lang w:eastAsia="en-GB"/>
        </w:rPr>
        <w:t>Beeregowda</w:t>
      </w:r>
      <w:proofErr w:type="spellEnd"/>
      <w:r w:rsidRPr="0038231D">
        <w:rPr>
          <w:rFonts w:ascii="Times New Roman" w:eastAsia="Times New Roman" w:hAnsi="Times New Roman" w:cs="Times New Roman"/>
          <w:sz w:val="24"/>
          <w:szCs w:val="24"/>
          <w:lang w:eastAsia="en-GB"/>
        </w:rPr>
        <w:t xml:space="preserve">, K. N. (2014). Toxicity, mechanism and health effects of some heavy metals. </w:t>
      </w:r>
      <w:r w:rsidRPr="0038231D">
        <w:rPr>
          <w:rFonts w:ascii="Times New Roman" w:eastAsia="Times New Roman" w:hAnsi="Times New Roman" w:cs="Times New Roman"/>
          <w:i/>
          <w:iCs/>
          <w:sz w:val="24"/>
          <w:szCs w:val="24"/>
          <w:lang w:eastAsia="en-GB"/>
        </w:rPr>
        <w:t>Interdisciplinary Toxicology</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7</w:t>
      </w:r>
      <w:r w:rsidRPr="0038231D">
        <w:rPr>
          <w:rFonts w:ascii="Times New Roman" w:eastAsia="Times New Roman" w:hAnsi="Times New Roman" w:cs="Times New Roman"/>
          <w:sz w:val="24"/>
          <w:szCs w:val="24"/>
          <w:lang w:eastAsia="en-GB"/>
        </w:rPr>
        <w:t>(2), 60-72.</w:t>
      </w:r>
    </w:p>
    <w:p w14:paraId="69C103DF"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Khan, B. N., Ullah, H., Ashfaq, Y., Hussain, N., </w:t>
      </w:r>
      <w:proofErr w:type="spellStart"/>
      <w:r w:rsidRPr="0038231D">
        <w:rPr>
          <w:rFonts w:ascii="Times New Roman" w:eastAsia="Times New Roman" w:hAnsi="Times New Roman" w:cs="Times New Roman"/>
          <w:sz w:val="24"/>
          <w:szCs w:val="24"/>
          <w:lang w:eastAsia="en-GB"/>
        </w:rPr>
        <w:t>Atique</w:t>
      </w:r>
      <w:proofErr w:type="spellEnd"/>
      <w:r w:rsidRPr="0038231D">
        <w:rPr>
          <w:rFonts w:ascii="Times New Roman" w:eastAsia="Times New Roman" w:hAnsi="Times New Roman" w:cs="Times New Roman"/>
          <w:sz w:val="24"/>
          <w:szCs w:val="24"/>
          <w:lang w:eastAsia="en-GB"/>
        </w:rPr>
        <w:t xml:space="preserve">, U., Aziz, T., Alharbi, M., </w:t>
      </w:r>
      <w:proofErr w:type="spellStart"/>
      <w:r w:rsidRPr="0038231D">
        <w:rPr>
          <w:rFonts w:ascii="Times New Roman" w:eastAsia="Times New Roman" w:hAnsi="Times New Roman" w:cs="Times New Roman"/>
          <w:sz w:val="24"/>
          <w:szCs w:val="24"/>
          <w:lang w:eastAsia="en-GB"/>
        </w:rPr>
        <w:t>Albekairi</w:t>
      </w:r>
      <w:proofErr w:type="spellEnd"/>
      <w:r w:rsidRPr="0038231D">
        <w:rPr>
          <w:rFonts w:ascii="Times New Roman" w:eastAsia="Times New Roman" w:hAnsi="Times New Roman" w:cs="Times New Roman"/>
          <w:sz w:val="24"/>
          <w:szCs w:val="24"/>
          <w:lang w:eastAsia="en-GB"/>
        </w:rPr>
        <w:t xml:space="preserve">, T. H., &amp; </w:t>
      </w:r>
      <w:proofErr w:type="spellStart"/>
      <w:r w:rsidRPr="0038231D">
        <w:rPr>
          <w:rFonts w:ascii="Times New Roman" w:eastAsia="Times New Roman" w:hAnsi="Times New Roman" w:cs="Times New Roman"/>
          <w:sz w:val="24"/>
          <w:szCs w:val="24"/>
          <w:lang w:eastAsia="en-GB"/>
        </w:rPr>
        <w:t>Alasmari</w:t>
      </w:r>
      <w:proofErr w:type="spellEnd"/>
      <w:r w:rsidRPr="0038231D">
        <w:rPr>
          <w:rFonts w:ascii="Times New Roman" w:eastAsia="Times New Roman" w:hAnsi="Times New Roman" w:cs="Times New Roman"/>
          <w:sz w:val="24"/>
          <w:szCs w:val="24"/>
          <w:lang w:eastAsia="en-GB"/>
        </w:rPr>
        <w:t xml:space="preserve">, A. F. (2023). Elucidating the effects of heavy metals contamination on vital organs of fish and migratory birds found at </w:t>
      </w:r>
      <w:r w:rsidRPr="0038231D">
        <w:rPr>
          <w:rFonts w:ascii="Times New Roman" w:eastAsia="Times New Roman" w:hAnsi="Times New Roman" w:cs="Times New Roman"/>
          <w:sz w:val="24"/>
          <w:szCs w:val="24"/>
          <w:lang w:eastAsia="en-GB"/>
        </w:rPr>
        <w:lastRenderedPageBreak/>
        <w:t xml:space="preserve">fresh water ecosystem. </w:t>
      </w:r>
      <w:proofErr w:type="spellStart"/>
      <w:r w:rsidRPr="0038231D">
        <w:rPr>
          <w:rFonts w:ascii="Times New Roman" w:eastAsia="Times New Roman" w:hAnsi="Times New Roman" w:cs="Times New Roman"/>
          <w:i/>
          <w:iCs/>
          <w:sz w:val="24"/>
          <w:szCs w:val="24"/>
          <w:lang w:eastAsia="en-GB"/>
        </w:rPr>
        <w:t>Heliyon</w:t>
      </w:r>
      <w:proofErr w:type="spellEnd"/>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9</w:t>
      </w:r>
      <w:r w:rsidRPr="0038231D">
        <w:rPr>
          <w:rFonts w:ascii="Times New Roman" w:eastAsia="Times New Roman" w:hAnsi="Times New Roman" w:cs="Times New Roman"/>
          <w:sz w:val="24"/>
          <w:szCs w:val="24"/>
          <w:lang w:eastAsia="en-GB"/>
        </w:rPr>
        <w:t>(11), e20968.</w:t>
      </w:r>
    </w:p>
    <w:p w14:paraId="2CBE690A"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Khan, M., Nazar Ibrahim Al Azzawi, T., Imran, M., Hussain, A., Mun, B.-G., Pande, A., &amp; Yun, B.-W. (2021). Effects of lead (Pb)-induced oxidative stress on morphological and physio-biochemical properties of rice. </w:t>
      </w:r>
      <w:r w:rsidRPr="0038231D">
        <w:rPr>
          <w:rFonts w:ascii="Times New Roman" w:eastAsia="Times New Roman" w:hAnsi="Times New Roman" w:cs="Times New Roman"/>
          <w:i/>
          <w:iCs/>
          <w:sz w:val="24"/>
          <w:szCs w:val="24"/>
          <w:lang w:eastAsia="en-GB"/>
        </w:rPr>
        <w:t>BIOCELL</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45</w:t>
      </w:r>
      <w:r w:rsidRPr="0038231D">
        <w:rPr>
          <w:rFonts w:ascii="Times New Roman" w:eastAsia="Times New Roman" w:hAnsi="Times New Roman" w:cs="Times New Roman"/>
          <w:sz w:val="24"/>
          <w:szCs w:val="24"/>
          <w:lang w:eastAsia="en-GB"/>
        </w:rPr>
        <w:t>(5), 1413-1423.</w:t>
      </w:r>
    </w:p>
    <w:p w14:paraId="1FD0751C"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Liu, J., Si, W., Xiao, Z., Tang, R., Niu, P., Fu, Y., &amp; Shen, W. (2023). Risks to human health of exposure to heavy metals through wheat consumption near a tailings dam in North China. </w:t>
      </w:r>
      <w:r w:rsidRPr="0038231D">
        <w:rPr>
          <w:rFonts w:ascii="Times New Roman" w:eastAsia="Times New Roman" w:hAnsi="Times New Roman" w:cs="Times New Roman"/>
          <w:i/>
          <w:iCs/>
          <w:sz w:val="24"/>
          <w:szCs w:val="24"/>
          <w:lang w:eastAsia="en-GB"/>
        </w:rPr>
        <w:t>Polish Journal of Environmental Studies</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32</w:t>
      </w:r>
      <w:r w:rsidRPr="0038231D">
        <w:rPr>
          <w:rFonts w:ascii="Times New Roman" w:eastAsia="Times New Roman" w:hAnsi="Times New Roman" w:cs="Times New Roman"/>
          <w:sz w:val="24"/>
          <w:szCs w:val="24"/>
          <w:lang w:eastAsia="en-GB"/>
        </w:rPr>
        <w:t>(4), 3195-3207.</w:t>
      </w:r>
    </w:p>
    <w:p w14:paraId="1B2969CC"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Mitra, S., Chakraborty, A. J., Tareq, A. M., Emran, T. B., Nainu, F., Khusro, A., Idris, A. M., Khandaker, M. U., Osman, H., </w:t>
      </w:r>
      <w:proofErr w:type="spellStart"/>
      <w:r w:rsidRPr="0038231D">
        <w:rPr>
          <w:rFonts w:ascii="Times New Roman" w:eastAsia="Times New Roman" w:hAnsi="Times New Roman" w:cs="Times New Roman"/>
          <w:sz w:val="24"/>
          <w:szCs w:val="24"/>
          <w:lang w:eastAsia="en-GB"/>
        </w:rPr>
        <w:t>Alhumaydhi</w:t>
      </w:r>
      <w:proofErr w:type="spellEnd"/>
      <w:r w:rsidRPr="0038231D">
        <w:rPr>
          <w:rFonts w:ascii="Times New Roman" w:eastAsia="Times New Roman" w:hAnsi="Times New Roman" w:cs="Times New Roman"/>
          <w:sz w:val="24"/>
          <w:szCs w:val="24"/>
          <w:lang w:eastAsia="en-GB"/>
        </w:rPr>
        <w:t xml:space="preserve">, F. A., &amp; Simal-Gandara, J. (2022). Impact of heavy metals on the environment and human health: Novel therapeutic insights to counter the toxicity. </w:t>
      </w:r>
      <w:r w:rsidRPr="0038231D">
        <w:rPr>
          <w:rFonts w:ascii="Times New Roman" w:eastAsia="Times New Roman" w:hAnsi="Times New Roman" w:cs="Times New Roman"/>
          <w:i/>
          <w:iCs/>
          <w:sz w:val="24"/>
          <w:szCs w:val="24"/>
          <w:lang w:eastAsia="en-GB"/>
        </w:rPr>
        <w:t>Journal of King Saud University - Science</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34</w:t>
      </w:r>
      <w:r w:rsidRPr="0038231D">
        <w:rPr>
          <w:rFonts w:ascii="Times New Roman" w:eastAsia="Times New Roman" w:hAnsi="Times New Roman" w:cs="Times New Roman"/>
          <w:sz w:val="24"/>
          <w:szCs w:val="24"/>
          <w:lang w:eastAsia="en-GB"/>
        </w:rPr>
        <w:t>(3), 101865.</w:t>
      </w:r>
    </w:p>
    <w:p w14:paraId="1ECC7A8C"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Morais, S., E Costa, F. G., &amp; Lourdes Pereira, M. D. (2012). Heavy metals and human health. In J. Oosthuizen (Ed.), </w:t>
      </w:r>
      <w:r w:rsidRPr="0038231D">
        <w:rPr>
          <w:rFonts w:ascii="Times New Roman" w:eastAsia="Times New Roman" w:hAnsi="Times New Roman" w:cs="Times New Roman"/>
          <w:i/>
          <w:iCs/>
          <w:sz w:val="24"/>
          <w:szCs w:val="24"/>
          <w:lang w:eastAsia="en-GB"/>
        </w:rPr>
        <w:t>Environmental Health—Emerging Issues and Practice</w:t>
      </w:r>
      <w:r w:rsidRPr="0038231D">
        <w:rPr>
          <w:rFonts w:ascii="Times New Roman" w:eastAsia="Times New Roman" w:hAnsi="Times New Roman" w:cs="Times New Roman"/>
          <w:sz w:val="24"/>
          <w:szCs w:val="24"/>
          <w:lang w:eastAsia="en-GB"/>
        </w:rPr>
        <w:t xml:space="preserve">. </w:t>
      </w:r>
      <w:proofErr w:type="spellStart"/>
      <w:r w:rsidRPr="0038231D">
        <w:rPr>
          <w:rFonts w:ascii="Times New Roman" w:eastAsia="Times New Roman" w:hAnsi="Times New Roman" w:cs="Times New Roman"/>
          <w:sz w:val="24"/>
          <w:szCs w:val="24"/>
          <w:lang w:eastAsia="en-GB"/>
        </w:rPr>
        <w:t>InTech</w:t>
      </w:r>
      <w:proofErr w:type="spellEnd"/>
      <w:r w:rsidRPr="0038231D">
        <w:rPr>
          <w:rFonts w:ascii="Times New Roman" w:eastAsia="Times New Roman" w:hAnsi="Times New Roman" w:cs="Times New Roman"/>
          <w:sz w:val="24"/>
          <w:szCs w:val="24"/>
          <w:lang w:eastAsia="en-GB"/>
        </w:rPr>
        <w:t>.</w:t>
      </w:r>
    </w:p>
    <w:p w14:paraId="2586129F"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Yan, A., Wang, Y., Tan, S. N., Mohd Yusof, M. L., Ghosh, S., &amp; Chen, Z. (2020). Phytoremediation: A promising approach for revegetation of heavy metal-polluted land. </w:t>
      </w:r>
      <w:r w:rsidRPr="0038231D">
        <w:rPr>
          <w:rFonts w:ascii="Times New Roman" w:eastAsia="Times New Roman" w:hAnsi="Times New Roman" w:cs="Times New Roman"/>
          <w:i/>
          <w:iCs/>
          <w:sz w:val="24"/>
          <w:szCs w:val="24"/>
          <w:lang w:eastAsia="en-GB"/>
        </w:rPr>
        <w:t>Frontiers in Plant Science</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11</w:t>
      </w:r>
      <w:r w:rsidRPr="0038231D">
        <w:rPr>
          <w:rFonts w:ascii="Times New Roman" w:eastAsia="Times New Roman" w:hAnsi="Times New Roman" w:cs="Times New Roman"/>
          <w:sz w:val="24"/>
          <w:szCs w:val="24"/>
          <w:lang w:eastAsia="en-GB"/>
        </w:rPr>
        <w:t>, 359.</w:t>
      </w:r>
    </w:p>
    <w:sectPr w:rsidR="000420D9" w:rsidRPr="0038231D" w:rsidSect="0038231D">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FAA29" w14:textId="77777777" w:rsidR="00923E18" w:rsidRDefault="00923E18" w:rsidP="004C4297">
      <w:pPr>
        <w:spacing w:after="0" w:line="240" w:lineRule="auto"/>
      </w:pPr>
      <w:r>
        <w:separator/>
      </w:r>
    </w:p>
  </w:endnote>
  <w:endnote w:type="continuationSeparator" w:id="0">
    <w:p w14:paraId="7BB2B6B9" w14:textId="77777777" w:rsidR="00923E18" w:rsidRDefault="00923E18" w:rsidP="004C4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8766055"/>
      <w:docPartObj>
        <w:docPartGallery w:val="Page Numbers (Bottom of Page)"/>
        <w:docPartUnique/>
      </w:docPartObj>
    </w:sdtPr>
    <w:sdtEndPr>
      <w:rPr>
        <w:noProof/>
      </w:rPr>
    </w:sdtEndPr>
    <w:sdtContent>
      <w:p w14:paraId="6904B7D9" w14:textId="59C3085D" w:rsidR="00F7749F" w:rsidRDefault="00F774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0D79A2" w14:textId="77777777" w:rsidR="00F7749F" w:rsidRDefault="00F77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4559D7" w14:textId="77777777" w:rsidR="00923E18" w:rsidRDefault="00923E18" w:rsidP="004C4297">
      <w:pPr>
        <w:spacing w:after="0" w:line="240" w:lineRule="auto"/>
      </w:pPr>
      <w:r>
        <w:separator/>
      </w:r>
    </w:p>
  </w:footnote>
  <w:footnote w:type="continuationSeparator" w:id="0">
    <w:p w14:paraId="14E7BBF5" w14:textId="77777777" w:rsidR="00923E18" w:rsidRDefault="00923E18" w:rsidP="004C4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8371C" w14:textId="77777777" w:rsidR="00801435" w:rsidRDefault="00801435" w:rsidP="0080143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93378D"/>
    <w:multiLevelType w:val="hybridMultilevel"/>
    <w:tmpl w:val="CEA65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FA1D86"/>
    <w:multiLevelType w:val="hybridMultilevel"/>
    <w:tmpl w:val="A372C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2251233">
    <w:abstractNumId w:val="1"/>
  </w:num>
  <w:num w:numId="2" w16cid:durableId="716781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0D9"/>
    <w:rsid w:val="00011E3D"/>
    <w:rsid w:val="000420D9"/>
    <w:rsid w:val="00083275"/>
    <w:rsid w:val="000E0C6D"/>
    <w:rsid w:val="000F0C56"/>
    <w:rsid w:val="001A0E29"/>
    <w:rsid w:val="00217BD5"/>
    <w:rsid w:val="00280202"/>
    <w:rsid w:val="00285697"/>
    <w:rsid w:val="00352203"/>
    <w:rsid w:val="00381230"/>
    <w:rsid w:val="0038231D"/>
    <w:rsid w:val="003D684B"/>
    <w:rsid w:val="004538D6"/>
    <w:rsid w:val="004C4297"/>
    <w:rsid w:val="005230CE"/>
    <w:rsid w:val="00530E87"/>
    <w:rsid w:val="0060177A"/>
    <w:rsid w:val="00626432"/>
    <w:rsid w:val="00665BAD"/>
    <w:rsid w:val="006A6150"/>
    <w:rsid w:val="006A6DBC"/>
    <w:rsid w:val="006B0DCE"/>
    <w:rsid w:val="00753E94"/>
    <w:rsid w:val="00763061"/>
    <w:rsid w:val="007C5034"/>
    <w:rsid w:val="007F04ED"/>
    <w:rsid w:val="00801435"/>
    <w:rsid w:val="00866B9D"/>
    <w:rsid w:val="008751EA"/>
    <w:rsid w:val="00923E18"/>
    <w:rsid w:val="00925034"/>
    <w:rsid w:val="009A36A2"/>
    <w:rsid w:val="009E53C3"/>
    <w:rsid w:val="00B47397"/>
    <w:rsid w:val="00B86069"/>
    <w:rsid w:val="00C06136"/>
    <w:rsid w:val="00C1545B"/>
    <w:rsid w:val="00C30839"/>
    <w:rsid w:val="00C65BDF"/>
    <w:rsid w:val="00CB1A8C"/>
    <w:rsid w:val="00CB438A"/>
    <w:rsid w:val="00CD25A2"/>
    <w:rsid w:val="00D3795E"/>
    <w:rsid w:val="00DD7813"/>
    <w:rsid w:val="00E92E62"/>
    <w:rsid w:val="00ED3160"/>
    <w:rsid w:val="00EF4C45"/>
    <w:rsid w:val="00F057F5"/>
    <w:rsid w:val="00F15610"/>
    <w:rsid w:val="00F7749F"/>
    <w:rsid w:val="00FB0CB8"/>
    <w:rsid w:val="00FB3864"/>
    <w:rsid w:val="00FC3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7AA18"/>
  <w15:chartTrackingRefBased/>
  <w15:docId w15:val="{6234860D-5A4B-47B1-9324-402D3BB0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420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420D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420D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0420D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0D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420D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420D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qFormat/>
    <w:rsid w:val="000420D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420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420D9"/>
    <w:rPr>
      <w:i/>
      <w:iCs/>
    </w:rPr>
  </w:style>
  <w:style w:type="character" w:styleId="Strong">
    <w:name w:val="Strong"/>
    <w:basedOn w:val="DefaultParagraphFont"/>
    <w:uiPriority w:val="22"/>
    <w:qFormat/>
    <w:rsid w:val="000420D9"/>
    <w:rPr>
      <w:b/>
      <w:bCs/>
    </w:rPr>
  </w:style>
  <w:style w:type="character" w:styleId="Hyperlink">
    <w:name w:val="Hyperlink"/>
    <w:basedOn w:val="DefaultParagraphFont"/>
    <w:uiPriority w:val="99"/>
    <w:unhideWhenUsed/>
    <w:rsid w:val="00C1545B"/>
    <w:rPr>
      <w:color w:val="0563C1" w:themeColor="hyperlink"/>
      <w:u w:val="single"/>
    </w:rPr>
  </w:style>
  <w:style w:type="paragraph" w:styleId="Header">
    <w:name w:val="header"/>
    <w:basedOn w:val="Normal"/>
    <w:link w:val="HeaderChar"/>
    <w:uiPriority w:val="99"/>
    <w:unhideWhenUsed/>
    <w:rsid w:val="004C4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297"/>
  </w:style>
  <w:style w:type="paragraph" w:styleId="Footer">
    <w:name w:val="footer"/>
    <w:basedOn w:val="Normal"/>
    <w:link w:val="FooterChar"/>
    <w:uiPriority w:val="99"/>
    <w:unhideWhenUsed/>
    <w:rsid w:val="004C4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297"/>
  </w:style>
  <w:style w:type="table" w:customStyle="1" w:styleId="GridTable4-Accent51">
    <w:name w:val="Grid Table 4 - Accent 51"/>
    <w:basedOn w:val="TableNormal"/>
    <w:uiPriority w:val="49"/>
    <w:rsid w:val="00285697"/>
    <w:pPr>
      <w:spacing w:after="0" w:line="240" w:lineRule="auto"/>
    </w:pPr>
    <w:rPr>
      <w:kern w:val="2"/>
      <w:sz w:val="24"/>
      <w:szCs w:val="24"/>
      <w14:ligatures w14:val="standardContextual"/>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1">
    <w:name w:val="Grid Table 4 - Accent 511"/>
    <w:basedOn w:val="TableNormal"/>
    <w:uiPriority w:val="49"/>
    <w:rsid w:val="00801435"/>
    <w:pPr>
      <w:spacing w:after="0" w:line="240" w:lineRule="auto"/>
    </w:pPr>
    <w:rPr>
      <w:kern w:val="2"/>
      <w:sz w:val="24"/>
      <w:szCs w:val="24"/>
      <w14:ligatures w14:val="standardContextual"/>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aption">
    <w:name w:val="caption"/>
    <w:basedOn w:val="Normal"/>
    <w:next w:val="Normal"/>
    <w:uiPriority w:val="35"/>
    <w:unhideWhenUsed/>
    <w:qFormat/>
    <w:rsid w:val="00801435"/>
    <w:pPr>
      <w:spacing w:after="200" w:line="240" w:lineRule="auto"/>
    </w:pPr>
    <w:rPr>
      <w:rFonts w:eastAsiaTheme="minorEastAsia"/>
      <w:i/>
      <w:iCs/>
      <w:color w:val="44546A" w:themeColor="text2"/>
      <w:kern w:val="2"/>
      <w:sz w:val="18"/>
      <w:szCs w:val="18"/>
      <w:lang w:val="en-US"/>
      <w14:ligatures w14:val="standardContextual"/>
    </w:rPr>
  </w:style>
  <w:style w:type="table" w:customStyle="1" w:styleId="TableGrid1">
    <w:name w:val="Table Grid1"/>
    <w:basedOn w:val="TableNormal"/>
    <w:next w:val="TableGrid"/>
    <w:uiPriority w:val="59"/>
    <w:qFormat/>
    <w:rsid w:val="00352203"/>
    <w:pPr>
      <w:spacing w:after="0" w:line="240" w:lineRule="auto"/>
    </w:pPr>
    <w:rPr>
      <w:rFonts w:eastAsia="DengXi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352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3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59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ithure@uonbi.ac.ke"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borah\Desktop\Lead%20level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borah\Desktop\zinc%20lev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8"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borah\Desktop\copper%20level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9"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t>Zinc</a:t>
            </a:r>
            <a:r>
              <a:rPr lang="en-US" b="1" baseline="0"/>
              <a:t> Calibration Curve</a:t>
            </a:r>
            <a:endParaRPr lang="en-US" b="1"/>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'Zinc Conc. in seeds'!$C$1</c:f>
              <c:strCache>
                <c:ptCount val="1"/>
                <c:pt idx="0">
                  <c:v>Absorbance</c:v>
                </c:pt>
              </c:strCache>
            </c:strRef>
          </c:tx>
          <c:spPr>
            <a:ln w="19050" cap="rnd">
              <a:noFill/>
              <a:round/>
            </a:ln>
            <a:effectLst/>
          </c:spPr>
          <c:marker>
            <c:symbol val="circle"/>
            <c:size val="5"/>
            <c:spPr>
              <a:solidFill>
                <a:srgbClr val="ED1BC5"/>
              </a:solidFill>
              <a:ln w="9525">
                <a:solidFill>
                  <a:schemeClr val="accent1"/>
                </a:solidFill>
              </a:ln>
              <a:effectLst/>
            </c:spPr>
          </c:marker>
          <c:dPt>
            <c:idx val="1"/>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0-D216-4125-BECB-05E869F0FB5C}"/>
              </c:ext>
            </c:extLst>
          </c:dPt>
          <c:dPt>
            <c:idx val="2"/>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1-D216-4125-BECB-05E869F0FB5C}"/>
              </c:ext>
            </c:extLst>
          </c:dPt>
          <c:dPt>
            <c:idx val="3"/>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2-D216-4125-BECB-05E869F0FB5C}"/>
              </c:ext>
            </c:extLst>
          </c:dPt>
          <c:dPt>
            <c:idx val="4"/>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3-D216-4125-BECB-05E869F0FB5C}"/>
              </c:ext>
            </c:extLst>
          </c:dPt>
          <c:dPt>
            <c:idx val="5"/>
            <c:marker>
              <c:symbol val="circle"/>
              <c:size val="5"/>
              <c:spPr>
                <a:solidFill>
                  <a:schemeClr val="accent1">
                    <a:lumMod val="75000"/>
                  </a:schemeClr>
                </a:solidFill>
                <a:ln w="9525">
                  <a:solidFill>
                    <a:schemeClr val="accent1"/>
                  </a:solidFill>
                </a:ln>
                <a:effectLst/>
              </c:spPr>
            </c:marker>
            <c:bubble3D val="0"/>
            <c:extLst>
              <c:ext xmlns:c16="http://schemas.microsoft.com/office/drawing/2014/chart" uri="{C3380CC4-5D6E-409C-BE32-E72D297353CC}">
                <c16:uniqueId val="{00000004-D216-4125-BECB-05E869F0FB5C}"/>
              </c:ext>
            </c:extLst>
          </c:dPt>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'Zinc Conc. in seeds'!$B$2:$B$11</c:f>
              <c:numCache>
                <c:formatCode>0.000</c:formatCode>
                <c:ptCount val="10"/>
                <c:pt idx="0">
                  <c:v>-0.2016</c:v>
                </c:pt>
                <c:pt idx="1">
                  <c:v>2.0053999999999998</c:v>
                </c:pt>
                <c:pt idx="2">
                  <c:v>4.1199000000000003</c:v>
                </c:pt>
                <c:pt idx="3">
                  <c:v>6.3815</c:v>
                </c:pt>
                <c:pt idx="4">
                  <c:v>7.8638000000000003</c:v>
                </c:pt>
                <c:pt idx="5">
                  <c:v>9.8310999999999993</c:v>
                </c:pt>
                <c:pt idx="6">
                  <c:v>-0.31059999999999999</c:v>
                </c:pt>
                <c:pt idx="7">
                  <c:v>-0.34333333333333299</c:v>
                </c:pt>
                <c:pt idx="8">
                  <c:v>-0.38873333333333299</c:v>
                </c:pt>
                <c:pt idx="9">
                  <c:v>-0.37236666666666701</c:v>
                </c:pt>
              </c:numCache>
            </c:numRef>
          </c:xVal>
          <c:yVal>
            <c:numRef>
              <c:f>'Zinc Conc. in seeds'!$C$2:$C$11</c:f>
              <c:numCache>
                <c:formatCode>0.000</c:formatCode>
                <c:ptCount val="10"/>
                <c:pt idx="0">
                  <c:v>-1.9E-3</c:v>
                </c:pt>
                <c:pt idx="1">
                  <c:v>3.8600000000000002E-2</c:v>
                </c:pt>
                <c:pt idx="2">
                  <c:v>7.7399999999999997E-2</c:v>
                </c:pt>
                <c:pt idx="3">
                  <c:v>0.11890000000000001</c:v>
                </c:pt>
                <c:pt idx="4">
                  <c:v>0.14610000000000001</c:v>
                </c:pt>
                <c:pt idx="5">
                  <c:v>0.1822</c:v>
                </c:pt>
                <c:pt idx="6">
                  <c:v>-3.8999999999999998E-3</c:v>
                </c:pt>
                <c:pt idx="7">
                  <c:v>-4.4999999999999997E-3</c:v>
                </c:pt>
                <c:pt idx="8">
                  <c:v>-5.3333333333333297E-3</c:v>
                </c:pt>
                <c:pt idx="9">
                  <c:v>-5.0333333333333298E-3</c:v>
                </c:pt>
              </c:numCache>
            </c:numRef>
          </c:yVal>
          <c:smooth val="0"/>
          <c:extLst>
            <c:ext xmlns:c16="http://schemas.microsoft.com/office/drawing/2014/chart" uri="{C3380CC4-5D6E-409C-BE32-E72D297353CC}">
              <c16:uniqueId val="{00000006-D216-4125-BECB-05E869F0FB5C}"/>
            </c:ext>
          </c:extLst>
        </c:ser>
        <c:dLbls>
          <c:showLegendKey val="0"/>
          <c:showVal val="0"/>
          <c:showCatName val="0"/>
          <c:showSerName val="0"/>
          <c:showPercent val="0"/>
          <c:showBubbleSize val="0"/>
        </c:dLbls>
        <c:axId val="879123152"/>
        <c:axId val="879124720"/>
      </c:scatterChart>
      <c:valAx>
        <c:axId val="879123152"/>
        <c:scaling>
          <c:orientation val="minMax"/>
          <c:max val="10"/>
          <c:min val="-0.4"/>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Concentration(mg/L)</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4720"/>
        <c:crosses val="autoZero"/>
        <c:crossBetween val="midCat"/>
      </c:valAx>
      <c:valAx>
        <c:axId val="87912472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Absorbance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3152"/>
        <c:crosses val="autoZero"/>
        <c:crossBetween val="midCat"/>
      </c:valAx>
      <c:spPr>
        <a:noFill/>
        <a:ln>
          <a:noFill/>
        </a:ln>
        <a:effectLst/>
      </c:spPr>
    </c:plotArea>
    <c:plotVisOnly val="1"/>
    <c:dispBlanksAs val="gap"/>
    <c:showDLblsOverMax val="0"/>
    <c:extLst>
      <c:ext uri="{0b15fc19-7d7d-44ad-8c2d-2c3a37ce22c3}">
        <chartProps xmlns="https://web.wps.cn/et/2018/main" chartId="{55df1d5f-1682-4f00-8b67-b73ebbf25548}"/>
      </c:ext>
    </c:extLst>
  </c:chart>
  <c:spPr>
    <a:solidFill>
      <a:schemeClr val="bg2"/>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Lead concentration in maize seeds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219816272966"/>
          <c:y val="0.17171296296296301"/>
          <c:w val="0.88389129483814499"/>
          <c:h val="0.720887649460484"/>
        </c:manualLayout>
      </c:layout>
      <c:barChart>
        <c:barDir val="col"/>
        <c:grouping val="stacked"/>
        <c:varyColors val="0"/>
        <c:ser>
          <c:idx val="0"/>
          <c:order val="0"/>
          <c:tx>
            <c:strRef>
              <c:f>Sheet1!$C$6</c:f>
              <c:strCache>
                <c:ptCount val="1"/>
                <c:pt idx="0">
                  <c:v>Concentration (mg/g)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Sheet1!$B$7:$B$9</c:f>
              <c:strCache>
                <c:ptCount val="3"/>
                <c:pt idx="0">
                  <c:v>Sc Sungura</c:v>
                </c:pt>
                <c:pt idx="1">
                  <c:v>SC Duma</c:v>
                </c:pt>
                <c:pt idx="2">
                  <c:v>Indigeneous Kamba</c:v>
                </c:pt>
              </c:strCache>
            </c:strRef>
          </c:cat>
          <c:val>
            <c:numRef>
              <c:f>Sheet1!$C$7:$C$9</c:f>
              <c:numCache>
                <c:formatCode>General</c:formatCode>
                <c:ptCount val="3"/>
                <c:pt idx="0">
                  <c:v>8.99</c:v>
                </c:pt>
                <c:pt idx="1">
                  <c:v>10.449</c:v>
                </c:pt>
                <c:pt idx="2">
                  <c:v>8.2469999999999999</c:v>
                </c:pt>
              </c:numCache>
            </c:numRef>
          </c:val>
          <c:extLst>
            <c:ext xmlns:c16="http://schemas.microsoft.com/office/drawing/2014/chart" uri="{C3380CC4-5D6E-409C-BE32-E72D297353CC}">
              <c16:uniqueId val="{00000000-D3A6-4BFE-AF89-0E1924A3C7D8}"/>
            </c:ext>
          </c:extLst>
        </c:ser>
        <c:dLbls>
          <c:showLegendKey val="0"/>
          <c:showVal val="1"/>
          <c:showCatName val="0"/>
          <c:showSerName val="0"/>
          <c:showPercent val="0"/>
          <c:showBubbleSize val="0"/>
        </c:dLbls>
        <c:gapWidth val="150"/>
        <c:overlap val="100"/>
        <c:axId val="752582680"/>
        <c:axId val="882462664"/>
      </c:barChart>
      <c:catAx>
        <c:axId val="75258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82462664"/>
        <c:crosses val="autoZero"/>
        <c:auto val="1"/>
        <c:lblAlgn val="ctr"/>
        <c:lblOffset val="100"/>
        <c:noMultiLvlLbl val="0"/>
      </c:catAx>
      <c:valAx>
        <c:axId val="882462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solidFill>
                      <a:schemeClr val="tx1"/>
                    </a:solidFill>
                  </a:rPr>
                  <a:t>concentration(mg/g)</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2680"/>
        <c:crosses val="autoZero"/>
        <c:crossBetween val="between"/>
      </c:valAx>
      <c:spPr>
        <a:noFill/>
        <a:ln>
          <a:noFill/>
        </a:ln>
        <a:effectLst/>
      </c:spPr>
    </c:plotArea>
    <c:plotVisOnly val="1"/>
    <c:dispBlanksAs val="gap"/>
    <c:showDLblsOverMax val="0"/>
    <c:extLst>
      <c:ext uri="{0b15fc19-7d7d-44ad-8c2d-2c3a37ce22c3}">
        <chartProps xmlns="https://web.wps.cn/et/2018/main" chartId="{b2c11c61-87b9-4b3c-9943-26a5a0d515e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Cadmium Calibration Curve </a:t>
            </a:r>
          </a:p>
        </c:rich>
      </c:tx>
      <c:layout>
        <c:manualLayout>
          <c:xMode val="edge"/>
          <c:yMode val="edge"/>
          <c:x val="0.17427077865266799"/>
          <c:y val="2.7777777777777801E-2"/>
        </c:manualLayout>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6"/>
            <c:marker>
              <c:symbol val="circle"/>
              <c:size val="5"/>
              <c:spPr>
                <a:solidFill>
                  <a:srgbClr val="FFFF00"/>
                </a:solidFill>
                <a:ln w="9525">
                  <a:solidFill>
                    <a:schemeClr val="accent1"/>
                  </a:solidFill>
                </a:ln>
                <a:effectLst/>
              </c:spPr>
            </c:marker>
            <c:bubble3D val="0"/>
            <c:extLst>
              <c:ext xmlns:c16="http://schemas.microsoft.com/office/drawing/2014/chart" uri="{C3380CC4-5D6E-409C-BE32-E72D297353CC}">
                <c16:uniqueId val="{00000000-8672-4402-9825-B15E4D770E91}"/>
              </c:ext>
            </c:extLst>
          </c:dPt>
          <c:dPt>
            <c:idx val="7"/>
            <c:marker>
              <c:symbol val="circle"/>
              <c:size val="5"/>
              <c:spPr>
                <a:solidFill>
                  <a:srgbClr val="FFFF00"/>
                </a:solidFill>
                <a:ln w="9525">
                  <a:solidFill>
                    <a:schemeClr val="accent1"/>
                  </a:solidFill>
                </a:ln>
                <a:effectLst/>
              </c:spPr>
            </c:marker>
            <c:bubble3D val="0"/>
            <c:extLst>
              <c:ext xmlns:c16="http://schemas.microsoft.com/office/drawing/2014/chart" uri="{C3380CC4-5D6E-409C-BE32-E72D297353CC}">
                <c16:uniqueId val="{00000001-8672-4402-9825-B15E4D770E91}"/>
              </c:ext>
            </c:extLst>
          </c:dPt>
          <c:dPt>
            <c:idx val="8"/>
            <c:marker>
              <c:symbol val="circle"/>
              <c:size val="5"/>
              <c:spPr>
                <a:solidFill>
                  <a:srgbClr val="FFFF00"/>
                </a:solidFill>
                <a:ln w="9525">
                  <a:solidFill>
                    <a:schemeClr val="accent1"/>
                  </a:solidFill>
                </a:ln>
                <a:effectLst/>
              </c:spPr>
            </c:marker>
            <c:bubble3D val="0"/>
            <c:extLst>
              <c:ext xmlns:c16="http://schemas.microsoft.com/office/drawing/2014/chart" uri="{C3380CC4-5D6E-409C-BE32-E72D297353CC}">
                <c16:uniqueId val="{00000002-8672-4402-9825-B15E4D770E91}"/>
              </c:ext>
            </c:extLst>
          </c:dPt>
          <c:trendline>
            <c:spPr>
              <a:ln w="19050" cap="rnd">
                <a:solidFill>
                  <a:schemeClr val="accent1"/>
                </a:solidFill>
                <a:prstDash val="sysDot"/>
              </a:ln>
              <a:effectLst/>
            </c:spPr>
            <c:trendlineType val="linear"/>
            <c:dispRSqr val="1"/>
            <c:dispEq val="1"/>
            <c:trendlineLbl>
              <c:layout>
                <c:manualLayout>
                  <c:x val="-3.8660104986876602E-2"/>
                  <c:y val="-9.76388888888889E-2"/>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'Cadmium Conc. in Seeds'!$B$2:$B$10</c:f>
              <c:numCache>
                <c:formatCode>General</c:formatCode>
                <c:ptCount val="9"/>
                <c:pt idx="0">
                  <c:v>2.6711</c:v>
                </c:pt>
                <c:pt idx="1">
                  <c:v>3.4094000000000002</c:v>
                </c:pt>
                <c:pt idx="2">
                  <c:v>2.8054000000000001</c:v>
                </c:pt>
                <c:pt idx="3">
                  <c:v>3.8792</c:v>
                </c:pt>
                <c:pt idx="4">
                  <c:v>4.7516999999999996</c:v>
                </c:pt>
                <c:pt idx="5">
                  <c:v>2.2012999999999998</c:v>
                </c:pt>
                <c:pt idx="6">
                  <c:v>1.99776666666667</c:v>
                </c:pt>
                <c:pt idx="7">
                  <c:v>0.56203333333333305</c:v>
                </c:pt>
                <c:pt idx="8">
                  <c:v>1.8433999999999999</c:v>
                </c:pt>
              </c:numCache>
            </c:numRef>
          </c:xVal>
          <c:yVal>
            <c:numRef>
              <c:f>'Cadmium Conc. in Seeds'!$C$2:$C$10</c:f>
              <c:numCache>
                <c:formatCode>General</c:formatCode>
                <c:ptCount val="9"/>
                <c:pt idx="0">
                  <c:v>1.4E-3</c:v>
                </c:pt>
                <c:pt idx="1">
                  <c:v>2.5000000000000001E-3</c:v>
                </c:pt>
                <c:pt idx="2">
                  <c:v>1.6000000000000001E-3</c:v>
                </c:pt>
                <c:pt idx="3">
                  <c:v>3.2000000000000002E-3</c:v>
                </c:pt>
                <c:pt idx="4">
                  <c:v>4.4999999999999997E-3</c:v>
                </c:pt>
                <c:pt idx="5">
                  <c:v>6.9999999999999999E-4</c:v>
                </c:pt>
                <c:pt idx="6">
                  <c:v>-1E-4</c:v>
                </c:pt>
                <c:pt idx="7">
                  <c:v>-1.63333333333333E-3</c:v>
                </c:pt>
                <c:pt idx="8">
                  <c:v>1.6666666666666701E-4</c:v>
                </c:pt>
              </c:numCache>
            </c:numRef>
          </c:yVal>
          <c:smooth val="0"/>
          <c:extLst>
            <c:ext xmlns:c16="http://schemas.microsoft.com/office/drawing/2014/chart" uri="{C3380CC4-5D6E-409C-BE32-E72D297353CC}">
              <c16:uniqueId val="{00000004-8672-4402-9825-B15E4D770E91}"/>
            </c:ext>
          </c:extLst>
        </c:ser>
        <c:dLbls>
          <c:showLegendKey val="0"/>
          <c:showVal val="0"/>
          <c:showCatName val="0"/>
          <c:showSerName val="0"/>
          <c:showPercent val="0"/>
          <c:showBubbleSize val="0"/>
        </c:dLbls>
        <c:axId val="879125504"/>
        <c:axId val="879123936"/>
      </c:scatterChart>
      <c:valAx>
        <c:axId val="87912550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Concentration(ppm)</a:t>
                </a:r>
              </a:p>
            </c:rich>
          </c:tx>
          <c:layout>
            <c:manualLayout>
              <c:xMode val="edge"/>
              <c:yMode val="edge"/>
              <c:x val="0.39077668416447903"/>
              <c:y val="0.73053222513852401"/>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3936"/>
        <c:crosses val="autoZero"/>
        <c:crossBetween val="midCat"/>
      </c:valAx>
      <c:valAx>
        <c:axId val="879123936"/>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5504"/>
        <c:crosses val="autoZero"/>
        <c:crossBetween val="midCat"/>
      </c:valAx>
      <c:spPr>
        <a:noFill/>
        <a:ln>
          <a:noFill/>
        </a:ln>
        <a:effectLst/>
      </c:spPr>
    </c:plotArea>
    <c:plotVisOnly val="1"/>
    <c:dispBlanksAs val="gap"/>
    <c:showDLblsOverMax val="0"/>
    <c:extLst>
      <c:ext uri="{0b15fc19-7d7d-44ad-8c2d-2c3a37ce22c3}">
        <chartProps xmlns="https://web.wps.cn/et/2018/main" chartId="{dd34db9d-36fa-41bd-843c-4c157c7d4c76}"/>
      </c:ext>
    </c:extLst>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n-US" b="1"/>
              <a:t>Copper</a:t>
            </a:r>
            <a:r>
              <a:rPr lang="en-US" b="1" baseline="0"/>
              <a:t> Calibration Curve </a:t>
            </a:r>
            <a:endParaRPr lang="en-US" b="1"/>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424410650177504E-2"/>
          <c:y val="0.15914547112710001"/>
          <c:w val="0.88457150094522696"/>
          <c:h val="0.70451396712937697"/>
        </c:manualLayout>
      </c:layout>
      <c:scatterChart>
        <c:scatterStyle val="lineMarker"/>
        <c:varyColors val="0"/>
        <c:ser>
          <c:idx val="0"/>
          <c:order val="0"/>
          <c:spPr>
            <a:ln w="19050" cap="rnd">
              <a:noFill/>
              <a:round/>
            </a:ln>
            <a:effectLst/>
          </c:spPr>
          <c:marker>
            <c:symbol val="circle"/>
            <c:size val="5"/>
            <c:spPr>
              <a:solidFill>
                <a:schemeClr val="accent6"/>
              </a:solidFill>
              <a:ln w="9525">
                <a:solidFill>
                  <a:schemeClr val="accent1"/>
                </a:solidFill>
              </a:ln>
              <a:effectLst/>
            </c:spPr>
          </c:marker>
          <c:dPt>
            <c:idx val="0"/>
            <c:marker>
              <c:symbol val="circle"/>
              <c:size val="5"/>
              <c:spPr>
                <a:solidFill>
                  <a:srgbClr val="ED1BC5"/>
                </a:solidFill>
                <a:ln w="9525">
                  <a:solidFill>
                    <a:schemeClr val="accent1"/>
                  </a:solidFill>
                </a:ln>
                <a:effectLst/>
              </c:spPr>
            </c:marker>
            <c:bubble3D val="0"/>
            <c:extLst>
              <c:ext xmlns:c16="http://schemas.microsoft.com/office/drawing/2014/chart" uri="{C3380CC4-5D6E-409C-BE32-E72D297353CC}">
                <c16:uniqueId val="{00000000-19B1-40B2-A147-C754CF0E07DC}"/>
              </c:ext>
            </c:extLst>
          </c:dPt>
          <c:dPt>
            <c:idx val="1"/>
            <c:marker>
              <c:symbol val="circle"/>
              <c:size val="5"/>
              <c:spPr>
                <a:solidFill>
                  <a:schemeClr val="accent6"/>
                </a:solidFill>
                <a:ln w="9525">
                  <a:solidFill>
                    <a:schemeClr val="accent1"/>
                  </a:solidFill>
                </a:ln>
                <a:effectLst/>
              </c:spPr>
            </c:marker>
            <c:bubble3D val="0"/>
            <c:extLst>
              <c:ext xmlns:c16="http://schemas.microsoft.com/office/drawing/2014/chart" uri="{C3380CC4-5D6E-409C-BE32-E72D297353CC}">
                <c16:uniqueId val="{00000001-19B1-40B2-A147-C754CF0E07DC}"/>
              </c:ext>
            </c:extLst>
          </c:dPt>
          <c:dPt>
            <c:idx val="2"/>
            <c:marker>
              <c:symbol val="circle"/>
              <c:size val="5"/>
              <c:spPr>
                <a:solidFill>
                  <a:schemeClr val="accent6"/>
                </a:solidFill>
                <a:ln w="9525">
                  <a:solidFill>
                    <a:schemeClr val="accent1"/>
                  </a:solidFill>
                </a:ln>
                <a:effectLst/>
              </c:spPr>
            </c:marker>
            <c:bubble3D val="0"/>
            <c:extLst>
              <c:ext xmlns:c16="http://schemas.microsoft.com/office/drawing/2014/chart" uri="{C3380CC4-5D6E-409C-BE32-E72D297353CC}">
                <c16:uniqueId val="{00000002-19B1-40B2-A147-C754CF0E07DC}"/>
              </c:ext>
            </c:extLst>
          </c:dPt>
          <c:dPt>
            <c:idx val="3"/>
            <c:marker>
              <c:symbol val="circle"/>
              <c:size val="5"/>
              <c:spPr>
                <a:solidFill>
                  <a:schemeClr val="accent6"/>
                </a:solidFill>
                <a:ln w="9525">
                  <a:solidFill>
                    <a:schemeClr val="accent1"/>
                  </a:solidFill>
                </a:ln>
                <a:effectLst/>
              </c:spPr>
            </c:marker>
            <c:bubble3D val="0"/>
            <c:extLst>
              <c:ext xmlns:c16="http://schemas.microsoft.com/office/drawing/2014/chart" uri="{C3380CC4-5D6E-409C-BE32-E72D297353CC}">
                <c16:uniqueId val="{00000003-19B1-40B2-A147-C754CF0E07DC}"/>
              </c:ext>
            </c:extLst>
          </c:dPt>
          <c:dPt>
            <c:idx val="4"/>
            <c:marker>
              <c:symbol val="circle"/>
              <c:size val="5"/>
              <c:spPr>
                <a:solidFill>
                  <a:schemeClr val="accent6"/>
                </a:solidFill>
                <a:ln w="9525">
                  <a:solidFill>
                    <a:schemeClr val="accent1"/>
                  </a:solidFill>
                </a:ln>
                <a:effectLst/>
              </c:spPr>
            </c:marker>
            <c:bubble3D val="0"/>
            <c:extLst>
              <c:ext xmlns:c16="http://schemas.microsoft.com/office/drawing/2014/chart" uri="{C3380CC4-5D6E-409C-BE32-E72D297353CC}">
                <c16:uniqueId val="{00000004-19B1-40B2-A147-C754CF0E07DC}"/>
              </c:ext>
            </c:extLst>
          </c:dPt>
          <c:dPt>
            <c:idx val="5"/>
            <c:marker>
              <c:symbol val="circle"/>
              <c:size val="5"/>
              <c:spPr>
                <a:solidFill>
                  <a:srgbClr val="ED1BC5"/>
                </a:solidFill>
                <a:ln w="9525">
                  <a:solidFill>
                    <a:schemeClr val="accent1"/>
                  </a:solidFill>
                </a:ln>
                <a:effectLst/>
              </c:spPr>
            </c:marker>
            <c:bubble3D val="0"/>
            <c:extLst>
              <c:ext xmlns:c16="http://schemas.microsoft.com/office/drawing/2014/chart" uri="{C3380CC4-5D6E-409C-BE32-E72D297353CC}">
                <c16:uniqueId val="{00000005-19B1-40B2-A147-C754CF0E07DC}"/>
              </c:ext>
            </c:extLst>
          </c:dPt>
          <c:dPt>
            <c:idx val="8"/>
            <c:marker>
              <c:symbol val="circle"/>
              <c:size val="5"/>
              <c:spPr>
                <a:solidFill>
                  <a:srgbClr val="ED1BC5"/>
                </a:solidFill>
                <a:ln w="9525">
                  <a:solidFill>
                    <a:schemeClr val="accent1"/>
                  </a:solidFill>
                </a:ln>
                <a:effectLst/>
              </c:spPr>
            </c:marker>
            <c:bubble3D val="0"/>
            <c:extLst>
              <c:ext xmlns:c16="http://schemas.microsoft.com/office/drawing/2014/chart" uri="{C3380CC4-5D6E-409C-BE32-E72D297353CC}">
                <c16:uniqueId val="{00000006-19B1-40B2-A147-C754CF0E07DC}"/>
              </c:ext>
            </c:extLst>
          </c:dPt>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'Copper Conc. in Seeds'!$B$2:$B$10</c:f>
              <c:numCache>
                <c:formatCode>General</c:formatCode>
                <c:ptCount val="9"/>
                <c:pt idx="0">
                  <c:v>-0.25040000000000001</c:v>
                </c:pt>
                <c:pt idx="1">
                  <c:v>2.0577999999999999</c:v>
                </c:pt>
                <c:pt idx="2">
                  <c:v>4.2729999999999997</c:v>
                </c:pt>
                <c:pt idx="3">
                  <c:v>6.1009000000000002</c:v>
                </c:pt>
                <c:pt idx="4">
                  <c:v>9.8186999999999998</c:v>
                </c:pt>
                <c:pt idx="5">
                  <c:v>-0.90100000000000002</c:v>
                </c:pt>
                <c:pt idx="6">
                  <c:v>-0.75639999999999996</c:v>
                </c:pt>
                <c:pt idx="7">
                  <c:v>-0.7409</c:v>
                </c:pt>
                <c:pt idx="8">
                  <c:v>-0.6996</c:v>
                </c:pt>
              </c:numCache>
            </c:numRef>
          </c:xVal>
          <c:yVal>
            <c:numRef>
              <c:f>'Copper Conc. in Seeds'!$C$2:$C$10</c:f>
              <c:numCache>
                <c:formatCode>General</c:formatCode>
                <c:ptCount val="9"/>
                <c:pt idx="0">
                  <c:v>1.8E-3</c:v>
                </c:pt>
                <c:pt idx="1">
                  <c:v>1.67E-2</c:v>
                </c:pt>
                <c:pt idx="2">
                  <c:v>3.1E-2</c:v>
                </c:pt>
                <c:pt idx="3">
                  <c:v>4.2799999999999998E-2</c:v>
                </c:pt>
                <c:pt idx="4">
                  <c:v>6.6799999999999998E-2</c:v>
                </c:pt>
                <c:pt idx="5">
                  <c:v>-2.3999999999999998E-3</c:v>
                </c:pt>
                <c:pt idx="6">
                  <c:v>-1.4666666666666699E-3</c:v>
                </c:pt>
                <c:pt idx="7">
                  <c:v>-1.3666666666666701E-3</c:v>
                </c:pt>
                <c:pt idx="8">
                  <c:v>-1.1000000000000001E-3</c:v>
                </c:pt>
              </c:numCache>
            </c:numRef>
          </c:yVal>
          <c:smooth val="0"/>
          <c:extLst>
            <c:ext xmlns:c16="http://schemas.microsoft.com/office/drawing/2014/chart" uri="{C3380CC4-5D6E-409C-BE32-E72D297353CC}">
              <c16:uniqueId val="{00000008-19B1-40B2-A147-C754CF0E07DC}"/>
            </c:ext>
          </c:extLst>
        </c:ser>
        <c:dLbls>
          <c:showLegendKey val="0"/>
          <c:showVal val="0"/>
          <c:showCatName val="0"/>
          <c:showSerName val="0"/>
          <c:showPercent val="0"/>
          <c:showBubbleSize val="0"/>
        </c:dLbls>
        <c:axId val="879121584"/>
        <c:axId val="879125896"/>
      </c:scatterChart>
      <c:valAx>
        <c:axId val="879121584"/>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Concentration(mg/L)</a:t>
                </a:r>
              </a:p>
            </c:rich>
          </c:tx>
          <c:layout>
            <c:manualLayout>
              <c:xMode val="edge"/>
              <c:yMode val="edge"/>
              <c:x val="0.44760411198600197"/>
              <c:y val="0.8833100029163020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5896"/>
        <c:crosses val="autoZero"/>
        <c:crossBetween val="midCat"/>
      </c:valAx>
      <c:valAx>
        <c:axId val="879125896"/>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Absobance</a:t>
                </a: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1584"/>
        <c:crosses val="autoZero"/>
        <c:crossBetween val="midCat"/>
      </c:valAx>
      <c:spPr>
        <a:noFill/>
        <a:ln>
          <a:noFill/>
        </a:ln>
        <a:effectLst/>
      </c:spPr>
    </c:plotArea>
    <c:plotVisOnly val="1"/>
    <c:dispBlanksAs val="gap"/>
    <c:showDLblsOverMax val="0"/>
    <c:extLst>
      <c:ext uri="{0b15fc19-7d7d-44ad-8c2d-2c3a37ce22c3}">
        <chartProps xmlns="https://web.wps.cn/et/2018/main" chartId="{879f614c-0bfb-4a45-8f52-12f618084d85}"/>
      </c:ext>
    </c:extLst>
  </c:chart>
  <c:spPr>
    <a:solidFill>
      <a:schemeClr val="accent4">
        <a:lumMod val="60000"/>
        <a:lumOff val="40000"/>
      </a:schemeClr>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n-US" b="1"/>
              <a:t>Manganese</a:t>
            </a:r>
            <a:r>
              <a:rPr lang="en-US" b="1" baseline="0"/>
              <a:t> Calibration Curve </a:t>
            </a:r>
            <a:endParaRPr lang="en-US" b="1"/>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rgbClr val="FFC000"/>
              </a:solidFill>
              <a:ln w="9525">
                <a:solidFill>
                  <a:schemeClr val="accent1"/>
                </a:solidFill>
              </a:ln>
              <a:effectLst/>
            </c:spPr>
          </c:marker>
          <c:dPt>
            <c:idx val="0"/>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0-FB7F-4083-BE3F-78EA640BF333}"/>
              </c:ext>
            </c:extLst>
          </c:dPt>
          <c:dPt>
            <c:idx val="1"/>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1-FB7F-4083-BE3F-78EA640BF333}"/>
              </c:ext>
            </c:extLst>
          </c:dPt>
          <c:dPt>
            <c:idx val="2"/>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2-FB7F-4083-BE3F-78EA640BF333}"/>
              </c:ext>
            </c:extLst>
          </c:dPt>
          <c:dPt>
            <c:idx val="3"/>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3-FB7F-4083-BE3F-78EA640BF333}"/>
              </c:ext>
            </c:extLst>
          </c:dPt>
          <c:dPt>
            <c:idx val="4"/>
            <c:marker>
              <c:symbol val="circle"/>
              <c:size val="5"/>
              <c:spPr>
                <a:solidFill>
                  <a:schemeClr val="accent5"/>
                </a:solidFill>
                <a:ln w="9525">
                  <a:solidFill>
                    <a:schemeClr val="accent1"/>
                  </a:solidFill>
                </a:ln>
                <a:effectLst/>
              </c:spPr>
            </c:marker>
            <c:bubble3D val="0"/>
            <c:extLst>
              <c:ext xmlns:c16="http://schemas.microsoft.com/office/drawing/2014/chart" uri="{C3380CC4-5D6E-409C-BE32-E72D297353CC}">
                <c16:uniqueId val="{00000004-FB7F-4083-BE3F-78EA640BF333}"/>
              </c:ext>
            </c:extLst>
          </c:dPt>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'Manganese Conc.in Seeds'!$B$2:$B$9</c:f>
              <c:numCache>
                <c:formatCode>0.000</c:formatCode>
                <c:ptCount val="8"/>
                <c:pt idx="0">
                  <c:v>1.7948999999999999</c:v>
                </c:pt>
                <c:pt idx="1">
                  <c:v>2.7564000000000002</c:v>
                </c:pt>
                <c:pt idx="2">
                  <c:v>9.6473999999999993</c:v>
                </c:pt>
                <c:pt idx="3">
                  <c:v>15.256399999999999</c:v>
                </c:pt>
                <c:pt idx="4" formatCode="General">
                  <c:v>20.544899999999998</c:v>
                </c:pt>
                <c:pt idx="5">
                  <c:v>-2.7449333333333299</c:v>
                </c:pt>
                <c:pt idx="6">
                  <c:v>-1.7483</c:v>
                </c:pt>
                <c:pt idx="7">
                  <c:v>-0.269666666666667</c:v>
                </c:pt>
              </c:numCache>
            </c:numRef>
          </c:xVal>
          <c:yVal>
            <c:numRef>
              <c:f>'Manganese Conc.in Seeds'!$C$2:$C$9</c:f>
              <c:numCache>
                <c:formatCode>0.000</c:formatCode>
                <c:ptCount val="8"/>
                <c:pt idx="0">
                  <c:v>2.5999999999999999E-3</c:v>
                </c:pt>
                <c:pt idx="1">
                  <c:v>3.2000000000000002E-3</c:v>
                </c:pt>
                <c:pt idx="2">
                  <c:v>7.4999999999999997E-3</c:v>
                </c:pt>
                <c:pt idx="3">
                  <c:v>1.0999999999999999E-2</c:v>
                </c:pt>
                <c:pt idx="4" formatCode="General">
                  <c:v>1.43E-2</c:v>
                </c:pt>
                <c:pt idx="5">
                  <c:v>6.9999999999999999E-4</c:v>
                </c:pt>
                <c:pt idx="6">
                  <c:v>2.8999999999999998E-3</c:v>
                </c:pt>
                <c:pt idx="7">
                  <c:v>1.5E-3</c:v>
                </c:pt>
              </c:numCache>
            </c:numRef>
          </c:yVal>
          <c:smooth val="0"/>
          <c:extLst>
            <c:ext xmlns:c16="http://schemas.microsoft.com/office/drawing/2014/chart" uri="{C3380CC4-5D6E-409C-BE32-E72D297353CC}">
              <c16:uniqueId val="{00000006-FB7F-4083-BE3F-78EA640BF333}"/>
            </c:ext>
          </c:extLst>
        </c:ser>
        <c:dLbls>
          <c:showLegendKey val="0"/>
          <c:showVal val="0"/>
          <c:showCatName val="0"/>
          <c:showSerName val="0"/>
          <c:showPercent val="0"/>
          <c:showBubbleSize val="0"/>
        </c:dLbls>
        <c:axId val="879126288"/>
        <c:axId val="791328488"/>
      </c:scatterChart>
      <c:valAx>
        <c:axId val="8791262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Concentration (mg/L)</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8488"/>
        <c:crosses val="autoZero"/>
        <c:crossBetween val="midCat"/>
      </c:valAx>
      <c:valAx>
        <c:axId val="791328488"/>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Absorbance</a:t>
                </a: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79126288"/>
        <c:crosses val="autoZero"/>
        <c:crossBetween val="midCat"/>
      </c:valAx>
      <c:spPr>
        <a:noFill/>
        <a:ln>
          <a:noFill/>
        </a:ln>
        <a:effectLst/>
      </c:spPr>
    </c:plotArea>
    <c:plotVisOnly val="1"/>
    <c:dispBlanksAs val="gap"/>
    <c:showDLblsOverMax val="0"/>
    <c:extLst>
      <c:ext uri="{0b15fc19-7d7d-44ad-8c2d-2c3a37ce22c3}">
        <chartProps xmlns="https://web.wps.cn/et/2018/main" chartId="{b63b4f58-06f6-4629-8a09-ea975f660fe1}"/>
      </c:ext>
    </c:extLst>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Lead</a:t>
            </a:r>
            <a:r>
              <a:rPr lang="en-US" baseline="0"/>
              <a:t> Calibration Curve</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5"/>
            <c:marker>
              <c:symbol val="circle"/>
              <c:size val="5"/>
              <c:spPr>
                <a:solidFill>
                  <a:schemeClr val="accent4"/>
                </a:solidFill>
                <a:ln w="9525">
                  <a:solidFill>
                    <a:schemeClr val="accent1"/>
                  </a:solidFill>
                </a:ln>
                <a:effectLst/>
              </c:spPr>
            </c:marker>
            <c:bubble3D val="0"/>
            <c:extLst>
              <c:ext xmlns:c16="http://schemas.microsoft.com/office/drawing/2014/chart" uri="{C3380CC4-5D6E-409C-BE32-E72D297353CC}">
                <c16:uniqueId val="{00000000-F14C-4E85-B7D5-02471000E020}"/>
              </c:ext>
            </c:extLst>
          </c:dPt>
          <c:dPt>
            <c:idx val="6"/>
            <c:marker>
              <c:symbol val="circle"/>
              <c:size val="5"/>
              <c:spPr>
                <a:solidFill>
                  <a:schemeClr val="accent4">
                    <a:lumMod val="60000"/>
                    <a:lumOff val="40000"/>
                  </a:schemeClr>
                </a:solidFill>
                <a:ln w="9525">
                  <a:solidFill>
                    <a:schemeClr val="accent1"/>
                  </a:solidFill>
                </a:ln>
                <a:effectLst/>
              </c:spPr>
            </c:marker>
            <c:bubble3D val="0"/>
            <c:extLst>
              <c:ext xmlns:c16="http://schemas.microsoft.com/office/drawing/2014/chart" uri="{C3380CC4-5D6E-409C-BE32-E72D297353CC}">
                <c16:uniqueId val="{00000001-F14C-4E85-B7D5-02471000E020}"/>
              </c:ext>
            </c:extLst>
          </c:dPt>
          <c:dPt>
            <c:idx val="7"/>
            <c:marker>
              <c:symbol val="circle"/>
              <c:size val="5"/>
              <c:spPr>
                <a:solidFill>
                  <a:schemeClr val="accent4"/>
                </a:solidFill>
                <a:ln w="9525">
                  <a:solidFill>
                    <a:schemeClr val="accent1"/>
                  </a:solidFill>
                </a:ln>
                <a:effectLst/>
              </c:spPr>
            </c:marker>
            <c:bubble3D val="0"/>
            <c:extLst>
              <c:ext xmlns:c16="http://schemas.microsoft.com/office/drawing/2014/chart" uri="{C3380CC4-5D6E-409C-BE32-E72D297353CC}">
                <c16:uniqueId val="{00000002-F14C-4E85-B7D5-02471000E020}"/>
              </c:ext>
            </c:extLst>
          </c:dPt>
          <c:trendline>
            <c:spPr>
              <a:ln w="19050" cap="rnd">
                <a:solidFill>
                  <a:schemeClr val="accent1"/>
                </a:solidFill>
                <a:prstDash val="sysDot"/>
              </a:ln>
              <a:effectLst/>
            </c:spPr>
            <c:trendlineType val="linear"/>
            <c:dispRSqr val="1"/>
            <c:dispEq val="1"/>
            <c:trendlineLbl>
              <c:layout>
                <c:manualLayout>
                  <c:x val="-3.08694225721785E-2"/>
                  <c:y val="-5.9973753280839898E-2"/>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Sheet1!$A$2:$A$9</c:f>
              <c:numCache>
                <c:formatCode>General</c:formatCode>
                <c:ptCount val="8"/>
                <c:pt idx="0">
                  <c:v>2.0011999999999999</c:v>
                </c:pt>
                <c:pt idx="1">
                  <c:v>4.0011000000000001</c:v>
                </c:pt>
                <c:pt idx="2">
                  <c:v>6.0011000000000001</c:v>
                </c:pt>
                <c:pt idx="3">
                  <c:v>8.0013000000000005</c:v>
                </c:pt>
                <c:pt idx="4">
                  <c:v>10.000299999999999</c:v>
                </c:pt>
                <c:pt idx="5">
                  <c:v>10.452999999999999</c:v>
                </c:pt>
                <c:pt idx="6">
                  <c:v>8.9009999999999998</c:v>
                </c:pt>
                <c:pt idx="7">
                  <c:v>9.2539999999999996</c:v>
                </c:pt>
              </c:numCache>
            </c:numRef>
          </c:xVal>
          <c:yVal>
            <c:numRef>
              <c:f>Sheet1!$B$2:$B$9</c:f>
              <c:numCache>
                <c:formatCode>General</c:formatCode>
                <c:ptCount val="8"/>
                <c:pt idx="0">
                  <c:v>4.1000000000000003E-3</c:v>
                </c:pt>
                <c:pt idx="1">
                  <c:v>8.2000000000000007E-3</c:v>
                </c:pt>
                <c:pt idx="2">
                  <c:v>1.21E-2</c:v>
                </c:pt>
                <c:pt idx="3">
                  <c:v>1.5100000000000001E-2</c:v>
                </c:pt>
                <c:pt idx="4">
                  <c:v>1.8200000000000001E-2</c:v>
                </c:pt>
                <c:pt idx="5">
                  <c:v>2.0899999999999998E-2</c:v>
                </c:pt>
                <c:pt idx="6">
                  <c:v>1.78E-2</c:v>
                </c:pt>
                <c:pt idx="7">
                  <c:v>1.8499999999999999E-2</c:v>
                </c:pt>
              </c:numCache>
            </c:numRef>
          </c:yVal>
          <c:smooth val="0"/>
          <c:extLst>
            <c:ext xmlns:c16="http://schemas.microsoft.com/office/drawing/2014/chart" uri="{C3380CC4-5D6E-409C-BE32-E72D297353CC}">
              <c16:uniqueId val="{00000004-F14C-4E85-B7D5-02471000E020}"/>
            </c:ext>
          </c:extLst>
        </c:ser>
        <c:dLbls>
          <c:showLegendKey val="0"/>
          <c:showVal val="0"/>
          <c:showCatName val="0"/>
          <c:showSerName val="0"/>
          <c:showPercent val="0"/>
          <c:showBubbleSize val="0"/>
        </c:dLbls>
        <c:axId val="791328096"/>
        <c:axId val="791324960"/>
      </c:scatterChart>
      <c:valAx>
        <c:axId val="791328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Concentration (mg/L)</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4960"/>
        <c:crosses val="autoZero"/>
        <c:crossBetween val="midCat"/>
      </c:valAx>
      <c:valAx>
        <c:axId val="79132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8096"/>
        <c:crosses val="autoZero"/>
        <c:crossBetween val="midCat"/>
      </c:valAx>
      <c:spPr>
        <a:noFill/>
        <a:ln>
          <a:noFill/>
        </a:ln>
        <a:effectLst/>
      </c:spPr>
    </c:plotArea>
    <c:plotVisOnly val="1"/>
    <c:dispBlanksAs val="gap"/>
    <c:showDLblsOverMax val="0"/>
    <c:extLst>
      <c:ext uri="{0b15fc19-7d7d-44ad-8c2d-2c3a37ce22c3}">
        <chartProps xmlns="https://web.wps.cn/et/2018/main" chartId="{d461254c-3dfb-4cb5-80da-f8b99a951a48}"/>
      </c:ext>
    </c:extLst>
  </c:chart>
  <c:spPr>
    <a:solidFill>
      <a:schemeClr val="tx2">
        <a:lumMod val="20000"/>
        <a:lumOff val="80000"/>
      </a:schemeClr>
    </a:solidFill>
    <a:ln w="9525" cap="flat" cmpd="sng" algn="ctr">
      <a:solidFill>
        <a:schemeClr val="accent1">
          <a:lumMod val="20000"/>
          <a:lumOff val="80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Zinc</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Sheet1!$C$4</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Sheet1!$B$5:$B$7</c:f>
              <c:strCache>
                <c:ptCount val="3"/>
                <c:pt idx="0">
                  <c:v>SC Sungura 301</c:v>
                </c:pt>
                <c:pt idx="1">
                  <c:v>SC Duma 43</c:v>
                </c:pt>
                <c:pt idx="2">
                  <c:v>Indigenious Kamba Maize</c:v>
                </c:pt>
              </c:strCache>
            </c:strRef>
          </c:cat>
          <c:val>
            <c:numRef>
              <c:f>Sheet1!$C$5:$C$7</c:f>
              <c:numCache>
                <c:formatCode>General</c:formatCode>
                <c:ptCount val="3"/>
                <c:pt idx="0">
                  <c:v>0.34300000000000003</c:v>
                </c:pt>
                <c:pt idx="1">
                  <c:v>0.38900000000000001</c:v>
                </c:pt>
                <c:pt idx="2">
                  <c:v>0.372</c:v>
                </c:pt>
              </c:numCache>
            </c:numRef>
          </c:val>
          <c:extLst>
            <c:ext xmlns:c16="http://schemas.microsoft.com/office/drawing/2014/chart" uri="{C3380CC4-5D6E-409C-BE32-E72D297353CC}">
              <c16:uniqueId val="{00000000-83E4-4564-95E2-6C3AAE608FF6}"/>
            </c:ext>
          </c:extLst>
        </c:ser>
        <c:dLbls>
          <c:showLegendKey val="0"/>
          <c:showVal val="0"/>
          <c:showCatName val="0"/>
          <c:showSerName val="0"/>
          <c:showPercent val="0"/>
          <c:showBubbleSize val="0"/>
        </c:dLbls>
        <c:gapWidth val="150"/>
        <c:overlap val="100"/>
        <c:axId val="791324568"/>
        <c:axId val="791323000"/>
      </c:barChart>
      <c:catAx>
        <c:axId val="79132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3000"/>
        <c:crosses val="autoZero"/>
        <c:auto val="1"/>
        <c:lblAlgn val="ctr"/>
        <c:lblOffset val="100"/>
        <c:noMultiLvlLbl val="0"/>
      </c:catAx>
      <c:valAx>
        <c:axId val="791323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4568"/>
        <c:crosses val="autoZero"/>
        <c:crossBetween val="between"/>
      </c:valAx>
      <c:spPr>
        <a:noFill/>
        <a:ln>
          <a:noFill/>
        </a:ln>
        <a:effectLst/>
      </c:spPr>
    </c:plotArea>
    <c:plotVisOnly val="1"/>
    <c:dispBlanksAs val="gap"/>
    <c:showDLblsOverMax val="0"/>
    <c:extLst>
      <c:ext uri="{0b15fc19-7d7d-44ad-8c2d-2c3a37ce22c3}">
        <chartProps xmlns="https://web.wps.cn/et/2018/main" chartId="{0b9ff087-a00e-4fd0-90c0-ec20560efbf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Cadmium</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Sheet1!$C$4</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Sheet1!$B$5:$B$7</c:f>
              <c:strCache>
                <c:ptCount val="3"/>
                <c:pt idx="0">
                  <c:v>SC Sungura 301</c:v>
                </c:pt>
                <c:pt idx="1">
                  <c:v>SC Duma 43</c:v>
                </c:pt>
                <c:pt idx="2">
                  <c:v>Indigenious Kamba Maize</c:v>
                </c:pt>
              </c:strCache>
            </c:strRef>
          </c:cat>
          <c:val>
            <c:numRef>
              <c:f>Sheet1!$C$5:$C$7</c:f>
              <c:numCache>
                <c:formatCode>General</c:formatCode>
                <c:ptCount val="3"/>
                <c:pt idx="0">
                  <c:v>1.998</c:v>
                </c:pt>
                <c:pt idx="1">
                  <c:v>0.56200000000000006</c:v>
                </c:pt>
                <c:pt idx="2">
                  <c:v>1.843</c:v>
                </c:pt>
              </c:numCache>
            </c:numRef>
          </c:val>
          <c:extLst>
            <c:ext xmlns:c16="http://schemas.microsoft.com/office/drawing/2014/chart" uri="{C3380CC4-5D6E-409C-BE32-E72D297353CC}">
              <c16:uniqueId val="{00000000-DF47-43DE-8C40-FB99B947C078}"/>
            </c:ext>
          </c:extLst>
        </c:ser>
        <c:dLbls>
          <c:showLegendKey val="0"/>
          <c:showVal val="0"/>
          <c:showCatName val="0"/>
          <c:showSerName val="0"/>
          <c:showPercent val="0"/>
          <c:showBubbleSize val="0"/>
        </c:dLbls>
        <c:gapWidth val="150"/>
        <c:overlap val="100"/>
        <c:axId val="791324176"/>
        <c:axId val="791325744"/>
      </c:barChart>
      <c:catAx>
        <c:axId val="79132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5744"/>
        <c:crosses val="autoZero"/>
        <c:auto val="1"/>
        <c:lblAlgn val="ctr"/>
        <c:lblOffset val="100"/>
        <c:noMultiLvlLbl val="0"/>
      </c:catAx>
      <c:valAx>
        <c:axId val="79132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1324176"/>
        <c:crosses val="autoZero"/>
        <c:crossBetween val="between"/>
      </c:valAx>
      <c:spPr>
        <a:noFill/>
        <a:ln>
          <a:noFill/>
        </a:ln>
        <a:effectLst/>
      </c:spPr>
    </c:plotArea>
    <c:plotVisOnly val="1"/>
    <c:dispBlanksAs val="gap"/>
    <c:showDLblsOverMax val="0"/>
    <c:extLst>
      <c:ext uri="{0b15fc19-7d7d-44ad-8c2d-2c3a37ce22c3}">
        <chartProps xmlns="https://web.wps.cn/et/2018/main" chartId="{ea3f2975-e2c5-4f0a-9ccd-c5b3d20d2f74}"/>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Copper</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Sheet1!$C$3</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Sheet1!$B$4:$B$6</c:f>
              <c:strCache>
                <c:ptCount val="3"/>
                <c:pt idx="0">
                  <c:v>SC Sungura 301</c:v>
                </c:pt>
                <c:pt idx="1">
                  <c:v>SC Duma 43</c:v>
                </c:pt>
                <c:pt idx="2">
                  <c:v>Indigenious Kamba Maize</c:v>
                </c:pt>
              </c:strCache>
            </c:strRef>
          </c:cat>
          <c:val>
            <c:numRef>
              <c:f>Sheet1!$C$4:$C$6</c:f>
              <c:numCache>
                <c:formatCode>General</c:formatCode>
                <c:ptCount val="3"/>
                <c:pt idx="0">
                  <c:v>0.75600000000000001</c:v>
                </c:pt>
                <c:pt idx="1">
                  <c:v>0.74099999999999999</c:v>
                </c:pt>
                <c:pt idx="2">
                  <c:v>0.7</c:v>
                </c:pt>
              </c:numCache>
            </c:numRef>
          </c:val>
          <c:extLst>
            <c:ext xmlns:c16="http://schemas.microsoft.com/office/drawing/2014/chart" uri="{C3380CC4-5D6E-409C-BE32-E72D297353CC}">
              <c16:uniqueId val="{00000000-F8D3-41FC-ACD1-19EAE2F1D9E5}"/>
            </c:ext>
          </c:extLst>
        </c:ser>
        <c:dLbls>
          <c:showLegendKey val="0"/>
          <c:showVal val="0"/>
          <c:showCatName val="0"/>
          <c:showSerName val="0"/>
          <c:showPercent val="0"/>
          <c:showBubbleSize val="0"/>
        </c:dLbls>
        <c:gapWidth val="150"/>
        <c:overlap val="100"/>
        <c:axId val="752585424"/>
        <c:axId val="752583072"/>
      </c:barChart>
      <c:catAx>
        <c:axId val="75258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3072"/>
        <c:crosses val="autoZero"/>
        <c:auto val="1"/>
        <c:lblAlgn val="ctr"/>
        <c:lblOffset val="100"/>
        <c:noMultiLvlLbl val="0"/>
      </c:catAx>
      <c:valAx>
        <c:axId val="75258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5424"/>
        <c:crosses val="autoZero"/>
        <c:crossBetween val="between"/>
      </c:valAx>
      <c:spPr>
        <a:noFill/>
        <a:ln>
          <a:noFill/>
        </a:ln>
        <a:effectLst/>
      </c:spPr>
    </c:plotArea>
    <c:plotVisOnly val="1"/>
    <c:dispBlanksAs val="gap"/>
    <c:showDLblsOverMax val="0"/>
    <c:extLst>
      <c:ext uri="{0b15fc19-7d7d-44ad-8c2d-2c3a37ce22c3}">
        <chartProps xmlns="https://web.wps.cn/et/2018/main" chartId="{abc31e96-7289-4ff7-b2c1-37f15d17bc4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Manganese</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Sheet1!$C$4</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Sheet1!$B$5:$B$7</c:f>
              <c:strCache>
                <c:ptCount val="3"/>
                <c:pt idx="0">
                  <c:v>SC Sungura 301</c:v>
                </c:pt>
                <c:pt idx="1">
                  <c:v>SC Duma 43</c:v>
                </c:pt>
                <c:pt idx="2">
                  <c:v>Indigenious Kamba Maize</c:v>
                </c:pt>
              </c:strCache>
            </c:strRef>
          </c:cat>
          <c:val>
            <c:numRef>
              <c:f>Sheet1!$C$5:$C$7</c:f>
              <c:numCache>
                <c:formatCode>General</c:formatCode>
                <c:ptCount val="3"/>
                <c:pt idx="0">
                  <c:v>2.7450000000000001</c:v>
                </c:pt>
                <c:pt idx="1">
                  <c:v>1.748</c:v>
                </c:pt>
                <c:pt idx="2">
                  <c:v>0.27</c:v>
                </c:pt>
              </c:numCache>
            </c:numRef>
          </c:val>
          <c:extLst>
            <c:ext xmlns:c16="http://schemas.microsoft.com/office/drawing/2014/chart" uri="{C3380CC4-5D6E-409C-BE32-E72D297353CC}">
              <c16:uniqueId val="{00000000-A37C-464B-8FD1-C509E363E611}"/>
            </c:ext>
          </c:extLst>
        </c:ser>
        <c:dLbls>
          <c:showLegendKey val="0"/>
          <c:showVal val="0"/>
          <c:showCatName val="0"/>
          <c:showSerName val="0"/>
          <c:showPercent val="0"/>
          <c:showBubbleSize val="0"/>
        </c:dLbls>
        <c:gapWidth val="150"/>
        <c:overlap val="100"/>
        <c:axId val="752587384"/>
        <c:axId val="752580720"/>
      </c:barChart>
      <c:catAx>
        <c:axId val="75258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0720"/>
        <c:crosses val="autoZero"/>
        <c:auto val="1"/>
        <c:lblAlgn val="ctr"/>
        <c:lblOffset val="100"/>
        <c:noMultiLvlLbl val="0"/>
      </c:catAx>
      <c:valAx>
        <c:axId val="75258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7384"/>
        <c:crosses val="autoZero"/>
        <c:crossBetween val="between"/>
      </c:valAx>
      <c:spPr>
        <a:noFill/>
        <a:ln>
          <a:noFill/>
        </a:ln>
        <a:effectLst/>
      </c:spPr>
    </c:plotArea>
    <c:plotVisOnly val="1"/>
    <c:dispBlanksAs val="gap"/>
    <c:showDLblsOverMax val="0"/>
    <c:extLst>
      <c:ext uri="{0b15fc19-7d7d-44ad-8c2d-2c3a37ce22c3}">
        <chartProps xmlns="https://web.wps.cn/et/2018/main" chartId="{5dfc6996-28b2-460c-bf9a-06be746c6d0d}"/>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1901A-B365-4DDF-B077-4E76443F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16479</Words>
  <Characters>93936</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BLESSING PC</dc:creator>
  <cp:keywords/>
  <dc:description/>
  <cp:lastModifiedBy>Joyce Kithure</cp:lastModifiedBy>
  <cp:revision>2</cp:revision>
  <dcterms:created xsi:type="dcterms:W3CDTF">2026-03-23T16:11:00Z</dcterms:created>
  <dcterms:modified xsi:type="dcterms:W3CDTF">2026-03-23T16:11:00Z</dcterms:modified>
</cp:coreProperties>
</file>