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17CA" w14:textId="77777777" w:rsidR="002D0FEC" w:rsidRDefault="002D0FEC" w:rsidP="00277363">
      <w:pPr>
        <w:spacing w:beforeLines="240" w:before="576" w:afterLines="240" w:after="576"/>
      </w:pPr>
    </w:p>
    <w:p w14:paraId="53B7C689" w14:textId="18188726" w:rsidR="00744401" w:rsidRPr="00277363" w:rsidRDefault="00744401" w:rsidP="00277363">
      <w:pPr>
        <w:spacing w:beforeLines="240" w:before="576" w:afterLines="240" w:after="576" w:line="240" w:lineRule="auto"/>
        <w:jc w:val="center"/>
        <w:rPr>
          <w:rFonts w:ascii="Times New Roman" w:hAnsi="Times New Roman" w:cs="Times New Roman"/>
          <w:b/>
          <w:bCs/>
          <w:sz w:val="22"/>
          <w:szCs w:val="22"/>
        </w:rPr>
      </w:pPr>
      <w:r>
        <w:tab/>
      </w:r>
      <w:r w:rsidRPr="00744401">
        <w:rPr>
          <w:rFonts w:ascii="Times New Roman" w:hAnsi="Times New Roman" w:cs="Times New Roman"/>
          <w:b/>
          <w:bCs/>
          <w:sz w:val="36"/>
          <w:szCs w:val="36"/>
        </w:rPr>
        <w:t>INTEGRATING COMMUNICATION AND CAPACITY DEVELOPMENT IN LANDSLIDE ADAPTATION IN ITOGON, BENGUET</w:t>
      </w:r>
    </w:p>
    <w:p w14:paraId="621BBF0B" w14:textId="7E5310C8" w:rsidR="00744401" w:rsidRPr="00744401" w:rsidRDefault="00744401" w:rsidP="00277363">
      <w:pPr>
        <w:tabs>
          <w:tab w:val="left" w:pos="5030"/>
        </w:tabs>
        <w:spacing w:beforeLines="240" w:before="576" w:afterLines="240" w:after="576" w:line="240" w:lineRule="auto"/>
        <w:ind w:left="720"/>
        <w:jc w:val="center"/>
        <w:rPr>
          <w:rFonts w:ascii="Times New Roman" w:hAnsi="Times New Roman" w:cs="Times New Roman"/>
          <w:b/>
          <w:bCs/>
        </w:rPr>
      </w:pPr>
      <w:r w:rsidRPr="00744401">
        <w:rPr>
          <w:rFonts w:ascii="Times New Roman" w:hAnsi="Times New Roman" w:cs="Times New Roman"/>
          <w:b/>
          <w:bCs/>
        </w:rPr>
        <w:t/>
      </w:r>
    </w:p>
    <w:p w14:paraId="4672F2D0" w14:textId="3BA8D773" w:rsidR="00744401" w:rsidRPr="00277363" w:rsidRDefault="00744401" w:rsidP="00277363">
      <w:pPr>
        <w:tabs>
          <w:tab w:val="left" w:pos="5030"/>
        </w:tabs>
        <w:spacing w:beforeLines="240" w:before="576" w:afterLines="240" w:after="576" w:line="240" w:lineRule="auto"/>
        <w:ind w:left="720"/>
        <w:jc w:val="center"/>
        <w:rPr>
          <w:rFonts w:ascii="Times New Roman" w:hAnsi="Times New Roman" w:cs="Times New Roman"/>
          <w:b/>
          <w:bCs/>
        </w:rPr>
      </w:pPr>
      <w:r w:rsidRPr="00744401">
        <w:rPr>
          <w:rFonts w:ascii="Times New Roman" w:hAnsi="Times New Roman" w:cs="Times New Roman"/>
          <w:b/>
          <w:bCs/>
        </w:rPr>
        <w:t/>
      </w:r>
    </w:p>
    <w:p w14:paraId="54ECB640" w14:textId="77777777" w:rsidR="00277363" w:rsidRPr="00277363" w:rsidRDefault="00744401" w:rsidP="00277363">
      <w:pPr>
        <w:tabs>
          <w:tab w:val="left" w:pos="5030"/>
        </w:tabs>
        <w:spacing w:beforeLines="240" w:before="576" w:afterLines="240" w:after="576"/>
        <w:jc w:val="center"/>
        <w:rPr>
          <w:rFonts w:ascii="Times New Roman" w:hAnsi="Times New Roman" w:cs="Times New Roman"/>
          <w:b/>
          <w:bCs/>
          <w:sz w:val="28"/>
          <w:szCs w:val="28"/>
        </w:rPr>
      </w:pPr>
      <w:r w:rsidRPr="00277363">
        <w:rPr>
          <w:rFonts w:ascii="Times New Roman" w:hAnsi="Times New Roman" w:cs="Times New Roman"/>
          <w:b/>
          <w:bCs/>
          <w:sz w:val="28"/>
          <w:szCs w:val="28"/>
        </w:rPr>
        <w:t>ABSTRACT</w:t>
      </w:r>
    </w:p>
    <w:p w14:paraId="773BC73D" w14:textId="514B684A" w:rsidR="00744401" w:rsidRPr="00277363" w:rsidRDefault="00744401" w:rsidP="00277363">
      <w:pPr>
        <w:tabs>
          <w:tab w:val="left" w:pos="5030"/>
        </w:tabs>
        <w:spacing w:beforeLines="240" w:before="576" w:afterLines="240" w:after="576"/>
        <w:jc w:val="both"/>
        <w:rPr>
          <w:rFonts w:ascii="Times New Roman" w:hAnsi="Times New Roman" w:cs="Times New Roman"/>
          <w:sz w:val="28"/>
          <w:szCs w:val="28"/>
        </w:rPr>
      </w:pPr>
      <w:r w:rsidRPr="00F07646">
        <w:rPr>
          <w:rFonts w:ascii="Times New Roman" w:hAnsi="Times New Roman" w:cs="Times New Roman"/>
        </w:rPr>
        <w:t>The Municipality of Itogon in the province of Benguet is identified as a landslide-prone</w:t>
      </w:r>
      <w:r>
        <w:rPr>
          <w:rFonts w:ascii="Times New Roman" w:hAnsi="Times New Roman" w:cs="Times New Roman"/>
        </w:rPr>
        <w:t xml:space="preserve"> </w:t>
      </w:r>
      <w:r w:rsidRPr="00F07646">
        <w:rPr>
          <w:rFonts w:ascii="Times New Roman" w:hAnsi="Times New Roman" w:cs="Times New Roman"/>
        </w:rPr>
        <w:t>area. Local Government Units (LGUs) are the first line of defense when it comes to</w:t>
      </w:r>
      <w:r>
        <w:rPr>
          <w:rFonts w:ascii="Times New Roman" w:hAnsi="Times New Roman" w:cs="Times New Roman"/>
        </w:rPr>
        <w:t xml:space="preserve"> </w:t>
      </w:r>
      <w:r w:rsidRPr="00F07646">
        <w:rPr>
          <w:rFonts w:ascii="Times New Roman" w:hAnsi="Times New Roman" w:cs="Times New Roman"/>
        </w:rPr>
        <w:t>community safety and risk communication is one of their most important roles. This</w:t>
      </w:r>
      <w:r>
        <w:rPr>
          <w:rFonts w:ascii="Times New Roman" w:hAnsi="Times New Roman" w:cs="Times New Roman"/>
        </w:rPr>
        <w:t xml:space="preserve"> </w:t>
      </w:r>
      <w:r w:rsidRPr="00F07646">
        <w:rPr>
          <w:rFonts w:ascii="Times New Roman" w:hAnsi="Times New Roman" w:cs="Times New Roman"/>
        </w:rPr>
        <w:t>study explores the integration of communication and capacity development in</w:t>
      </w:r>
      <w:r>
        <w:rPr>
          <w:rFonts w:ascii="Times New Roman" w:hAnsi="Times New Roman" w:cs="Times New Roman"/>
        </w:rPr>
        <w:t xml:space="preserve"> </w:t>
      </w:r>
      <w:r w:rsidRPr="00F07646">
        <w:rPr>
          <w:rFonts w:ascii="Times New Roman" w:hAnsi="Times New Roman" w:cs="Times New Roman"/>
        </w:rPr>
        <w:t xml:space="preserve">community-based landslide adaptation in Itogon, Benguet, focusing on barangays </w:t>
      </w:r>
      <w:proofErr w:type="spellStart"/>
      <w:proofErr w:type="gramStart"/>
      <w:r w:rsidRPr="00F07646">
        <w:rPr>
          <w:rFonts w:ascii="Times New Roman" w:hAnsi="Times New Roman" w:cs="Times New Roman"/>
        </w:rPr>
        <w:t>Virac,Gumatdang</w:t>
      </w:r>
      <w:proofErr w:type="spellEnd"/>
      <w:proofErr w:type="gramEnd"/>
      <w:r w:rsidRPr="00F07646">
        <w:rPr>
          <w:rFonts w:ascii="Times New Roman" w:hAnsi="Times New Roman" w:cs="Times New Roman"/>
        </w:rPr>
        <w:t xml:space="preserve">, and </w:t>
      </w:r>
      <w:proofErr w:type="spellStart"/>
      <w:r w:rsidRPr="00F07646">
        <w:rPr>
          <w:rFonts w:ascii="Times New Roman" w:hAnsi="Times New Roman" w:cs="Times New Roman"/>
        </w:rPr>
        <w:t>Ucab</w:t>
      </w:r>
      <w:proofErr w:type="spellEnd"/>
      <w:r>
        <w:rPr>
          <w:rFonts w:ascii="Times New Roman" w:hAnsi="Times New Roman" w:cs="Times New Roman"/>
        </w:rPr>
        <w:t>.</w:t>
      </w:r>
    </w:p>
    <w:p w14:paraId="71FC6FB0" w14:textId="1959111A" w:rsidR="00744401" w:rsidRDefault="00744401" w:rsidP="00277363">
      <w:pPr>
        <w:spacing w:beforeLines="240" w:before="576" w:afterLines="240" w:after="576"/>
        <w:ind w:firstLine="720"/>
        <w:jc w:val="both"/>
        <w:rPr>
          <w:rFonts w:ascii="Times New Roman" w:hAnsi="Times New Roman" w:cs="Times New Roman"/>
        </w:rPr>
      </w:pPr>
      <w:r w:rsidRPr="00F07646">
        <w:rPr>
          <w:rFonts w:ascii="Times New Roman" w:hAnsi="Times New Roman" w:cs="Times New Roman"/>
        </w:rPr>
        <w:t xml:space="preserve">The </w:t>
      </w:r>
      <w:r>
        <w:rPr>
          <w:rFonts w:ascii="Times New Roman" w:hAnsi="Times New Roman" w:cs="Times New Roman"/>
        </w:rPr>
        <w:t>objective of this study is to first</w:t>
      </w:r>
      <w:r w:rsidRPr="00F07646">
        <w:rPr>
          <w:rFonts w:ascii="Times New Roman" w:hAnsi="Times New Roman" w:cs="Times New Roman"/>
        </w:rPr>
        <w:t xml:space="preserve"> </w:t>
      </w:r>
      <w:r>
        <w:rPr>
          <w:rFonts w:ascii="Times New Roman" w:hAnsi="Times New Roman" w:cs="Times New Roman"/>
        </w:rPr>
        <w:t>e</w:t>
      </w:r>
      <w:r w:rsidRPr="00F07646">
        <w:rPr>
          <w:rFonts w:ascii="Times New Roman" w:hAnsi="Times New Roman" w:cs="Times New Roman"/>
        </w:rPr>
        <w:t>xplain how the communication processes and</w:t>
      </w:r>
      <w:r>
        <w:rPr>
          <w:rFonts w:ascii="Times New Roman" w:hAnsi="Times New Roman" w:cs="Times New Roman"/>
        </w:rPr>
        <w:t xml:space="preserve"> </w:t>
      </w:r>
      <w:r w:rsidRPr="00F07646">
        <w:rPr>
          <w:rFonts w:ascii="Times New Roman" w:hAnsi="Times New Roman" w:cs="Times New Roman"/>
        </w:rPr>
        <w:t>strategies contribute in terms of preparedness, response, restoration, and rehabilitation in</w:t>
      </w:r>
      <w:r>
        <w:rPr>
          <w:rFonts w:ascii="Times New Roman" w:hAnsi="Times New Roman" w:cs="Times New Roman"/>
        </w:rPr>
        <w:t xml:space="preserve"> </w:t>
      </w:r>
      <w:r w:rsidRPr="00F07646">
        <w:rPr>
          <w:rFonts w:ascii="Times New Roman" w:hAnsi="Times New Roman" w:cs="Times New Roman"/>
        </w:rPr>
        <w:t>landslide mitigation;</w:t>
      </w:r>
      <w:r>
        <w:rPr>
          <w:rFonts w:ascii="Times New Roman" w:hAnsi="Times New Roman" w:cs="Times New Roman"/>
        </w:rPr>
        <w:t xml:space="preserve"> and e</w:t>
      </w:r>
      <w:r w:rsidRPr="00F07646">
        <w:rPr>
          <w:rFonts w:ascii="Times New Roman" w:hAnsi="Times New Roman" w:cs="Times New Roman"/>
        </w:rPr>
        <w:t>xamine how the local government units at the barangay and</w:t>
      </w:r>
      <w:r>
        <w:rPr>
          <w:rFonts w:ascii="Times New Roman" w:hAnsi="Times New Roman" w:cs="Times New Roman"/>
        </w:rPr>
        <w:t xml:space="preserve"> </w:t>
      </w:r>
      <w:r w:rsidRPr="00F07646">
        <w:rPr>
          <w:rFonts w:ascii="Times New Roman" w:hAnsi="Times New Roman" w:cs="Times New Roman"/>
        </w:rPr>
        <w:t>municipal levels develop capacities in landslide adaptation</w:t>
      </w:r>
      <w:r>
        <w:rPr>
          <w:rFonts w:ascii="Times New Roman" w:hAnsi="Times New Roman" w:cs="Times New Roman"/>
        </w:rPr>
        <w:t xml:space="preserve">.  </w:t>
      </w:r>
      <w:r w:rsidRPr="00F07646">
        <w:rPr>
          <w:rFonts w:ascii="Times New Roman" w:hAnsi="Times New Roman" w:cs="Times New Roman"/>
        </w:rPr>
        <w:t>Using</w:t>
      </w:r>
      <w:r>
        <w:rPr>
          <w:rFonts w:ascii="Times New Roman" w:hAnsi="Times New Roman" w:cs="Times New Roman"/>
        </w:rPr>
        <w:t xml:space="preserve"> </w:t>
      </w:r>
      <w:r w:rsidRPr="00F07646">
        <w:rPr>
          <w:rFonts w:ascii="Times New Roman" w:hAnsi="Times New Roman" w:cs="Times New Roman"/>
        </w:rPr>
        <w:t>a descriptive case study, data came from three focus group</w:t>
      </w:r>
      <w:r>
        <w:rPr>
          <w:rFonts w:ascii="Times New Roman" w:hAnsi="Times New Roman" w:cs="Times New Roman"/>
        </w:rPr>
        <w:t xml:space="preserve"> </w:t>
      </w:r>
      <w:r w:rsidRPr="00F07646">
        <w:rPr>
          <w:rFonts w:ascii="Times New Roman" w:hAnsi="Times New Roman" w:cs="Times New Roman"/>
        </w:rPr>
        <w:t>discussions (6–8 participants each) and five key informant interviews with Municipal</w:t>
      </w:r>
      <w:r>
        <w:rPr>
          <w:rFonts w:ascii="Times New Roman" w:hAnsi="Times New Roman" w:cs="Times New Roman"/>
        </w:rPr>
        <w:t xml:space="preserve"> </w:t>
      </w:r>
      <w:r w:rsidRPr="00F07646">
        <w:rPr>
          <w:rFonts w:ascii="Times New Roman" w:hAnsi="Times New Roman" w:cs="Times New Roman"/>
        </w:rPr>
        <w:t>Disaster Risk Reduction and Management Office (MDRRMO), Municipal Environment</w:t>
      </w:r>
      <w:r>
        <w:rPr>
          <w:rFonts w:ascii="Times New Roman" w:hAnsi="Times New Roman" w:cs="Times New Roman"/>
        </w:rPr>
        <w:t xml:space="preserve"> </w:t>
      </w:r>
      <w:r w:rsidRPr="00F07646">
        <w:rPr>
          <w:rFonts w:ascii="Times New Roman" w:hAnsi="Times New Roman" w:cs="Times New Roman"/>
        </w:rPr>
        <w:t>and Natural Resources Office (MENRO), Barangay Disaster Risk Reduction and</w:t>
      </w:r>
      <w:r>
        <w:rPr>
          <w:rFonts w:ascii="Times New Roman" w:hAnsi="Times New Roman" w:cs="Times New Roman"/>
        </w:rPr>
        <w:t xml:space="preserve"> </w:t>
      </w:r>
      <w:r w:rsidRPr="00F07646">
        <w:rPr>
          <w:rFonts w:ascii="Times New Roman" w:hAnsi="Times New Roman" w:cs="Times New Roman"/>
        </w:rPr>
        <w:t>Management (BDRRM) chairpersons, and staff.</w:t>
      </w:r>
    </w:p>
    <w:p w14:paraId="7C55A8B9" w14:textId="77777777" w:rsidR="00744401" w:rsidRDefault="00744401" w:rsidP="00277363">
      <w:pPr>
        <w:spacing w:beforeLines="240" w:before="576" w:afterLines="240" w:after="576"/>
        <w:ind w:firstLine="720"/>
        <w:jc w:val="both"/>
        <w:rPr>
          <w:rFonts w:ascii="Times New Roman" w:hAnsi="Times New Roman" w:cs="Times New Roman"/>
        </w:rPr>
      </w:pPr>
      <w:r w:rsidRPr="00F07646">
        <w:rPr>
          <w:rFonts w:ascii="Times New Roman" w:hAnsi="Times New Roman" w:cs="Times New Roman"/>
        </w:rPr>
        <w:t xml:space="preserve">Findings revealed </w:t>
      </w:r>
      <w:r>
        <w:rPr>
          <w:rFonts w:ascii="Times New Roman" w:hAnsi="Times New Roman" w:cs="Times New Roman"/>
        </w:rPr>
        <w:t>that c</w:t>
      </w:r>
      <w:r w:rsidRPr="00F07646">
        <w:rPr>
          <w:rFonts w:ascii="Times New Roman" w:hAnsi="Times New Roman" w:cs="Times New Roman"/>
        </w:rPr>
        <w:t>ommunication</w:t>
      </w:r>
      <w:r>
        <w:rPr>
          <w:rFonts w:ascii="Times New Roman" w:hAnsi="Times New Roman" w:cs="Times New Roman"/>
        </w:rPr>
        <w:t xml:space="preserve"> </w:t>
      </w:r>
      <w:r w:rsidRPr="00F07646">
        <w:rPr>
          <w:rFonts w:ascii="Times New Roman" w:hAnsi="Times New Roman" w:cs="Times New Roman"/>
        </w:rPr>
        <w:t>processes serve as a cross‑cutting mechanism in landslide adaptation, enabling risk</w:t>
      </w:r>
      <w:r>
        <w:rPr>
          <w:rFonts w:ascii="Times New Roman" w:hAnsi="Times New Roman" w:cs="Times New Roman"/>
        </w:rPr>
        <w:t xml:space="preserve"> </w:t>
      </w:r>
      <w:r w:rsidRPr="00F07646">
        <w:rPr>
          <w:rFonts w:ascii="Times New Roman" w:hAnsi="Times New Roman" w:cs="Times New Roman"/>
        </w:rPr>
        <w:t>awareness and early warning for preparedness, rapid coordination for response,</w:t>
      </w:r>
      <w:r>
        <w:rPr>
          <w:rFonts w:ascii="Times New Roman" w:hAnsi="Times New Roman" w:cs="Times New Roman"/>
        </w:rPr>
        <w:t xml:space="preserve"> </w:t>
      </w:r>
      <w:r w:rsidRPr="00F07646">
        <w:rPr>
          <w:rFonts w:ascii="Times New Roman" w:hAnsi="Times New Roman" w:cs="Times New Roman"/>
        </w:rPr>
        <w:t>participatory dialogue for restoration, and inclusive knowledge exchange for</w:t>
      </w:r>
      <w:r>
        <w:rPr>
          <w:rFonts w:ascii="Times New Roman" w:hAnsi="Times New Roman" w:cs="Times New Roman"/>
        </w:rPr>
        <w:t xml:space="preserve"> </w:t>
      </w:r>
      <w:r w:rsidRPr="00F07646">
        <w:rPr>
          <w:rFonts w:ascii="Times New Roman" w:hAnsi="Times New Roman" w:cs="Times New Roman"/>
        </w:rPr>
        <w:t>rehabilitation. At the institutional level, the LGU implements standardized training,</w:t>
      </w:r>
      <w:r>
        <w:rPr>
          <w:rFonts w:ascii="Times New Roman" w:hAnsi="Times New Roman" w:cs="Times New Roman"/>
        </w:rPr>
        <w:t xml:space="preserve"> </w:t>
      </w:r>
      <w:r w:rsidRPr="00F07646">
        <w:rPr>
          <w:rFonts w:ascii="Times New Roman" w:hAnsi="Times New Roman" w:cs="Times New Roman"/>
        </w:rPr>
        <w:t>youth-focused initiatives, eco-based prevention, and continuous monitoring of high-risk</w:t>
      </w:r>
      <w:r>
        <w:rPr>
          <w:rFonts w:ascii="Times New Roman" w:hAnsi="Times New Roman" w:cs="Times New Roman"/>
        </w:rPr>
        <w:t xml:space="preserve"> </w:t>
      </w:r>
      <w:r w:rsidRPr="00F07646">
        <w:rPr>
          <w:rFonts w:ascii="Times New Roman" w:hAnsi="Times New Roman" w:cs="Times New Roman"/>
        </w:rPr>
        <w:t>areas.</w:t>
      </w:r>
    </w:p>
    <w:p w14:paraId="7D36AFB9" w14:textId="77777777" w:rsidR="00744401" w:rsidRDefault="00744401" w:rsidP="00277363">
      <w:pPr>
        <w:spacing w:beforeLines="240" w:before="576" w:afterLines="240" w:after="576"/>
        <w:jc w:val="both"/>
        <w:rPr>
          <w:rFonts w:ascii="Times New Roman" w:hAnsi="Times New Roman" w:cs="Times New Roman"/>
        </w:rPr>
      </w:pPr>
    </w:p>
    <w:p w14:paraId="1CFF5C84" w14:textId="740835DB" w:rsidR="00277363" w:rsidRDefault="00744401" w:rsidP="00277363">
      <w:pPr>
        <w:spacing w:beforeLines="240" w:before="576" w:afterLines="240" w:after="576"/>
        <w:jc w:val="both"/>
        <w:rPr>
          <w:rFonts w:ascii="Times New Roman" w:hAnsi="Times New Roman" w:cs="Times New Roman"/>
        </w:rPr>
      </w:pPr>
      <w:r>
        <w:rPr>
          <w:rFonts w:ascii="Times New Roman" w:hAnsi="Times New Roman" w:cs="Times New Roman"/>
        </w:rPr>
        <w:t>Keywords: Landslide, communication, capacity development, Itogon Benguet</w:t>
      </w:r>
    </w:p>
    <w:p w14:paraId="60F0C065" w14:textId="77777777" w:rsidR="00277363" w:rsidRPr="001E066D" w:rsidRDefault="00277363" w:rsidP="00277363">
      <w:pPr>
        <w:spacing w:beforeLines="240" w:before="576" w:afterLines="240" w:after="576" w:line="240" w:lineRule="auto"/>
        <w:jc w:val="center"/>
        <w:rPr>
          <w:rFonts w:ascii="Times New Roman" w:hAnsi="Times New Roman" w:cs="Times New Roman"/>
          <w:sz w:val="22"/>
          <w:szCs w:val="22"/>
        </w:rPr>
      </w:pPr>
      <w:r w:rsidRPr="001E066D">
        <w:rPr>
          <w:rFonts w:ascii="Times New Roman" w:hAnsi="Times New Roman" w:cs="Times New Roman"/>
          <w:sz w:val="22"/>
          <w:szCs w:val="22"/>
        </w:rPr>
        <w:lastRenderedPageBreak/>
        <w:t>INTRODUCTION</w:t>
      </w:r>
    </w:p>
    <w:p w14:paraId="0F11C90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A key aspect of both disaster risk management (DRM) and disaster risk reduction (DRR) is risk communication (Alcántara-Ayala, 2018). Effective communication raises public awareness about landslide risks (Nishikawa, 2023), and promotes collaboration among experts and stakeholders for mitigation efforts (Dias, </w:t>
      </w:r>
      <w:proofErr w:type="spellStart"/>
      <w:r w:rsidRPr="001E066D">
        <w:rPr>
          <w:rFonts w:ascii="Times New Roman" w:hAnsi="Times New Roman" w:cs="Times New Roman"/>
          <w:sz w:val="22"/>
          <w:szCs w:val="22"/>
        </w:rPr>
        <w:t>Katuwala</w:t>
      </w:r>
      <w:proofErr w:type="spellEnd"/>
      <w:r w:rsidRPr="001E066D">
        <w:rPr>
          <w:rFonts w:ascii="Times New Roman" w:hAnsi="Times New Roman" w:cs="Times New Roman"/>
          <w:sz w:val="22"/>
          <w:szCs w:val="22"/>
        </w:rPr>
        <w:t xml:space="preserve">, &amp; </w:t>
      </w:r>
      <w:proofErr w:type="spellStart"/>
      <w:r w:rsidRPr="001E066D">
        <w:rPr>
          <w:rFonts w:ascii="Times New Roman" w:hAnsi="Times New Roman" w:cs="Times New Roman"/>
          <w:sz w:val="22"/>
          <w:szCs w:val="22"/>
        </w:rPr>
        <w:t>Kodagoda</w:t>
      </w:r>
      <w:proofErr w:type="spellEnd"/>
      <w:r w:rsidRPr="001E066D">
        <w:rPr>
          <w:rFonts w:ascii="Times New Roman" w:hAnsi="Times New Roman" w:cs="Times New Roman"/>
          <w:sz w:val="22"/>
          <w:szCs w:val="22"/>
        </w:rPr>
        <w:t>, S.2020). While TV, radio, talks and conferences are the common sources of landslide-related information, communication should also include evacuation drills, signaling, and short courses (Alcantara-Ayala, Moreno, 2016). This fortifies the relationship among the stakeholders and also improves the people’s understanding of landslide risks which in turn will prepare them to respond in times of need. Capacity building enhances community preparedness and response to landslide disasters. It also promotes disaster knowledge and awareness for effective mitigation strategies (Setiawan, et al., 2020).</w:t>
      </w:r>
    </w:p>
    <w:p w14:paraId="385A897B"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 this regard, the communication lens serves an important function in enhancing awareness and knowledge among communities, policy makers and other stakeholders on the dangers of landslides. Effective communication plans enable all involved to be aware of the dangers, sharpen readiness, and adopt adaptive measures.</w:t>
      </w:r>
    </w:p>
    <w:p w14:paraId="04590F66"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Additionally, capacity development is crucial to fostering resilience. This study contributes to the wider effort of empowering the local communities and institutions by documenting and building upon their skills and knowledge in the face of climate-induced threats. This aligns with the overall goal of not only addressing risks related to landslides, but also the sustainable development practices that reduce vulnerability over time.</w:t>
      </w:r>
    </w:p>
    <w:p w14:paraId="67B07C1E"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Since 1980, the country experienced a drastic increase in the frequency of storms, floods, and volcanic eruptions, with a 147% rise in natural disasters affecting various industries (Garcia and Hernandez, 2018). Notable catastrophes include Typhoon Yolanda in 2013, Typhoon Pablo in 2012, and the Bohol Earthquake in 2013 (</w:t>
      </w:r>
      <w:proofErr w:type="spellStart"/>
      <w:r w:rsidRPr="001E066D">
        <w:rPr>
          <w:rFonts w:ascii="Times New Roman" w:hAnsi="Times New Roman" w:cs="Times New Roman"/>
          <w:sz w:val="22"/>
          <w:szCs w:val="22"/>
        </w:rPr>
        <w:t>Iuchi</w:t>
      </w:r>
      <w:proofErr w:type="spellEnd"/>
      <w:r w:rsidRPr="001E066D">
        <w:rPr>
          <w:rFonts w:ascii="Times New Roman" w:hAnsi="Times New Roman" w:cs="Times New Roman"/>
          <w:sz w:val="22"/>
          <w:szCs w:val="22"/>
        </w:rPr>
        <w:t xml:space="preserve"> et al., 2019), which highlighted the need for robust disaster risk reduction and management strategies. The Philippines' vulnerability to typhoons, earthquakes, volcanic eruptions, and floods underscores the urgent requirement for proactive governance, community engagement, and interdisciplinary approaches to mitigate the impacts of these recurring disasters (Lagmay, 2014).</w:t>
      </w:r>
    </w:p>
    <w:p w14:paraId="78967059"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Landslides are one of many catastrophes in the Philippines that are often triggered by typhoons (Jones, et al.,2023) and cause hundreds of fatalities and significant economic damage every year (</w:t>
      </w:r>
      <w:proofErr w:type="spellStart"/>
      <w:r w:rsidRPr="001E066D">
        <w:rPr>
          <w:rFonts w:ascii="Times New Roman" w:hAnsi="Times New Roman" w:cs="Times New Roman"/>
          <w:sz w:val="22"/>
          <w:szCs w:val="22"/>
        </w:rPr>
        <w:t>Abancó</w:t>
      </w:r>
      <w:proofErr w:type="spellEnd"/>
      <w:r w:rsidRPr="001E066D">
        <w:rPr>
          <w:rFonts w:ascii="Times New Roman" w:hAnsi="Times New Roman" w:cs="Times New Roman"/>
          <w:sz w:val="22"/>
          <w:szCs w:val="22"/>
        </w:rPr>
        <w:t xml:space="preserve"> et al., 2022). In the southeast Bohol province, frequent landslides pose significant hazard risks to nearby communities, with factors such as road networks, faults, geomorphology, and geology influencing their occurrence (</w:t>
      </w:r>
      <w:proofErr w:type="spellStart"/>
      <w:r w:rsidRPr="001E066D">
        <w:rPr>
          <w:rFonts w:ascii="Times New Roman" w:hAnsi="Times New Roman" w:cs="Times New Roman"/>
          <w:sz w:val="22"/>
          <w:szCs w:val="22"/>
        </w:rPr>
        <w:t>Tubog</w:t>
      </w:r>
      <w:proofErr w:type="spellEnd"/>
      <w:r w:rsidRPr="001E066D">
        <w:rPr>
          <w:rFonts w:ascii="Times New Roman" w:hAnsi="Times New Roman" w:cs="Times New Roman"/>
          <w:sz w:val="22"/>
          <w:szCs w:val="22"/>
        </w:rPr>
        <w:t xml:space="preserve">, Villahermosa, and </w:t>
      </w:r>
      <w:proofErr w:type="spellStart"/>
      <w:r w:rsidRPr="001E066D">
        <w:rPr>
          <w:rFonts w:ascii="Times New Roman" w:hAnsi="Times New Roman" w:cs="Times New Roman"/>
          <w:sz w:val="22"/>
          <w:szCs w:val="22"/>
        </w:rPr>
        <w:t>Perong</w:t>
      </w:r>
      <w:proofErr w:type="spellEnd"/>
      <w:r w:rsidRPr="001E066D">
        <w:rPr>
          <w:rFonts w:ascii="Times New Roman" w:hAnsi="Times New Roman" w:cs="Times New Roman"/>
          <w:sz w:val="22"/>
          <w:szCs w:val="22"/>
        </w:rPr>
        <w:t>, 2023). Additionally, parameters such as soil textures, settlements, water-holding capacity, and elevation angles play crucial roles in landslide occurrences in provinces like Iloilo (Gabor, 2023).</w:t>
      </w:r>
    </w:p>
    <w:p w14:paraId="3E610449"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Municipality of Itogon in the province of Benguet is identified as a landslide-prone area (</w:t>
      </w:r>
      <w:proofErr w:type="spellStart"/>
      <w:r w:rsidRPr="001E066D">
        <w:rPr>
          <w:rFonts w:ascii="Times New Roman" w:hAnsi="Times New Roman" w:cs="Times New Roman"/>
          <w:sz w:val="22"/>
          <w:szCs w:val="22"/>
        </w:rPr>
        <w:t>Alimondo</w:t>
      </w:r>
      <w:proofErr w:type="spellEnd"/>
      <w:r w:rsidRPr="001E066D">
        <w:rPr>
          <w:rFonts w:ascii="Times New Roman" w:hAnsi="Times New Roman" w:cs="Times New Roman"/>
          <w:sz w:val="22"/>
          <w:szCs w:val="22"/>
        </w:rPr>
        <w:t xml:space="preserve">, 2018). The existing Landslide Susceptibility Map of the Mines and Geosciences Bureau shows that much of the Itogon area has high to very high landslide susceptibilities (Jones et al., 2023). During the onslaught of Typhoon </w:t>
      </w:r>
      <w:proofErr w:type="spellStart"/>
      <w:r w:rsidRPr="001E066D">
        <w:rPr>
          <w:rFonts w:ascii="Times New Roman" w:hAnsi="Times New Roman" w:cs="Times New Roman"/>
          <w:sz w:val="22"/>
          <w:szCs w:val="22"/>
        </w:rPr>
        <w:t>Ompong</w:t>
      </w:r>
      <w:proofErr w:type="spellEnd"/>
      <w:r w:rsidRPr="001E066D">
        <w:rPr>
          <w:rFonts w:ascii="Times New Roman" w:hAnsi="Times New Roman" w:cs="Times New Roman"/>
          <w:sz w:val="22"/>
          <w:szCs w:val="22"/>
        </w:rPr>
        <w:t xml:space="preserve"> in 2018, 94 Itogon residents were officially declared dead (</w:t>
      </w:r>
      <w:proofErr w:type="spellStart"/>
      <w:r w:rsidRPr="001E066D">
        <w:rPr>
          <w:rFonts w:ascii="Times New Roman" w:hAnsi="Times New Roman" w:cs="Times New Roman"/>
          <w:sz w:val="22"/>
          <w:szCs w:val="22"/>
        </w:rPr>
        <w:t>Cimatu</w:t>
      </w:r>
      <w:proofErr w:type="spellEnd"/>
      <w:r w:rsidRPr="001E066D">
        <w:rPr>
          <w:rFonts w:ascii="Times New Roman" w:hAnsi="Times New Roman" w:cs="Times New Roman"/>
          <w:sz w:val="22"/>
          <w:szCs w:val="22"/>
        </w:rPr>
        <w:t xml:space="preserve">, 2018), many of them were victims of the massive landslide in Barangay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A number of individuals were also listed missing.</w:t>
      </w:r>
    </w:p>
    <w:p w14:paraId="2AEE4B66"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By the directive of Republic Act 10121, Local Government Units (LGUs) are the first line of defense when it comes to community safety and risk communication is one of their most important roles. They are the first and most reliable information source to the local population when a disaster threatens, and they have the responsibility to provide urgent and accessible warnings and instructions to help people save their own lives and </w:t>
      </w:r>
      <w:proofErr w:type="spellStart"/>
      <w:proofErr w:type="gramStart"/>
      <w:r w:rsidRPr="001E066D">
        <w:rPr>
          <w:rFonts w:ascii="Times New Roman" w:hAnsi="Times New Roman" w:cs="Times New Roman"/>
          <w:sz w:val="22"/>
          <w:szCs w:val="22"/>
        </w:rPr>
        <w:t>property.They</w:t>
      </w:r>
      <w:proofErr w:type="spellEnd"/>
      <w:proofErr w:type="gramEnd"/>
      <w:r w:rsidRPr="001E066D">
        <w:rPr>
          <w:rFonts w:ascii="Times New Roman" w:hAnsi="Times New Roman" w:cs="Times New Roman"/>
          <w:sz w:val="22"/>
          <w:szCs w:val="22"/>
        </w:rPr>
        <w:t xml:space="preserve"> do much more than simply issue alerts. The engineers of local resiliency are LGUs. They develop preparedness at the community level through training and workshops, which builds community capacity. They are the key coordinators making sure that the reaction of health, education, </w:t>
      </w:r>
      <w:r w:rsidRPr="001E066D">
        <w:rPr>
          <w:rFonts w:ascii="Times New Roman" w:hAnsi="Times New Roman" w:cs="Times New Roman"/>
          <w:sz w:val="22"/>
          <w:szCs w:val="22"/>
        </w:rPr>
        <w:lastRenderedPageBreak/>
        <w:t>and civil defense agencies is coordinated and effective as the law dictates. Importantly, they involve the community in a mutual process, inviting the residents to the planning and discussions. This participatory practice fosters a feeling of ownership of safety.</w:t>
      </w:r>
    </w:p>
    <w:p w14:paraId="12CF4A98"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role of Local Government Units </w:t>
      </w:r>
      <w:proofErr w:type="gramStart"/>
      <w:r w:rsidRPr="001E066D">
        <w:rPr>
          <w:rFonts w:ascii="Times New Roman" w:hAnsi="Times New Roman" w:cs="Times New Roman"/>
          <w:sz w:val="22"/>
          <w:szCs w:val="22"/>
        </w:rPr>
        <w:t>are</w:t>
      </w:r>
      <w:proofErr w:type="gramEnd"/>
      <w:r w:rsidRPr="001E066D">
        <w:rPr>
          <w:rFonts w:ascii="Times New Roman" w:hAnsi="Times New Roman" w:cs="Times New Roman"/>
          <w:sz w:val="22"/>
          <w:szCs w:val="22"/>
        </w:rPr>
        <w:t xml:space="preserve"> important linkage between nationwide policy and local action. Their contribution toward the area of risk communication is essential in changing communities into resilient and prepared and informed organizations and communities, which save lives and reduce the devastating effect of disasters among the Filipino people.</w:t>
      </w:r>
    </w:p>
    <w:p w14:paraId="356D6816"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Objectives of the Study</w:t>
      </w:r>
    </w:p>
    <w:p w14:paraId="413ED6AE"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1.</w:t>
      </w:r>
      <w:r w:rsidRPr="001E066D">
        <w:rPr>
          <w:rFonts w:ascii="Times New Roman" w:hAnsi="Times New Roman" w:cs="Times New Roman"/>
          <w:sz w:val="22"/>
          <w:szCs w:val="22"/>
        </w:rPr>
        <w:tab/>
        <w:t>Explain how the communication processes and strategies contribute in terms of preparedness, response, restoration, and rehabilitation in landslide adaptation;</w:t>
      </w:r>
    </w:p>
    <w:p w14:paraId="22BE9E04"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2.</w:t>
      </w:r>
      <w:r w:rsidRPr="001E066D">
        <w:rPr>
          <w:rFonts w:ascii="Times New Roman" w:hAnsi="Times New Roman" w:cs="Times New Roman"/>
          <w:sz w:val="22"/>
          <w:szCs w:val="22"/>
        </w:rPr>
        <w:tab/>
        <w:t>Examined how the local government units at the barangay and municipal levels develop capacities in landslide adaptation;</w:t>
      </w:r>
    </w:p>
    <w:p w14:paraId="05C0B9E7"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p>
    <w:p w14:paraId="4DA87A1B"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Significance of the Study</w:t>
      </w:r>
    </w:p>
    <w:p w14:paraId="53613792"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This study aims to provide empirical evidence on how communication and capacity development activities help to let communities in Itogon adapt to the risks associated with landslides.</w:t>
      </w:r>
    </w:p>
    <w:p w14:paraId="539DCD1B" w14:textId="77777777" w:rsidR="00277363" w:rsidRPr="00277363" w:rsidRDefault="00277363" w:rsidP="00277363">
      <w:pPr>
        <w:spacing w:beforeLines="240" w:before="576" w:afterLines="240" w:after="576" w:line="240" w:lineRule="auto"/>
        <w:jc w:val="both"/>
        <w:rPr>
          <w:rFonts w:ascii="Times New Roman" w:hAnsi="Times New Roman" w:cs="Times New Roman"/>
          <w:sz w:val="28"/>
          <w:szCs w:val="28"/>
        </w:rPr>
      </w:pPr>
    </w:p>
    <w:p w14:paraId="67D26251" w14:textId="77777777" w:rsidR="00277363" w:rsidRPr="00277363" w:rsidRDefault="00277363" w:rsidP="00277363">
      <w:pPr>
        <w:spacing w:beforeLines="240" w:before="576" w:afterLines="240" w:after="576" w:line="240" w:lineRule="auto"/>
        <w:jc w:val="center"/>
        <w:rPr>
          <w:rFonts w:ascii="Times New Roman" w:hAnsi="Times New Roman" w:cs="Times New Roman"/>
          <w:b/>
          <w:bCs/>
          <w:sz w:val="28"/>
          <w:szCs w:val="28"/>
        </w:rPr>
      </w:pPr>
      <w:r w:rsidRPr="00277363">
        <w:rPr>
          <w:rFonts w:ascii="Times New Roman" w:hAnsi="Times New Roman" w:cs="Times New Roman"/>
          <w:b/>
          <w:bCs/>
          <w:sz w:val="28"/>
          <w:szCs w:val="28"/>
        </w:rPr>
        <w:t>METHODOLOGY</w:t>
      </w:r>
    </w:p>
    <w:p w14:paraId="0D12B1A5"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Research Design</w:t>
      </w:r>
    </w:p>
    <w:p w14:paraId="2135AFDB"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This research employed a descriptive case study approach, which is particularly suited for exploring complex social and institutional phenomena in disaster risk communication. A case study is defined as “an empirical inquiry that investigates a contemporary phenomenon within its real-life context, especially when the boundaries between phenomenon and context are not clearly evident” (Yin, 2018, p. 15). The descriptive case study design focuses on providing a detailed account of the subject under investigation, capturing the nuances of processes, interactions, and contextual factors without manipulating variables (Lamnek, 2005).</w:t>
      </w:r>
    </w:p>
    <w:p w14:paraId="23A81EC8"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Research Locale</w:t>
      </w:r>
    </w:p>
    <w:p w14:paraId="03B1974E"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lastRenderedPageBreak/>
        <w:t xml:space="preserve">This research was conducted in three adjacent barangays within the Municipality of Itogon, Province of Benguet: Virac,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xml:space="preserve">, and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w:t>
      </w:r>
    </w:p>
    <w:p w14:paraId="4F064B19"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These barangays are geographically located at the mountainous Cordillera Central of the Northern Luzon. The climate of the area is temperate upland with a large amount of rainfall during the year. The landscape has been given a universal categorization of mountainous and steeply sloped with deep cuts of river valleys, sharp ridges, and erosional features.</w:t>
      </w:r>
    </w:p>
    <w:p w14:paraId="3F7BEE06"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10674442"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Participants of the Study</w:t>
      </w:r>
    </w:p>
    <w:p w14:paraId="64B256EA"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participants of the study include the Municipal Environment and Natural Resources Officer (MENRO) as he is linked with the government policy, practical environment management, and the community. Their personal experience in transforming between technical hazard maps and community guidelines provides indispensable perspective regarding the existing deficiencies present in the current communication and capacity development initiatives</w:t>
      </w:r>
    </w:p>
    <w:p w14:paraId="28BD3F0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Municipal Disaster Risk Reduction and Management Officer (MDRRMO), the local government expert designated to plan, coordinate, and implement disaster-related programs;</w:t>
      </w:r>
    </w:p>
    <w:p w14:paraId="7F27B838"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Barangay councils and BDRRM staff, often the first responders during emergencies. Those who have experienced landslides before can provide narratives of real-life challenges, such as how warnings were relayed to residents and what actions were taken to reduce risks.</w:t>
      </w:r>
    </w:p>
    <w:p w14:paraId="31D343E4"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Barangay Committee Chair on DRRM, the barangay has a leader in charge of disaster risk reduction management, since they work directly with communities on the ground, they are aware of the difficulties of communicating warnings and conducting disaster exercises. They will be able to see where gaps and strengths of existing landslide mitigation efforts lie.</w:t>
      </w:r>
    </w:p>
    <w:p w14:paraId="10E04BEF"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 xml:space="preserve"> </w:t>
      </w:r>
    </w:p>
    <w:p w14:paraId="07CDDBF5"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Data Collection</w:t>
      </w:r>
    </w:p>
    <w:p w14:paraId="7F7BE818"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Five key informant interviews (KII) were employed to gather data and information from the (1) Municipal Disaster Risk Reduction Management Officer (MDRRMO), (1) Municipal Environment and Natural Resources Office (MENRO), and (3) Barangay Committee Chair and staff on DRRM regarding the landslide mitigation practices, communication campaigns or activities on landslides, and capacity-building programs and activities in the community towards the mitigation of landslides.</w:t>
      </w:r>
    </w:p>
    <w:p w14:paraId="4F83D35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Three Focus Group Discussion with six to eight members, one from each barangay was conducted among the barangay leaders to ensure that the experiences landslide-related activities or events are documented.</w:t>
      </w:r>
    </w:p>
    <w:p w14:paraId="0F5046F8" w14:textId="77777777" w:rsidR="00277363"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lastRenderedPageBreak/>
        <w:t xml:space="preserve">An open-ended questionnaire was utilized as the primary research guide to data collection in the key informant interviews and focus group discussions. </w:t>
      </w:r>
    </w:p>
    <w:p w14:paraId="15BF43B4"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p>
    <w:p w14:paraId="65951F4A"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Data Analysis</w:t>
      </w:r>
    </w:p>
    <w:p w14:paraId="24DE3DFD"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data gathered from the Key Informant Interviews and Focus Group Discussions were systematically analyzed and presented in descriptive form to highlight emerging patterns and insights. Data from document review was analyzed through the categorization of the identified media of communication and activities aimed at risk reduction into specific themes. The findings were further synthesized to determine the coherence and development of the overall attitude of the stakeholders in managing the risk of landslides.</w:t>
      </w:r>
    </w:p>
    <w:p w14:paraId="7CFCE028" w14:textId="77777777" w:rsidR="00277363" w:rsidRPr="001E066D" w:rsidRDefault="00277363" w:rsidP="00277363">
      <w:pPr>
        <w:spacing w:beforeLines="240" w:before="576" w:afterLines="240" w:after="576" w:line="240" w:lineRule="auto"/>
        <w:jc w:val="center"/>
        <w:rPr>
          <w:rFonts w:ascii="Times New Roman" w:hAnsi="Times New Roman" w:cs="Times New Roman"/>
          <w:b/>
          <w:bCs/>
          <w:sz w:val="22"/>
          <w:szCs w:val="22"/>
        </w:rPr>
      </w:pPr>
    </w:p>
    <w:p w14:paraId="0C306927" w14:textId="77777777" w:rsidR="00277363" w:rsidRPr="00277363" w:rsidRDefault="00277363" w:rsidP="00277363">
      <w:pPr>
        <w:spacing w:beforeLines="240" w:before="576" w:afterLines="240" w:after="576" w:line="240" w:lineRule="auto"/>
        <w:jc w:val="center"/>
        <w:rPr>
          <w:rFonts w:ascii="Times New Roman" w:hAnsi="Times New Roman" w:cs="Times New Roman"/>
          <w:b/>
          <w:bCs/>
          <w:sz w:val="28"/>
          <w:szCs w:val="28"/>
        </w:rPr>
      </w:pPr>
      <w:r w:rsidRPr="00277363">
        <w:rPr>
          <w:rFonts w:ascii="Times New Roman" w:hAnsi="Times New Roman" w:cs="Times New Roman"/>
          <w:b/>
          <w:bCs/>
          <w:sz w:val="28"/>
          <w:szCs w:val="28"/>
        </w:rPr>
        <w:t>RESULTS AND DISCUSSION</w:t>
      </w:r>
    </w:p>
    <w:p w14:paraId="383EB225" w14:textId="77777777" w:rsidR="00277363" w:rsidRPr="001E066D" w:rsidRDefault="00277363" w:rsidP="00277363">
      <w:pPr>
        <w:spacing w:beforeLines="240" w:before="576" w:afterLines="240" w:after="576" w:line="240" w:lineRule="auto"/>
        <w:jc w:val="center"/>
        <w:rPr>
          <w:rFonts w:ascii="Times New Roman" w:hAnsi="Times New Roman" w:cs="Times New Roman"/>
          <w:b/>
          <w:bCs/>
          <w:sz w:val="22"/>
          <w:szCs w:val="22"/>
        </w:rPr>
      </w:pPr>
      <w:r w:rsidRPr="001E066D">
        <w:rPr>
          <w:rFonts w:ascii="Times New Roman" w:hAnsi="Times New Roman" w:cs="Times New Roman"/>
          <w:b/>
          <w:bCs/>
          <w:sz w:val="22"/>
          <w:szCs w:val="22"/>
        </w:rPr>
        <w:t>Communication processes and strategies in DRRM Phases</w:t>
      </w:r>
    </w:p>
    <w:p w14:paraId="5844F90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findings indicate that communication processes and strategies are crucial to landslide adaptation by supporting preparedness, guiding response actions, and sustaining restoration and rehabilitation efforts. The barangays, MDRRM, and MENRO, treat communication as an integral and essential part of disaster management. It functions as a way of warning residents, coordinating institutional action, and ensuring that information reaches both vulnerable households and response teams in a timely manner.</w:t>
      </w:r>
    </w:p>
    <w:p w14:paraId="6912553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Information Education and Communication (IEC). The dissemination of landslide-related information at the barangay level is carried out through both traditional and digital communication channels. Participants shared that IEC activities including those related to landslides and other potential hazards are conducted during school and government flag ceremonies and other community gatherings such as Parent-Teachers Association (PTA) meetings and other association meetings. In these spaces, barangay representatives share advisories, give a brief lecture on the associated risks posed by landslides, outline mitigation measures, and distribute IEC materials to ensure that residents are informed about potential risks and the actions they should take during periods of heavy rainfall or typhoons.</w:t>
      </w:r>
    </w:p>
    <w:p w14:paraId="7F5CDAE0"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Social Media.</w:t>
      </w:r>
      <w:r w:rsidRPr="001E066D">
        <w:rPr>
          <w:rFonts w:ascii="Times New Roman" w:hAnsi="Times New Roman" w:cs="Times New Roman"/>
          <w:sz w:val="22"/>
          <w:szCs w:val="22"/>
        </w:rPr>
        <w:t xml:space="preserve"> As internet service becomes available to the entire municipality, social media platforms have become important information dissemination tools for the barangay officials. These platforms widen the range of people will receive timely public advisories and announcements.</w:t>
      </w:r>
    </w:p>
    <w:p w14:paraId="2845BBC9"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Broadband service is available in most of the municipality from four telecommunication firms that have set up cell site towers in strategic locations. Unfortunately, remote sitios in barangays </w:t>
      </w:r>
      <w:proofErr w:type="spellStart"/>
      <w:r w:rsidRPr="001E066D">
        <w:rPr>
          <w:rFonts w:ascii="Times New Roman" w:hAnsi="Times New Roman" w:cs="Times New Roman"/>
          <w:sz w:val="22"/>
          <w:szCs w:val="22"/>
        </w:rPr>
        <w:t>Dalupirip</w:t>
      </w:r>
      <w:proofErr w:type="spellEnd"/>
      <w:r w:rsidRPr="001E066D">
        <w:rPr>
          <w:rFonts w:ascii="Times New Roman" w:hAnsi="Times New Roman" w:cs="Times New Roman"/>
          <w:sz w:val="22"/>
          <w:szCs w:val="22"/>
        </w:rPr>
        <w:t xml:space="preserve"> and </w:t>
      </w:r>
      <w:proofErr w:type="spellStart"/>
      <w:r w:rsidRPr="001E066D">
        <w:rPr>
          <w:rFonts w:ascii="Times New Roman" w:hAnsi="Times New Roman" w:cs="Times New Roman"/>
          <w:sz w:val="22"/>
          <w:szCs w:val="22"/>
        </w:rPr>
        <w:t>Tinongdan</w:t>
      </w:r>
      <w:proofErr w:type="spellEnd"/>
      <w:r w:rsidRPr="001E066D">
        <w:rPr>
          <w:rFonts w:ascii="Times New Roman" w:hAnsi="Times New Roman" w:cs="Times New Roman"/>
          <w:sz w:val="22"/>
          <w:szCs w:val="22"/>
        </w:rPr>
        <w:t xml:space="preserve"> are under-served. These communication facilities are considered vital to the development of the municipality to fill the gaps in the traditional communication infrastructure.</w:t>
      </w:r>
    </w:p>
    <w:p w14:paraId="1641E3F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lastRenderedPageBreak/>
        <w:t>The barangays make use of their Facebook page and group chats of local associations to post advisories, reminders, and disseminate general information. These communication spaces have been adapted into the communities’ everyday routines, allowing for easier and more accessible circulation of information.</w:t>
      </w:r>
    </w:p>
    <w:p w14:paraId="78D33B51" w14:textId="77777777" w:rsidR="00277363" w:rsidRPr="001E066D" w:rsidRDefault="00277363" w:rsidP="00277363">
      <w:pPr>
        <w:spacing w:beforeLines="240" w:before="576" w:afterLines="240" w:after="576" w:line="240" w:lineRule="auto"/>
        <w:jc w:val="both"/>
        <w:rPr>
          <w:rFonts w:ascii="Times New Roman" w:hAnsi="Times New Roman" w:cs="Times New Roman"/>
          <w:i/>
          <w:iCs/>
          <w:sz w:val="22"/>
          <w:szCs w:val="22"/>
          <w:u w:val="single"/>
        </w:rPr>
      </w:pPr>
      <w:r w:rsidRPr="001E066D">
        <w:rPr>
          <w:rFonts w:ascii="Times New Roman" w:hAnsi="Times New Roman" w:cs="Times New Roman"/>
          <w:i/>
          <w:iCs/>
          <w:sz w:val="22"/>
          <w:szCs w:val="22"/>
          <w:u w:val="single"/>
        </w:rPr>
        <w:t>Preparation before rains</w:t>
      </w:r>
    </w:p>
    <w:p w14:paraId="5A97824B"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Rains, especially prolonged ones, trigger landslides. Informants from the three barangays shared common preparation activities ahead of typhoons and the rainy season in general. These activities are also strongly communication-based.</w:t>
      </w:r>
    </w:p>
    <w:p w14:paraId="016E586F"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First, the barangay councils and the BDRRM personnel meet to discuss meteorological updates and situation reports. These meetings serve as a collective decision-making platform where committees evaluate the risks that may arise, prioritize things to be done, and assign tasks and responsibilities. This process ensures that preparedness measures including evacuation planning, mobilization of resources, and communication protocols are clearly spelled out. Afterwards, the Barangay Peacekeeping Action Teams (BPAT), the Philippine National Police (PNP), and barangay council members, will conduct foot patrols to monitor high-risk areas and to notify residents about what they must do before severe weather strikes. Simultaneously, there can be an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a traditional warning practice that used horns, now megaphones, to inform people of impending danger. This process is effective because it draws on community respect for local leaders and authority figures. In a few cases some residents are hesitant to evacuate because they claim they have nowhere else to go and they fear the loss of their belongings. Even then, the process reflects a clear communication effort to encourage early action and reduce exposure to hazard.</w:t>
      </w:r>
    </w:p>
    <w:p w14:paraId="01433DFF"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Subsequently, the barangay chairman, issues an ordinance to formally activate the Emergency Operations Center (EOC) and the Barangay Disaster Risk Reduction and Management (BDRRM) structure. This administrative and legal action gives the institutional mandate to the committees to act within a formal framework thus guaranteeing legitimacy, accountability and coordinated response during emergencies. The activation of the EOC marks the shift to active operational readiness which would allow the barangay to organize resources, facilitate communication, and be ready to act in the event of a disaster.</w:t>
      </w:r>
    </w:p>
    <w:p w14:paraId="0BADFE70"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After these activities, reports are submitted to the MDRRM, which shows that barangay communication is connected to a larger reporting and coordination system. In this sense, communication is not only about giving warnings but also about ensuring that local decisions are reported upward and aligned with municipal disaster management procedures.</w:t>
      </w:r>
    </w:p>
    <w:p w14:paraId="2D06C06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findings reveal that the Municipal Disaster Risk Reduction and Management (MDRRM) office employs a range of communication strategies that correspond to the distinct phases of disaster management. These strategies highlight how information flows are structured to anticipate risks, mobilize preparedness, coordinate response, and sustain recovery efforts. By examining the communication practices across prevention, preparedness, response, and rehabilitation, the results underscore the adaptive role of MDRRM communication in strengthening community resilience and ensuring that critical information reaches stakeholders at every stage of disaster management.</w:t>
      </w:r>
    </w:p>
    <w:p w14:paraId="770FF2F9"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Preparedness.</w:t>
      </w:r>
      <w:r w:rsidRPr="001E066D">
        <w:rPr>
          <w:rFonts w:ascii="Times New Roman" w:hAnsi="Times New Roman" w:cs="Times New Roman"/>
          <w:sz w:val="22"/>
          <w:szCs w:val="22"/>
        </w:rPr>
        <w:t xml:space="preserve"> The MDRRM is more formal and centralized in handling communications throughout the phases of preparedness, response, restoration and rehabilitation. In preparedness stage, the office initiates an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xml:space="preserve"> and asks barangay officials to do the same. In cases when the barangay officials cannot reach a particular area, the MDRRM requests the assistance of the BFP or PNP to implement the operation. This ensures that the message reaches even to the remote communities. Stockpiling of rice, relief goods and hygiene kits are also part of preparedness, clearly showing the role of communication in logistical preparedness. After the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xml:space="preserve"> and other planning meetings, the Emergency Operations Center will be opened. Barangays will provide morning and afternoon reports up until 4:00 PM, the MDRRM will then provide consolidated reports to the OCD via online or email reports by 5: 00 PM with hard copy reports provided later. </w:t>
      </w:r>
      <w:r w:rsidRPr="001E066D">
        <w:rPr>
          <w:rFonts w:ascii="Times New Roman" w:hAnsi="Times New Roman" w:cs="Times New Roman"/>
          <w:sz w:val="22"/>
          <w:szCs w:val="22"/>
        </w:rPr>
        <w:lastRenderedPageBreak/>
        <w:t>The reporting flow illustrates that communication assists in decision-making, coordination and accountability in the event of an emergency.</w:t>
      </w:r>
    </w:p>
    <w:p w14:paraId="39E92D19"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Response</w:t>
      </w:r>
      <w:r w:rsidRPr="001E066D">
        <w:rPr>
          <w:rFonts w:ascii="Times New Roman" w:hAnsi="Times New Roman" w:cs="Times New Roman"/>
          <w:sz w:val="22"/>
          <w:szCs w:val="22"/>
        </w:rPr>
        <w:t>. Communication plays a vital role in the MDRRM efforts to coordinate relief, health, and assessment activities. The office also coordinates with the MSDO for relief assistance and with the MHO for medical support. After the crisis, the MDRRM contacts all barangays and convenes a Post-Disaster Risk Assessment (PDRA) to identify critical areas and conduct site visits with barangay staff or BDRR personnel.</w:t>
      </w:r>
    </w:p>
    <w:p w14:paraId="4173EEA0"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 cases when forced evacuation is required to ensure the safety of residents in a danger zone, the LGU invokes Republic Act No. 10121, which authorizes forced evacuation or mandatory evacuation. Procedures involve a warning system through siren, loud speakers, or door-to-door signals with the help of local police and search and rescue teams. Mandatory or forced evacuations are done to avoid entrapment because larger landslides can collapse structures very easily and quickly.</w:t>
      </w:r>
    </w:p>
    <w:p w14:paraId="17964219"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Restoration.</w:t>
      </w:r>
      <w:r w:rsidRPr="001E066D">
        <w:rPr>
          <w:rFonts w:ascii="Times New Roman" w:hAnsi="Times New Roman" w:cs="Times New Roman"/>
          <w:sz w:val="22"/>
          <w:szCs w:val="22"/>
        </w:rPr>
        <w:t xml:space="preserve"> In the restoration phase, the MDRRM coordinates with the DILG, BFP, PNP, and volunteers to help restore access and support affected communities. Communication is important in determining alternate routes if access to a community is cut off by a landslide. If an alternate route could not be established, emergency response teams push through with road clearing operations so that at least one lane remains open for emergency use.</w:t>
      </w:r>
    </w:p>
    <w:p w14:paraId="7A7287FA" w14:textId="77777777" w:rsidR="00277363"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Rehabilitation.</w:t>
      </w:r>
      <w:r w:rsidRPr="001E066D">
        <w:rPr>
          <w:rFonts w:ascii="Times New Roman" w:hAnsi="Times New Roman" w:cs="Times New Roman"/>
          <w:sz w:val="22"/>
          <w:szCs w:val="22"/>
        </w:rPr>
        <w:t xml:space="preserve"> In rehabilitation, engineering personnel are called in to provide recommendations and interventions. The office also uses the term “rehabilitation” in relation to funding, which is later referred to the MPDO. This shows that communication is tied not only to disaster response but also to administrative processes that support recovery planning.</w:t>
      </w:r>
    </w:p>
    <w:p w14:paraId="16D78C4A"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662DC022"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MDRRMO Communication Channels and Constraints</w:t>
      </w:r>
    </w:p>
    <w:p w14:paraId="0430BC9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communication activities used by the MDRRM include IEC and IEC material distribution, the conduct of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PDRA meetings, BDRR communication regarding the activation of the EOC, and the regular submission of situation reports. These tools create a structured system for transmitting information across offices and communities. However, the office also faces several constraints. The MDRRM has limited manpower, with only 11 staff members, comprising six permanent employees and the rest being job order personnel. Although support from the BFP and PNP is available, staffing continues to be a challenge. Another concern raised by the MDRMM Officer is the safety of personnel, who must proceed with field monitoring and response even in dangerous weather conditions. Coordination with barangays is also difficult when landslides block access roads. These challenges suggest that while communication systems are in place, their effectiveness still depends on adequate personnel, safety support, and access to alternative routes.</w:t>
      </w:r>
    </w:p>
    <w:p w14:paraId="5CC0617F"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5B692126"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MENRO Communication Activities</w:t>
      </w:r>
    </w:p>
    <w:p w14:paraId="6B298ABD"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MENRO help in landslides mitigation through Communication, Education and Public Awareness or the CEPA. They craft and distribute printed materials that highlight the importance of environmental protection and sustainable land use. These campaigns emphasize how community-based forest management and other environmental initiatives can reduce the likelihood </w:t>
      </w:r>
      <w:r w:rsidRPr="001E066D">
        <w:rPr>
          <w:rFonts w:ascii="Times New Roman" w:hAnsi="Times New Roman" w:cs="Times New Roman"/>
          <w:sz w:val="22"/>
          <w:szCs w:val="22"/>
        </w:rPr>
        <w:lastRenderedPageBreak/>
        <w:t>and impact of landslides. By engaging residents in these discussions, MENRO fosters a sense of ownership and responsibility for environmental stewardship.</w:t>
      </w:r>
    </w:p>
    <w:p w14:paraId="33BC6FFE"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People who live in the risk and landslide prone areas are reminded of the dangers by the office through visitation. These reminders support pre-emptive action and help residents understand the risks in their surroundings. When an incident occurred, the office will instantly carry out an investigation to ascertain the truth, record the facts and give out recommendation on what needs to be done like immediate evacuation or detection of environmental offences of certain groups or individual. In case violations are detected, the case is referred to DENR to impose penalties or enforcement measures. This process indicates that communication is also employed following an event to aid in accountability and future prevention efforts.</w:t>
      </w:r>
    </w:p>
    <w:p w14:paraId="5F213C83"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Reports prepared by the MENRO level are subsequently forwarded to the municipal executive office, specifically the Office of the Mayor, where they serve as the basis for the issuance of memoranda or executive orders, </w:t>
      </w:r>
      <w:proofErr w:type="gramStart"/>
      <w:r w:rsidRPr="001E066D">
        <w:rPr>
          <w:rFonts w:ascii="Times New Roman" w:hAnsi="Times New Roman" w:cs="Times New Roman"/>
          <w:sz w:val="22"/>
          <w:szCs w:val="22"/>
        </w:rPr>
        <w:t>Such</w:t>
      </w:r>
      <w:proofErr w:type="gramEnd"/>
      <w:r w:rsidRPr="001E066D">
        <w:rPr>
          <w:rFonts w:ascii="Times New Roman" w:hAnsi="Times New Roman" w:cs="Times New Roman"/>
          <w:sz w:val="22"/>
          <w:szCs w:val="22"/>
        </w:rPr>
        <w:t xml:space="preserve"> orders involve no-build and pre-evacuation orders. This chain of communication makes the message stronger and it will have higher probabilities of residents following warnings. It further demonstrates that the mitigation of landslides is not just </w:t>
      </w:r>
      <w:proofErr w:type="spellStart"/>
      <w:r w:rsidRPr="001E066D">
        <w:rPr>
          <w:rFonts w:ascii="Times New Roman" w:hAnsi="Times New Roman" w:cs="Times New Roman"/>
          <w:sz w:val="22"/>
          <w:szCs w:val="22"/>
        </w:rPr>
        <w:t>dependant</w:t>
      </w:r>
      <w:proofErr w:type="spellEnd"/>
      <w:r w:rsidRPr="001E066D">
        <w:rPr>
          <w:rFonts w:ascii="Times New Roman" w:hAnsi="Times New Roman" w:cs="Times New Roman"/>
          <w:sz w:val="22"/>
          <w:szCs w:val="22"/>
        </w:rPr>
        <w:t xml:space="preserve"> on the message content, but on the credibility of the office delivering such messages.</w:t>
      </w:r>
    </w:p>
    <w:p w14:paraId="191B543F"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Furthermore, MENRO’s collaboration with DENR and other agencies demonstrates the importance of multi-level coordination in disaster risk reduction. The integration of local knowledge with national expertise creates a more robust and adaptive system for managing landslide</w:t>
      </w:r>
    </w:p>
    <w:p w14:paraId="487BA285"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 xml:space="preserve"> </w:t>
      </w:r>
    </w:p>
    <w:p w14:paraId="4A16938B"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Contribution to Capacity Development</w:t>
      </w:r>
    </w:p>
    <w:p w14:paraId="5F27236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On the whole, the community-based outreach, municipal coordination, and timely advisories in the context of landslide mitigation activities described by the participants indicate that the community determines how effective this strategy will be. The barangay uses available mediums and networks like flag ceremonies, community engagements, Facebook updates, and group chat, whereas MDRRM and MENRO uses on formal reporting mechanisms, evaluations, and executive recommendations. These practices combined contribute to the preparedness, response restoration, and rehabilitation. They also enhance local capacity when they help to make information more accessible, timely and actionable.</w:t>
      </w:r>
    </w:p>
    <w:p w14:paraId="7B86BD99"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findings also indicate that communication is best achieved when it is reiterated by multiple channels as well as being supported by formal and locally accepted practices.</w:t>
      </w:r>
    </w:p>
    <w:p w14:paraId="7B248ED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An example of this is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xml:space="preserve"> which is an operation of not only acting as a warning but also as a social reminder encouraging compliance. Simultaneously, the utilization of the social media will enable a quicker spread of information, particularly among younger residents. This combination of methods reflects a practical communication system that is relevant to needs of a landslide-prone community.</w:t>
      </w:r>
    </w:p>
    <w:p w14:paraId="4488BC7A"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results indicate that the barangays and municipal agencies in Itogon help in landslide mitigation and adaptation through the integration of hands-on training, community-based organizing, institutional learning. At the barangay level, the main course of action is to develop local skills and knowledge for the long term while taking into consideration that adults are usually occupied with work, hence the focus on the youth and organized groups. At the municipal level, the capacity building is facilitated by the presence of standardized training programs, incident command systems, and coordination with Office of </w:t>
      </w:r>
      <w:r w:rsidRPr="001E066D">
        <w:rPr>
          <w:rFonts w:ascii="Times New Roman" w:hAnsi="Times New Roman" w:cs="Times New Roman"/>
          <w:sz w:val="22"/>
          <w:szCs w:val="22"/>
        </w:rPr>
        <w:lastRenderedPageBreak/>
        <w:t>Civil Defense (OCD), and MDRRM. These practices demonstrate that local governments are not just reacting to previous landslides but they are also constructing long term resilience.</w:t>
      </w:r>
    </w:p>
    <w:p w14:paraId="4CB35D3A"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180C49CC" w14:textId="77777777" w:rsidR="00277363" w:rsidRPr="001E066D" w:rsidRDefault="00277363" w:rsidP="00277363">
      <w:pPr>
        <w:spacing w:beforeLines="240" w:before="576" w:afterLines="240" w:after="576" w:line="240" w:lineRule="auto"/>
        <w:jc w:val="center"/>
        <w:rPr>
          <w:rFonts w:ascii="Times New Roman" w:hAnsi="Times New Roman" w:cs="Times New Roman"/>
          <w:b/>
          <w:bCs/>
          <w:sz w:val="22"/>
          <w:szCs w:val="22"/>
        </w:rPr>
      </w:pPr>
      <w:r w:rsidRPr="001E066D">
        <w:rPr>
          <w:rFonts w:ascii="Times New Roman" w:hAnsi="Times New Roman" w:cs="Times New Roman"/>
          <w:b/>
          <w:bCs/>
          <w:sz w:val="22"/>
          <w:szCs w:val="22"/>
        </w:rPr>
        <w:t>Capacity Development in Landslide Adaptation</w:t>
      </w:r>
    </w:p>
    <w:p w14:paraId="2A77D4C7"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Standardized Training Program</w:t>
      </w:r>
    </w:p>
    <w:p w14:paraId="522A9C93"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standardized training program emerged as a critical mechanism for enhancing disaster preparedness and response capacities among local stakeholders. Standardization in training refers to the development and implementation of structured modules that ensure consistency in knowledge, skills, and practices across participants, thereby reducing variability and promoting coordinated action (Comfort, Dunn, Johnson, Skertich, &amp; </w:t>
      </w:r>
      <w:proofErr w:type="spellStart"/>
      <w:r w:rsidRPr="001E066D">
        <w:rPr>
          <w:rFonts w:ascii="Times New Roman" w:hAnsi="Times New Roman" w:cs="Times New Roman"/>
          <w:sz w:val="22"/>
          <w:szCs w:val="22"/>
        </w:rPr>
        <w:t>Zagorecki</w:t>
      </w:r>
      <w:proofErr w:type="spellEnd"/>
      <w:r w:rsidRPr="001E066D">
        <w:rPr>
          <w:rFonts w:ascii="Times New Roman" w:hAnsi="Times New Roman" w:cs="Times New Roman"/>
          <w:sz w:val="22"/>
          <w:szCs w:val="22"/>
        </w:rPr>
        <w:t>, 2004). Within the context of disaster risk reduction, such programs provide barangay officials, MDRRM personnel, and community members with uniform guidelines and competencies aligned with national frameworks and international standards. By institutionalizing training content and delivery, the program strengthens communication strategies, fosters collaboration among agencies, and builds adaptive capacity to respond effectively to hazards. This section presents the findings on how the standardized training program was utilized, its relevance to communication practices, and its role in embedding disaster preparedness into everyday governance and community life.</w:t>
      </w:r>
    </w:p>
    <w:p w14:paraId="47C59BC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At the local level, the Municipal Disaster Risk Reduction and Management Office (MDRRMO) conduct an annual program of trainings to strengthen community preparedness and capacity to respond to emergencies. These trainings are open to able-bodied barangay and community volunteers who are below 50 years of age, and an open enrollment policy promotes broader participation.</w:t>
      </w:r>
    </w:p>
    <w:p w14:paraId="02F5FC1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MDRRM personnel do not have to be graduates of medical related courses. However, they are trained to act appropriately in case of emergencies. This training changes laymen into qualified first responders, thus enhancing the overall disaster mitigation capacity of the municipality. The MDRRMO also provides training on the Incident Command System (ICS) and Emergency Operating Center (EOC) activities in addition to medical training. These are vital towards proper command hierarchy, ensuring there are no overlapping duties, and quick and efficient response during emergencies. The ICS training also focuses on the relevance of communication, in which roles, responsibilities, and reporting lines are defined. The EOC training, for its part, includes the manner in which communication will be between the EOC, barangays and the national agencies with no duplication of any kind and all stakeholders are informed at the same time.</w:t>
      </w:r>
    </w:p>
    <w:p w14:paraId="31D57758"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65503526"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Emergency Response Training</w:t>
      </w:r>
    </w:p>
    <w:p w14:paraId="5113DCE7"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ERT course are being conducted which includes First Aid training of basic medical emergency skills, Community-Based Disaster Risk Reduction Management, and Basic Life Support (BLS) as an advanced continuation of life-saving, and Water and Mountain Search and Rescue training. The municipal structure flows into the barangays;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and Virac, where uniform trainings are made relevant to the local settings to make residents, volunteers, youth, women, small-scale miners, and vulnerable populations resistant to landslides.</w:t>
      </w:r>
    </w:p>
    <w:p w14:paraId="020E6B8E"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lastRenderedPageBreak/>
        <w:t>Basic Life Support (BLS) and First Aid.</w:t>
      </w:r>
      <w:r w:rsidRPr="001E066D">
        <w:rPr>
          <w:rFonts w:ascii="Times New Roman" w:hAnsi="Times New Roman" w:cs="Times New Roman"/>
          <w:sz w:val="22"/>
          <w:szCs w:val="22"/>
        </w:rPr>
        <w:t xml:space="preserve"> These are the foundation of the training portfolio of MDRRMO and they are universal to the barangays. In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they are provided with annual refresher courses so that residents are equipped with skills to respond to an emergency instantly </w:t>
      </w:r>
      <w:proofErr w:type="gramStart"/>
      <w:r w:rsidRPr="001E066D">
        <w:rPr>
          <w:rFonts w:ascii="Times New Roman" w:hAnsi="Times New Roman" w:cs="Times New Roman"/>
          <w:sz w:val="22"/>
          <w:szCs w:val="22"/>
        </w:rPr>
        <w:t>The</w:t>
      </w:r>
      <w:proofErr w:type="gramEnd"/>
      <w:r w:rsidRPr="001E066D">
        <w:rPr>
          <w:rFonts w:ascii="Times New Roman" w:hAnsi="Times New Roman" w:cs="Times New Roman"/>
          <w:sz w:val="22"/>
          <w:szCs w:val="22"/>
        </w:rPr>
        <w:t xml:space="preserve"> barangay also holds schools and small-scale </w:t>
      </w:r>
      <w:proofErr w:type="gramStart"/>
      <w:r w:rsidRPr="001E066D">
        <w:rPr>
          <w:rFonts w:ascii="Times New Roman" w:hAnsi="Times New Roman" w:cs="Times New Roman"/>
          <w:sz w:val="22"/>
          <w:szCs w:val="22"/>
        </w:rPr>
        <w:t>miners</w:t>
      </w:r>
      <w:proofErr w:type="gramEnd"/>
      <w:r w:rsidRPr="001E066D">
        <w:rPr>
          <w:rFonts w:ascii="Times New Roman" w:hAnsi="Times New Roman" w:cs="Times New Roman"/>
          <w:sz w:val="22"/>
          <w:szCs w:val="22"/>
        </w:rPr>
        <w:t xml:space="preserve"> trainings and seminars so that schools and the economically vulnerable groups know about the dangers of landslides.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xml:space="preserve"> institutionally embeds them together with the Incident Command System (ICS) to be applied to specific tasks; Virac trains various populations, such as youth and small-scale miners, and the dissemination of knowledge to elementary students and community networks creates a multiplier effect.</w:t>
      </w:r>
    </w:p>
    <w:p w14:paraId="7E40CDB2"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Incident Command System.</w:t>
      </w:r>
      <w:r w:rsidRPr="001E066D">
        <w:rPr>
          <w:rFonts w:ascii="Times New Roman" w:hAnsi="Times New Roman" w:cs="Times New Roman"/>
          <w:sz w:val="22"/>
          <w:szCs w:val="22"/>
        </w:rPr>
        <w:t xml:space="preserve"> The Incident Command System (ICS) training is a basic element of organized disaster management systems, being a requirement of national guidelines and implemented through the Municipal Disaster Risk Reduction and Management Office (MDRRMO).This modular training outlines definite hierarchies, roles and communication procedures, including command, operations, planning, logistics, and finance/administration functions as a way of ensuring scalable and interoperable responses across jurisdictions. The ICS is inculcated in the barangays through meetings, as needed, and coordination of Barangay Disaster Risk Reduction </w:t>
      </w:r>
      <w:proofErr w:type="gramStart"/>
      <w:r w:rsidRPr="001E066D">
        <w:rPr>
          <w:rFonts w:ascii="Times New Roman" w:hAnsi="Times New Roman" w:cs="Times New Roman"/>
          <w:sz w:val="22"/>
          <w:szCs w:val="22"/>
        </w:rPr>
        <w:t>an</w:t>
      </w:r>
      <w:proofErr w:type="gramEnd"/>
      <w:r w:rsidRPr="001E066D">
        <w:rPr>
          <w:rFonts w:ascii="Times New Roman" w:hAnsi="Times New Roman" w:cs="Times New Roman"/>
          <w:sz w:val="22"/>
          <w:szCs w:val="22"/>
        </w:rPr>
        <w:t xml:space="preserve"> d Management Council (BDRRMC) in the three barangays.</w:t>
      </w:r>
    </w:p>
    <w:p w14:paraId="17201ED4"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MOSAR (Mountain Search and Rescue) and WASAR (Water Search and Rescue).</w:t>
      </w:r>
      <w:r w:rsidRPr="001E066D">
        <w:rPr>
          <w:rFonts w:ascii="Times New Roman" w:hAnsi="Times New Roman" w:cs="Times New Roman"/>
          <w:sz w:val="22"/>
          <w:szCs w:val="22"/>
        </w:rPr>
        <w:t xml:space="preserve"> These are the final stage of training programs, and they can be accessed only by individuals who have successfully passed all the previous modules of Basic Life Support (BLS), First Aid, and Incident Command System (ICS). These progressive programs are anchored in municipal set ups and employ the skills of formally trained personnel including local miners to provide terrain specialized rescue missions that directly respond to the vulnerability of the barangays to landslides.</w:t>
      </w:r>
    </w:p>
    <w:p w14:paraId="464B6A7B"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One BDRRM staff of </w:t>
      </w:r>
      <w:proofErr w:type="spellStart"/>
      <w:r w:rsidRPr="001E066D">
        <w:rPr>
          <w:rFonts w:ascii="Times New Roman" w:hAnsi="Times New Roman" w:cs="Times New Roman"/>
          <w:sz w:val="22"/>
          <w:szCs w:val="22"/>
        </w:rPr>
        <w:t>Brgy</w:t>
      </w:r>
      <w:proofErr w:type="spellEnd"/>
      <w:r w:rsidRPr="001E066D">
        <w:rPr>
          <w:rFonts w:ascii="Times New Roman" w:hAnsi="Times New Roman" w:cs="Times New Roman"/>
          <w:sz w:val="22"/>
          <w:szCs w:val="22"/>
        </w:rPr>
        <w:t xml:space="preserve"> Virac revealed that one of the main </w:t>
      </w:r>
      <w:proofErr w:type="gramStart"/>
      <w:r w:rsidRPr="001E066D">
        <w:rPr>
          <w:rFonts w:ascii="Times New Roman" w:hAnsi="Times New Roman" w:cs="Times New Roman"/>
          <w:sz w:val="22"/>
          <w:szCs w:val="22"/>
        </w:rPr>
        <w:t>strength</w:t>
      </w:r>
      <w:proofErr w:type="gramEnd"/>
      <w:r w:rsidRPr="001E066D">
        <w:rPr>
          <w:rFonts w:ascii="Times New Roman" w:hAnsi="Times New Roman" w:cs="Times New Roman"/>
          <w:sz w:val="22"/>
          <w:szCs w:val="22"/>
        </w:rPr>
        <w:t xml:space="preserve"> of these training is the growth of knowledge among residents. The more the trainees are trained on BLS, MOSAR and WASAR, the more they become competent to respond to the occurrence of a disaster and they tend to impart the acquired knowledge to elementary students. This experience of transferring knowledge illustrates how multiplier training effect is, where trainees are also informal trainers in their homes and social circles.</w:t>
      </w:r>
    </w:p>
    <w:p w14:paraId="5640C4C1"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Nonetheless, there are also challenges being encountered in the conduct of training program. Most of the small-scale miners have not been willing to attend because the training programs are quite lengthy, and they usually cut into work schedules. While incentives are offered to compensate for the lost income, they are insufficient. Trainings are occasionally condensed to allow for the transfer of basic knowledge in a shorter timeframe.</w:t>
      </w:r>
    </w:p>
    <w:p w14:paraId="0DC8F250"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One barangay </w:t>
      </w:r>
      <w:proofErr w:type="spellStart"/>
      <w:r w:rsidRPr="001E066D">
        <w:rPr>
          <w:rFonts w:ascii="Times New Roman" w:hAnsi="Times New Roman" w:cs="Times New Roman"/>
          <w:sz w:val="22"/>
          <w:szCs w:val="22"/>
        </w:rPr>
        <w:t>kagawad</w:t>
      </w:r>
      <w:proofErr w:type="spellEnd"/>
      <w:r w:rsidRPr="001E066D">
        <w:rPr>
          <w:rFonts w:ascii="Times New Roman" w:hAnsi="Times New Roman" w:cs="Times New Roman"/>
          <w:sz w:val="22"/>
          <w:szCs w:val="22"/>
        </w:rPr>
        <w:t xml:space="preserve"> proposed that an ordinance requiring the small-scale miners to undergo these trainings because they are among the most vulnerable to dangers posed by landslides and cave-ins.</w:t>
      </w:r>
    </w:p>
    <w:p w14:paraId="7104A480"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5A27C09A"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 xml:space="preserve">Barangay </w:t>
      </w:r>
      <w:proofErr w:type="spellStart"/>
      <w:r w:rsidRPr="001E066D">
        <w:rPr>
          <w:rFonts w:ascii="Times New Roman" w:hAnsi="Times New Roman" w:cs="Times New Roman"/>
          <w:b/>
          <w:bCs/>
          <w:sz w:val="22"/>
          <w:szCs w:val="22"/>
        </w:rPr>
        <w:t>Ucab</w:t>
      </w:r>
      <w:proofErr w:type="spellEnd"/>
    </w:p>
    <w:p w14:paraId="4214C8C2"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Learning from Experience and Shifting Focus to the Youth.</w:t>
      </w:r>
      <w:r w:rsidRPr="001E066D">
        <w:rPr>
          <w:rFonts w:ascii="Times New Roman" w:hAnsi="Times New Roman" w:cs="Times New Roman"/>
          <w:sz w:val="22"/>
          <w:szCs w:val="22"/>
        </w:rPr>
        <w:t xml:space="preserve"> Barangay </w:t>
      </w:r>
      <w:proofErr w:type="spellStart"/>
      <w:r w:rsidRPr="001E066D">
        <w:rPr>
          <w:rFonts w:ascii="Times New Roman" w:hAnsi="Times New Roman" w:cs="Times New Roman"/>
          <w:sz w:val="22"/>
          <w:szCs w:val="22"/>
        </w:rPr>
        <w:t>Ucab’s</w:t>
      </w:r>
      <w:proofErr w:type="spellEnd"/>
      <w:r w:rsidRPr="001E066D">
        <w:rPr>
          <w:rFonts w:ascii="Times New Roman" w:hAnsi="Times New Roman" w:cs="Times New Roman"/>
          <w:sz w:val="22"/>
          <w:szCs w:val="22"/>
        </w:rPr>
        <w:t xml:space="preserve"> experience with previous landslides led the local government to re-evaluate its approach to community capacity building. Initially, efforts concentrated on involving adults, especially those engaged in small-scale mining and other means of livelihood. However, since adults often prioritize work, the barangay shifted focus toward the younger generation to ensure that preparedness knowledge is passed on for the long term. The barangay conducts Basic life support and first aid trainings for grades five and six pupils, high school students, boy scouts, </w:t>
      </w:r>
      <w:r w:rsidRPr="001E066D">
        <w:rPr>
          <w:rFonts w:ascii="Times New Roman" w:hAnsi="Times New Roman" w:cs="Times New Roman"/>
          <w:sz w:val="22"/>
          <w:szCs w:val="22"/>
        </w:rPr>
        <w:lastRenderedPageBreak/>
        <w:t>and girl scouts. This shift reflects a development communication approach that targets “change agents” within the community—youth who can later influence households and community practices.</w:t>
      </w:r>
    </w:p>
    <w:p w14:paraId="32669B23"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255A4D55"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Eco-Based Landslide Prevention Activities</w:t>
      </w:r>
    </w:p>
    <w:p w14:paraId="14557186"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Eco-based landslide prevention activities demonstrate how nature-centered approaches can serve as effective and sustainable measures for disaster risk reduction. By restoring forests, rehabilitating watersheds, and employing soil-and-water bioengineering techniques, communities reduce slope instability and erosion while simultaneously enhancing ecological health.</w:t>
      </w:r>
    </w:p>
    <w:p w14:paraId="2CF0EBA3"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In the three barangays covered by this study the capacity development strategy includes environmental management like clearing waterways and planting trees and bamboo on slopes prone to landslides. These activities link environmental protection with risk reduction. These programs indicate that the capacity development of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is technical and communal in nature and that the residents and other institutions in the community take an active part in the preparation and mitigation.</w:t>
      </w:r>
    </w:p>
    <w:p w14:paraId="318C8A68"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sz w:val="22"/>
          <w:szCs w:val="22"/>
        </w:rPr>
        <w:t xml:space="preserve"> </w:t>
      </w:r>
    </w:p>
    <w:p w14:paraId="77A6887A"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Training Reach and Partnership</w:t>
      </w:r>
    </w:p>
    <w:p w14:paraId="4ACEA236"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Expanding the reach of training programs relies not only on the quality of the modules delivered but also on the strength of partnerships that sustain them. By engaging local institutions, government agencies, and community organizations, training initiatives can extend their impact beyond individual participants to entire networks. These collaborations ensure that knowledge is shared widely, resources are maximized, and capacity-building efforts are embedded within existing structures, creating a more resilient and adaptive community framework (Anderson &amp; Holcombe, 2006).</w:t>
      </w:r>
    </w:p>
    <w:p w14:paraId="7431CF0D"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Virac</w:t>
      </w:r>
      <w:r w:rsidRPr="001E066D">
        <w:rPr>
          <w:rFonts w:ascii="Times New Roman" w:hAnsi="Times New Roman" w:cs="Times New Roman"/>
          <w:sz w:val="22"/>
          <w:szCs w:val="22"/>
        </w:rPr>
        <w:t>. The barangay’s capacity development efforts are further supported by external training providers. For example, the College of Engineering at Saint Louis University offered training on QGIS, a geographic information system used for hazard mapping and analysis. This is useful in practice due to the ability of the stakeholders to convert raw geographic information into understandable maps used to make decisions. It can be used by the local officials to locate the landslide-prone sitios, determine evacuation routes, and prioritize slope stabilization undertakings.</w:t>
      </w:r>
    </w:p>
    <w:p w14:paraId="35E112F8"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Barangay leaders and residents are encouraged to join and engage in mapping activities to help document their lived experiences lived and the mining companies may observe risks and show compliance. QGIS training enhances preparedness, collaboration, and resilience in the whole community by ensuring that spatial information is available and participative. However, some participants reported hesitance to join these trainings because they lack basic computer literacy, which highlights a gap in technological readiness.</w:t>
      </w:r>
    </w:p>
    <w:p w14:paraId="16A187A4"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Despite this, the barangays of Itogon have shown a very evident desire to develop the capacity to mitigate and adapt to the impacts of landslides. Through practical education, grassroots actions, and institutional education, the local governments are establishing the framework of long- term resilience. Meanwhile, data gathering results indicate that capacity building </w:t>
      </w:r>
      <w:r w:rsidRPr="001E066D">
        <w:rPr>
          <w:rFonts w:ascii="Times New Roman" w:hAnsi="Times New Roman" w:cs="Times New Roman"/>
          <w:sz w:val="22"/>
          <w:szCs w:val="22"/>
        </w:rPr>
        <w:lastRenderedPageBreak/>
        <w:t>should also cover the structural obstacles, including working schedules and technological awareness, to make sure that every citizen will be able to contribute full membership to the disaster preparedness activities.</w:t>
      </w:r>
    </w:p>
    <w:p w14:paraId="4DDD665C"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MDRRMO.</w:t>
      </w:r>
      <w:r w:rsidRPr="001E066D">
        <w:rPr>
          <w:rFonts w:ascii="Times New Roman" w:hAnsi="Times New Roman" w:cs="Times New Roman"/>
          <w:sz w:val="22"/>
          <w:szCs w:val="22"/>
        </w:rPr>
        <w:t xml:space="preserve"> Training programs offered by the MDRRMO do not apply only to municipality employees. They reach out to the volunteer responders in barangays and the community at large. These volunteers are trained by instructors who have themselves been trained by the Office of Civil Defense. This cascade model in which the national agencies train the municipal staff, who train the barangay volunteers will mean that best practices are spread evenly throughout the municipality.</w:t>
      </w:r>
    </w:p>
    <w:p w14:paraId="41ACB1B6"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Aside from government-initiated training, NGOs also carry out training, which is usually community-based preparedness and response training. These collaborations extend the scope of capacity building processes and introduce varying points of view and resources to the table. In general, the capacity development strategy that MDRRMO uses to address the issue of landslide risks is comprehensive and participatory, relying on national principles, community engagement, and communication measures to create resilience to the danger.</w:t>
      </w:r>
    </w:p>
    <w:p w14:paraId="192A683D"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training programs being conducted by the office are also interconnected with the communication strategies that help to strengthen preparedness on the household level. Information, Education, and Communication (IEC) activities are also undertaken in the office, usually in </w:t>
      </w:r>
      <w:proofErr w:type="spellStart"/>
      <w:r w:rsidRPr="001E066D">
        <w:rPr>
          <w:rFonts w:ascii="Times New Roman" w:hAnsi="Times New Roman" w:cs="Times New Roman"/>
          <w:sz w:val="22"/>
          <w:szCs w:val="22"/>
        </w:rPr>
        <w:t>co- operation</w:t>
      </w:r>
      <w:proofErr w:type="spellEnd"/>
      <w:r w:rsidRPr="001E066D">
        <w:rPr>
          <w:rFonts w:ascii="Times New Roman" w:hAnsi="Times New Roman" w:cs="Times New Roman"/>
          <w:sz w:val="22"/>
          <w:szCs w:val="22"/>
        </w:rPr>
        <w:t xml:space="preserve"> with the NGOs and national agencies like the Office of Civil Defense (OCD). The IEC activities like distribution of printed materials, brief lectures during association meetings aimed at making sure that one of the household members is informed of emergency preparedness and response measures.</w:t>
      </w:r>
    </w:p>
    <w:p w14:paraId="0AEDACD4"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For example, the MDRRMO emphasizes the need to have family discussions on evacuation plans. At the IEC session, the families are advised to discuss the evacuation plan where they will assemble in case a member is not available at home to follow an evacuation order. This practice will make sure that the decisions are not made in the heat of the moment but rather made in advance hence less confusion and risk. The importance of being able to follow orders without delay is also brought out by training on evacuation procedures. The participants are informed that evacuation order should be evacuated immediately when it is given, particularly when there is a threat to the safety of the participants. The importance of taking action quickly is reinforced with the help of the drills and simulations that make residents internalize them.</w:t>
      </w:r>
    </w:p>
    <w:p w14:paraId="5B0BEB20"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Strengths and Challenges.</w:t>
      </w:r>
      <w:r w:rsidRPr="001E066D">
        <w:rPr>
          <w:rFonts w:ascii="Times New Roman" w:hAnsi="Times New Roman" w:cs="Times New Roman"/>
          <w:sz w:val="22"/>
          <w:szCs w:val="22"/>
        </w:rPr>
        <w:t xml:space="preserve"> The MDRRMO’s training programs have several strengths, including the integration of communication into operational frameworks like ICS and EOC, the emphasis on decentralizing response capacity through volunteer responders, and the focus on household-level preparedness. However, challenges remain, such as ensuring consistent participation from barangay volunteers and addressing gaps in technological literacy, which may hinder the adoption of advanced tools like GIS for hazard mapping.</w:t>
      </w:r>
    </w:p>
    <w:p w14:paraId="7348079C"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Despite these challenges, the MDRRMO’s efforts demonstrate that local governments are actively building capacity for landslide mitigation and adaptation. By combining technical training with community-based IEC and communication strategies, the MDRRMO ensures that knowledge is not only acquired but also applied in real-world contexts, ultimately strengthening the municipality’s resilience against landslide risks.</w:t>
      </w:r>
    </w:p>
    <w:p w14:paraId="2D58D579"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440248B7"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MENRO’s Capacity Development Activities</w:t>
      </w:r>
    </w:p>
    <w:p w14:paraId="26AC7271"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lastRenderedPageBreak/>
        <w:t>MENRO also implements several activities which contribute directly to landslide mitigation and adaptation. Environmental protection one of the crucial annual activities, which entails tree planting and other greening programs. These operations are meant to stabilize the slopes, minimize erosion and the general resilience of the landscape. Through the process of engaging local community members to plant trees, MENRO help in enhancing the environmental conditions as well as creating awareness on the relationship that exists between land use and landslide hazards.</w:t>
      </w:r>
    </w:p>
    <w:p w14:paraId="40AF2A59"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According to G. Cornel (personal communication, March 16,2026) MENRO was mandated by the Department of Environment and Natural Resources (DENR) to lead the Community-Based Forest Management Agreement (CBFMA).</w:t>
      </w:r>
    </w:p>
    <w:p w14:paraId="1AF8753F"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This accord decentralizes the roles of management to the local communities who are given the power to conserve the forest resources as well as counter environmental risks. The mission of the CBFMA is to ensure that the environment is protected and the effects of natural phenomena like floods and landslides are minimized. Through the close cooperation with DENR, MENRO enhances the local sustainable land management and environmental conservation capacity. MENRO is an intermediary between technical solutions and environmental science in terms of engineering.</w:t>
      </w:r>
    </w:p>
    <w:p w14:paraId="48B6AE5B"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 cases of environmental interventions, MENRO recommends certain activities, interventions, and mitigating actions. These recommendations may include slope stabilization, drainage improvements, and other engineering measures that can help minimize landslide risks. Through technical advice, MENRO ensures that local governments and communities have the information they need in order to make sound judgments on land use and infrastructure.</w:t>
      </w:r>
    </w:p>
    <w:p w14:paraId="234BA2F1" w14:textId="77777777" w:rsidR="00277363" w:rsidRPr="001E066D" w:rsidRDefault="00277363" w:rsidP="00277363">
      <w:pPr>
        <w:spacing w:beforeLines="240" w:before="576" w:afterLines="240" w:after="576" w:line="240" w:lineRule="auto"/>
        <w:jc w:val="both"/>
        <w:rPr>
          <w:rFonts w:ascii="Times New Roman" w:hAnsi="Times New Roman" w:cs="Times New Roman"/>
          <w:sz w:val="22"/>
          <w:szCs w:val="22"/>
        </w:rPr>
      </w:pPr>
    </w:p>
    <w:p w14:paraId="27B6AEC6" w14:textId="77777777" w:rsidR="00277363" w:rsidRPr="001E066D" w:rsidRDefault="00277363" w:rsidP="00277363">
      <w:pPr>
        <w:spacing w:beforeLines="240" w:before="576" w:afterLines="240" w:after="576"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Recommended Training and Community Development Activities</w:t>
      </w:r>
    </w:p>
    <w:p w14:paraId="265BB6C0"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activities and suggestions for training and community development recommended reflect the need for hands-on approaches that build local capacities and promote resilience. These efforts are based on the needs that were identified through community engagement and focus on skill development, transfer of knowledge, and action. When training program are linked to development priorities, communities are able to improve their preparedness, strengthen adaptive measures and establish linkages of support that will foster long-term development and disaster risk reduction.</w:t>
      </w:r>
    </w:p>
    <w:p w14:paraId="277EAEE8"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Participants in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identified types of training and activities that could further strengthen community response. Basic Life Support and First Aid training were highlighted as particularly effective because they decentralize response capacity, allowing residents in remote areas to act quickly without waiting for outside assistance. This decentralized approach is especially important in landslide-prone barangays where access to health services may be limited.</w:t>
      </w:r>
    </w:p>
    <w:p w14:paraId="4208B4E0" w14:textId="77777777" w:rsidR="00277363" w:rsidRPr="001E066D"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Participants also recommended land zoning for barangay development. Implementing land zoning would enable the barangay to clearly distinguish between residential and forested areas, and to plan activities appropriate for each type of land use. This practice supports both disaster risk reduction and sustainable resource management, as it discourages settlement in high-risk zones while promoting conservation in vulnerable areas. Land zoning, therefore, represents a strategic adaptation measure that can be integrated into long-term planning.</w:t>
      </w:r>
    </w:p>
    <w:p w14:paraId="630FD0DC" w14:textId="77777777" w:rsidR="00277363" w:rsidRDefault="00277363" w:rsidP="00277363">
      <w:pPr>
        <w:spacing w:beforeLines="240" w:before="576" w:afterLines="240" w:after="576"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Participants of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xml:space="preserve"> expressed how discussions about the Go Bag would be helpful for their disaster preparedness. Additionally, clean-up drives, road clearing and tree planting were also identified as useful activities that should </w:t>
      </w:r>
      <w:r w:rsidRPr="001E066D">
        <w:rPr>
          <w:rFonts w:ascii="Times New Roman" w:hAnsi="Times New Roman" w:cs="Times New Roman"/>
          <w:sz w:val="22"/>
          <w:szCs w:val="22"/>
        </w:rPr>
        <w:lastRenderedPageBreak/>
        <w:t>be carried out on a monthly basis. Such practices improve the community integration and responsibility towards disaster preparedness in addition to minimizing the risks of landslides.</w:t>
      </w:r>
    </w:p>
    <w:p w14:paraId="792BB9D4" w14:textId="77777777" w:rsidR="00277363" w:rsidRDefault="00277363" w:rsidP="00277363">
      <w:pPr>
        <w:spacing w:beforeLines="240" w:before="576" w:afterLines="240" w:after="576" w:line="240" w:lineRule="auto"/>
        <w:ind w:firstLine="720"/>
        <w:jc w:val="both"/>
        <w:rPr>
          <w:rFonts w:ascii="Times New Roman" w:hAnsi="Times New Roman" w:cs="Times New Roman"/>
          <w:sz w:val="22"/>
          <w:szCs w:val="22"/>
        </w:rPr>
      </w:pPr>
    </w:p>
    <w:p w14:paraId="3DA0B9DF" w14:textId="77777777" w:rsidR="00277363" w:rsidRPr="001E066D" w:rsidRDefault="00277363" w:rsidP="00277363">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t>REFERENCES:</w:t>
      </w:r>
    </w:p>
    <w:p w14:paraId="5A0785EA" w14:textId="372C0B66" w:rsidR="00277363" w:rsidRPr="001E066D" w:rsidRDefault="00277363" w:rsidP="00277363">
      <w:pPr>
        <w:spacing w:after="0" w:line="240" w:lineRule="auto"/>
        <w:ind w:left="142" w:hanging="142"/>
        <w:jc w:val="both"/>
        <w:rPr>
          <w:rFonts w:ascii="Times New Roman" w:hAnsi="Times New Roman" w:cs="Times New Roman"/>
          <w:sz w:val="22"/>
          <w:szCs w:val="22"/>
        </w:rPr>
      </w:pPr>
      <w:r>
        <w:rPr>
          <w:rFonts w:ascii="Times New Roman" w:hAnsi="Times New Roman" w:cs="Times New Roman"/>
          <w:sz w:val="22"/>
          <w:szCs w:val="22"/>
        </w:rPr>
        <w:t xml:space="preserve">1. </w:t>
      </w:r>
      <w:proofErr w:type="spellStart"/>
      <w:r w:rsidRPr="001E066D">
        <w:rPr>
          <w:rFonts w:ascii="Times New Roman" w:hAnsi="Times New Roman" w:cs="Times New Roman"/>
          <w:sz w:val="22"/>
          <w:szCs w:val="22"/>
        </w:rPr>
        <w:t>Abancó</w:t>
      </w:r>
      <w:proofErr w:type="spellEnd"/>
      <w:r w:rsidRPr="001E066D">
        <w:rPr>
          <w:rFonts w:ascii="Times New Roman" w:hAnsi="Times New Roman" w:cs="Times New Roman"/>
          <w:sz w:val="22"/>
          <w:szCs w:val="22"/>
        </w:rPr>
        <w:t xml:space="preserve">, C., Medina, V., Bennett, G. L., Matthews, A. J., &amp; </w:t>
      </w:r>
      <w:proofErr w:type="spellStart"/>
      <w:r w:rsidRPr="001E066D">
        <w:rPr>
          <w:rFonts w:ascii="Times New Roman" w:hAnsi="Times New Roman" w:cs="Times New Roman"/>
          <w:sz w:val="22"/>
          <w:szCs w:val="22"/>
        </w:rPr>
        <w:t>Hürlimann</w:t>
      </w:r>
      <w:proofErr w:type="spellEnd"/>
      <w:r w:rsidRPr="001E066D">
        <w:rPr>
          <w:rFonts w:ascii="Times New Roman" w:hAnsi="Times New Roman" w:cs="Times New Roman"/>
          <w:sz w:val="22"/>
          <w:szCs w:val="22"/>
        </w:rPr>
        <w:t>, M. (2022). Analysis of landslide-triggering rainfalls in a typhoon-prone region of the Philippines. Na. https://doi.org/10.5194/egusphere-egu22-7819</w:t>
      </w:r>
    </w:p>
    <w:p w14:paraId="6DA93D0B" w14:textId="2FBE1143" w:rsidR="00277363" w:rsidRPr="001E066D" w:rsidRDefault="00277363" w:rsidP="00277363">
      <w:pPr>
        <w:spacing w:after="0" w:line="240" w:lineRule="auto"/>
        <w:ind w:left="142" w:hanging="142"/>
        <w:jc w:val="both"/>
        <w:rPr>
          <w:rFonts w:ascii="Times New Roman" w:hAnsi="Times New Roman" w:cs="Times New Roman"/>
          <w:sz w:val="22"/>
          <w:szCs w:val="22"/>
        </w:rPr>
      </w:pPr>
      <w:r>
        <w:rPr>
          <w:rFonts w:ascii="Times New Roman" w:hAnsi="Times New Roman" w:cs="Times New Roman"/>
          <w:sz w:val="22"/>
          <w:szCs w:val="22"/>
        </w:rPr>
        <w:t xml:space="preserve">2. </w:t>
      </w:r>
      <w:r w:rsidRPr="001E066D">
        <w:rPr>
          <w:rFonts w:ascii="Times New Roman" w:hAnsi="Times New Roman" w:cs="Times New Roman"/>
          <w:sz w:val="22"/>
          <w:szCs w:val="22"/>
        </w:rPr>
        <w:t>Alcántara-Ayala, I. (2018). TXT-Tool 4.052-1.2: Landslide Risk Communication. In Springer eBooks (pp. 731–742). https://doi.org/10.1007/978-3-319-57777-7_47</w:t>
      </w:r>
    </w:p>
    <w:p w14:paraId="1097C370" w14:textId="29A8FC93"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Pr="001E066D">
        <w:rPr>
          <w:rFonts w:ascii="Times New Roman" w:hAnsi="Times New Roman" w:cs="Times New Roman"/>
          <w:sz w:val="22"/>
          <w:szCs w:val="22"/>
        </w:rPr>
        <w:t>Alcántara-Ayala I, Moreno AR (2016) Landslide risk perception and communication for disaster risk management in mountain areas of developing countries: a ¡ Mexican foretaste. Journal of Mountain Science 13(12). DOI: 10.1007/s11629- 015-3823-0</w:t>
      </w:r>
    </w:p>
    <w:p w14:paraId="29315DA8" w14:textId="15969541"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4. </w:t>
      </w:r>
      <w:proofErr w:type="spellStart"/>
      <w:proofErr w:type="gramStart"/>
      <w:r w:rsidRPr="001E066D">
        <w:rPr>
          <w:rFonts w:ascii="Times New Roman" w:hAnsi="Times New Roman" w:cs="Times New Roman"/>
          <w:sz w:val="22"/>
          <w:szCs w:val="22"/>
        </w:rPr>
        <w:t>Alimondo,L</w:t>
      </w:r>
      <w:proofErr w:type="spellEnd"/>
      <w:r w:rsidRPr="001E066D">
        <w:rPr>
          <w:rFonts w:ascii="Times New Roman" w:hAnsi="Times New Roman" w:cs="Times New Roman"/>
          <w:sz w:val="22"/>
          <w:szCs w:val="22"/>
        </w:rPr>
        <w:t>.</w:t>
      </w:r>
      <w:proofErr w:type="gramEnd"/>
      <w:r w:rsidRPr="001E066D">
        <w:rPr>
          <w:rFonts w:ascii="Times New Roman" w:hAnsi="Times New Roman" w:cs="Times New Roman"/>
          <w:sz w:val="22"/>
          <w:szCs w:val="22"/>
        </w:rPr>
        <w:t xml:space="preserve"> (2018). Itogon identified as landslide prone. https://www.sunstar.com.ph/baguio/local-news/itogon-identified-as-landslide-prone</w:t>
      </w:r>
    </w:p>
    <w:p w14:paraId="65E2B1D2" w14:textId="115BC2E1"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5. </w:t>
      </w:r>
      <w:r w:rsidRPr="001E066D">
        <w:rPr>
          <w:rFonts w:ascii="Times New Roman" w:hAnsi="Times New Roman" w:cs="Times New Roman"/>
          <w:sz w:val="22"/>
          <w:szCs w:val="22"/>
        </w:rPr>
        <w:t>Anderson, M. B., &amp; Holcombe, E. (2006). Managing hazards and disasters: Risk reduction, emergency response, and sustainable recovery. Environmental Management, 37(1), 1–15. https://doi.org/10.1007/s00267-004-0351-z</w:t>
      </w:r>
    </w:p>
    <w:p w14:paraId="44CCC38B" w14:textId="1CE6DDB4"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 </w:t>
      </w:r>
      <w:r w:rsidRPr="001E066D">
        <w:rPr>
          <w:rFonts w:ascii="Times New Roman" w:hAnsi="Times New Roman" w:cs="Times New Roman"/>
          <w:sz w:val="22"/>
          <w:szCs w:val="22"/>
        </w:rPr>
        <w:t xml:space="preserve">Comfort, L. K., Dunn, M., Johnson, D., Skertich, R., &amp; </w:t>
      </w:r>
      <w:proofErr w:type="spellStart"/>
      <w:r w:rsidRPr="001E066D">
        <w:rPr>
          <w:rFonts w:ascii="Times New Roman" w:hAnsi="Times New Roman" w:cs="Times New Roman"/>
          <w:sz w:val="22"/>
          <w:szCs w:val="22"/>
        </w:rPr>
        <w:t>Zagorecki</w:t>
      </w:r>
      <w:proofErr w:type="spellEnd"/>
      <w:r w:rsidRPr="001E066D">
        <w:rPr>
          <w:rFonts w:ascii="Times New Roman" w:hAnsi="Times New Roman" w:cs="Times New Roman"/>
          <w:sz w:val="22"/>
          <w:szCs w:val="22"/>
        </w:rPr>
        <w:t>, A. (2004). Coordination in complex systems: Increasing efficiency in disaster mitigation and response. International Journal of Emergency Management, 2(1–2), 62–80. https://doi.org/10.1504/IJEM.2004.005314</w:t>
      </w:r>
    </w:p>
    <w:p w14:paraId="7E7687CE" w14:textId="4FB9E922"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7. </w:t>
      </w:r>
      <w:proofErr w:type="spellStart"/>
      <w:r w:rsidRPr="001E066D">
        <w:rPr>
          <w:rFonts w:ascii="Times New Roman" w:hAnsi="Times New Roman" w:cs="Times New Roman"/>
          <w:sz w:val="22"/>
          <w:szCs w:val="22"/>
        </w:rPr>
        <w:t>Cimatu</w:t>
      </w:r>
      <w:proofErr w:type="spellEnd"/>
      <w:r w:rsidRPr="001E066D">
        <w:rPr>
          <w:rFonts w:ascii="Times New Roman" w:hAnsi="Times New Roman" w:cs="Times New Roman"/>
          <w:sz w:val="22"/>
          <w:szCs w:val="22"/>
        </w:rPr>
        <w:t>, F. (2018, September 30). Retrieval operations end at Itogon landslide site. RAPPLER. https://www.rappler.com/philippines/213209-retrieval-operations-end-itogon-benguet-landslide-september-2018/</w:t>
      </w:r>
    </w:p>
    <w:p w14:paraId="2444E1A6" w14:textId="3C9D48FB"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8. </w:t>
      </w:r>
      <w:r w:rsidRPr="001E066D">
        <w:rPr>
          <w:rFonts w:ascii="Times New Roman" w:hAnsi="Times New Roman" w:cs="Times New Roman"/>
          <w:sz w:val="22"/>
          <w:szCs w:val="22"/>
        </w:rPr>
        <w:t xml:space="preserve">Dias, A. a. V., Katuwala, N. N., &amp; </w:t>
      </w:r>
      <w:proofErr w:type="spellStart"/>
      <w:r w:rsidRPr="001E066D">
        <w:rPr>
          <w:rFonts w:ascii="Times New Roman" w:hAnsi="Times New Roman" w:cs="Times New Roman"/>
          <w:sz w:val="22"/>
          <w:szCs w:val="22"/>
        </w:rPr>
        <w:t>Kodagoda</w:t>
      </w:r>
      <w:proofErr w:type="spellEnd"/>
      <w:r w:rsidRPr="001E066D">
        <w:rPr>
          <w:rFonts w:ascii="Times New Roman" w:hAnsi="Times New Roman" w:cs="Times New Roman"/>
          <w:sz w:val="22"/>
          <w:szCs w:val="22"/>
        </w:rPr>
        <w:t>, S. S. I. (2020). Effective global communication on disaster mitigation of landslides through E-Conferencing. In ICL contribution to landslide disaster risk reduction (pp. 575–582). https://doi.org/10.1007/978-3-030-60196-6_50</w:t>
      </w:r>
    </w:p>
    <w:p w14:paraId="019161DE" w14:textId="1B7B89C0"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9. </w:t>
      </w:r>
      <w:r w:rsidRPr="001E066D">
        <w:rPr>
          <w:rFonts w:ascii="Times New Roman" w:hAnsi="Times New Roman" w:cs="Times New Roman"/>
          <w:sz w:val="22"/>
          <w:szCs w:val="22"/>
        </w:rPr>
        <w:t xml:space="preserve">Gabor, D. H. (2023). Elevation angles, Soil textures, Soil settlements and </w:t>
      </w:r>
      <w:proofErr w:type="spellStart"/>
      <w:r w:rsidRPr="001E066D">
        <w:rPr>
          <w:rFonts w:ascii="Times New Roman" w:hAnsi="Times New Roman" w:cs="Times New Roman"/>
          <w:sz w:val="22"/>
          <w:szCs w:val="22"/>
        </w:rPr>
        <w:t>WaterHolding</w:t>
      </w:r>
      <w:proofErr w:type="spellEnd"/>
      <w:r w:rsidRPr="001E066D">
        <w:rPr>
          <w:rFonts w:ascii="Times New Roman" w:hAnsi="Times New Roman" w:cs="Times New Roman"/>
          <w:sz w:val="22"/>
          <w:szCs w:val="22"/>
        </w:rPr>
        <w:t xml:space="preserve"> Capacity on Landslides: an experimental case study in the province of Iloilo, Philippines. International </w:t>
      </w:r>
      <w:proofErr w:type="gramStart"/>
      <w:r w:rsidRPr="001E066D">
        <w:rPr>
          <w:rFonts w:ascii="Times New Roman" w:hAnsi="Times New Roman" w:cs="Times New Roman"/>
          <w:sz w:val="22"/>
          <w:szCs w:val="22"/>
        </w:rPr>
        <w:t>Journal  of</w:t>
      </w:r>
      <w:proofErr w:type="gramEnd"/>
      <w:r w:rsidRPr="001E066D">
        <w:rPr>
          <w:rFonts w:ascii="Times New Roman" w:hAnsi="Times New Roman" w:cs="Times New Roman"/>
          <w:sz w:val="22"/>
          <w:szCs w:val="22"/>
        </w:rPr>
        <w:t xml:space="preserve"> Research and Innovation in Applied Science, VIII(III), 79–92. https://doi.org/10.51584/ijrias.2023.8302</w:t>
      </w:r>
    </w:p>
    <w:p w14:paraId="41643CD8" w14:textId="7F30E77C"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10. </w:t>
      </w:r>
      <w:r w:rsidRPr="001E066D">
        <w:rPr>
          <w:rFonts w:ascii="Times New Roman" w:hAnsi="Times New Roman" w:cs="Times New Roman"/>
          <w:sz w:val="22"/>
          <w:szCs w:val="22"/>
        </w:rPr>
        <w:t>Garcia, M. E. J. N., &amp; Hernandez, A. A. (2018). Pattern analysis of natural disasters in the Philippines. In Springer eBooks (pp. 74–83). https://doi.org/10.1007/978-3-319-98752-1_9</w:t>
      </w:r>
    </w:p>
    <w:p w14:paraId="3D7EF0FA" w14:textId="57046E30"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11. </w:t>
      </w:r>
      <w:proofErr w:type="spellStart"/>
      <w:r w:rsidRPr="001E066D">
        <w:rPr>
          <w:rFonts w:ascii="Times New Roman" w:hAnsi="Times New Roman" w:cs="Times New Roman"/>
          <w:sz w:val="22"/>
          <w:szCs w:val="22"/>
        </w:rPr>
        <w:t>Iuchi</w:t>
      </w:r>
      <w:proofErr w:type="spellEnd"/>
      <w:r w:rsidRPr="001E066D">
        <w:rPr>
          <w:rFonts w:ascii="Times New Roman" w:hAnsi="Times New Roman" w:cs="Times New Roman"/>
          <w:sz w:val="22"/>
          <w:szCs w:val="22"/>
        </w:rPr>
        <w:t>, K., Jib</w:t>
      </w:r>
      <w:proofErr w:type="spellStart"/>
      <w:r w:rsidRPr="001E066D">
        <w:rPr>
          <w:rFonts w:ascii="Times New Roman" w:hAnsi="Times New Roman" w:cs="Times New Roman"/>
          <w:sz w:val="22"/>
          <w:szCs w:val="22"/>
        </w:rPr>
        <w:t>iki</w:t>
      </w:r>
      <w:proofErr w:type="spellEnd"/>
      <w:r w:rsidRPr="001E066D">
        <w:rPr>
          <w:rFonts w:ascii="Times New Roman" w:hAnsi="Times New Roman" w:cs="Times New Roman"/>
          <w:sz w:val="22"/>
          <w:szCs w:val="22"/>
        </w:rPr>
        <w:t>, Y., Solidum, R., &amp; Santiago, R. (2019). Natural hazards governance in the Philippines. Oxford Research Encyclopedia of Natural Hazard Science. https://doi.org/10.1093/acrefore/9780199389407.013.233</w:t>
      </w:r>
    </w:p>
    <w:p w14:paraId="49EF8933" w14:textId="58CA32C7" w:rsidR="00277363" w:rsidRPr="001E066D" w:rsidRDefault="00277363" w:rsidP="00277363">
      <w:pPr>
        <w:tabs>
          <w:tab w:val="left" w:pos="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12. </w:t>
      </w:r>
      <w:r w:rsidRPr="001E066D">
        <w:rPr>
          <w:rFonts w:ascii="Times New Roman" w:hAnsi="Times New Roman" w:cs="Times New Roman"/>
          <w:sz w:val="22"/>
          <w:szCs w:val="22"/>
        </w:rPr>
        <w:t xml:space="preserve">Jones, J. N., Bennett, G. L., </w:t>
      </w:r>
      <w:proofErr w:type="spellStart"/>
      <w:r w:rsidRPr="001E066D">
        <w:rPr>
          <w:rFonts w:ascii="Times New Roman" w:hAnsi="Times New Roman" w:cs="Times New Roman"/>
          <w:sz w:val="22"/>
          <w:szCs w:val="22"/>
        </w:rPr>
        <w:t>Abancó</w:t>
      </w:r>
      <w:proofErr w:type="spellEnd"/>
      <w:r w:rsidRPr="001E066D">
        <w:rPr>
          <w:rFonts w:ascii="Times New Roman" w:hAnsi="Times New Roman" w:cs="Times New Roman"/>
          <w:sz w:val="22"/>
          <w:szCs w:val="22"/>
        </w:rPr>
        <w:t>, C., Matera, M. a. M., &amp; Tan, F. J. (2023). Multi-event assessment of typhoon-triggered landslide susceptibility in the Philippines. Natural Hazards and Earth System Sciences, 23(3), 1095–1115. https://doi.org/10.5194/nhess-23-1095-2023</w:t>
      </w:r>
    </w:p>
    <w:p w14:paraId="056F5654" w14:textId="3C24B0A0"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13. </w:t>
      </w:r>
      <w:r w:rsidRPr="001E066D">
        <w:rPr>
          <w:rFonts w:ascii="Times New Roman" w:hAnsi="Times New Roman" w:cs="Times New Roman"/>
          <w:sz w:val="22"/>
          <w:szCs w:val="22"/>
        </w:rPr>
        <w:t>Lagmay, M. (2014). Lessons from Disasters in the Philippines: The Project NOAH Experience. Na, 5, 1–4. https://EconPapers.repec.org/RePEc:sag:seaadn:2014:281</w:t>
      </w:r>
    </w:p>
    <w:p w14:paraId="1B4F7E1A" w14:textId="7C713C3E"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14. </w:t>
      </w:r>
      <w:r w:rsidRPr="001E066D">
        <w:rPr>
          <w:rFonts w:ascii="Times New Roman" w:hAnsi="Times New Roman" w:cs="Times New Roman"/>
          <w:sz w:val="22"/>
          <w:szCs w:val="22"/>
        </w:rPr>
        <w:t xml:space="preserve">Lamnek, S. (2005). Qualitative </w:t>
      </w:r>
      <w:proofErr w:type="spellStart"/>
      <w:r w:rsidRPr="001E066D">
        <w:rPr>
          <w:rFonts w:ascii="Times New Roman" w:hAnsi="Times New Roman" w:cs="Times New Roman"/>
          <w:sz w:val="22"/>
          <w:szCs w:val="22"/>
        </w:rPr>
        <w:t>Sozialforschung</w:t>
      </w:r>
      <w:proofErr w:type="spellEnd"/>
      <w:r w:rsidRPr="001E066D">
        <w:rPr>
          <w:rFonts w:ascii="Times New Roman" w:hAnsi="Times New Roman" w:cs="Times New Roman"/>
          <w:sz w:val="22"/>
          <w:szCs w:val="22"/>
        </w:rPr>
        <w:t xml:space="preserve"> (4th ed.). Beltz Verlag.</w:t>
      </w:r>
    </w:p>
    <w:p w14:paraId="53A57E04" w14:textId="0AE86A90" w:rsidR="00277363" w:rsidRPr="001E066D" w:rsidRDefault="00277363" w:rsidP="00277363">
      <w:pPr>
        <w:spacing w:after="0" w:line="240"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15. </w:t>
      </w:r>
      <w:r w:rsidRPr="001E066D">
        <w:rPr>
          <w:rFonts w:ascii="Times New Roman" w:hAnsi="Times New Roman" w:cs="Times New Roman"/>
          <w:sz w:val="22"/>
          <w:szCs w:val="22"/>
        </w:rPr>
        <w:t>Yin, R. K. (2018). Case study research and applications: Design and methods (6th ed.). Sage Publications.</w:t>
      </w:r>
    </w:p>
    <w:p w14:paraId="0EE03FBD" w14:textId="2131EED1"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16. </w:t>
      </w:r>
      <w:r w:rsidRPr="001E066D">
        <w:rPr>
          <w:rFonts w:ascii="Times New Roman" w:hAnsi="Times New Roman" w:cs="Times New Roman"/>
          <w:sz w:val="22"/>
          <w:szCs w:val="22"/>
        </w:rPr>
        <w:t>Nishikawa, S. (2023). Application of Ichi-Nichi-Mae (The Day Before the Disaster) project for landslide awareness and risk communication. In Springer eBooks (pp. 317–321). https://doi.org/10.1007/978-3-031-18471-0_24</w:t>
      </w:r>
    </w:p>
    <w:p w14:paraId="4BF9F8CC" w14:textId="43DB38FC"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17. </w:t>
      </w:r>
      <w:r w:rsidRPr="001E066D">
        <w:rPr>
          <w:rFonts w:ascii="Times New Roman" w:hAnsi="Times New Roman" w:cs="Times New Roman"/>
          <w:sz w:val="22"/>
          <w:szCs w:val="22"/>
        </w:rPr>
        <w:t>Setiawan, H., Re</w:t>
      </w:r>
      <w:proofErr w:type="spellStart"/>
      <w:r w:rsidRPr="001E066D">
        <w:rPr>
          <w:rFonts w:ascii="Times New Roman" w:hAnsi="Times New Roman" w:cs="Times New Roman"/>
          <w:sz w:val="22"/>
          <w:szCs w:val="22"/>
        </w:rPr>
        <w:t>tnaningrum</w:t>
      </w:r>
      <w:proofErr w:type="spellEnd"/>
      <w:r w:rsidRPr="001E066D">
        <w:rPr>
          <w:rFonts w:ascii="Times New Roman" w:hAnsi="Times New Roman" w:cs="Times New Roman"/>
          <w:sz w:val="22"/>
          <w:szCs w:val="22"/>
        </w:rPr>
        <w:t xml:space="preserve">, E., </w:t>
      </w:r>
      <w:proofErr w:type="spellStart"/>
      <w:r w:rsidRPr="001E066D">
        <w:rPr>
          <w:rFonts w:ascii="Times New Roman" w:hAnsi="Times New Roman" w:cs="Times New Roman"/>
          <w:sz w:val="22"/>
          <w:szCs w:val="22"/>
        </w:rPr>
        <w:t>Arrisaldi</w:t>
      </w:r>
      <w:proofErr w:type="spellEnd"/>
      <w:r w:rsidRPr="001E066D">
        <w:rPr>
          <w:rFonts w:ascii="Times New Roman" w:hAnsi="Times New Roman" w:cs="Times New Roman"/>
          <w:sz w:val="22"/>
          <w:szCs w:val="22"/>
        </w:rPr>
        <w:t xml:space="preserve">, T., &amp; </w:t>
      </w:r>
      <w:proofErr w:type="spellStart"/>
      <w:r w:rsidRPr="001E066D">
        <w:rPr>
          <w:rFonts w:ascii="Times New Roman" w:hAnsi="Times New Roman" w:cs="Times New Roman"/>
          <w:sz w:val="22"/>
          <w:szCs w:val="22"/>
        </w:rPr>
        <w:t>Wilopo</w:t>
      </w:r>
      <w:proofErr w:type="spellEnd"/>
      <w:r w:rsidRPr="001E066D">
        <w:rPr>
          <w:rFonts w:ascii="Times New Roman" w:hAnsi="Times New Roman" w:cs="Times New Roman"/>
          <w:sz w:val="22"/>
          <w:szCs w:val="22"/>
        </w:rPr>
        <w:t xml:space="preserve">, W. (2020). Capacity building and community preparedness towards landslide disaster in </w:t>
      </w:r>
      <w:proofErr w:type="spellStart"/>
      <w:r w:rsidRPr="001E066D">
        <w:rPr>
          <w:rFonts w:ascii="Times New Roman" w:hAnsi="Times New Roman" w:cs="Times New Roman"/>
          <w:sz w:val="22"/>
          <w:szCs w:val="22"/>
        </w:rPr>
        <w:t>Pagerharjo</w:t>
      </w:r>
      <w:proofErr w:type="spellEnd"/>
      <w:r w:rsidRPr="001E066D">
        <w:rPr>
          <w:rFonts w:ascii="Times New Roman" w:hAnsi="Times New Roman" w:cs="Times New Roman"/>
          <w:sz w:val="22"/>
          <w:szCs w:val="22"/>
        </w:rPr>
        <w:t xml:space="preserve"> Village, Kulon </w:t>
      </w:r>
      <w:proofErr w:type="spellStart"/>
      <w:r w:rsidRPr="001E066D">
        <w:rPr>
          <w:rFonts w:ascii="Times New Roman" w:hAnsi="Times New Roman" w:cs="Times New Roman"/>
          <w:sz w:val="22"/>
          <w:szCs w:val="22"/>
        </w:rPr>
        <w:t>Progo</w:t>
      </w:r>
      <w:proofErr w:type="spellEnd"/>
      <w:r w:rsidRPr="001E066D">
        <w:rPr>
          <w:rFonts w:ascii="Times New Roman" w:hAnsi="Times New Roman" w:cs="Times New Roman"/>
          <w:sz w:val="22"/>
          <w:szCs w:val="22"/>
        </w:rPr>
        <w:t xml:space="preserve"> Regency of Yogyakarta, Indonesia. In ICL contribution to landslide disaster risk reduction (pp. 603–610). https://doi.org/10.1007/978-3-030-60196-6_54</w:t>
      </w:r>
    </w:p>
    <w:p w14:paraId="4FCA7A5B" w14:textId="732E7869" w:rsidR="00277363" w:rsidRPr="001E066D" w:rsidRDefault="00277363" w:rsidP="002773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18. </w:t>
      </w:r>
      <w:proofErr w:type="spellStart"/>
      <w:r w:rsidRPr="001E066D">
        <w:rPr>
          <w:rFonts w:ascii="Times New Roman" w:hAnsi="Times New Roman" w:cs="Times New Roman"/>
          <w:sz w:val="22"/>
          <w:szCs w:val="22"/>
        </w:rPr>
        <w:t>Tubog</w:t>
      </w:r>
      <w:proofErr w:type="spellEnd"/>
      <w:r w:rsidRPr="001E066D">
        <w:rPr>
          <w:rFonts w:ascii="Times New Roman" w:hAnsi="Times New Roman" w:cs="Times New Roman"/>
          <w:sz w:val="22"/>
          <w:szCs w:val="22"/>
        </w:rPr>
        <w:t xml:space="preserve">, M. V., Villahermosa, R. L., &amp; </w:t>
      </w:r>
      <w:proofErr w:type="spellStart"/>
      <w:r w:rsidRPr="001E066D">
        <w:rPr>
          <w:rFonts w:ascii="Times New Roman" w:hAnsi="Times New Roman" w:cs="Times New Roman"/>
          <w:sz w:val="22"/>
          <w:szCs w:val="22"/>
        </w:rPr>
        <w:t>Perong</w:t>
      </w:r>
      <w:proofErr w:type="spellEnd"/>
      <w:r w:rsidRPr="001E066D">
        <w:rPr>
          <w:rFonts w:ascii="Times New Roman" w:hAnsi="Times New Roman" w:cs="Times New Roman"/>
          <w:sz w:val="22"/>
          <w:szCs w:val="22"/>
        </w:rPr>
        <w:t>, J. G. (2023). Landslide susceptibility modeling derived from remote sensing, multi-criteria decision analysis, and GIS techniques: A case study in the Southeast Bohol Province, Philippines. Research Square (Research Square). https://doi.org/10.21203/rs.3.rs-2547208/v3</w:t>
      </w:r>
    </w:p>
    <w:p w14:paraId="35C1DA07" w14:textId="77777777" w:rsidR="00744401" w:rsidRPr="00744401" w:rsidRDefault="00744401" w:rsidP="00277363">
      <w:pPr>
        <w:tabs>
          <w:tab w:val="left" w:pos="5030"/>
        </w:tabs>
        <w:spacing w:beforeLines="240" w:before="576" w:afterLines="240" w:after="576"/>
        <w:jc w:val="both"/>
        <w:rPr>
          <w:rFonts w:ascii="Times New Roman" w:hAnsi="Times New Roman" w:cs="Times New Roman"/>
          <w:sz w:val="28"/>
          <w:szCs w:val="28"/>
        </w:rPr>
      </w:pPr>
    </w:p>
    <w:sectPr w:rsidR="00744401" w:rsidRPr="00744401" w:rsidSect="002D0FEC">
      <w:pgSz w:w="12240" w:h="15840"/>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5B97" w14:textId="77777777" w:rsidR="00DE27AF" w:rsidRDefault="00DE27AF" w:rsidP="002D0FEC">
      <w:pPr>
        <w:spacing w:after="0" w:line="240" w:lineRule="auto"/>
      </w:pPr>
      <w:r>
        <w:separator/>
      </w:r>
    </w:p>
  </w:endnote>
  <w:endnote w:type="continuationSeparator" w:id="0">
    <w:p w14:paraId="78F1A3AA" w14:textId="77777777" w:rsidR="00DE27AF" w:rsidRDefault="00DE27AF" w:rsidP="002D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94E9" w14:textId="77777777" w:rsidR="00DE27AF" w:rsidRDefault="00DE27AF" w:rsidP="002D0FEC">
      <w:pPr>
        <w:spacing w:after="0" w:line="240" w:lineRule="auto"/>
      </w:pPr>
      <w:r>
        <w:separator/>
      </w:r>
    </w:p>
  </w:footnote>
  <w:footnote w:type="continuationSeparator" w:id="0">
    <w:p w14:paraId="359CE99F" w14:textId="77777777" w:rsidR="00DE27AF" w:rsidRDefault="00DE27AF" w:rsidP="002D0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819C5"/>
    <w:multiLevelType w:val="multilevel"/>
    <w:tmpl w:val="83F4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262533"/>
    <w:multiLevelType w:val="multilevel"/>
    <w:tmpl w:val="483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832424">
    <w:abstractNumId w:val="1"/>
  </w:num>
  <w:num w:numId="2" w16cid:durableId="117369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EC"/>
    <w:rsid w:val="00277363"/>
    <w:rsid w:val="002D0FEC"/>
    <w:rsid w:val="003257C3"/>
    <w:rsid w:val="00744401"/>
    <w:rsid w:val="00DE27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4F3B"/>
  <w15:chartTrackingRefBased/>
  <w15:docId w15:val="{82AB8472-9783-4FD8-BB72-D7492BC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FEC"/>
    <w:rPr>
      <w:rFonts w:eastAsiaTheme="majorEastAsia" w:cstheme="majorBidi"/>
      <w:color w:val="272727" w:themeColor="text1" w:themeTint="D8"/>
    </w:rPr>
  </w:style>
  <w:style w:type="paragraph" w:styleId="Title">
    <w:name w:val="Title"/>
    <w:basedOn w:val="Normal"/>
    <w:next w:val="Normal"/>
    <w:link w:val="TitleChar"/>
    <w:uiPriority w:val="10"/>
    <w:qFormat/>
    <w:rsid w:val="002D0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FEC"/>
    <w:pPr>
      <w:spacing w:before="160"/>
      <w:jc w:val="center"/>
    </w:pPr>
    <w:rPr>
      <w:i/>
      <w:iCs/>
      <w:color w:val="404040" w:themeColor="text1" w:themeTint="BF"/>
    </w:rPr>
  </w:style>
  <w:style w:type="character" w:customStyle="1" w:styleId="QuoteChar">
    <w:name w:val="Quote Char"/>
    <w:basedOn w:val="DefaultParagraphFont"/>
    <w:link w:val="Quote"/>
    <w:uiPriority w:val="29"/>
    <w:rsid w:val="002D0FEC"/>
    <w:rPr>
      <w:i/>
      <w:iCs/>
      <w:color w:val="404040" w:themeColor="text1" w:themeTint="BF"/>
    </w:rPr>
  </w:style>
  <w:style w:type="paragraph" w:styleId="ListParagraph">
    <w:name w:val="List Paragraph"/>
    <w:basedOn w:val="Normal"/>
    <w:uiPriority w:val="34"/>
    <w:qFormat/>
    <w:rsid w:val="002D0FEC"/>
    <w:pPr>
      <w:ind w:left="720"/>
      <w:contextualSpacing/>
    </w:pPr>
  </w:style>
  <w:style w:type="character" w:styleId="IntenseEmphasis">
    <w:name w:val="Intense Emphasis"/>
    <w:basedOn w:val="DefaultParagraphFont"/>
    <w:uiPriority w:val="21"/>
    <w:qFormat/>
    <w:rsid w:val="002D0FEC"/>
    <w:rPr>
      <w:i/>
      <w:iCs/>
      <w:color w:val="0F4761" w:themeColor="accent1" w:themeShade="BF"/>
    </w:rPr>
  </w:style>
  <w:style w:type="paragraph" w:styleId="IntenseQuote">
    <w:name w:val="Intense Quote"/>
    <w:basedOn w:val="Normal"/>
    <w:next w:val="Normal"/>
    <w:link w:val="IntenseQuoteChar"/>
    <w:uiPriority w:val="30"/>
    <w:qFormat/>
    <w:rsid w:val="002D0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FEC"/>
    <w:rPr>
      <w:i/>
      <w:iCs/>
      <w:color w:val="0F4761" w:themeColor="accent1" w:themeShade="BF"/>
    </w:rPr>
  </w:style>
  <w:style w:type="character" w:styleId="IntenseReference">
    <w:name w:val="Intense Reference"/>
    <w:basedOn w:val="DefaultParagraphFont"/>
    <w:uiPriority w:val="32"/>
    <w:qFormat/>
    <w:rsid w:val="002D0FEC"/>
    <w:rPr>
      <w:b/>
      <w:bCs/>
      <w:smallCaps/>
      <w:color w:val="0F4761" w:themeColor="accent1" w:themeShade="BF"/>
      <w:spacing w:val="5"/>
    </w:rPr>
  </w:style>
  <w:style w:type="paragraph" w:styleId="Header">
    <w:name w:val="header"/>
    <w:basedOn w:val="Normal"/>
    <w:link w:val="HeaderChar"/>
    <w:uiPriority w:val="99"/>
    <w:unhideWhenUsed/>
    <w:rsid w:val="002D0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FEC"/>
  </w:style>
  <w:style w:type="paragraph" w:styleId="Footer">
    <w:name w:val="footer"/>
    <w:basedOn w:val="Normal"/>
    <w:link w:val="FooterChar"/>
    <w:uiPriority w:val="99"/>
    <w:unhideWhenUsed/>
    <w:rsid w:val="002D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6882</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Mae Ebba</dc:creator>
  <cp:keywords/>
  <dc:description/>
  <cp:lastModifiedBy>Clarissa Mae Ebba</cp:lastModifiedBy>
  <cp:revision>2</cp:revision>
  <dcterms:created xsi:type="dcterms:W3CDTF">2026-06-04T14:14:00Z</dcterms:created>
  <dcterms:modified xsi:type="dcterms:W3CDTF">2026-06-04T14:34:00Z</dcterms:modified>
</cp:coreProperties>
</file>