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8C20" w14:textId="4EB09679" w:rsidR="00265805" w:rsidRPr="00265805" w:rsidRDefault="001A34A1" w:rsidP="001A34A1">
      <w:pPr>
        <w:spacing w:before="240" w:after="240" w:line="240" w:lineRule="auto"/>
        <w:jc w:val="center"/>
        <w:rPr>
          <w:rFonts w:ascii="Times New Roman" w:hAnsi="Times New Roman" w:cs="Times New Roman"/>
        </w:rPr>
      </w:pPr>
      <w:r w:rsidRPr="001A34A1">
        <w:rPr>
          <w:rFonts w:ascii="Times New Roman" w:hAnsi="Times New Roman" w:cs="Times New Roman"/>
          <w:b/>
          <w:bCs/>
          <w:sz w:val="36"/>
          <w:szCs w:val="36"/>
        </w:rPr>
        <w:t>Assessing the Readiness of Hospitality Management Students for TESDA Housekeeping NC II Certification: Implications for Competency-Based Curriculum Enhancement in a Philippine State University</w:t>
      </w:r>
    </w:p>
    <w:p w14:paraId="6625A408" w14:textId="0F12AE5E" w:rsidR="00265805" w:rsidRPr="00265805" w:rsidRDefault="00265805" w:rsidP="001A34A1">
      <w:pPr>
        <w:spacing w:before="240" w:after="240" w:line="240" w:lineRule="auto"/>
        <w:jc w:val="center"/>
        <w:rPr>
          <w:rFonts w:ascii="Times New Roman" w:hAnsi="Times New Roman" w:cs="Times New Roman"/>
        </w:rPr>
      </w:pPr>
      <w:r w:rsidRPr="00265805">
        <w:rPr>
          <w:rFonts w:ascii="Times New Roman" w:hAnsi="Times New Roman" w:cs="Times New Roman"/>
        </w:rPr>
        <w:t xml:space="preserve"/>
      </w:r>
      <w:r w:rsidR="001A34A1" w:rsidRPr="001A34A1">
        <w:rPr>
          <w:rFonts w:ascii="Times New Roman" w:hAnsi="Times New Roman" w:cs="Times New Roman"/>
          <w:b/>
          <w:bCs/>
        </w:rPr>
        <w:t xml:space="preserve"/>
      </w:r>
      <w:proofErr w:type="spellStart"/>
      <w:r w:rsidR="001A34A1" w:rsidRPr="001A34A1">
        <w:rPr>
          <w:rFonts w:ascii="Times New Roman" w:hAnsi="Times New Roman" w:cs="Times New Roman"/>
          <w:b/>
          <w:bCs/>
        </w:rPr>
        <w:t/>
      </w:r>
      <w:proofErr w:type="spellEnd"/>
      <w:r w:rsidR="001A34A1" w:rsidRPr="001A34A1">
        <w:rPr>
          <w:rFonts w:ascii="Times New Roman" w:hAnsi="Times New Roman" w:cs="Times New Roman"/>
          <w:b/>
          <w:bCs/>
        </w:rPr>
        <w:t xml:space="preserve"/>
      </w:r>
      <w:proofErr w:type="spellStart"/>
      <w:r w:rsidR="001A34A1" w:rsidRPr="001A34A1">
        <w:rPr>
          <w:rFonts w:ascii="Times New Roman" w:hAnsi="Times New Roman" w:cs="Times New Roman"/>
          <w:b/>
          <w:bCs/>
        </w:rPr>
        <w:t/>
      </w:r>
      <w:proofErr w:type="spellEnd"/>
      <w:r w:rsidR="001A34A1" w:rsidRPr="001A34A1">
        <w:rPr>
          <w:rFonts w:ascii="Times New Roman" w:hAnsi="Times New Roman" w:cs="Times New Roman"/>
          <w:b/>
          <w:bCs/>
        </w:rPr>
        <w:t/>
      </w:r>
    </w:p>
    <w:p w14:paraId="39526EC3" w14:textId="2474AAA1" w:rsidR="00265805" w:rsidRPr="00265805" w:rsidRDefault="00265805" w:rsidP="001A34A1">
      <w:pPr>
        <w:spacing w:before="240" w:after="240" w:line="240" w:lineRule="auto"/>
        <w:jc w:val="center"/>
        <w:rPr>
          <w:rFonts w:ascii="Times New Roman" w:hAnsi="Times New Roman" w:cs="Times New Roman"/>
        </w:rPr>
      </w:pPr>
      <w:r w:rsidRPr="00265805">
        <w:rPr>
          <w:rFonts w:ascii="Times New Roman" w:hAnsi="Times New Roman" w:cs="Times New Roman"/>
        </w:rPr>
        <w:t xml:space="preserve"/>
      </w:r>
      <w:proofErr w:type="spellStart"/>
      <w:r w:rsidRPr="00265805">
        <w:rPr>
          <w:rFonts w:ascii="Times New Roman" w:hAnsi="Times New Roman" w:cs="Times New Roman"/>
        </w:rPr>
        <w:t/>
      </w:r>
      <w:proofErr w:type="spellEnd"/>
      <w:r w:rsidRPr="00265805">
        <w:rPr>
          <w:rFonts w:ascii="Times New Roman" w:hAnsi="Times New Roman" w:cs="Times New Roman"/>
        </w:rPr>
        <w:t xml:space="preserve"/>
      </w:r>
      <w:proofErr w:type="spellStart"/>
      <w:r w:rsidRPr="00265805">
        <w:rPr>
          <w:rFonts w:ascii="Times New Roman" w:hAnsi="Times New Roman" w:cs="Times New Roman"/>
        </w:rPr>
        <w:t/>
      </w:r>
      <w:proofErr w:type="spellEnd"/>
      <w:r w:rsidRPr="00265805">
        <w:rPr>
          <w:rFonts w:ascii="Times New Roman" w:hAnsi="Times New Roman" w:cs="Times New Roman"/>
        </w:rPr>
        <w:t/>
      </w:r>
    </w:p>
    <w:p w14:paraId="41988CFF" w14:textId="74A38C92" w:rsidR="00265805" w:rsidRDefault="00265805" w:rsidP="001A34A1">
      <w:pPr>
        <w:spacing w:before="240" w:after="240" w:line="240" w:lineRule="auto"/>
        <w:jc w:val="center"/>
        <w:rPr>
          <w:rFonts w:ascii="Times New Roman" w:hAnsi="Times New Roman" w:cs="Times New Roman"/>
          <w:b/>
          <w:bCs/>
        </w:rPr>
      </w:pPr>
      <w:r w:rsidRPr="00265805">
        <w:rPr>
          <w:rFonts w:ascii="Times New Roman" w:hAnsi="Times New Roman" w:cs="Times New Roman"/>
        </w:rPr>
        <w:t xml:space="preserve"/>
      </w:r>
      <w:r w:rsidR="001A34A1">
        <w:rPr>
          <w:rFonts w:ascii="Times New Roman" w:hAnsi="Times New Roman" w:cs="Times New Roman"/>
          <w:b/>
          <w:bCs/>
        </w:rPr>
        <w:t/>
      </w:r>
      <w:r w:rsidR="00262D06">
        <w:rPr>
          <w:rFonts w:ascii="Times New Roman" w:hAnsi="Times New Roman" w:cs="Times New Roman"/>
          <w:b/>
          <w:bCs/>
        </w:rPr>
        <w:t/>
      </w:r>
    </w:p>
    <w:p w14:paraId="032F2DD2" w14:textId="6FEF43F8" w:rsidR="001A34A1" w:rsidRPr="001A34A1" w:rsidRDefault="001A34A1" w:rsidP="001A34A1">
      <w:pPr>
        <w:spacing w:before="240" w:after="240" w:line="240" w:lineRule="auto"/>
        <w:jc w:val="center"/>
        <w:rPr>
          <w:rFonts w:ascii="Times New Roman" w:hAnsi="Times New Roman" w:cs="Times New Roman"/>
        </w:rPr>
      </w:pPr>
      <w:r w:rsidRPr="00265805">
        <w:rPr>
          <w:rFonts w:ascii="Times New Roman" w:hAnsi="Times New Roman" w:cs="Times New Roman"/>
        </w:rPr>
        <w:t/>
      </w:r>
    </w:p>
    <w:p w14:paraId="2AE92489" w14:textId="0E62686E" w:rsidR="00265805" w:rsidRDefault="00265805" w:rsidP="001A34A1">
      <w:pPr>
        <w:spacing w:before="240" w:after="240" w:line="240" w:lineRule="auto"/>
        <w:jc w:val="center"/>
        <w:rPr>
          <w:rFonts w:ascii="Times New Roman" w:hAnsi="Times New Roman" w:cs="Times New Roman"/>
        </w:rPr>
      </w:pPr>
      <w:r w:rsidRPr="00265805">
        <w:rPr>
          <w:rFonts w:ascii="Times New Roman" w:hAnsi="Times New Roman" w:cs="Times New Roman"/>
        </w:rPr>
        <w:t xml:space="preserve"/>
      </w:r>
      <w:r w:rsidRPr="00265805">
        <w:rPr>
          <w:rFonts w:ascii="Times New Roman" w:hAnsi="Times New Roman" w:cs="Times New Roman"/>
        </w:rPr>
        <w:t xml:space="preserve"/>
      </w:r>
      <w:proofErr w:type="spellStart"/>
      <w:r w:rsidRPr="00265805">
        <w:rPr>
          <w:rFonts w:ascii="Times New Roman" w:hAnsi="Times New Roman" w:cs="Times New Roman"/>
        </w:rPr>
        <w:t/>
      </w:r>
      <w:proofErr w:type="spellEnd"/>
      <w:r w:rsidRPr="00265805">
        <w:rPr>
          <w:rFonts w:ascii="Times New Roman" w:hAnsi="Times New Roman" w:cs="Times New Roman"/>
        </w:rPr>
        <w:t xml:space="preserve"/>
      </w:r>
      <w:proofErr w:type="spellStart"/>
      <w:r w:rsidRPr="00265805">
        <w:rPr>
          <w:rFonts w:ascii="Times New Roman" w:hAnsi="Times New Roman" w:cs="Times New Roman"/>
        </w:rPr>
        <w:t/>
      </w:r>
      <w:proofErr w:type="spellEnd"/>
      <w:r w:rsidRPr="00265805">
        <w:rPr>
          <w:rFonts w:ascii="Times New Roman" w:hAnsi="Times New Roman" w:cs="Times New Roman"/>
        </w:rPr>
        <w:t/>
      </w:r>
    </w:p>
    <w:p w14:paraId="2DB5C6F9" w14:textId="77777777" w:rsidR="001A34A1" w:rsidRDefault="001A34A1" w:rsidP="001A34A1">
      <w:pPr>
        <w:spacing w:before="240" w:after="240" w:line="240" w:lineRule="auto"/>
        <w:jc w:val="center"/>
        <w:rPr>
          <w:rFonts w:ascii="Times New Roman" w:hAnsi="Times New Roman" w:cs="Times New Roman"/>
        </w:rPr>
      </w:pPr>
    </w:p>
    <w:p w14:paraId="3B3DFDC7" w14:textId="0885CB83" w:rsidR="001A34A1" w:rsidRDefault="001A34A1" w:rsidP="001A34A1">
      <w:pPr>
        <w:spacing w:before="240" w:after="240" w:line="240" w:lineRule="auto"/>
        <w:rPr>
          <w:rFonts w:ascii="Times New Roman" w:hAnsi="Times New Roman" w:cs="Times New Roman"/>
          <w:b/>
          <w:bCs/>
          <w:sz w:val="28"/>
          <w:szCs w:val="28"/>
        </w:rPr>
      </w:pPr>
      <w:r w:rsidRPr="001A34A1">
        <w:rPr>
          <w:rFonts w:ascii="Times New Roman" w:hAnsi="Times New Roman" w:cs="Times New Roman"/>
          <w:b/>
          <w:bCs/>
          <w:sz w:val="28"/>
          <w:szCs w:val="28"/>
        </w:rPr>
        <w:t>ABSTRACT</w:t>
      </w:r>
    </w:p>
    <w:p w14:paraId="764E4A6C"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Competency-based certification has become an important indicator of workforce readiness in the hospitality industry. In the Philippines, the Technical Education and Skills Development Authority (TESDA) Housekeeping National Certificate II (NC II) serves as a national benchmark for assessing the practical skills required in accommodation and housekeeping operations. This study assessed the readiness of Bachelor of Science in Hospitality Management students at North Eastern Mindanao State University–</w:t>
      </w:r>
      <w:proofErr w:type="spellStart"/>
      <w:r w:rsidRPr="00262D06">
        <w:rPr>
          <w:rFonts w:ascii="Times New Roman" w:hAnsi="Times New Roman" w:cs="Times New Roman"/>
        </w:rPr>
        <w:t>Cagwait</w:t>
      </w:r>
      <w:proofErr w:type="spellEnd"/>
      <w:r w:rsidRPr="00262D06">
        <w:rPr>
          <w:rFonts w:ascii="Times New Roman" w:hAnsi="Times New Roman" w:cs="Times New Roman"/>
        </w:rPr>
        <w:t xml:space="preserve"> Campus for Housekeeping NC II certification. Specifically, it determined the respondents’ demographic profile, assessed their readiness in terms of Basic, Common, and Core Competencies, and examined whether significant differences existed when readiness was analyzed according to sex, age, and year level.</w:t>
      </w:r>
    </w:p>
    <w:p w14:paraId="348A11F6"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The study employed a quantitative descriptive-comparative research design. Data were gathered from 100 BSHM students selected through stratified random sampling using a structured survey questionnaire based on TESDA Housekeeping NC II competency domains. Descriptive statistics, independent-samples </w:t>
      </w:r>
      <w:r w:rsidRPr="00262D06">
        <w:rPr>
          <w:rFonts w:ascii="Times New Roman" w:hAnsi="Times New Roman" w:cs="Times New Roman"/>
          <w:i/>
          <w:iCs/>
        </w:rPr>
        <w:t>t</w:t>
      </w:r>
      <w:r w:rsidRPr="00262D06">
        <w:rPr>
          <w:rFonts w:ascii="Times New Roman" w:hAnsi="Times New Roman" w:cs="Times New Roman"/>
        </w:rPr>
        <w:t>-test, and one-way analysis of variance were used to analyze the data.</w:t>
      </w:r>
    </w:p>
    <w:p w14:paraId="2FDFE69B"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Findings revealed that students were generally </w:t>
      </w:r>
      <w:r w:rsidRPr="00262D06">
        <w:rPr>
          <w:rFonts w:ascii="Times New Roman" w:hAnsi="Times New Roman" w:cs="Times New Roman"/>
          <w:b/>
          <w:bCs/>
        </w:rPr>
        <w:t>Not Ready</w:t>
      </w:r>
      <w:r w:rsidRPr="00262D06">
        <w:rPr>
          <w:rFonts w:ascii="Times New Roman" w:hAnsi="Times New Roman" w:cs="Times New Roman"/>
        </w:rPr>
        <w:t xml:space="preserve"> for Housekeeping NC II certification across all competency domains, with mean scores of 1.64 for Basic Competencies, 1.66 for Common Competencies, and 1.67 for Core Competencies. A significant difference was found in Basic Competency readiness when grouped according to sex. Significant differences were also observed across all three competency domains when grouped according to age and year level. These results suggest that students’ readiness is influenced by maturity, academic progression, and exposure to practical learning experiences.</w:t>
      </w:r>
    </w:p>
    <w:p w14:paraId="3B9E92CA"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The study concludes that stronger competency-based instruction, early practical exposure, regular readiness assessment, and enhanced housekeeping laboratory training are needed to improve students’ preparedness for TESDA certification and future employment in the hospitality industry.</w:t>
      </w:r>
    </w:p>
    <w:p w14:paraId="4D7217FD"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b/>
          <w:bCs/>
        </w:rPr>
        <w:t>Keywords:</w:t>
      </w:r>
      <w:r w:rsidRPr="00262D06">
        <w:rPr>
          <w:rFonts w:ascii="Times New Roman" w:hAnsi="Times New Roman" w:cs="Times New Roman"/>
        </w:rPr>
        <w:t xml:space="preserve"> competency-based education, Housekeeping NC II, hospitality management, student readiness, TESDA certification</w:t>
      </w:r>
    </w:p>
    <w:p w14:paraId="34A74546" w14:textId="77777777" w:rsidR="0097238F" w:rsidRDefault="0097238F" w:rsidP="0097238F">
      <w:pPr>
        <w:spacing w:before="240" w:after="240" w:line="240" w:lineRule="auto"/>
        <w:jc w:val="both"/>
        <w:rPr>
          <w:rFonts w:ascii="Times New Roman" w:hAnsi="Times New Roman" w:cs="Times New Roman"/>
        </w:rPr>
      </w:pPr>
    </w:p>
    <w:p w14:paraId="312F5F58" w14:textId="77777777" w:rsidR="00262D06" w:rsidRDefault="00262D06" w:rsidP="0097238F">
      <w:pPr>
        <w:spacing w:before="240" w:after="240" w:line="240" w:lineRule="auto"/>
        <w:jc w:val="both"/>
        <w:rPr>
          <w:rFonts w:ascii="Times New Roman" w:hAnsi="Times New Roman" w:cs="Times New Roman"/>
        </w:rPr>
      </w:pPr>
    </w:p>
    <w:p w14:paraId="37328E3A" w14:textId="46F04C93" w:rsidR="0097238F" w:rsidRDefault="0097238F" w:rsidP="0097238F">
      <w:pPr>
        <w:spacing w:before="240" w:after="240" w:line="240" w:lineRule="auto"/>
        <w:jc w:val="both"/>
        <w:rPr>
          <w:rFonts w:ascii="Times New Roman" w:hAnsi="Times New Roman" w:cs="Times New Roman"/>
          <w:b/>
          <w:bCs/>
          <w:sz w:val="28"/>
          <w:szCs w:val="28"/>
        </w:rPr>
      </w:pPr>
      <w:r w:rsidRPr="0097238F">
        <w:rPr>
          <w:rFonts w:ascii="Times New Roman" w:hAnsi="Times New Roman" w:cs="Times New Roman"/>
          <w:b/>
          <w:bCs/>
          <w:sz w:val="28"/>
          <w:szCs w:val="28"/>
        </w:rPr>
        <w:lastRenderedPageBreak/>
        <w:t>INTRODUCTION</w:t>
      </w:r>
    </w:p>
    <w:p w14:paraId="121957DD" w14:textId="0438F55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The hospitality and tourism industry remains one of the most important service sectors worldwide because of its contribution to economic growth, employment generation, and human resource development. As international tourism continues to recover from the disruptions caused by the COVID-19 pandemic, hospitality establishments increasingly require workers who are not only academically prepared but also technically competent, service-oriented, and adaptable to changing workplace demands. The World Travel &amp; Tourism Council (WTTC, 2024) reported that travel and tourism </w:t>
      </w:r>
      <w:r w:rsidRPr="00262D06">
        <w:rPr>
          <w:rFonts w:ascii="Times New Roman" w:hAnsi="Times New Roman" w:cs="Times New Roman"/>
        </w:rPr>
        <w:t>continue</w:t>
      </w:r>
      <w:r w:rsidRPr="00262D06">
        <w:rPr>
          <w:rFonts w:ascii="Times New Roman" w:hAnsi="Times New Roman" w:cs="Times New Roman"/>
        </w:rPr>
        <w:t xml:space="preserve"> to support millions of jobs globally, while UN Tourism (2025) noted that international tourism has substantially recovered, with international tourist arrivals reaching approximately 1.4 billion in 2024. These developments suggest that hospitality education institutions must continue strengthening students’ competencies to meet the demands of a recovering and increasingly competitive industry.</w:t>
      </w:r>
    </w:p>
    <w:p w14:paraId="714C7D64"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The post-pandemic hospitality environment has created new expectations for graduates entering the workforce. Hotels, resorts, restaurants, and other hospitality establishments now require employees who can demonstrate strong technical skills, sanitation awareness, communication ability, teamwork, customer service, and problem-solving. Baum, Mooney, Robinson, and </w:t>
      </w:r>
      <w:proofErr w:type="spellStart"/>
      <w:r w:rsidRPr="00262D06">
        <w:rPr>
          <w:rFonts w:ascii="Times New Roman" w:hAnsi="Times New Roman" w:cs="Times New Roman"/>
        </w:rPr>
        <w:t>Solnet</w:t>
      </w:r>
      <w:proofErr w:type="spellEnd"/>
      <w:r w:rsidRPr="00262D06">
        <w:rPr>
          <w:rFonts w:ascii="Times New Roman" w:hAnsi="Times New Roman" w:cs="Times New Roman"/>
        </w:rPr>
        <w:t xml:space="preserve"> (2020) emphasized that the pandemic exposed existing workforce vulnerabilities in hospitality, particularly in relation to skills development, labor preparedness, and employment stability. Sigala (2020) similarly argued that tourism and hospitality education must respond to industry transformation by preparing graduates for operational changes, digitalization, health and safety requirements, and new guest expectations. These changes highlight the need for hospitality management programs to provide learning experiences that go beyond classroom-based instruction.</w:t>
      </w:r>
    </w:p>
    <w:p w14:paraId="1E7369CE"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Competency-based education has become an important approach in preparing students for industry practice because it focuses on the actual knowledge, skills, and attitudes that learners must demonstrate. Gervais (2016) described competency-based education as an outcome-based approach that emphasizes mastery of defined competencies through appropriate instruction and assessment. In higher education, however, Holmes, Tuin, and Turner (2021) cautioned that competence and competency must be clearly defined so that teachers and assessors can design appropriate learning outcomes and performance-based assessments. For hospitality management programs, this means that students should not only understand service concepts but should also be able to perform tasks according to industry standards.</w:t>
      </w:r>
    </w:p>
    <w:p w14:paraId="4CAEBCB5"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Graduate employability is closely related to competency development. Employability refers not only to obtaining employment after graduation but also to possessing the skills, personal qualities, and professional behaviors needed to perform effectively in the workplace. Succi and </w:t>
      </w:r>
      <w:proofErr w:type="spellStart"/>
      <w:r w:rsidRPr="00262D06">
        <w:rPr>
          <w:rFonts w:ascii="Times New Roman" w:hAnsi="Times New Roman" w:cs="Times New Roman"/>
        </w:rPr>
        <w:t>Canovi</w:t>
      </w:r>
      <w:proofErr w:type="spellEnd"/>
      <w:r w:rsidRPr="00262D06">
        <w:rPr>
          <w:rFonts w:ascii="Times New Roman" w:hAnsi="Times New Roman" w:cs="Times New Roman"/>
        </w:rPr>
        <w:t xml:space="preserve"> (2020) found that employers place high importance on soft skills such as communication, teamwork, adaptability, and problem-solving, while Jackson and </w:t>
      </w:r>
      <w:proofErr w:type="spellStart"/>
      <w:r w:rsidRPr="00262D06">
        <w:rPr>
          <w:rFonts w:ascii="Times New Roman" w:hAnsi="Times New Roman" w:cs="Times New Roman"/>
        </w:rPr>
        <w:t>Bridgstock</w:t>
      </w:r>
      <w:proofErr w:type="spellEnd"/>
      <w:r w:rsidRPr="00262D06">
        <w:rPr>
          <w:rFonts w:ascii="Times New Roman" w:hAnsi="Times New Roman" w:cs="Times New Roman"/>
        </w:rPr>
        <w:t xml:space="preserve"> (2021) emphasized that curricular, co-curricular, extracurricular, and paid work experiences contribute to graduate employability. In hospitality education, these findings are important because the industry evaluates graduates based on both technical performance and service behavior. Thus, hospitality students must develop both hard skills and soft skills to become competitive in the labor market.</w:t>
      </w:r>
    </w:p>
    <w:p w14:paraId="668A406C"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In the Philippines, hospitality management education is guided by outcomes-based education and competency-oriented standards. The Commission on Higher Education (CHED) issued CMO No. 62, series of 2017, which provides the policies, standards, and guidelines for the Bachelor of Science in Hospitality Management program. This policy emphasizes the development of graduates who can perform operational, supervisory, and managerial functions in the hospitality and tourism sectors (CHED, 2017). In addition, the Technical Education and Skills Development Authority (TESDA) </w:t>
      </w:r>
      <w:proofErr w:type="gramStart"/>
      <w:r w:rsidRPr="00262D06">
        <w:rPr>
          <w:rFonts w:ascii="Times New Roman" w:hAnsi="Times New Roman" w:cs="Times New Roman"/>
        </w:rPr>
        <w:t>provides</w:t>
      </w:r>
      <w:proofErr w:type="gramEnd"/>
      <w:r w:rsidRPr="00262D06">
        <w:rPr>
          <w:rFonts w:ascii="Times New Roman" w:hAnsi="Times New Roman" w:cs="Times New Roman"/>
        </w:rPr>
        <w:t xml:space="preserve"> national competency standards and certification systems that assess whether individuals can perform specific occupational tasks according to industry requirements. The connection between CHED outcomes-based education and TESDA competency assessment is important because both aim to strengthen the readiness and employability of Filipino graduates.</w:t>
      </w:r>
    </w:p>
    <w:p w14:paraId="60D652D0"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One of the most relevant certifications for hospitality management students is the Housekeeping National Certificate II (NC II). TESDA (2013) defines Housekeeping NC II as a qualification consisting of competencies required to prepare guest rooms, clean public areas and equipment, provide housekeeping services, provide valet service, handle guest concerns, and perform laundry-related tasks. The qualification is organized into Basic Competencies, Common Competencies, and Core Competencies. Basic Competencies include workplace </w:t>
      </w:r>
      <w:r w:rsidRPr="00262D06">
        <w:rPr>
          <w:rFonts w:ascii="Times New Roman" w:hAnsi="Times New Roman" w:cs="Times New Roman"/>
        </w:rPr>
        <w:lastRenderedPageBreak/>
        <w:t>communication, teamwork, career professionalism, and occupational health and safety. Common Competencies include industry knowledge, workplace hygiene, computer operations, workplace safety practices, and customer service. Core Competencies focus on actual housekeeping tasks such as cleaning rooms, preparing rooms for incoming guests, providing housekeeping services, laundering linen and guest clothes, and cleaning public areas and equipment.</w:t>
      </w:r>
    </w:p>
    <w:p w14:paraId="1933DEC4"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Housekeeping is a critical function in accommodation operations because it directly affects guest satisfaction, sanitation, safety, comfort, and the overall image of the establishment. Although housekeeping is sometimes viewed as a support service, it requires careful performance of technical and customer-related tasks. Housekeeping personnel must properly use cleaning tools, equipment, chemicals, linen supplies, and room service procedures while maintaining professional interaction with guests and coordination with other departments. For this reason, students preparing for Housekeeping NC II certification must be trained not only in theoretical concepts but also in hands-on skills and workplace behavior. Readiness for certification therefore becomes an important indicator of whether students are prepared to meet national competency standards and industry expectations.</w:t>
      </w:r>
    </w:p>
    <w:p w14:paraId="75F5B993"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Several studies have shown that hospitality graduates must possess a combination of technical competence, interpersonal skills, adaptability, and professionalism to succeed in the industry. </w:t>
      </w:r>
      <w:proofErr w:type="spellStart"/>
      <w:r w:rsidRPr="00262D06">
        <w:rPr>
          <w:rFonts w:ascii="Times New Roman" w:hAnsi="Times New Roman" w:cs="Times New Roman"/>
        </w:rPr>
        <w:t>Dzia</w:t>
      </w:r>
      <w:proofErr w:type="spellEnd"/>
      <w:r w:rsidRPr="00262D06">
        <w:rPr>
          <w:rFonts w:ascii="Times New Roman" w:hAnsi="Times New Roman" w:cs="Times New Roman"/>
        </w:rPr>
        <w:t xml:space="preserve">-Uddin, </w:t>
      </w:r>
      <w:proofErr w:type="spellStart"/>
      <w:r w:rsidRPr="00262D06">
        <w:rPr>
          <w:rFonts w:ascii="Times New Roman" w:hAnsi="Times New Roman" w:cs="Times New Roman"/>
        </w:rPr>
        <w:t>Minghat</w:t>
      </w:r>
      <w:proofErr w:type="spellEnd"/>
      <w:r w:rsidRPr="00262D06">
        <w:rPr>
          <w:rFonts w:ascii="Times New Roman" w:hAnsi="Times New Roman" w:cs="Times New Roman"/>
        </w:rPr>
        <w:t>, and Wan Zakaria (2023) reported that post-pandemic hospitality graduates need employability skills that include knowledge, skills, and attitudes suitable for changing hospitality environments. Pérez Zúñiga, Martínez García, and Oliva Ibarra (2025) also emphasized that employability in higher education is strengthened when teaching methodologies, assessment practices, and competency-based approaches are connected to real-world tasks. These findings support the need for hospitality programs to regularly assess whether students are ready to perform industry-related competencies before graduation or certification assessment.</w:t>
      </w:r>
    </w:p>
    <w:p w14:paraId="6EDD3B54"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Despite the importance of hospitality competencies, a gap remains between academic preparation and workplace expectations. Many hospitality programs include laboratory activities, practicum experiences, and industry immersion; however, students may still lack confidence or practical readiness for competency-based certification. This concern is especially important in Housekeeping NC II because the qualification requires actual performance of housekeeping tasks, not only knowledge of procedures. If students are not ready in Basic, Common, and Core Competencies, they may have difficulty passing the assessment and performing effectively in accommodation establishments. Therefore, assessing students’ readiness before certification can help institutions identify competency gaps and design appropriate interventions.</w:t>
      </w:r>
    </w:p>
    <w:p w14:paraId="3839FA54"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Although previous studies have examined hospitality employability, internship performance, and general graduate competencies, limited studies have specifically assessed the readiness of Bachelor of Science in Hospitality Management students for TESDA Housekeeping NC II certification using the three TESDA competency domains. This gap is significant because general employability does not always reflect readiness for a specific national certification. A student may be employable in a broad sense but may still be unprepared for the specific technical and practical requirements of Housekeeping NC II. Furthermore, there is limited evidence from Philippine state universities in developing provincial contexts, where hospitality programs play an important role in preparing graduates for local and regional tourism employment.</w:t>
      </w:r>
    </w:p>
    <w:p w14:paraId="23454940"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This study addresses this gap by assessing the readiness of Bachelor of Science in Hospitality Management students at North Eastern Mindanao State University–</w:t>
      </w:r>
      <w:proofErr w:type="spellStart"/>
      <w:r w:rsidRPr="00262D06">
        <w:rPr>
          <w:rFonts w:ascii="Times New Roman" w:hAnsi="Times New Roman" w:cs="Times New Roman"/>
        </w:rPr>
        <w:t>Cagwait</w:t>
      </w:r>
      <w:proofErr w:type="spellEnd"/>
      <w:r w:rsidRPr="00262D06">
        <w:rPr>
          <w:rFonts w:ascii="Times New Roman" w:hAnsi="Times New Roman" w:cs="Times New Roman"/>
        </w:rPr>
        <w:t xml:space="preserve"> Campus for TESDA Housekeeping NC II certification. Specifically, the study aims to determine the demographic profile of the respondents; assess their level of readiness in terms of Basic Competencies, Common Competencies, and Core Competencies; and determine whether significant differences exist in readiness when respondents are grouped according to sex, age, and year level. By focusing on these areas, the study provides evidence that may guide curriculum enhancement, skills training, laboratory instruction, and competency-based assessment in hospitality management education.</w:t>
      </w:r>
    </w:p>
    <w:p w14:paraId="3417E2D5" w14:textId="77777777" w:rsidR="00262D06" w:rsidRPr="00262D06" w:rsidRDefault="00262D06" w:rsidP="00262D06">
      <w:pPr>
        <w:spacing w:before="240" w:after="240" w:line="240" w:lineRule="auto"/>
        <w:jc w:val="both"/>
        <w:rPr>
          <w:rFonts w:ascii="Times New Roman" w:hAnsi="Times New Roman" w:cs="Times New Roman"/>
        </w:rPr>
      </w:pPr>
      <w:r w:rsidRPr="00262D06">
        <w:rPr>
          <w:rFonts w:ascii="Times New Roman" w:hAnsi="Times New Roman" w:cs="Times New Roman"/>
        </w:rPr>
        <w:t xml:space="preserve">The study contributes to hospitality education by providing empirical information on students’ readiness for a specific national certification. Its findings may help faculty members, program heads, curriculum planners, and institutional administrators strengthen the alignment between BSHM instruction and TESDA competency standards. The results may also support the development of early diagnostic assessments, simulation-based </w:t>
      </w:r>
      <w:r w:rsidRPr="00262D06">
        <w:rPr>
          <w:rFonts w:ascii="Times New Roman" w:hAnsi="Times New Roman" w:cs="Times New Roman"/>
        </w:rPr>
        <w:lastRenderedPageBreak/>
        <w:t>housekeeping training, enhanced laboratory activities, and industry-based learning experiences. Ultimately, assessing students’ readiness for Housekeeping NC II certification is necessary to improve graduate preparedness, increase employability, and produce hospitality graduates who can meet the practical demands of the industry.</w:t>
      </w:r>
    </w:p>
    <w:p w14:paraId="7BF600C2" w14:textId="1258C9CC" w:rsidR="0097238F" w:rsidRDefault="00262D06" w:rsidP="0097238F">
      <w:pPr>
        <w:spacing w:before="240" w:after="240" w:line="240" w:lineRule="auto"/>
        <w:jc w:val="both"/>
        <w:rPr>
          <w:rFonts w:ascii="Times New Roman" w:hAnsi="Times New Roman" w:cs="Times New Roman"/>
          <w:sz w:val="28"/>
          <w:szCs w:val="28"/>
        </w:rPr>
      </w:pPr>
      <w:r>
        <w:rPr>
          <w:rFonts w:ascii="Times New Roman" w:hAnsi="Times New Roman" w:cs="Times New Roman"/>
          <w:b/>
          <w:bCs/>
          <w:sz w:val="28"/>
          <w:szCs w:val="28"/>
        </w:rPr>
        <w:t>METHODOLOGY</w:t>
      </w:r>
    </w:p>
    <w:p w14:paraId="43AABCD7"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Research Design</w:t>
      </w:r>
    </w:p>
    <w:p w14:paraId="081B575B"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This study employed a quantitative descriptive-comparative research design. The descriptive component was used to determine the demographic profile of the respondents and their level of readiness for TESDA Housekeeping NC II certification in terms of Basic Competencies, Common Competencies, and Core Competencies. The comparative component was used to determine whether significant differences existed in students’ readiness when grouped according to sex, age, and year level.</w:t>
      </w:r>
    </w:p>
    <w:p w14:paraId="1BF2E9F8"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A quantitative design was appropriate because the study measured students’ self-assessed readiness using numerical data and applied statistical procedures to compare readiness levels across demographic groups. Descriptive-comparative research is commonly used when the objective is to describe variables and examine group differences without manipulating the study environment (Creswell &amp; Creswell, 2018).</w:t>
      </w:r>
    </w:p>
    <w:p w14:paraId="51069381"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Research Locale</w:t>
      </w:r>
    </w:p>
    <w:p w14:paraId="04558F7D"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study was conducted at North Eastern Mindanao State University–</w:t>
      </w:r>
      <w:proofErr w:type="spellStart"/>
      <w:r w:rsidRPr="001B58D4">
        <w:rPr>
          <w:rFonts w:ascii="Times New Roman" w:hAnsi="Times New Roman" w:cs="Times New Roman"/>
        </w:rPr>
        <w:t>Cagwait</w:t>
      </w:r>
      <w:proofErr w:type="spellEnd"/>
      <w:r w:rsidRPr="001B58D4">
        <w:rPr>
          <w:rFonts w:ascii="Times New Roman" w:hAnsi="Times New Roman" w:cs="Times New Roman"/>
        </w:rPr>
        <w:t xml:space="preserve"> Campus, located in </w:t>
      </w:r>
      <w:proofErr w:type="spellStart"/>
      <w:r w:rsidRPr="001B58D4">
        <w:rPr>
          <w:rFonts w:ascii="Times New Roman" w:hAnsi="Times New Roman" w:cs="Times New Roman"/>
        </w:rPr>
        <w:t>Cagwait</w:t>
      </w:r>
      <w:proofErr w:type="spellEnd"/>
      <w:r w:rsidRPr="001B58D4">
        <w:rPr>
          <w:rFonts w:ascii="Times New Roman" w:hAnsi="Times New Roman" w:cs="Times New Roman"/>
        </w:rPr>
        <w:t>, Surigao del Sur, Philippines. The campus offers the Bachelor of Science in Hospitality Management program, which prepares students for employment in hospitality, tourism, accommodation, and food service-related industries. The locale was selected because the study sought to generate empirical evidence that could support curriculum enhancement, competency-based instruction, and improved preparation of BSHM students for Housekeeping NC II certification.</w:t>
      </w:r>
    </w:p>
    <w:p w14:paraId="616E56CB"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Respondents of the Study</w:t>
      </w:r>
    </w:p>
    <w:p w14:paraId="6104A646"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respondents of the study were Bachelor of Science in Hospitality Management students enrolled at North Eastern Mindanao State University–</w:t>
      </w:r>
      <w:proofErr w:type="spellStart"/>
      <w:r w:rsidRPr="001B58D4">
        <w:rPr>
          <w:rFonts w:ascii="Times New Roman" w:hAnsi="Times New Roman" w:cs="Times New Roman"/>
        </w:rPr>
        <w:t>Cagwait</w:t>
      </w:r>
      <w:proofErr w:type="spellEnd"/>
      <w:r w:rsidRPr="001B58D4">
        <w:rPr>
          <w:rFonts w:ascii="Times New Roman" w:hAnsi="Times New Roman" w:cs="Times New Roman"/>
        </w:rPr>
        <w:t xml:space="preserve"> Campus. A total of 100 students participated in the study. The respondents were equally distributed across year levels, with 25 students from first year, 25 students from second year, 25 students from third year, and 25 students from fourth year.</w:t>
      </w:r>
    </w:p>
    <w:p w14:paraId="0A6BC74A"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inclusion of students from different year levels allowed the researchers to assess readiness across stages of academic progression. This was important because students in higher year levels were expected to have greater exposure to hospitality-related courses, laboratory activities, practical training, and industry-based learning experiences compared with students in lower year levels.</w:t>
      </w:r>
    </w:p>
    <w:p w14:paraId="63C91F06"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Sampling Technique</w:t>
      </w:r>
    </w:p>
    <w:p w14:paraId="35B80B69"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study used stratified random sampling. The BSHM student population was grouped according to year level, and respondents were selected from each stratum. Equal allocation was applied by selecting 25 respondents from each year level. This sampling technique ensured that all academic levels were represented and allowed meaningful comparison of readiness across year-level groups.</w:t>
      </w:r>
    </w:p>
    <w:p w14:paraId="709A9A00"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Stratified random sampling was appropriate because the study involved distinct student subgroups that may differ in academic exposure, maturity, and practical learning experience.</w:t>
      </w:r>
    </w:p>
    <w:p w14:paraId="7612F08D"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Research Instrument</w:t>
      </w:r>
    </w:p>
    <w:p w14:paraId="4FA3497B"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 xml:space="preserve">The primary instrument used in the study was a structured survey questionnaire based on the competency domains of TESDA Housekeeping NC II. TESDA Housekeeping NC II identifies the Basic, Common, and Core Competencies required for housekeeping-related functions in accommodation establishments, including </w:t>
      </w:r>
      <w:r w:rsidRPr="001B58D4">
        <w:rPr>
          <w:rFonts w:ascii="Times New Roman" w:hAnsi="Times New Roman" w:cs="Times New Roman"/>
        </w:rPr>
        <w:lastRenderedPageBreak/>
        <w:t>workplace communication, customer service, occupational safety and health, room preparation, laundry services, cleaning public areas, and providing housekeeping services to guests (Technical Education and Skills Development Authority [TESDA], 2013).</w:t>
      </w:r>
    </w:p>
    <w:p w14:paraId="4646E20E"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questionnaire consisted of two main parts. The first part gathered the respondents’ demographic profile in terms of age, sex, and year level. The second part assessed the respondents’ readiness for Housekeeping NC II certification. The readiness items were organized according to the three competency domains.</w:t>
      </w:r>
    </w:p>
    <w:p w14:paraId="285AFBEB"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Basic Competencies included items on workplace communication, teamwork, career professionalism, and occupational health and safety. Common Competencies included items on industry knowledge, workplace hygiene, computer operations, workplace safety practices, and customer service. Core Competencies included items on providing housekeeping services, cleaning and preparing rooms, providing valet or butler service, laundering linen and guest clothes, cleaning public areas and equipment, and handling intoxicated guests.</w:t>
      </w:r>
    </w:p>
    <w:p w14:paraId="457F2F20"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A five-point Likert scale was used to measure the respondents’ level of readiness. Likert-type scales are widely used in survey research to measure respondents’ attitudes, perceptions, and self-assessments through ordered response categories (Likert, 1932).</w:t>
      </w:r>
    </w:p>
    <w:tbl>
      <w:tblPr>
        <w:tblStyle w:val="TableGrid"/>
        <w:tblW w:w="0" w:type="auto"/>
        <w:tblLook w:val="04A0" w:firstRow="1" w:lastRow="0" w:firstColumn="1" w:lastColumn="0" w:noHBand="0" w:noVBand="1"/>
      </w:tblPr>
      <w:tblGrid>
        <w:gridCol w:w="3560"/>
        <w:gridCol w:w="3561"/>
        <w:gridCol w:w="3561"/>
      </w:tblGrid>
      <w:tr w:rsidR="001B58D4" w14:paraId="6B3EEDF0" w14:textId="77777777" w:rsidTr="001B58D4">
        <w:tc>
          <w:tcPr>
            <w:tcW w:w="3560" w:type="dxa"/>
          </w:tcPr>
          <w:p w14:paraId="25FEAA8D" w14:textId="5123FDC0" w:rsidR="001B58D4" w:rsidRPr="001B58D4" w:rsidRDefault="001B58D4" w:rsidP="0097238F">
            <w:pPr>
              <w:spacing w:before="240" w:after="240"/>
              <w:jc w:val="both"/>
              <w:rPr>
                <w:rFonts w:ascii="Times New Roman" w:hAnsi="Times New Roman" w:cs="Times New Roman"/>
                <w:b/>
                <w:bCs/>
              </w:rPr>
            </w:pPr>
            <w:r>
              <w:rPr>
                <w:rFonts w:ascii="Times New Roman" w:hAnsi="Times New Roman" w:cs="Times New Roman"/>
                <w:b/>
                <w:bCs/>
              </w:rPr>
              <w:t>Scale</w:t>
            </w:r>
          </w:p>
        </w:tc>
        <w:tc>
          <w:tcPr>
            <w:tcW w:w="3561" w:type="dxa"/>
          </w:tcPr>
          <w:p w14:paraId="35E1A35D" w14:textId="5B573BB0" w:rsidR="001B58D4" w:rsidRPr="001B58D4" w:rsidRDefault="001B58D4" w:rsidP="0097238F">
            <w:pPr>
              <w:spacing w:before="240" w:after="240"/>
              <w:jc w:val="both"/>
              <w:rPr>
                <w:rFonts w:ascii="Times New Roman" w:hAnsi="Times New Roman" w:cs="Times New Roman"/>
                <w:b/>
                <w:bCs/>
              </w:rPr>
            </w:pPr>
            <w:r>
              <w:rPr>
                <w:rFonts w:ascii="Times New Roman" w:hAnsi="Times New Roman" w:cs="Times New Roman"/>
                <w:b/>
                <w:bCs/>
              </w:rPr>
              <w:t>Range of Weighted Mean</w:t>
            </w:r>
          </w:p>
        </w:tc>
        <w:tc>
          <w:tcPr>
            <w:tcW w:w="3561" w:type="dxa"/>
          </w:tcPr>
          <w:p w14:paraId="2C44ECD8" w14:textId="61D42130" w:rsidR="001B58D4" w:rsidRPr="001B58D4" w:rsidRDefault="001B58D4" w:rsidP="0097238F">
            <w:pPr>
              <w:spacing w:before="240" w:after="240"/>
              <w:jc w:val="both"/>
              <w:rPr>
                <w:rFonts w:ascii="Times New Roman" w:hAnsi="Times New Roman" w:cs="Times New Roman"/>
                <w:b/>
                <w:bCs/>
              </w:rPr>
            </w:pPr>
            <w:r>
              <w:rPr>
                <w:rFonts w:ascii="Times New Roman" w:hAnsi="Times New Roman" w:cs="Times New Roman"/>
                <w:b/>
                <w:bCs/>
              </w:rPr>
              <w:t>Verbal Interpretation</w:t>
            </w:r>
          </w:p>
        </w:tc>
      </w:tr>
      <w:tr w:rsidR="001B58D4" w14:paraId="574473B8" w14:textId="77777777" w:rsidTr="001B58D4">
        <w:tc>
          <w:tcPr>
            <w:tcW w:w="3560" w:type="dxa"/>
          </w:tcPr>
          <w:p w14:paraId="683AF75D" w14:textId="220A1970" w:rsidR="001B58D4" w:rsidRDefault="001B58D4" w:rsidP="0097238F">
            <w:pPr>
              <w:spacing w:before="240" w:after="240"/>
              <w:jc w:val="both"/>
              <w:rPr>
                <w:rFonts w:ascii="Times New Roman" w:hAnsi="Times New Roman" w:cs="Times New Roman"/>
              </w:rPr>
            </w:pPr>
            <w:r>
              <w:rPr>
                <w:rFonts w:ascii="Times New Roman" w:hAnsi="Times New Roman" w:cs="Times New Roman"/>
              </w:rPr>
              <w:t>5</w:t>
            </w:r>
          </w:p>
        </w:tc>
        <w:tc>
          <w:tcPr>
            <w:tcW w:w="3561" w:type="dxa"/>
          </w:tcPr>
          <w:p w14:paraId="39308945" w14:textId="25A21585" w:rsidR="001B58D4" w:rsidRDefault="001B58D4" w:rsidP="0097238F">
            <w:pPr>
              <w:spacing w:before="240" w:after="240"/>
              <w:jc w:val="both"/>
              <w:rPr>
                <w:rFonts w:ascii="Times New Roman" w:hAnsi="Times New Roman" w:cs="Times New Roman"/>
              </w:rPr>
            </w:pPr>
            <w:r>
              <w:rPr>
                <w:rFonts w:ascii="Times New Roman" w:hAnsi="Times New Roman" w:cs="Times New Roman"/>
              </w:rPr>
              <w:t>4.01 – 5.00</w:t>
            </w:r>
          </w:p>
        </w:tc>
        <w:tc>
          <w:tcPr>
            <w:tcW w:w="3561" w:type="dxa"/>
          </w:tcPr>
          <w:p w14:paraId="160EF7C8" w14:textId="0ADABA52" w:rsidR="001B58D4" w:rsidRDefault="001B58D4" w:rsidP="0097238F">
            <w:pPr>
              <w:spacing w:before="240" w:after="240"/>
              <w:jc w:val="both"/>
              <w:rPr>
                <w:rFonts w:ascii="Times New Roman" w:hAnsi="Times New Roman" w:cs="Times New Roman"/>
              </w:rPr>
            </w:pPr>
            <w:r>
              <w:rPr>
                <w:rFonts w:ascii="Times New Roman" w:hAnsi="Times New Roman" w:cs="Times New Roman"/>
              </w:rPr>
              <w:t>Highly Ready</w:t>
            </w:r>
          </w:p>
        </w:tc>
      </w:tr>
      <w:tr w:rsidR="001B58D4" w14:paraId="637B6551" w14:textId="77777777" w:rsidTr="001B58D4">
        <w:trPr>
          <w:trHeight w:val="435"/>
        </w:trPr>
        <w:tc>
          <w:tcPr>
            <w:tcW w:w="3560" w:type="dxa"/>
          </w:tcPr>
          <w:p w14:paraId="78183F4B" w14:textId="787E9FD9" w:rsidR="001B58D4" w:rsidRDefault="001B58D4" w:rsidP="0097238F">
            <w:pPr>
              <w:spacing w:before="240" w:after="240"/>
              <w:jc w:val="both"/>
              <w:rPr>
                <w:rFonts w:ascii="Times New Roman" w:hAnsi="Times New Roman" w:cs="Times New Roman"/>
              </w:rPr>
            </w:pPr>
            <w:r>
              <w:rPr>
                <w:rFonts w:ascii="Times New Roman" w:hAnsi="Times New Roman" w:cs="Times New Roman"/>
              </w:rPr>
              <w:t>4</w:t>
            </w:r>
          </w:p>
        </w:tc>
        <w:tc>
          <w:tcPr>
            <w:tcW w:w="3561" w:type="dxa"/>
          </w:tcPr>
          <w:p w14:paraId="55411E33" w14:textId="2890127D" w:rsidR="001B58D4" w:rsidRDefault="001B58D4" w:rsidP="0097238F">
            <w:pPr>
              <w:spacing w:before="240" w:after="240"/>
              <w:jc w:val="both"/>
              <w:rPr>
                <w:rFonts w:ascii="Times New Roman" w:hAnsi="Times New Roman" w:cs="Times New Roman"/>
              </w:rPr>
            </w:pPr>
            <w:r>
              <w:rPr>
                <w:rFonts w:ascii="Times New Roman" w:hAnsi="Times New Roman" w:cs="Times New Roman"/>
              </w:rPr>
              <w:t>3.01 – 4.00</w:t>
            </w:r>
          </w:p>
        </w:tc>
        <w:tc>
          <w:tcPr>
            <w:tcW w:w="3561" w:type="dxa"/>
          </w:tcPr>
          <w:p w14:paraId="3E307168" w14:textId="75D58CCD" w:rsidR="001B58D4" w:rsidRDefault="001B58D4" w:rsidP="0097238F">
            <w:pPr>
              <w:spacing w:before="240" w:after="240"/>
              <w:jc w:val="both"/>
              <w:rPr>
                <w:rFonts w:ascii="Times New Roman" w:hAnsi="Times New Roman" w:cs="Times New Roman"/>
              </w:rPr>
            </w:pPr>
            <w:r>
              <w:rPr>
                <w:rFonts w:ascii="Times New Roman" w:hAnsi="Times New Roman" w:cs="Times New Roman"/>
              </w:rPr>
              <w:t>Ready</w:t>
            </w:r>
          </w:p>
        </w:tc>
      </w:tr>
      <w:tr w:rsidR="001B58D4" w14:paraId="454361C0" w14:textId="77777777" w:rsidTr="001B58D4">
        <w:tc>
          <w:tcPr>
            <w:tcW w:w="3560" w:type="dxa"/>
          </w:tcPr>
          <w:p w14:paraId="0FEAB9A8" w14:textId="2CC73095" w:rsidR="001B58D4" w:rsidRDefault="001B58D4" w:rsidP="0097238F">
            <w:pPr>
              <w:spacing w:before="240" w:after="240"/>
              <w:jc w:val="both"/>
              <w:rPr>
                <w:rFonts w:ascii="Times New Roman" w:hAnsi="Times New Roman" w:cs="Times New Roman"/>
              </w:rPr>
            </w:pPr>
            <w:r>
              <w:rPr>
                <w:rFonts w:ascii="Times New Roman" w:hAnsi="Times New Roman" w:cs="Times New Roman"/>
              </w:rPr>
              <w:t>3</w:t>
            </w:r>
          </w:p>
        </w:tc>
        <w:tc>
          <w:tcPr>
            <w:tcW w:w="3561" w:type="dxa"/>
          </w:tcPr>
          <w:p w14:paraId="3AE124B8" w14:textId="79225646" w:rsidR="001B58D4" w:rsidRDefault="001B58D4" w:rsidP="0097238F">
            <w:pPr>
              <w:spacing w:before="240" w:after="240"/>
              <w:jc w:val="both"/>
              <w:rPr>
                <w:rFonts w:ascii="Times New Roman" w:hAnsi="Times New Roman" w:cs="Times New Roman"/>
              </w:rPr>
            </w:pPr>
            <w:r>
              <w:rPr>
                <w:rFonts w:ascii="Times New Roman" w:hAnsi="Times New Roman" w:cs="Times New Roman"/>
              </w:rPr>
              <w:t>2.01 – 3.00</w:t>
            </w:r>
          </w:p>
        </w:tc>
        <w:tc>
          <w:tcPr>
            <w:tcW w:w="3561" w:type="dxa"/>
          </w:tcPr>
          <w:p w14:paraId="6A4A73A5" w14:textId="4196494E" w:rsidR="001B58D4" w:rsidRDefault="001B58D4" w:rsidP="0097238F">
            <w:pPr>
              <w:spacing w:before="240" w:after="240"/>
              <w:jc w:val="both"/>
              <w:rPr>
                <w:rFonts w:ascii="Times New Roman" w:hAnsi="Times New Roman" w:cs="Times New Roman"/>
              </w:rPr>
            </w:pPr>
            <w:r>
              <w:rPr>
                <w:rFonts w:ascii="Times New Roman" w:hAnsi="Times New Roman" w:cs="Times New Roman"/>
              </w:rPr>
              <w:t>Somewhat Ready</w:t>
            </w:r>
          </w:p>
        </w:tc>
      </w:tr>
      <w:tr w:rsidR="001B58D4" w14:paraId="2B46214C" w14:textId="77777777" w:rsidTr="001B58D4">
        <w:tc>
          <w:tcPr>
            <w:tcW w:w="3560" w:type="dxa"/>
          </w:tcPr>
          <w:p w14:paraId="4509D04D" w14:textId="709F9B91" w:rsidR="001B58D4" w:rsidRDefault="001B58D4" w:rsidP="0097238F">
            <w:pPr>
              <w:spacing w:before="240" w:after="240"/>
              <w:jc w:val="both"/>
              <w:rPr>
                <w:rFonts w:ascii="Times New Roman" w:hAnsi="Times New Roman" w:cs="Times New Roman"/>
              </w:rPr>
            </w:pPr>
            <w:r>
              <w:rPr>
                <w:rFonts w:ascii="Times New Roman" w:hAnsi="Times New Roman" w:cs="Times New Roman"/>
              </w:rPr>
              <w:t>2</w:t>
            </w:r>
          </w:p>
        </w:tc>
        <w:tc>
          <w:tcPr>
            <w:tcW w:w="3561" w:type="dxa"/>
          </w:tcPr>
          <w:p w14:paraId="2488F3BD" w14:textId="04D1E21B" w:rsidR="001B58D4" w:rsidRDefault="001B58D4" w:rsidP="0097238F">
            <w:pPr>
              <w:spacing w:before="240" w:after="240"/>
              <w:jc w:val="both"/>
              <w:rPr>
                <w:rFonts w:ascii="Times New Roman" w:hAnsi="Times New Roman" w:cs="Times New Roman"/>
              </w:rPr>
            </w:pPr>
            <w:r>
              <w:rPr>
                <w:rFonts w:ascii="Times New Roman" w:hAnsi="Times New Roman" w:cs="Times New Roman"/>
              </w:rPr>
              <w:t>1.01 – 2.00</w:t>
            </w:r>
          </w:p>
        </w:tc>
        <w:tc>
          <w:tcPr>
            <w:tcW w:w="3561" w:type="dxa"/>
          </w:tcPr>
          <w:p w14:paraId="34FB645D" w14:textId="556BA358" w:rsidR="001B58D4" w:rsidRDefault="001B58D4" w:rsidP="0097238F">
            <w:pPr>
              <w:spacing w:before="240" w:after="240"/>
              <w:jc w:val="both"/>
              <w:rPr>
                <w:rFonts w:ascii="Times New Roman" w:hAnsi="Times New Roman" w:cs="Times New Roman"/>
              </w:rPr>
            </w:pPr>
            <w:r>
              <w:rPr>
                <w:rFonts w:ascii="Times New Roman" w:hAnsi="Times New Roman" w:cs="Times New Roman"/>
              </w:rPr>
              <w:t>Not Ready</w:t>
            </w:r>
          </w:p>
        </w:tc>
      </w:tr>
      <w:tr w:rsidR="001B58D4" w14:paraId="73471767" w14:textId="77777777" w:rsidTr="001B58D4">
        <w:tc>
          <w:tcPr>
            <w:tcW w:w="3560" w:type="dxa"/>
          </w:tcPr>
          <w:p w14:paraId="3C782E76" w14:textId="362008E8" w:rsidR="001B58D4" w:rsidRDefault="001B58D4" w:rsidP="0097238F">
            <w:pPr>
              <w:spacing w:before="240" w:after="240"/>
              <w:jc w:val="both"/>
              <w:rPr>
                <w:rFonts w:ascii="Times New Roman" w:hAnsi="Times New Roman" w:cs="Times New Roman"/>
              </w:rPr>
            </w:pPr>
            <w:r>
              <w:rPr>
                <w:rFonts w:ascii="Times New Roman" w:hAnsi="Times New Roman" w:cs="Times New Roman"/>
              </w:rPr>
              <w:t>1</w:t>
            </w:r>
          </w:p>
        </w:tc>
        <w:tc>
          <w:tcPr>
            <w:tcW w:w="3561" w:type="dxa"/>
          </w:tcPr>
          <w:p w14:paraId="699B3424" w14:textId="088BD3A0" w:rsidR="001B58D4" w:rsidRDefault="001B58D4" w:rsidP="0097238F">
            <w:pPr>
              <w:spacing w:before="240" w:after="240"/>
              <w:jc w:val="both"/>
              <w:rPr>
                <w:rFonts w:ascii="Times New Roman" w:hAnsi="Times New Roman" w:cs="Times New Roman"/>
              </w:rPr>
            </w:pPr>
            <w:r>
              <w:rPr>
                <w:rFonts w:ascii="Times New Roman" w:hAnsi="Times New Roman" w:cs="Times New Roman"/>
              </w:rPr>
              <w:t>0.00 – 1.00</w:t>
            </w:r>
          </w:p>
        </w:tc>
        <w:tc>
          <w:tcPr>
            <w:tcW w:w="3561" w:type="dxa"/>
          </w:tcPr>
          <w:p w14:paraId="022C29AA" w14:textId="4803C2A5" w:rsidR="001B58D4" w:rsidRDefault="001B58D4" w:rsidP="0097238F">
            <w:pPr>
              <w:spacing w:before="240" w:after="240"/>
              <w:jc w:val="both"/>
              <w:rPr>
                <w:rFonts w:ascii="Times New Roman" w:hAnsi="Times New Roman" w:cs="Times New Roman"/>
              </w:rPr>
            </w:pPr>
            <w:r>
              <w:rPr>
                <w:rFonts w:ascii="Times New Roman" w:hAnsi="Times New Roman" w:cs="Times New Roman"/>
              </w:rPr>
              <w:t>Highly Not Ready</w:t>
            </w:r>
          </w:p>
        </w:tc>
      </w:tr>
    </w:tbl>
    <w:p w14:paraId="50B8FC9A"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Validity of the Instrument</w:t>
      </w:r>
    </w:p>
    <w:p w14:paraId="63BF882B"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survey questionnaire was adopted and modified from TESDA Housekeeping NC II competency standards to ensure alignment with the required competencies for certification. The instrument was reviewed by the research adviser and field experts to determine its content relevance, clarity, and appropriateness for the target respondents. Comments and suggestions from the validators were considered in improving the final version of the questionnaire before data collection.</w:t>
      </w:r>
    </w:p>
    <w:p w14:paraId="45D7CCDC"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This validation process helped ensure that the items were suitable for measuring students’ readiness in terms of Basic, Common, and Core Competencies. It also strengthened the alignment between the instrument and the competency standards required for Housekeeping NC II certification.</w:t>
      </w:r>
    </w:p>
    <w:p w14:paraId="02DAFBB4"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Reliability of the Instrument</w:t>
      </w:r>
    </w:p>
    <w:p w14:paraId="25F6CB76"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 xml:space="preserve">The internal consistency of the research instrument was assessed using Cronbach’s alpha. Cronbach’s alpha is commonly used to determine the extent to which items within a scale measure the same underlying construct (Cronbach, 1951; </w:t>
      </w:r>
      <w:proofErr w:type="spellStart"/>
      <w:r w:rsidRPr="001B58D4">
        <w:rPr>
          <w:rFonts w:ascii="Times New Roman" w:hAnsi="Times New Roman" w:cs="Times New Roman"/>
        </w:rPr>
        <w:t>Tavakol</w:t>
      </w:r>
      <w:proofErr w:type="spellEnd"/>
      <w:r w:rsidRPr="001B58D4">
        <w:rPr>
          <w:rFonts w:ascii="Times New Roman" w:hAnsi="Times New Roman" w:cs="Times New Roman"/>
        </w:rPr>
        <w:t xml:space="preserve"> &amp; Dennick, 2011). Reliability analysis was conducted separately for each competency domain and for the overall readiness scale.</w:t>
      </w:r>
    </w:p>
    <w:p w14:paraId="07E821A6"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lastRenderedPageBreak/>
        <w:t>The Basic Competencies domain, composed of 17 items, obtained a Cronbach’s alpha of .86, indicating good reliability. The Common Competencies domain, composed of 22 items, obtained a Cronbach’s alpha of .89, also indicating good reliability. The Core Competencies domain, composed of 23 items, obtained a Cronbach’s alpha of .91, indicating excellent reliability. Overall, the 62-item readiness scale obtained a Cronbach’s alpha of .94, indicating excellent reliability. These results show that the research instrument demonstrated a high level of internal consistency and was suitable for measuring the readiness of BSHM students for Housekeeping NC II certification.</w:t>
      </w:r>
    </w:p>
    <w:tbl>
      <w:tblPr>
        <w:tblStyle w:val="TableGrid"/>
        <w:tblW w:w="0" w:type="auto"/>
        <w:tblLook w:val="04A0" w:firstRow="1" w:lastRow="0" w:firstColumn="1" w:lastColumn="0" w:noHBand="0" w:noVBand="1"/>
      </w:tblPr>
      <w:tblGrid>
        <w:gridCol w:w="2670"/>
        <w:gridCol w:w="2670"/>
        <w:gridCol w:w="2671"/>
        <w:gridCol w:w="2671"/>
      </w:tblGrid>
      <w:tr w:rsidR="001B58D4" w14:paraId="4B0EAEC1" w14:textId="77777777" w:rsidTr="001B58D4">
        <w:tc>
          <w:tcPr>
            <w:tcW w:w="2670" w:type="dxa"/>
          </w:tcPr>
          <w:p w14:paraId="489D3610" w14:textId="69A6D9A1"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Competency Domain</w:t>
            </w:r>
          </w:p>
        </w:tc>
        <w:tc>
          <w:tcPr>
            <w:tcW w:w="2670" w:type="dxa"/>
          </w:tcPr>
          <w:p w14:paraId="522FE033" w14:textId="08B92003"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Number of Items</w:t>
            </w:r>
          </w:p>
        </w:tc>
        <w:tc>
          <w:tcPr>
            <w:tcW w:w="2671" w:type="dxa"/>
          </w:tcPr>
          <w:p w14:paraId="11B8DCF2" w14:textId="58BC2AF7"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Cronbach’s Alpha</w:t>
            </w:r>
          </w:p>
        </w:tc>
        <w:tc>
          <w:tcPr>
            <w:tcW w:w="2671" w:type="dxa"/>
          </w:tcPr>
          <w:p w14:paraId="7C00F046" w14:textId="0297C948"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Interpretation</w:t>
            </w:r>
          </w:p>
        </w:tc>
      </w:tr>
      <w:tr w:rsidR="001B58D4" w14:paraId="12D14652" w14:textId="77777777" w:rsidTr="001B58D4">
        <w:tc>
          <w:tcPr>
            <w:tcW w:w="2670" w:type="dxa"/>
          </w:tcPr>
          <w:p w14:paraId="0D530FBD" w14:textId="0E59DC89" w:rsidR="001B58D4" w:rsidRDefault="001B58D4" w:rsidP="0097238F">
            <w:pPr>
              <w:spacing w:before="240" w:after="240"/>
              <w:jc w:val="both"/>
              <w:rPr>
                <w:rFonts w:ascii="Times New Roman" w:hAnsi="Times New Roman" w:cs="Times New Roman"/>
              </w:rPr>
            </w:pPr>
            <w:r>
              <w:rPr>
                <w:rFonts w:ascii="Times New Roman" w:hAnsi="Times New Roman" w:cs="Times New Roman"/>
              </w:rPr>
              <w:t>Basic Competencies</w:t>
            </w:r>
          </w:p>
        </w:tc>
        <w:tc>
          <w:tcPr>
            <w:tcW w:w="2670" w:type="dxa"/>
          </w:tcPr>
          <w:p w14:paraId="468F6F2C" w14:textId="6BDA9D27" w:rsidR="001B58D4" w:rsidRDefault="001B58D4" w:rsidP="0097238F">
            <w:pPr>
              <w:spacing w:before="240" w:after="240"/>
              <w:jc w:val="both"/>
              <w:rPr>
                <w:rFonts w:ascii="Times New Roman" w:hAnsi="Times New Roman" w:cs="Times New Roman"/>
              </w:rPr>
            </w:pPr>
            <w:r>
              <w:rPr>
                <w:rFonts w:ascii="Times New Roman" w:hAnsi="Times New Roman" w:cs="Times New Roman"/>
              </w:rPr>
              <w:t>17</w:t>
            </w:r>
          </w:p>
        </w:tc>
        <w:tc>
          <w:tcPr>
            <w:tcW w:w="2671" w:type="dxa"/>
          </w:tcPr>
          <w:p w14:paraId="07A8B697" w14:textId="0E4751B6" w:rsidR="001B58D4" w:rsidRDefault="001B58D4" w:rsidP="0097238F">
            <w:pPr>
              <w:spacing w:before="240" w:after="240"/>
              <w:jc w:val="both"/>
              <w:rPr>
                <w:rFonts w:ascii="Times New Roman" w:hAnsi="Times New Roman" w:cs="Times New Roman"/>
              </w:rPr>
            </w:pPr>
            <w:r>
              <w:rPr>
                <w:rFonts w:ascii="Times New Roman" w:hAnsi="Times New Roman" w:cs="Times New Roman"/>
              </w:rPr>
              <w:t>.86</w:t>
            </w:r>
          </w:p>
        </w:tc>
        <w:tc>
          <w:tcPr>
            <w:tcW w:w="2671" w:type="dxa"/>
          </w:tcPr>
          <w:p w14:paraId="6E717CE5" w14:textId="4B7CCB61" w:rsidR="001B58D4" w:rsidRDefault="001B58D4" w:rsidP="0097238F">
            <w:pPr>
              <w:spacing w:before="240" w:after="240"/>
              <w:jc w:val="both"/>
              <w:rPr>
                <w:rFonts w:ascii="Times New Roman" w:hAnsi="Times New Roman" w:cs="Times New Roman"/>
              </w:rPr>
            </w:pPr>
            <w:r>
              <w:rPr>
                <w:rFonts w:ascii="Times New Roman" w:hAnsi="Times New Roman" w:cs="Times New Roman"/>
              </w:rPr>
              <w:t>Good reliability</w:t>
            </w:r>
          </w:p>
        </w:tc>
      </w:tr>
      <w:tr w:rsidR="001B58D4" w14:paraId="16BD2BE2" w14:textId="77777777" w:rsidTr="001B58D4">
        <w:tc>
          <w:tcPr>
            <w:tcW w:w="2670" w:type="dxa"/>
          </w:tcPr>
          <w:p w14:paraId="01836546" w14:textId="0BD51DF1" w:rsidR="001B58D4" w:rsidRDefault="001B58D4" w:rsidP="0097238F">
            <w:pPr>
              <w:spacing w:before="240" w:after="240"/>
              <w:jc w:val="both"/>
              <w:rPr>
                <w:rFonts w:ascii="Times New Roman" w:hAnsi="Times New Roman" w:cs="Times New Roman"/>
              </w:rPr>
            </w:pPr>
            <w:r>
              <w:rPr>
                <w:rFonts w:ascii="Times New Roman" w:hAnsi="Times New Roman" w:cs="Times New Roman"/>
              </w:rPr>
              <w:t>Common Competencies</w:t>
            </w:r>
          </w:p>
        </w:tc>
        <w:tc>
          <w:tcPr>
            <w:tcW w:w="2670" w:type="dxa"/>
          </w:tcPr>
          <w:p w14:paraId="28D0EBB9" w14:textId="70D77631" w:rsidR="001B58D4" w:rsidRDefault="001B58D4" w:rsidP="0097238F">
            <w:pPr>
              <w:spacing w:before="240" w:after="240"/>
              <w:jc w:val="both"/>
              <w:rPr>
                <w:rFonts w:ascii="Times New Roman" w:hAnsi="Times New Roman" w:cs="Times New Roman"/>
              </w:rPr>
            </w:pPr>
            <w:r>
              <w:rPr>
                <w:rFonts w:ascii="Times New Roman" w:hAnsi="Times New Roman" w:cs="Times New Roman"/>
              </w:rPr>
              <w:t>22</w:t>
            </w:r>
          </w:p>
        </w:tc>
        <w:tc>
          <w:tcPr>
            <w:tcW w:w="2671" w:type="dxa"/>
          </w:tcPr>
          <w:p w14:paraId="71EFE203" w14:textId="7CD62C1B" w:rsidR="001B58D4" w:rsidRDefault="001B58D4" w:rsidP="0097238F">
            <w:pPr>
              <w:spacing w:before="240" w:after="240"/>
              <w:jc w:val="both"/>
              <w:rPr>
                <w:rFonts w:ascii="Times New Roman" w:hAnsi="Times New Roman" w:cs="Times New Roman"/>
              </w:rPr>
            </w:pPr>
            <w:r>
              <w:rPr>
                <w:rFonts w:ascii="Times New Roman" w:hAnsi="Times New Roman" w:cs="Times New Roman"/>
              </w:rPr>
              <w:t>.89</w:t>
            </w:r>
          </w:p>
        </w:tc>
        <w:tc>
          <w:tcPr>
            <w:tcW w:w="2671" w:type="dxa"/>
          </w:tcPr>
          <w:p w14:paraId="1ABE6F36" w14:textId="466ACF73" w:rsidR="001B58D4" w:rsidRDefault="001B58D4" w:rsidP="0097238F">
            <w:pPr>
              <w:spacing w:before="240" w:after="240"/>
              <w:jc w:val="both"/>
              <w:rPr>
                <w:rFonts w:ascii="Times New Roman" w:hAnsi="Times New Roman" w:cs="Times New Roman"/>
              </w:rPr>
            </w:pPr>
            <w:r>
              <w:rPr>
                <w:rFonts w:ascii="Times New Roman" w:hAnsi="Times New Roman" w:cs="Times New Roman"/>
              </w:rPr>
              <w:t>Good reliability</w:t>
            </w:r>
          </w:p>
        </w:tc>
      </w:tr>
      <w:tr w:rsidR="001B58D4" w14:paraId="50A3D1C5" w14:textId="77777777" w:rsidTr="001B58D4">
        <w:tc>
          <w:tcPr>
            <w:tcW w:w="2670" w:type="dxa"/>
          </w:tcPr>
          <w:p w14:paraId="72493898" w14:textId="1B777FA7" w:rsidR="001B58D4" w:rsidRDefault="001B58D4" w:rsidP="0097238F">
            <w:pPr>
              <w:spacing w:before="240" w:after="240"/>
              <w:jc w:val="both"/>
              <w:rPr>
                <w:rFonts w:ascii="Times New Roman" w:hAnsi="Times New Roman" w:cs="Times New Roman"/>
              </w:rPr>
            </w:pPr>
            <w:r>
              <w:rPr>
                <w:rFonts w:ascii="Times New Roman" w:hAnsi="Times New Roman" w:cs="Times New Roman"/>
              </w:rPr>
              <w:t>Core Competencies</w:t>
            </w:r>
          </w:p>
        </w:tc>
        <w:tc>
          <w:tcPr>
            <w:tcW w:w="2670" w:type="dxa"/>
          </w:tcPr>
          <w:p w14:paraId="7E0D0199" w14:textId="2AD6412E" w:rsidR="001B58D4" w:rsidRDefault="001B58D4" w:rsidP="0097238F">
            <w:pPr>
              <w:spacing w:before="240" w:after="240"/>
              <w:jc w:val="both"/>
              <w:rPr>
                <w:rFonts w:ascii="Times New Roman" w:hAnsi="Times New Roman" w:cs="Times New Roman"/>
              </w:rPr>
            </w:pPr>
            <w:r>
              <w:rPr>
                <w:rFonts w:ascii="Times New Roman" w:hAnsi="Times New Roman" w:cs="Times New Roman"/>
              </w:rPr>
              <w:t>23</w:t>
            </w:r>
          </w:p>
        </w:tc>
        <w:tc>
          <w:tcPr>
            <w:tcW w:w="2671" w:type="dxa"/>
          </w:tcPr>
          <w:p w14:paraId="54033774" w14:textId="610BC682" w:rsidR="001B58D4" w:rsidRDefault="001B58D4" w:rsidP="0097238F">
            <w:pPr>
              <w:spacing w:before="240" w:after="240"/>
              <w:jc w:val="both"/>
              <w:rPr>
                <w:rFonts w:ascii="Times New Roman" w:hAnsi="Times New Roman" w:cs="Times New Roman"/>
              </w:rPr>
            </w:pPr>
            <w:r>
              <w:rPr>
                <w:rFonts w:ascii="Times New Roman" w:hAnsi="Times New Roman" w:cs="Times New Roman"/>
              </w:rPr>
              <w:t>.91</w:t>
            </w:r>
          </w:p>
        </w:tc>
        <w:tc>
          <w:tcPr>
            <w:tcW w:w="2671" w:type="dxa"/>
          </w:tcPr>
          <w:p w14:paraId="1A733423" w14:textId="0F823753" w:rsidR="001B58D4" w:rsidRDefault="001B58D4" w:rsidP="0097238F">
            <w:pPr>
              <w:spacing w:before="240" w:after="240"/>
              <w:jc w:val="both"/>
              <w:rPr>
                <w:rFonts w:ascii="Times New Roman" w:hAnsi="Times New Roman" w:cs="Times New Roman"/>
              </w:rPr>
            </w:pPr>
            <w:r>
              <w:rPr>
                <w:rFonts w:ascii="Times New Roman" w:hAnsi="Times New Roman" w:cs="Times New Roman"/>
              </w:rPr>
              <w:t>Excellent reliability</w:t>
            </w:r>
          </w:p>
        </w:tc>
      </w:tr>
      <w:tr w:rsidR="001B58D4" w14:paraId="2D14B0D6" w14:textId="77777777" w:rsidTr="001B58D4">
        <w:tc>
          <w:tcPr>
            <w:tcW w:w="2670" w:type="dxa"/>
          </w:tcPr>
          <w:p w14:paraId="37B34F1B" w14:textId="1194285C"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Overall Readiness Scale</w:t>
            </w:r>
          </w:p>
        </w:tc>
        <w:tc>
          <w:tcPr>
            <w:tcW w:w="2670" w:type="dxa"/>
          </w:tcPr>
          <w:p w14:paraId="74EE7ECB" w14:textId="2BBE442B"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62</w:t>
            </w:r>
          </w:p>
        </w:tc>
        <w:tc>
          <w:tcPr>
            <w:tcW w:w="2671" w:type="dxa"/>
          </w:tcPr>
          <w:p w14:paraId="7C833697" w14:textId="442B29CE"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.94</w:t>
            </w:r>
          </w:p>
        </w:tc>
        <w:tc>
          <w:tcPr>
            <w:tcW w:w="2671" w:type="dxa"/>
          </w:tcPr>
          <w:p w14:paraId="50D24101" w14:textId="4BC9C847" w:rsidR="001B58D4" w:rsidRPr="001B58D4" w:rsidRDefault="001B58D4" w:rsidP="0097238F">
            <w:pPr>
              <w:spacing w:before="240" w:after="240"/>
              <w:jc w:val="both"/>
              <w:rPr>
                <w:rFonts w:ascii="Times New Roman" w:hAnsi="Times New Roman" w:cs="Times New Roman"/>
                <w:b/>
                <w:bCs/>
              </w:rPr>
            </w:pPr>
            <w:r w:rsidRPr="001B58D4">
              <w:rPr>
                <w:rFonts w:ascii="Times New Roman" w:hAnsi="Times New Roman" w:cs="Times New Roman"/>
                <w:b/>
                <w:bCs/>
              </w:rPr>
              <w:t>Excellent reliability</w:t>
            </w:r>
          </w:p>
        </w:tc>
      </w:tr>
    </w:tbl>
    <w:p w14:paraId="1E9D851B"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Data Gathering Procedure</w:t>
      </w:r>
    </w:p>
    <w:p w14:paraId="1C080ECA"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Before the conduct of the study, the survey questionnaire was reviewed and validated by the research adviser and field experts. After validation, permission was secured to administer the questionnaire to the selected respondents. The purpose of the study was explained to the participants, including the voluntary nature of their participation and the confidentiality of their responses.</w:t>
      </w:r>
    </w:p>
    <w:p w14:paraId="7C2C14C6"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After obtaining consent, the researchers distributed the questionnaires to the selected BSHM students. The respondents were given sufficient time to answer the instrument. The completed questionnaires were retrieved, checked for completeness, encoded, tabulated, and analyzed according to the objectives of the study.</w:t>
      </w:r>
    </w:p>
    <w:p w14:paraId="4225F561"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Ethical Considerations</w:t>
      </w:r>
    </w:p>
    <w:p w14:paraId="4543510C"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study observed ethical principles in conducting research involving student participants. Participation was voluntary, and the respondents were informed about the purpose of the study before answering the questionnaire. They were assured that their responses would remain confidential and would be used only for academic and research purposes. No personally identifying information was required in the final analysis. The researchers also ensured that no respondent was forced or pressured to participate.</w:t>
      </w:r>
    </w:p>
    <w:p w14:paraId="428905C9"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Statistical Treatment of Data</w:t>
      </w:r>
    </w:p>
    <w:p w14:paraId="1DAFD45A"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data were analyzed using descriptive and inferential statistics. Frequency and percentage were used to describe the demographic profile of the respondents in terms of age, sex, and year level. Mean and standard deviation were used to determine the level of readiness of BSHM students for Housekeeping NC II certification in terms of Basic Competencies, Common Competencies, and Core Competencies.</w:t>
      </w:r>
    </w:p>
    <w:p w14:paraId="7D723C7C"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An independent-samples t-test was used to determine whether a significant difference existed in readiness when respondents were grouped according to sex. One-way analysis of variance was used to determine whether significant differences existed in readiness when respondents were grouped according to age and year level. The level of significance was set at .05. A probability value less than .05 was interpreted as statistically significant.</w:t>
      </w:r>
    </w:p>
    <w:p w14:paraId="22875F4E" w14:textId="77777777" w:rsidR="001B58D4" w:rsidRPr="001B58D4" w:rsidRDefault="001B58D4" w:rsidP="001B58D4">
      <w:pPr>
        <w:spacing w:before="240" w:after="240" w:line="240" w:lineRule="auto"/>
        <w:jc w:val="both"/>
        <w:rPr>
          <w:rFonts w:ascii="Times New Roman" w:hAnsi="Times New Roman" w:cs="Times New Roman"/>
          <w:b/>
          <w:bCs/>
        </w:rPr>
      </w:pPr>
      <w:r w:rsidRPr="001B58D4">
        <w:rPr>
          <w:rFonts w:ascii="Times New Roman" w:hAnsi="Times New Roman" w:cs="Times New Roman"/>
          <w:b/>
          <w:bCs/>
        </w:rPr>
        <w:t>Research Variables</w:t>
      </w:r>
    </w:p>
    <w:p w14:paraId="3E5FE95C"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lastRenderedPageBreak/>
        <w:t>The independent variables of the study were the demographic characteristics of the respondents, specifically sex, age, and year level. The dependent variable was the level of readiness for Housekeeping NC II certification, measured in terms of Basic Competencies, Common Competencies, and Core Competencies.</w:t>
      </w:r>
    </w:p>
    <w:p w14:paraId="008846D7" w14:textId="77777777" w:rsidR="001B58D4" w:rsidRPr="001B58D4" w:rsidRDefault="001B58D4" w:rsidP="001B58D4">
      <w:pPr>
        <w:spacing w:before="240" w:after="240" w:line="240" w:lineRule="auto"/>
        <w:jc w:val="both"/>
        <w:rPr>
          <w:rFonts w:ascii="Times New Roman" w:hAnsi="Times New Roman" w:cs="Times New Roman"/>
        </w:rPr>
      </w:pPr>
      <w:r w:rsidRPr="001B58D4">
        <w:rPr>
          <w:rFonts w:ascii="Times New Roman" w:hAnsi="Times New Roman" w:cs="Times New Roman"/>
        </w:rPr>
        <w:t>The results of the study served as the basis for identifying areas for curriculum enhancement and strengthening competency-based training in the Bachelor of Science in Hospitality Management program.</w:t>
      </w:r>
    </w:p>
    <w:p w14:paraId="51708B73" w14:textId="7BFF7177" w:rsidR="00262D06" w:rsidRDefault="000A1541" w:rsidP="0097238F">
      <w:pPr>
        <w:spacing w:before="240" w:after="240" w:line="240" w:lineRule="auto"/>
        <w:jc w:val="both"/>
        <w:rPr>
          <w:rFonts w:ascii="Times New Roman" w:hAnsi="Times New Roman" w:cs="Times New Roman"/>
          <w:sz w:val="28"/>
          <w:szCs w:val="28"/>
        </w:rPr>
      </w:pPr>
      <w:r w:rsidRPr="000A1541">
        <w:rPr>
          <w:rFonts w:ascii="Times New Roman" w:hAnsi="Times New Roman" w:cs="Times New Roman"/>
          <w:b/>
          <w:bCs/>
          <w:sz w:val="28"/>
          <w:szCs w:val="28"/>
        </w:rPr>
        <w:t>RESULTS</w:t>
      </w:r>
    </w:p>
    <w:p w14:paraId="63DA1B84" w14:textId="77777777" w:rsidR="000A1541" w:rsidRPr="000A1541" w:rsidRDefault="000A1541" w:rsidP="000A1541">
      <w:pPr>
        <w:spacing w:before="240" w:after="240" w:line="240" w:lineRule="auto"/>
        <w:jc w:val="both"/>
        <w:rPr>
          <w:rFonts w:ascii="Times New Roman" w:hAnsi="Times New Roman" w:cs="Times New Roman"/>
        </w:rPr>
      </w:pPr>
      <w:r w:rsidRPr="000A1541">
        <w:rPr>
          <w:rFonts w:ascii="Times New Roman" w:hAnsi="Times New Roman" w:cs="Times New Roman"/>
        </w:rPr>
        <w:t>This section presents the findings of the study based on the research objectives. Specifically, it discusses the demographic profile of the respondents, the level of readiness of Bachelor of Science in Hospitality Management students for Housekeeping NC II certification, and the significant differences in readiness when respondents were grouped according to sex, age, and year level.</w:t>
      </w:r>
    </w:p>
    <w:p w14:paraId="415E950F" w14:textId="77777777" w:rsidR="000A1541" w:rsidRPr="000A1541" w:rsidRDefault="000A1541" w:rsidP="000A1541">
      <w:pPr>
        <w:spacing w:before="240" w:after="240" w:line="240" w:lineRule="auto"/>
        <w:jc w:val="both"/>
        <w:rPr>
          <w:rFonts w:ascii="Times New Roman" w:hAnsi="Times New Roman" w:cs="Times New Roman"/>
          <w:b/>
          <w:bCs/>
        </w:rPr>
      </w:pPr>
      <w:r w:rsidRPr="000A1541">
        <w:rPr>
          <w:rFonts w:ascii="Times New Roman" w:hAnsi="Times New Roman" w:cs="Times New Roman"/>
          <w:b/>
          <w:bCs/>
        </w:rPr>
        <w:t>Demographic Profile of the Respondents</w:t>
      </w:r>
    </w:p>
    <w:p w14:paraId="64892ED3" w14:textId="77777777" w:rsidR="000A1541" w:rsidRPr="000A1541" w:rsidRDefault="000A1541" w:rsidP="000A1541">
      <w:pPr>
        <w:spacing w:before="240" w:after="240" w:line="240" w:lineRule="auto"/>
        <w:jc w:val="both"/>
        <w:rPr>
          <w:rFonts w:ascii="Times New Roman" w:hAnsi="Times New Roman" w:cs="Times New Roman"/>
        </w:rPr>
      </w:pPr>
      <w:r w:rsidRPr="000A1541">
        <w:rPr>
          <w:rFonts w:ascii="Times New Roman" w:hAnsi="Times New Roman" w:cs="Times New Roman"/>
          <w:b/>
          <w:bCs/>
        </w:rPr>
        <w:t>Table 1</w:t>
      </w:r>
      <w:r w:rsidRPr="000A1541">
        <w:rPr>
          <w:rFonts w:ascii="Times New Roman" w:hAnsi="Times New Roman" w:cs="Times New Roman"/>
        </w:rPr>
        <w:t xml:space="preserve"> presents the demographic profile of the respondents in terms of age, sex, and year level.</w:t>
      </w:r>
    </w:p>
    <w:tbl>
      <w:tblPr>
        <w:tblStyle w:val="TableGrid"/>
        <w:tblW w:w="0" w:type="auto"/>
        <w:tblLook w:val="04A0" w:firstRow="1" w:lastRow="0" w:firstColumn="1" w:lastColumn="0" w:noHBand="0" w:noVBand="1"/>
      </w:tblPr>
      <w:tblGrid>
        <w:gridCol w:w="2670"/>
        <w:gridCol w:w="2670"/>
        <w:gridCol w:w="2671"/>
        <w:gridCol w:w="2671"/>
      </w:tblGrid>
      <w:tr w:rsidR="002335D3" w14:paraId="2CA12A93" w14:textId="77777777" w:rsidTr="002335D3">
        <w:tc>
          <w:tcPr>
            <w:tcW w:w="2670" w:type="dxa"/>
          </w:tcPr>
          <w:p w14:paraId="1D616051" w14:textId="4A045F78" w:rsidR="002335D3" w:rsidRPr="002335D3" w:rsidRDefault="002335D3" w:rsidP="0097238F">
            <w:pPr>
              <w:spacing w:before="240" w:after="240"/>
              <w:jc w:val="both"/>
              <w:rPr>
                <w:rFonts w:ascii="Times New Roman" w:hAnsi="Times New Roman" w:cs="Times New Roman"/>
                <w:b/>
                <w:bCs/>
              </w:rPr>
            </w:pPr>
            <w:r>
              <w:rPr>
                <w:rFonts w:ascii="Times New Roman" w:hAnsi="Times New Roman" w:cs="Times New Roman"/>
                <w:b/>
                <w:bCs/>
              </w:rPr>
              <w:t>Profile</w:t>
            </w:r>
          </w:p>
        </w:tc>
        <w:tc>
          <w:tcPr>
            <w:tcW w:w="2670" w:type="dxa"/>
          </w:tcPr>
          <w:p w14:paraId="3BB8B88D" w14:textId="1CCCC15D" w:rsidR="002335D3" w:rsidRPr="002335D3" w:rsidRDefault="002335D3" w:rsidP="0097238F">
            <w:pPr>
              <w:spacing w:before="240" w:after="240"/>
              <w:jc w:val="both"/>
              <w:rPr>
                <w:rFonts w:ascii="Times New Roman" w:hAnsi="Times New Roman" w:cs="Times New Roman"/>
                <w:b/>
                <w:bCs/>
              </w:rPr>
            </w:pPr>
            <w:r>
              <w:rPr>
                <w:rFonts w:ascii="Times New Roman" w:hAnsi="Times New Roman" w:cs="Times New Roman"/>
                <w:b/>
                <w:bCs/>
              </w:rPr>
              <w:t>Category</w:t>
            </w:r>
          </w:p>
        </w:tc>
        <w:tc>
          <w:tcPr>
            <w:tcW w:w="2671" w:type="dxa"/>
          </w:tcPr>
          <w:p w14:paraId="388CCABF" w14:textId="52775E30" w:rsidR="002335D3" w:rsidRPr="002335D3" w:rsidRDefault="002335D3" w:rsidP="0097238F">
            <w:pPr>
              <w:spacing w:before="240" w:after="240"/>
              <w:jc w:val="both"/>
              <w:rPr>
                <w:rFonts w:ascii="Times New Roman" w:hAnsi="Times New Roman" w:cs="Times New Roman"/>
                <w:b/>
                <w:bCs/>
              </w:rPr>
            </w:pPr>
            <w:r>
              <w:rPr>
                <w:rFonts w:ascii="Times New Roman" w:hAnsi="Times New Roman" w:cs="Times New Roman"/>
                <w:b/>
                <w:bCs/>
              </w:rPr>
              <w:t>Frequency</w:t>
            </w:r>
          </w:p>
        </w:tc>
        <w:tc>
          <w:tcPr>
            <w:tcW w:w="2671" w:type="dxa"/>
          </w:tcPr>
          <w:p w14:paraId="0C4ACCD8" w14:textId="005DB216" w:rsidR="002335D3" w:rsidRPr="002335D3" w:rsidRDefault="002335D3" w:rsidP="0097238F">
            <w:pPr>
              <w:spacing w:before="240" w:after="240"/>
              <w:jc w:val="both"/>
              <w:rPr>
                <w:rFonts w:ascii="Times New Roman" w:hAnsi="Times New Roman" w:cs="Times New Roman"/>
                <w:b/>
                <w:bCs/>
              </w:rPr>
            </w:pPr>
            <w:r>
              <w:rPr>
                <w:rFonts w:ascii="Times New Roman" w:hAnsi="Times New Roman" w:cs="Times New Roman"/>
                <w:b/>
                <w:bCs/>
              </w:rPr>
              <w:t>Percentage</w:t>
            </w:r>
          </w:p>
        </w:tc>
      </w:tr>
      <w:tr w:rsidR="002335D3" w14:paraId="7ED6531F" w14:textId="77777777" w:rsidTr="002335D3">
        <w:tc>
          <w:tcPr>
            <w:tcW w:w="2670" w:type="dxa"/>
          </w:tcPr>
          <w:p w14:paraId="3DEB1468" w14:textId="0CE228D5" w:rsidR="002335D3" w:rsidRDefault="002335D3" w:rsidP="0097238F">
            <w:pPr>
              <w:spacing w:before="240" w:after="240"/>
              <w:jc w:val="both"/>
              <w:rPr>
                <w:rFonts w:ascii="Times New Roman" w:hAnsi="Times New Roman" w:cs="Times New Roman"/>
              </w:rPr>
            </w:pPr>
            <w:r>
              <w:rPr>
                <w:rFonts w:ascii="Times New Roman" w:hAnsi="Times New Roman" w:cs="Times New Roman"/>
              </w:rPr>
              <w:t>Age</w:t>
            </w:r>
          </w:p>
        </w:tc>
        <w:tc>
          <w:tcPr>
            <w:tcW w:w="2670" w:type="dxa"/>
          </w:tcPr>
          <w:p w14:paraId="7E7AACCC" w14:textId="239AB9EE" w:rsidR="002335D3" w:rsidRDefault="002335D3" w:rsidP="0097238F">
            <w:pPr>
              <w:spacing w:before="240" w:after="240"/>
              <w:jc w:val="both"/>
              <w:rPr>
                <w:rFonts w:ascii="Times New Roman" w:hAnsi="Times New Roman" w:cs="Times New Roman"/>
              </w:rPr>
            </w:pPr>
            <w:r>
              <w:rPr>
                <w:rFonts w:ascii="Times New Roman" w:hAnsi="Times New Roman" w:cs="Times New Roman"/>
              </w:rPr>
              <w:t>17 – 19 years old</w:t>
            </w:r>
          </w:p>
        </w:tc>
        <w:tc>
          <w:tcPr>
            <w:tcW w:w="2671" w:type="dxa"/>
          </w:tcPr>
          <w:p w14:paraId="43441834" w14:textId="1EA7EB27" w:rsidR="002335D3" w:rsidRDefault="002335D3" w:rsidP="0097238F">
            <w:pPr>
              <w:spacing w:before="240" w:after="240"/>
              <w:jc w:val="both"/>
              <w:rPr>
                <w:rFonts w:ascii="Times New Roman" w:hAnsi="Times New Roman" w:cs="Times New Roman"/>
              </w:rPr>
            </w:pPr>
            <w:r>
              <w:rPr>
                <w:rFonts w:ascii="Times New Roman" w:hAnsi="Times New Roman" w:cs="Times New Roman"/>
              </w:rPr>
              <w:t>30</w:t>
            </w:r>
          </w:p>
        </w:tc>
        <w:tc>
          <w:tcPr>
            <w:tcW w:w="2671" w:type="dxa"/>
          </w:tcPr>
          <w:p w14:paraId="266153BD" w14:textId="62AA5CEC" w:rsidR="002335D3" w:rsidRDefault="002335D3" w:rsidP="0097238F">
            <w:pPr>
              <w:spacing w:before="240" w:after="240"/>
              <w:jc w:val="both"/>
              <w:rPr>
                <w:rFonts w:ascii="Times New Roman" w:hAnsi="Times New Roman" w:cs="Times New Roman"/>
              </w:rPr>
            </w:pPr>
            <w:r>
              <w:rPr>
                <w:rFonts w:ascii="Times New Roman" w:hAnsi="Times New Roman" w:cs="Times New Roman"/>
              </w:rPr>
              <w:t>30%</w:t>
            </w:r>
          </w:p>
        </w:tc>
      </w:tr>
      <w:tr w:rsidR="002335D3" w14:paraId="77ACAE10" w14:textId="77777777" w:rsidTr="002335D3">
        <w:tc>
          <w:tcPr>
            <w:tcW w:w="2670" w:type="dxa"/>
          </w:tcPr>
          <w:p w14:paraId="7F3FC7D1" w14:textId="77777777" w:rsidR="002335D3" w:rsidRDefault="002335D3" w:rsidP="0097238F">
            <w:pPr>
              <w:spacing w:before="240" w:after="240"/>
              <w:jc w:val="both"/>
              <w:rPr>
                <w:rFonts w:ascii="Times New Roman" w:hAnsi="Times New Roman" w:cs="Times New Roman"/>
              </w:rPr>
            </w:pPr>
          </w:p>
        </w:tc>
        <w:tc>
          <w:tcPr>
            <w:tcW w:w="2670" w:type="dxa"/>
          </w:tcPr>
          <w:p w14:paraId="4CE18AFF" w14:textId="2C76B697" w:rsidR="002335D3" w:rsidRDefault="002335D3" w:rsidP="0097238F">
            <w:pPr>
              <w:spacing w:before="240" w:after="240"/>
              <w:jc w:val="both"/>
              <w:rPr>
                <w:rFonts w:ascii="Times New Roman" w:hAnsi="Times New Roman" w:cs="Times New Roman"/>
              </w:rPr>
            </w:pPr>
            <w:r>
              <w:rPr>
                <w:rFonts w:ascii="Times New Roman" w:hAnsi="Times New Roman" w:cs="Times New Roman"/>
              </w:rPr>
              <w:t>20 – 21 years old</w:t>
            </w:r>
          </w:p>
        </w:tc>
        <w:tc>
          <w:tcPr>
            <w:tcW w:w="2671" w:type="dxa"/>
          </w:tcPr>
          <w:p w14:paraId="039E2C09" w14:textId="625593B1" w:rsidR="002335D3" w:rsidRDefault="002335D3" w:rsidP="0097238F">
            <w:pPr>
              <w:spacing w:before="240" w:after="240"/>
              <w:jc w:val="both"/>
              <w:rPr>
                <w:rFonts w:ascii="Times New Roman" w:hAnsi="Times New Roman" w:cs="Times New Roman"/>
              </w:rPr>
            </w:pPr>
            <w:r>
              <w:rPr>
                <w:rFonts w:ascii="Times New Roman" w:hAnsi="Times New Roman" w:cs="Times New Roman"/>
              </w:rPr>
              <w:t>35</w:t>
            </w:r>
          </w:p>
        </w:tc>
        <w:tc>
          <w:tcPr>
            <w:tcW w:w="2671" w:type="dxa"/>
          </w:tcPr>
          <w:p w14:paraId="660C0F1D" w14:textId="13930CDD" w:rsidR="002335D3" w:rsidRDefault="002335D3" w:rsidP="0097238F">
            <w:pPr>
              <w:spacing w:before="240" w:after="240"/>
              <w:jc w:val="both"/>
              <w:rPr>
                <w:rFonts w:ascii="Times New Roman" w:hAnsi="Times New Roman" w:cs="Times New Roman"/>
              </w:rPr>
            </w:pPr>
            <w:r>
              <w:rPr>
                <w:rFonts w:ascii="Times New Roman" w:hAnsi="Times New Roman" w:cs="Times New Roman"/>
              </w:rPr>
              <w:t>35%</w:t>
            </w:r>
          </w:p>
        </w:tc>
      </w:tr>
      <w:tr w:rsidR="002335D3" w14:paraId="0DD8402D" w14:textId="77777777" w:rsidTr="002335D3">
        <w:tc>
          <w:tcPr>
            <w:tcW w:w="2670" w:type="dxa"/>
          </w:tcPr>
          <w:p w14:paraId="369E968C" w14:textId="77777777" w:rsidR="002335D3" w:rsidRDefault="002335D3" w:rsidP="0097238F">
            <w:pPr>
              <w:spacing w:before="240" w:after="240"/>
              <w:jc w:val="both"/>
              <w:rPr>
                <w:rFonts w:ascii="Times New Roman" w:hAnsi="Times New Roman" w:cs="Times New Roman"/>
              </w:rPr>
            </w:pPr>
          </w:p>
        </w:tc>
        <w:tc>
          <w:tcPr>
            <w:tcW w:w="2670" w:type="dxa"/>
          </w:tcPr>
          <w:p w14:paraId="7D0240B6" w14:textId="7AC49369" w:rsidR="002335D3" w:rsidRDefault="002335D3" w:rsidP="0097238F">
            <w:pPr>
              <w:spacing w:before="240" w:after="240"/>
              <w:jc w:val="both"/>
              <w:rPr>
                <w:rFonts w:ascii="Times New Roman" w:hAnsi="Times New Roman" w:cs="Times New Roman"/>
              </w:rPr>
            </w:pPr>
            <w:r>
              <w:rPr>
                <w:rFonts w:ascii="Times New Roman" w:hAnsi="Times New Roman" w:cs="Times New Roman"/>
              </w:rPr>
              <w:t>22 – 23 years old</w:t>
            </w:r>
          </w:p>
        </w:tc>
        <w:tc>
          <w:tcPr>
            <w:tcW w:w="2671" w:type="dxa"/>
          </w:tcPr>
          <w:p w14:paraId="5A798DBC" w14:textId="6748C1FF" w:rsidR="002335D3" w:rsidRDefault="002335D3" w:rsidP="0097238F">
            <w:pPr>
              <w:spacing w:before="240" w:after="240"/>
              <w:jc w:val="both"/>
              <w:rPr>
                <w:rFonts w:ascii="Times New Roman" w:hAnsi="Times New Roman" w:cs="Times New Roman"/>
              </w:rPr>
            </w:pPr>
            <w:r>
              <w:rPr>
                <w:rFonts w:ascii="Times New Roman" w:hAnsi="Times New Roman" w:cs="Times New Roman"/>
              </w:rPr>
              <w:t>12</w:t>
            </w:r>
          </w:p>
        </w:tc>
        <w:tc>
          <w:tcPr>
            <w:tcW w:w="2671" w:type="dxa"/>
          </w:tcPr>
          <w:p w14:paraId="043F5CD0" w14:textId="132DCF09" w:rsidR="002335D3" w:rsidRDefault="002335D3" w:rsidP="0097238F">
            <w:pPr>
              <w:spacing w:before="240" w:after="240"/>
              <w:jc w:val="both"/>
              <w:rPr>
                <w:rFonts w:ascii="Times New Roman" w:hAnsi="Times New Roman" w:cs="Times New Roman"/>
              </w:rPr>
            </w:pPr>
            <w:r>
              <w:rPr>
                <w:rFonts w:ascii="Times New Roman" w:hAnsi="Times New Roman" w:cs="Times New Roman"/>
              </w:rPr>
              <w:t>12%</w:t>
            </w:r>
          </w:p>
        </w:tc>
      </w:tr>
      <w:tr w:rsidR="002335D3" w14:paraId="0E94DFD5" w14:textId="77777777" w:rsidTr="002335D3">
        <w:tc>
          <w:tcPr>
            <w:tcW w:w="2670" w:type="dxa"/>
          </w:tcPr>
          <w:p w14:paraId="3C22C30F" w14:textId="77777777" w:rsidR="002335D3" w:rsidRDefault="002335D3" w:rsidP="0097238F">
            <w:pPr>
              <w:spacing w:before="240" w:after="240"/>
              <w:jc w:val="both"/>
              <w:rPr>
                <w:rFonts w:ascii="Times New Roman" w:hAnsi="Times New Roman" w:cs="Times New Roman"/>
              </w:rPr>
            </w:pPr>
          </w:p>
        </w:tc>
        <w:tc>
          <w:tcPr>
            <w:tcW w:w="2670" w:type="dxa"/>
          </w:tcPr>
          <w:p w14:paraId="1CA1DF95" w14:textId="3E59D52D" w:rsidR="002335D3" w:rsidRDefault="002335D3" w:rsidP="0097238F">
            <w:pPr>
              <w:spacing w:before="240" w:after="240"/>
              <w:jc w:val="both"/>
              <w:rPr>
                <w:rFonts w:ascii="Times New Roman" w:hAnsi="Times New Roman" w:cs="Times New Roman"/>
              </w:rPr>
            </w:pPr>
            <w:r>
              <w:rPr>
                <w:rFonts w:ascii="Times New Roman" w:hAnsi="Times New Roman" w:cs="Times New Roman"/>
              </w:rPr>
              <w:t>24 years old and above</w:t>
            </w:r>
          </w:p>
        </w:tc>
        <w:tc>
          <w:tcPr>
            <w:tcW w:w="2671" w:type="dxa"/>
          </w:tcPr>
          <w:p w14:paraId="090B1566" w14:textId="0DB65628" w:rsidR="002335D3" w:rsidRDefault="002335D3" w:rsidP="0097238F">
            <w:pPr>
              <w:spacing w:before="240" w:after="240"/>
              <w:jc w:val="both"/>
              <w:rPr>
                <w:rFonts w:ascii="Times New Roman" w:hAnsi="Times New Roman" w:cs="Times New Roman"/>
              </w:rPr>
            </w:pPr>
            <w:r>
              <w:rPr>
                <w:rFonts w:ascii="Times New Roman" w:hAnsi="Times New Roman" w:cs="Times New Roman"/>
              </w:rPr>
              <w:t>23</w:t>
            </w:r>
          </w:p>
        </w:tc>
        <w:tc>
          <w:tcPr>
            <w:tcW w:w="2671" w:type="dxa"/>
          </w:tcPr>
          <w:p w14:paraId="09409B5C" w14:textId="26EB9B5A" w:rsidR="002335D3" w:rsidRDefault="002335D3" w:rsidP="0097238F">
            <w:pPr>
              <w:spacing w:before="240" w:after="240"/>
              <w:jc w:val="both"/>
              <w:rPr>
                <w:rFonts w:ascii="Times New Roman" w:hAnsi="Times New Roman" w:cs="Times New Roman"/>
              </w:rPr>
            </w:pPr>
            <w:r>
              <w:rPr>
                <w:rFonts w:ascii="Times New Roman" w:hAnsi="Times New Roman" w:cs="Times New Roman"/>
              </w:rPr>
              <w:t>23%</w:t>
            </w:r>
          </w:p>
        </w:tc>
      </w:tr>
      <w:tr w:rsidR="002335D3" w14:paraId="5B970D37" w14:textId="77777777" w:rsidTr="002335D3">
        <w:tc>
          <w:tcPr>
            <w:tcW w:w="2670" w:type="dxa"/>
          </w:tcPr>
          <w:p w14:paraId="005BA5D4" w14:textId="266D3BEC" w:rsidR="002335D3" w:rsidRDefault="002335D3" w:rsidP="0097238F">
            <w:pPr>
              <w:spacing w:before="240" w:after="240"/>
              <w:jc w:val="both"/>
              <w:rPr>
                <w:rFonts w:ascii="Times New Roman" w:hAnsi="Times New Roman" w:cs="Times New Roman"/>
              </w:rPr>
            </w:pPr>
            <w:r>
              <w:rPr>
                <w:rFonts w:ascii="Times New Roman" w:hAnsi="Times New Roman" w:cs="Times New Roman"/>
              </w:rPr>
              <w:t>Sex</w:t>
            </w:r>
          </w:p>
        </w:tc>
        <w:tc>
          <w:tcPr>
            <w:tcW w:w="2670" w:type="dxa"/>
          </w:tcPr>
          <w:p w14:paraId="56F57960" w14:textId="670611B8" w:rsidR="002335D3" w:rsidRDefault="002335D3" w:rsidP="0097238F">
            <w:pPr>
              <w:spacing w:before="240" w:after="240"/>
              <w:jc w:val="both"/>
              <w:rPr>
                <w:rFonts w:ascii="Times New Roman" w:hAnsi="Times New Roman" w:cs="Times New Roman"/>
              </w:rPr>
            </w:pPr>
            <w:r>
              <w:rPr>
                <w:rFonts w:ascii="Times New Roman" w:hAnsi="Times New Roman" w:cs="Times New Roman"/>
              </w:rPr>
              <w:t>Female</w:t>
            </w:r>
          </w:p>
        </w:tc>
        <w:tc>
          <w:tcPr>
            <w:tcW w:w="2671" w:type="dxa"/>
          </w:tcPr>
          <w:p w14:paraId="223E3D08" w14:textId="0BC61FD8" w:rsidR="002335D3" w:rsidRDefault="002335D3" w:rsidP="0097238F">
            <w:pPr>
              <w:spacing w:before="240" w:after="240"/>
              <w:jc w:val="both"/>
              <w:rPr>
                <w:rFonts w:ascii="Times New Roman" w:hAnsi="Times New Roman" w:cs="Times New Roman"/>
              </w:rPr>
            </w:pPr>
            <w:r>
              <w:rPr>
                <w:rFonts w:ascii="Times New Roman" w:hAnsi="Times New Roman" w:cs="Times New Roman"/>
              </w:rPr>
              <w:t>50</w:t>
            </w:r>
          </w:p>
        </w:tc>
        <w:tc>
          <w:tcPr>
            <w:tcW w:w="2671" w:type="dxa"/>
          </w:tcPr>
          <w:p w14:paraId="48B82603" w14:textId="2D6C2555" w:rsidR="002335D3" w:rsidRDefault="002335D3" w:rsidP="0097238F">
            <w:pPr>
              <w:spacing w:before="240" w:after="240"/>
              <w:jc w:val="both"/>
              <w:rPr>
                <w:rFonts w:ascii="Times New Roman" w:hAnsi="Times New Roman" w:cs="Times New Roman"/>
              </w:rPr>
            </w:pPr>
            <w:r>
              <w:rPr>
                <w:rFonts w:ascii="Times New Roman" w:hAnsi="Times New Roman" w:cs="Times New Roman"/>
              </w:rPr>
              <w:t>50%</w:t>
            </w:r>
          </w:p>
        </w:tc>
      </w:tr>
      <w:tr w:rsidR="002335D3" w14:paraId="40E45345" w14:textId="77777777" w:rsidTr="002335D3">
        <w:tc>
          <w:tcPr>
            <w:tcW w:w="2670" w:type="dxa"/>
          </w:tcPr>
          <w:p w14:paraId="5FB11B07" w14:textId="77777777" w:rsidR="002335D3" w:rsidRDefault="002335D3" w:rsidP="0097238F">
            <w:pPr>
              <w:spacing w:before="240" w:after="240"/>
              <w:jc w:val="both"/>
              <w:rPr>
                <w:rFonts w:ascii="Times New Roman" w:hAnsi="Times New Roman" w:cs="Times New Roman"/>
              </w:rPr>
            </w:pPr>
          </w:p>
        </w:tc>
        <w:tc>
          <w:tcPr>
            <w:tcW w:w="2670" w:type="dxa"/>
          </w:tcPr>
          <w:p w14:paraId="2866B42F" w14:textId="71B2171E" w:rsidR="002335D3" w:rsidRDefault="002335D3" w:rsidP="0097238F">
            <w:pPr>
              <w:spacing w:before="240" w:after="240"/>
              <w:jc w:val="both"/>
              <w:rPr>
                <w:rFonts w:ascii="Times New Roman" w:hAnsi="Times New Roman" w:cs="Times New Roman"/>
              </w:rPr>
            </w:pPr>
            <w:r>
              <w:rPr>
                <w:rFonts w:ascii="Times New Roman" w:hAnsi="Times New Roman" w:cs="Times New Roman"/>
              </w:rPr>
              <w:t>Male</w:t>
            </w:r>
          </w:p>
        </w:tc>
        <w:tc>
          <w:tcPr>
            <w:tcW w:w="2671" w:type="dxa"/>
          </w:tcPr>
          <w:p w14:paraId="071B4459" w14:textId="6ED34EB2" w:rsidR="002335D3" w:rsidRDefault="002335D3" w:rsidP="0097238F">
            <w:pPr>
              <w:spacing w:before="240" w:after="240"/>
              <w:jc w:val="both"/>
              <w:rPr>
                <w:rFonts w:ascii="Times New Roman" w:hAnsi="Times New Roman" w:cs="Times New Roman"/>
              </w:rPr>
            </w:pPr>
            <w:r>
              <w:rPr>
                <w:rFonts w:ascii="Times New Roman" w:hAnsi="Times New Roman" w:cs="Times New Roman"/>
              </w:rPr>
              <w:t>50</w:t>
            </w:r>
          </w:p>
        </w:tc>
        <w:tc>
          <w:tcPr>
            <w:tcW w:w="2671" w:type="dxa"/>
          </w:tcPr>
          <w:p w14:paraId="3C19B292" w14:textId="51DC2B1E" w:rsidR="002335D3" w:rsidRDefault="002335D3" w:rsidP="0097238F">
            <w:pPr>
              <w:spacing w:before="240" w:after="240"/>
              <w:jc w:val="both"/>
              <w:rPr>
                <w:rFonts w:ascii="Times New Roman" w:hAnsi="Times New Roman" w:cs="Times New Roman"/>
              </w:rPr>
            </w:pPr>
            <w:r>
              <w:rPr>
                <w:rFonts w:ascii="Times New Roman" w:hAnsi="Times New Roman" w:cs="Times New Roman"/>
              </w:rPr>
              <w:t>50%</w:t>
            </w:r>
          </w:p>
        </w:tc>
      </w:tr>
      <w:tr w:rsidR="002335D3" w14:paraId="262F7AD2" w14:textId="77777777" w:rsidTr="002335D3">
        <w:tc>
          <w:tcPr>
            <w:tcW w:w="2670" w:type="dxa"/>
          </w:tcPr>
          <w:p w14:paraId="66F12A4A" w14:textId="5A01773B" w:rsidR="002335D3" w:rsidRDefault="002335D3" w:rsidP="0097238F">
            <w:pPr>
              <w:spacing w:before="240" w:after="240"/>
              <w:jc w:val="both"/>
              <w:rPr>
                <w:rFonts w:ascii="Times New Roman" w:hAnsi="Times New Roman" w:cs="Times New Roman"/>
              </w:rPr>
            </w:pPr>
            <w:r>
              <w:rPr>
                <w:rFonts w:ascii="Times New Roman" w:hAnsi="Times New Roman" w:cs="Times New Roman"/>
              </w:rPr>
              <w:t>Year Level</w:t>
            </w:r>
          </w:p>
        </w:tc>
        <w:tc>
          <w:tcPr>
            <w:tcW w:w="2670" w:type="dxa"/>
          </w:tcPr>
          <w:p w14:paraId="4CF04DEC" w14:textId="3375B04D" w:rsidR="002335D3" w:rsidRDefault="002335D3" w:rsidP="0097238F">
            <w:pPr>
              <w:spacing w:before="240" w:after="240"/>
              <w:jc w:val="both"/>
              <w:rPr>
                <w:rFonts w:ascii="Times New Roman" w:hAnsi="Times New Roman" w:cs="Times New Roman"/>
              </w:rPr>
            </w:pPr>
            <w:r>
              <w:rPr>
                <w:rFonts w:ascii="Times New Roman" w:hAnsi="Times New Roman" w:cs="Times New Roman"/>
              </w:rPr>
              <w:t>First Year</w:t>
            </w:r>
          </w:p>
        </w:tc>
        <w:tc>
          <w:tcPr>
            <w:tcW w:w="2671" w:type="dxa"/>
          </w:tcPr>
          <w:p w14:paraId="39EA25EF" w14:textId="279BF794" w:rsidR="002335D3" w:rsidRDefault="002335D3" w:rsidP="0097238F">
            <w:pPr>
              <w:spacing w:before="240" w:after="240"/>
              <w:jc w:val="both"/>
              <w:rPr>
                <w:rFonts w:ascii="Times New Roman" w:hAnsi="Times New Roman" w:cs="Times New Roman"/>
              </w:rPr>
            </w:pPr>
            <w:r>
              <w:rPr>
                <w:rFonts w:ascii="Times New Roman" w:hAnsi="Times New Roman" w:cs="Times New Roman"/>
              </w:rPr>
              <w:t>25</w:t>
            </w:r>
          </w:p>
        </w:tc>
        <w:tc>
          <w:tcPr>
            <w:tcW w:w="2671" w:type="dxa"/>
          </w:tcPr>
          <w:p w14:paraId="66BE1B70" w14:textId="5B2C6E05" w:rsidR="002335D3" w:rsidRDefault="002335D3" w:rsidP="0097238F">
            <w:pPr>
              <w:spacing w:before="240" w:after="240"/>
              <w:jc w:val="both"/>
              <w:rPr>
                <w:rFonts w:ascii="Times New Roman" w:hAnsi="Times New Roman" w:cs="Times New Roman"/>
              </w:rPr>
            </w:pPr>
            <w:r>
              <w:rPr>
                <w:rFonts w:ascii="Times New Roman" w:hAnsi="Times New Roman" w:cs="Times New Roman"/>
              </w:rPr>
              <w:t>25%</w:t>
            </w:r>
          </w:p>
        </w:tc>
      </w:tr>
      <w:tr w:rsidR="002335D3" w14:paraId="7234F68B" w14:textId="77777777" w:rsidTr="002335D3">
        <w:tc>
          <w:tcPr>
            <w:tcW w:w="2670" w:type="dxa"/>
          </w:tcPr>
          <w:p w14:paraId="10F19B63" w14:textId="77777777" w:rsidR="002335D3" w:rsidRDefault="002335D3" w:rsidP="002335D3">
            <w:pPr>
              <w:spacing w:before="240" w:after="240"/>
              <w:jc w:val="both"/>
              <w:rPr>
                <w:rFonts w:ascii="Times New Roman" w:hAnsi="Times New Roman" w:cs="Times New Roman"/>
              </w:rPr>
            </w:pPr>
          </w:p>
        </w:tc>
        <w:tc>
          <w:tcPr>
            <w:tcW w:w="2670" w:type="dxa"/>
          </w:tcPr>
          <w:p w14:paraId="1FE2E196" w14:textId="48970C8A" w:rsidR="002335D3" w:rsidRDefault="002335D3" w:rsidP="002335D3">
            <w:pPr>
              <w:spacing w:before="240" w:after="240"/>
              <w:jc w:val="both"/>
              <w:rPr>
                <w:rFonts w:ascii="Times New Roman" w:hAnsi="Times New Roman" w:cs="Times New Roman"/>
              </w:rPr>
            </w:pPr>
            <w:r>
              <w:rPr>
                <w:rFonts w:ascii="Times New Roman" w:hAnsi="Times New Roman" w:cs="Times New Roman"/>
              </w:rPr>
              <w:t>Second Year</w:t>
            </w:r>
          </w:p>
        </w:tc>
        <w:tc>
          <w:tcPr>
            <w:tcW w:w="2671" w:type="dxa"/>
          </w:tcPr>
          <w:p w14:paraId="5DF4E8F2" w14:textId="56FC9193"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c>
          <w:tcPr>
            <w:tcW w:w="2671" w:type="dxa"/>
          </w:tcPr>
          <w:p w14:paraId="17996143" w14:textId="32699BE1"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r>
      <w:tr w:rsidR="002335D3" w14:paraId="21241AE9" w14:textId="77777777" w:rsidTr="002335D3">
        <w:tc>
          <w:tcPr>
            <w:tcW w:w="2670" w:type="dxa"/>
          </w:tcPr>
          <w:p w14:paraId="5E7578EB" w14:textId="77777777" w:rsidR="002335D3" w:rsidRDefault="002335D3" w:rsidP="002335D3">
            <w:pPr>
              <w:spacing w:before="240" w:after="240"/>
              <w:jc w:val="both"/>
              <w:rPr>
                <w:rFonts w:ascii="Times New Roman" w:hAnsi="Times New Roman" w:cs="Times New Roman"/>
              </w:rPr>
            </w:pPr>
          </w:p>
        </w:tc>
        <w:tc>
          <w:tcPr>
            <w:tcW w:w="2670" w:type="dxa"/>
          </w:tcPr>
          <w:p w14:paraId="5BACB57F" w14:textId="1B16B3B2" w:rsidR="002335D3" w:rsidRDefault="002335D3" w:rsidP="002335D3">
            <w:pPr>
              <w:spacing w:before="240" w:after="240"/>
              <w:jc w:val="both"/>
              <w:rPr>
                <w:rFonts w:ascii="Times New Roman" w:hAnsi="Times New Roman" w:cs="Times New Roman"/>
              </w:rPr>
            </w:pPr>
            <w:r>
              <w:rPr>
                <w:rFonts w:ascii="Times New Roman" w:hAnsi="Times New Roman" w:cs="Times New Roman"/>
              </w:rPr>
              <w:t>Third Year</w:t>
            </w:r>
          </w:p>
        </w:tc>
        <w:tc>
          <w:tcPr>
            <w:tcW w:w="2671" w:type="dxa"/>
          </w:tcPr>
          <w:p w14:paraId="0BBBB915" w14:textId="188DDAA9"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c>
          <w:tcPr>
            <w:tcW w:w="2671" w:type="dxa"/>
          </w:tcPr>
          <w:p w14:paraId="3BB81C57" w14:textId="150A49A8"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r>
      <w:tr w:rsidR="002335D3" w14:paraId="03EC5A86" w14:textId="77777777" w:rsidTr="002335D3">
        <w:tc>
          <w:tcPr>
            <w:tcW w:w="2670" w:type="dxa"/>
          </w:tcPr>
          <w:p w14:paraId="3F693261" w14:textId="77777777" w:rsidR="002335D3" w:rsidRDefault="002335D3" w:rsidP="002335D3">
            <w:pPr>
              <w:spacing w:before="240" w:after="240"/>
              <w:jc w:val="both"/>
              <w:rPr>
                <w:rFonts w:ascii="Times New Roman" w:hAnsi="Times New Roman" w:cs="Times New Roman"/>
              </w:rPr>
            </w:pPr>
          </w:p>
        </w:tc>
        <w:tc>
          <w:tcPr>
            <w:tcW w:w="2670" w:type="dxa"/>
          </w:tcPr>
          <w:p w14:paraId="41BE8057" w14:textId="1928BA73" w:rsidR="002335D3" w:rsidRDefault="002335D3" w:rsidP="002335D3">
            <w:pPr>
              <w:spacing w:before="240" w:after="240"/>
              <w:jc w:val="both"/>
              <w:rPr>
                <w:rFonts w:ascii="Times New Roman" w:hAnsi="Times New Roman" w:cs="Times New Roman"/>
              </w:rPr>
            </w:pPr>
            <w:r>
              <w:rPr>
                <w:rFonts w:ascii="Times New Roman" w:hAnsi="Times New Roman" w:cs="Times New Roman"/>
              </w:rPr>
              <w:t>Fourth Year</w:t>
            </w:r>
          </w:p>
        </w:tc>
        <w:tc>
          <w:tcPr>
            <w:tcW w:w="2671" w:type="dxa"/>
          </w:tcPr>
          <w:p w14:paraId="444E5FEC" w14:textId="46B877B7"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c>
          <w:tcPr>
            <w:tcW w:w="2671" w:type="dxa"/>
          </w:tcPr>
          <w:p w14:paraId="0DC2C42B" w14:textId="2DD57E79" w:rsidR="002335D3" w:rsidRDefault="002335D3" w:rsidP="002335D3">
            <w:pPr>
              <w:spacing w:before="240" w:after="240"/>
              <w:jc w:val="both"/>
              <w:rPr>
                <w:rFonts w:ascii="Times New Roman" w:hAnsi="Times New Roman" w:cs="Times New Roman"/>
              </w:rPr>
            </w:pPr>
            <w:r>
              <w:rPr>
                <w:rFonts w:ascii="Times New Roman" w:hAnsi="Times New Roman" w:cs="Times New Roman"/>
              </w:rPr>
              <w:t>25%</w:t>
            </w:r>
          </w:p>
        </w:tc>
      </w:tr>
      <w:tr w:rsidR="002335D3" w14:paraId="4975F8A3" w14:textId="77777777" w:rsidTr="002335D3">
        <w:tc>
          <w:tcPr>
            <w:tcW w:w="2670" w:type="dxa"/>
          </w:tcPr>
          <w:p w14:paraId="7DD16183" w14:textId="5A6265BE" w:rsidR="002335D3" w:rsidRPr="002335D3" w:rsidRDefault="002335D3" w:rsidP="002335D3">
            <w:pPr>
              <w:spacing w:before="240" w:after="240"/>
              <w:jc w:val="both"/>
              <w:rPr>
                <w:rFonts w:ascii="Times New Roman" w:hAnsi="Times New Roman" w:cs="Times New Roman"/>
                <w:b/>
                <w:bCs/>
              </w:rPr>
            </w:pPr>
            <w:r>
              <w:rPr>
                <w:rFonts w:ascii="Times New Roman" w:hAnsi="Times New Roman" w:cs="Times New Roman"/>
                <w:b/>
                <w:bCs/>
              </w:rPr>
              <w:t>Total</w:t>
            </w:r>
          </w:p>
        </w:tc>
        <w:tc>
          <w:tcPr>
            <w:tcW w:w="2670" w:type="dxa"/>
          </w:tcPr>
          <w:p w14:paraId="6496D367" w14:textId="77777777" w:rsidR="002335D3" w:rsidRDefault="002335D3" w:rsidP="002335D3">
            <w:pPr>
              <w:spacing w:before="240" w:after="240"/>
              <w:jc w:val="both"/>
              <w:rPr>
                <w:rFonts w:ascii="Times New Roman" w:hAnsi="Times New Roman" w:cs="Times New Roman"/>
              </w:rPr>
            </w:pPr>
          </w:p>
        </w:tc>
        <w:tc>
          <w:tcPr>
            <w:tcW w:w="2671" w:type="dxa"/>
          </w:tcPr>
          <w:p w14:paraId="0938F727" w14:textId="1033AD81" w:rsidR="002335D3" w:rsidRPr="002335D3" w:rsidRDefault="002335D3" w:rsidP="002335D3">
            <w:pPr>
              <w:spacing w:before="240" w:after="240"/>
              <w:jc w:val="both"/>
              <w:rPr>
                <w:rFonts w:ascii="Times New Roman" w:hAnsi="Times New Roman" w:cs="Times New Roman"/>
                <w:b/>
                <w:bCs/>
              </w:rPr>
            </w:pPr>
            <w:r>
              <w:rPr>
                <w:rFonts w:ascii="Times New Roman" w:hAnsi="Times New Roman" w:cs="Times New Roman"/>
                <w:b/>
                <w:bCs/>
              </w:rPr>
              <w:t>100</w:t>
            </w:r>
          </w:p>
        </w:tc>
        <w:tc>
          <w:tcPr>
            <w:tcW w:w="2671" w:type="dxa"/>
          </w:tcPr>
          <w:p w14:paraId="696E59C0" w14:textId="015E5A52" w:rsidR="002335D3" w:rsidRPr="002335D3" w:rsidRDefault="002335D3" w:rsidP="002335D3">
            <w:pPr>
              <w:spacing w:before="240" w:after="240"/>
              <w:jc w:val="both"/>
              <w:rPr>
                <w:rFonts w:ascii="Times New Roman" w:hAnsi="Times New Roman" w:cs="Times New Roman"/>
                <w:b/>
                <w:bCs/>
              </w:rPr>
            </w:pPr>
            <w:r>
              <w:rPr>
                <w:rFonts w:ascii="Times New Roman" w:hAnsi="Times New Roman" w:cs="Times New Roman"/>
                <w:b/>
                <w:bCs/>
              </w:rPr>
              <w:t>100%</w:t>
            </w:r>
          </w:p>
        </w:tc>
      </w:tr>
    </w:tbl>
    <w:p w14:paraId="7F24F54E"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 xml:space="preserve">Table 1 shows that the largest group of respondents was composed of students aged 20–21 years old, with 35 respondents or 35% of the total sample. This was followed by students aged 17–19 years old, with 30 respondents </w:t>
      </w:r>
      <w:r w:rsidRPr="002335D3">
        <w:rPr>
          <w:rFonts w:ascii="Times New Roman" w:hAnsi="Times New Roman" w:cs="Times New Roman"/>
        </w:rPr>
        <w:lastRenderedPageBreak/>
        <w:t>or 30%. Meanwhile, 23 respondents or 23% were 24 years old and above, while 12 respondents or 12% were aged 22–23 years old.</w:t>
      </w:r>
    </w:p>
    <w:p w14:paraId="47E39EF5"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In terms of sex, the respondents were equally distributed, with 50 female students and 50 male students. This equal distribution provided a balanced basis for comparing readiness according to sex. In terms of year level, the respondents were also equally distributed, with 25 students from each academic level. This ensured representation from first year to fourth year and allowed comparison of readiness across stages of academic progression.</w:t>
      </w:r>
    </w:p>
    <w:p w14:paraId="4F323A49" w14:textId="77777777" w:rsidR="002335D3" w:rsidRPr="002335D3" w:rsidRDefault="002335D3" w:rsidP="002335D3">
      <w:pPr>
        <w:spacing w:before="240" w:after="240" w:line="240" w:lineRule="auto"/>
        <w:jc w:val="both"/>
        <w:rPr>
          <w:rFonts w:ascii="Times New Roman" w:hAnsi="Times New Roman" w:cs="Times New Roman"/>
          <w:b/>
          <w:bCs/>
        </w:rPr>
      </w:pPr>
      <w:r w:rsidRPr="002335D3">
        <w:rPr>
          <w:rFonts w:ascii="Times New Roman" w:hAnsi="Times New Roman" w:cs="Times New Roman"/>
          <w:b/>
          <w:bCs/>
        </w:rPr>
        <w:t>Level of Readiness for Housekeeping NC II Certification</w:t>
      </w:r>
    </w:p>
    <w:p w14:paraId="54F2E965"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b/>
          <w:bCs/>
        </w:rPr>
        <w:t>Table 2</w:t>
      </w:r>
      <w:r w:rsidRPr="002335D3">
        <w:rPr>
          <w:rFonts w:ascii="Times New Roman" w:hAnsi="Times New Roman" w:cs="Times New Roman"/>
        </w:rPr>
        <w:t xml:space="preserve"> presents the level of readiness of BSHM students for Housekeeping NC II certification in terms of Basic Competencies, Common Competencies, and Core Competencies.</w:t>
      </w:r>
    </w:p>
    <w:p w14:paraId="46313902" w14:textId="307C1A02" w:rsidR="000A1541" w:rsidRDefault="002335D3" w:rsidP="0097238F">
      <w:pPr>
        <w:spacing w:before="240" w:after="240" w:line="240" w:lineRule="auto"/>
        <w:jc w:val="both"/>
        <w:rPr>
          <w:rFonts w:ascii="Times New Roman" w:hAnsi="Times New Roman" w:cs="Times New Roman"/>
          <w:b/>
          <w:bCs/>
        </w:rPr>
      </w:pPr>
      <w:r w:rsidRPr="002335D3">
        <w:rPr>
          <w:rFonts w:ascii="Times New Roman" w:hAnsi="Times New Roman" w:cs="Times New Roman"/>
          <w:b/>
          <w:bCs/>
        </w:rPr>
        <w:t>Table 2</w:t>
      </w:r>
      <w:r w:rsidRPr="002335D3">
        <w:rPr>
          <w:rFonts w:ascii="Times New Roman" w:hAnsi="Times New Roman" w:cs="Times New Roman"/>
        </w:rPr>
        <w:br/>
      </w:r>
      <w:r w:rsidRPr="002335D3">
        <w:rPr>
          <w:rFonts w:ascii="Times New Roman" w:hAnsi="Times New Roman" w:cs="Times New Roman"/>
          <w:b/>
          <w:bCs/>
        </w:rPr>
        <w:t>Level of Readiness of BSHM Students for Housekeeping NC II Certification</w:t>
      </w:r>
    </w:p>
    <w:tbl>
      <w:tblPr>
        <w:tblStyle w:val="TableGrid"/>
        <w:tblW w:w="5000" w:type="pct"/>
        <w:tblLayout w:type="fixed"/>
        <w:tblLook w:val="0020" w:firstRow="1" w:lastRow="0" w:firstColumn="0" w:lastColumn="0" w:noHBand="0" w:noVBand="0"/>
      </w:tblPr>
      <w:tblGrid>
        <w:gridCol w:w="2263"/>
        <w:gridCol w:w="851"/>
        <w:gridCol w:w="850"/>
        <w:gridCol w:w="1418"/>
        <w:gridCol w:w="1134"/>
        <w:gridCol w:w="1276"/>
        <w:gridCol w:w="1275"/>
        <w:gridCol w:w="1615"/>
      </w:tblGrid>
      <w:tr w:rsidR="002335D3" w:rsidRPr="002335D3" w14:paraId="067E4592" w14:textId="77777777" w:rsidTr="002335D3">
        <w:tc>
          <w:tcPr>
            <w:tcW w:w="2263" w:type="dxa"/>
          </w:tcPr>
          <w:p w14:paraId="091774FE"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Competency Domain</w:t>
            </w:r>
          </w:p>
        </w:tc>
        <w:tc>
          <w:tcPr>
            <w:tcW w:w="851" w:type="dxa"/>
          </w:tcPr>
          <w:p w14:paraId="63EFED11"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N</w:t>
            </w:r>
          </w:p>
        </w:tc>
        <w:tc>
          <w:tcPr>
            <w:tcW w:w="850" w:type="dxa"/>
          </w:tcPr>
          <w:p w14:paraId="0666993E"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Mean</w:t>
            </w:r>
          </w:p>
        </w:tc>
        <w:tc>
          <w:tcPr>
            <w:tcW w:w="1418" w:type="dxa"/>
          </w:tcPr>
          <w:p w14:paraId="2911A0DD"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Standard Deviation</w:t>
            </w:r>
          </w:p>
        </w:tc>
        <w:tc>
          <w:tcPr>
            <w:tcW w:w="1134" w:type="dxa"/>
          </w:tcPr>
          <w:p w14:paraId="245500C0"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Variance</w:t>
            </w:r>
          </w:p>
        </w:tc>
        <w:tc>
          <w:tcPr>
            <w:tcW w:w="1276" w:type="dxa"/>
          </w:tcPr>
          <w:p w14:paraId="6C0A7DA5"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Minimum</w:t>
            </w:r>
          </w:p>
        </w:tc>
        <w:tc>
          <w:tcPr>
            <w:tcW w:w="1275" w:type="dxa"/>
          </w:tcPr>
          <w:p w14:paraId="6983101C"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Maximum</w:t>
            </w:r>
          </w:p>
        </w:tc>
        <w:tc>
          <w:tcPr>
            <w:tcW w:w="1615" w:type="dxa"/>
          </w:tcPr>
          <w:p w14:paraId="640DF509"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Verbal Interpretation</w:t>
            </w:r>
          </w:p>
        </w:tc>
      </w:tr>
      <w:tr w:rsidR="002335D3" w:rsidRPr="002335D3" w14:paraId="6B823B36" w14:textId="77777777" w:rsidTr="002335D3">
        <w:tc>
          <w:tcPr>
            <w:tcW w:w="2263" w:type="dxa"/>
          </w:tcPr>
          <w:p w14:paraId="353FA9B6"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Basic Competencies</w:t>
            </w:r>
          </w:p>
        </w:tc>
        <w:tc>
          <w:tcPr>
            <w:tcW w:w="851" w:type="dxa"/>
          </w:tcPr>
          <w:p w14:paraId="665E8361"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100</w:t>
            </w:r>
          </w:p>
        </w:tc>
        <w:tc>
          <w:tcPr>
            <w:tcW w:w="850" w:type="dxa"/>
          </w:tcPr>
          <w:p w14:paraId="52E31F64"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1.64</w:t>
            </w:r>
          </w:p>
        </w:tc>
        <w:tc>
          <w:tcPr>
            <w:tcW w:w="1418" w:type="dxa"/>
          </w:tcPr>
          <w:p w14:paraId="6E382288"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0.327</w:t>
            </w:r>
          </w:p>
        </w:tc>
        <w:tc>
          <w:tcPr>
            <w:tcW w:w="1134" w:type="dxa"/>
          </w:tcPr>
          <w:p w14:paraId="7A91A820"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0.107</w:t>
            </w:r>
          </w:p>
        </w:tc>
        <w:tc>
          <w:tcPr>
            <w:tcW w:w="1276" w:type="dxa"/>
          </w:tcPr>
          <w:p w14:paraId="40EBC30B"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1.06</w:t>
            </w:r>
          </w:p>
        </w:tc>
        <w:tc>
          <w:tcPr>
            <w:tcW w:w="1275" w:type="dxa"/>
          </w:tcPr>
          <w:p w14:paraId="2FA65ABC"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3.88</w:t>
            </w:r>
          </w:p>
        </w:tc>
        <w:tc>
          <w:tcPr>
            <w:tcW w:w="1615" w:type="dxa"/>
          </w:tcPr>
          <w:p w14:paraId="1BF39AB1"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Not Ready</w:t>
            </w:r>
          </w:p>
        </w:tc>
      </w:tr>
      <w:tr w:rsidR="002335D3" w:rsidRPr="002335D3" w14:paraId="526C26EF" w14:textId="77777777" w:rsidTr="002335D3">
        <w:tc>
          <w:tcPr>
            <w:tcW w:w="2263" w:type="dxa"/>
          </w:tcPr>
          <w:p w14:paraId="7E266852"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Common Competencies</w:t>
            </w:r>
          </w:p>
        </w:tc>
        <w:tc>
          <w:tcPr>
            <w:tcW w:w="851" w:type="dxa"/>
          </w:tcPr>
          <w:p w14:paraId="227D0C99"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100</w:t>
            </w:r>
          </w:p>
        </w:tc>
        <w:tc>
          <w:tcPr>
            <w:tcW w:w="850" w:type="dxa"/>
          </w:tcPr>
          <w:p w14:paraId="32591855"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1.66</w:t>
            </w:r>
          </w:p>
        </w:tc>
        <w:tc>
          <w:tcPr>
            <w:tcW w:w="1418" w:type="dxa"/>
          </w:tcPr>
          <w:p w14:paraId="1F074B0C"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0.312</w:t>
            </w:r>
          </w:p>
        </w:tc>
        <w:tc>
          <w:tcPr>
            <w:tcW w:w="1134" w:type="dxa"/>
          </w:tcPr>
          <w:p w14:paraId="75D6E0D9"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0.097</w:t>
            </w:r>
          </w:p>
        </w:tc>
        <w:tc>
          <w:tcPr>
            <w:tcW w:w="1276" w:type="dxa"/>
          </w:tcPr>
          <w:p w14:paraId="4F7CEEB3"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1.00</w:t>
            </w:r>
          </w:p>
        </w:tc>
        <w:tc>
          <w:tcPr>
            <w:tcW w:w="1275" w:type="dxa"/>
          </w:tcPr>
          <w:p w14:paraId="06DE2B43"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3.57</w:t>
            </w:r>
          </w:p>
        </w:tc>
        <w:tc>
          <w:tcPr>
            <w:tcW w:w="1615" w:type="dxa"/>
          </w:tcPr>
          <w:p w14:paraId="142E61D7"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Not Ready</w:t>
            </w:r>
          </w:p>
        </w:tc>
      </w:tr>
      <w:tr w:rsidR="002335D3" w:rsidRPr="002335D3" w14:paraId="6B4A0AF8" w14:textId="77777777" w:rsidTr="002335D3">
        <w:tc>
          <w:tcPr>
            <w:tcW w:w="2263" w:type="dxa"/>
          </w:tcPr>
          <w:p w14:paraId="1A1E70A6"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Core Competencies</w:t>
            </w:r>
          </w:p>
        </w:tc>
        <w:tc>
          <w:tcPr>
            <w:tcW w:w="851" w:type="dxa"/>
          </w:tcPr>
          <w:p w14:paraId="1CD45145"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100</w:t>
            </w:r>
          </w:p>
        </w:tc>
        <w:tc>
          <w:tcPr>
            <w:tcW w:w="850" w:type="dxa"/>
          </w:tcPr>
          <w:p w14:paraId="183E8A0D"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1.67</w:t>
            </w:r>
          </w:p>
        </w:tc>
        <w:tc>
          <w:tcPr>
            <w:tcW w:w="1418" w:type="dxa"/>
          </w:tcPr>
          <w:p w14:paraId="3242E13A"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0.346</w:t>
            </w:r>
          </w:p>
        </w:tc>
        <w:tc>
          <w:tcPr>
            <w:tcW w:w="1134" w:type="dxa"/>
          </w:tcPr>
          <w:p w14:paraId="4AC73301"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0.120</w:t>
            </w:r>
          </w:p>
        </w:tc>
        <w:tc>
          <w:tcPr>
            <w:tcW w:w="1276" w:type="dxa"/>
          </w:tcPr>
          <w:p w14:paraId="56FC8B66"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1.00</w:t>
            </w:r>
          </w:p>
        </w:tc>
        <w:tc>
          <w:tcPr>
            <w:tcW w:w="1275" w:type="dxa"/>
          </w:tcPr>
          <w:p w14:paraId="317CA052"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4.00</w:t>
            </w:r>
          </w:p>
        </w:tc>
        <w:tc>
          <w:tcPr>
            <w:tcW w:w="1615" w:type="dxa"/>
          </w:tcPr>
          <w:p w14:paraId="151F4295"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Not Ready</w:t>
            </w:r>
          </w:p>
        </w:tc>
      </w:tr>
    </w:tbl>
    <w:p w14:paraId="16A3E12A"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 xml:space="preserve">Table 2 shows that the respondents were generally </w:t>
      </w:r>
      <w:r w:rsidRPr="002335D3">
        <w:rPr>
          <w:rFonts w:ascii="Times New Roman" w:hAnsi="Times New Roman" w:cs="Times New Roman"/>
          <w:b/>
          <w:bCs/>
        </w:rPr>
        <w:t>Not Ready</w:t>
      </w:r>
      <w:r w:rsidRPr="002335D3">
        <w:rPr>
          <w:rFonts w:ascii="Times New Roman" w:hAnsi="Times New Roman" w:cs="Times New Roman"/>
        </w:rPr>
        <w:t xml:space="preserve"> for Housekeeping NC II certification across all three competency domains. Basic Competencies obtained a mean score of 1.64, Common Competencies obtained a mean score of 1.66, and Core Competencies obtained a mean score of 1.67. Although Core Competencies recorded the highest mean among the three domains, all mean scores remained within the Not Ready range.</w:t>
      </w:r>
    </w:p>
    <w:p w14:paraId="2801D3DD"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The standard deviations ranged from 0.312 to 0.346, indicating relatively low variation in the respondents’ self-assessed readiness. Common Competencies had the lowest standard deviation of 0.312, suggesting more consistent responses in this domain. Core Competencies had the highest standard deviation of 0.346, indicating slightly greater variation in students’ perceived readiness in performing actual housekeeping-related tasks. Overall, the findings indicate that students perceived themselves as insufficiently prepared in Basic, Common, and Core Competencies required for Housekeeping NC II certification.</w:t>
      </w:r>
    </w:p>
    <w:p w14:paraId="69298353" w14:textId="77777777" w:rsidR="002335D3" w:rsidRPr="002335D3" w:rsidRDefault="002335D3" w:rsidP="002335D3">
      <w:pPr>
        <w:spacing w:before="240" w:after="240" w:line="240" w:lineRule="auto"/>
        <w:jc w:val="both"/>
        <w:rPr>
          <w:rFonts w:ascii="Times New Roman" w:hAnsi="Times New Roman" w:cs="Times New Roman"/>
          <w:b/>
          <w:bCs/>
        </w:rPr>
      </w:pPr>
      <w:r w:rsidRPr="002335D3">
        <w:rPr>
          <w:rFonts w:ascii="Times New Roman" w:hAnsi="Times New Roman" w:cs="Times New Roman"/>
          <w:b/>
          <w:bCs/>
        </w:rPr>
        <w:t>Significant Difference in Readiness When Grouped According to Sex</w:t>
      </w:r>
    </w:p>
    <w:p w14:paraId="789FF046"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b/>
          <w:bCs/>
        </w:rPr>
        <w:t>Table 3</w:t>
      </w:r>
      <w:r w:rsidRPr="002335D3">
        <w:rPr>
          <w:rFonts w:ascii="Times New Roman" w:hAnsi="Times New Roman" w:cs="Times New Roman"/>
        </w:rPr>
        <w:t xml:space="preserve"> presents the results of the independent-samples </w:t>
      </w:r>
      <w:r w:rsidRPr="002335D3">
        <w:rPr>
          <w:rFonts w:ascii="Times New Roman" w:hAnsi="Times New Roman" w:cs="Times New Roman"/>
          <w:i/>
          <w:iCs/>
        </w:rPr>
        <w:t>t</w:t>
      </w:r>
      <w:r w:rsidRPr="002335D3">
        <w:rPr>
          <w:rFonts w:ascii="Times New Roman" w:hAnsi="Times New Roman" w:cs="Times New Roman"/>
        </w:rPr>
        <w:t>-test used to determine whether significant differences existed in readiness when respondents were grouped according to sex.</w:t>
      </w:r>
    </w:p>
    <w:p w14:paraId="2A65D960" w14:textId="349A9AA7" w:rsidR="002335D3" w:rsidRDefault="002335D3" w:rsidP="0097238F">
      <w:pPr>
        <w:spacing w:before="240" w:after="240" w:line="240" w:lineRule="auto"/>
        <w:jc w:val="both"/>
        <w:rPr>
          <w:rFonts w:ascii="Times New Roman" w:hAnsi="Times New Roman" w:cs="Times New Roman"/>
          <w:b/>
          <w:bCs/>
        </w:rPr>
      </w:pPr>
      <w:r w:rsidRPr="002335D3">
        <w:rPr>
          <w:rFonts w:ascii="Times New Roman" w:hAnsi="Times New Roman" w:cs="Times New Roman"/>
          <w:b/>
          <w:bCs/>
        </w:rPr>
        <w:t>Table 3</w:t>
      </w:r>
      <w:r w:rsidRPr="002335D3">
        <w:rPr>
          <w:rFonts w:ascii="Times New Roman" w:hAnsi="Times New Roman" w:cs="Times New Roman"/>
        </w:rPr>
        <w:br/>
      </w:r>
      <w:r w:rsidRPr="002335D3">
        <w:rPr>
          <w:rFonts w:ascii="Times New Roman" w:hAnsi="Times New Roman" w:cs="Times New Roman"/>
          <w:b/>
          <w:bCs/>
        </w:rPr>
        <w:t>Significant Difference in Readiness When Grouped According to Sex</w:t>
      </w:r>
    </w:p>
    <w:tbl>
      <w:tblPr>
        <w:tblStyle w:val="TableGrid"/>
        <w:tblW w:w="0" w:type="auto"/>
        <w:tblLook w:val="0020" w:firstRow="1" w:lastRow="0" w:firstColumn="0" w:lastColumn="0" w:noHBand="0" w:noVBand="0"/>
      </w:tblPr>
      <w:tblGrid>
        <w:gridCol w:w="2530"/>
        <w:gridCol w:w="1463"/>
        <w:gridCol w:w="456"/>
        <w:gridCol w:w="936"/>
        <w:gridCol w:w="1690"/>
      </w:tblGrid>
      <w:tr w:rsidR="002335D3" w:rsidRPr="002335D3" w14:paraId="7F47B2DC" w14:textId="77777777" w:rsidTr="002335D3">
        <w:tc>
          <w:tcPr>
            <w:tcW w:w="0" w:type="auto"/>
          </w:tcPr>
          <w:p w14:paraId="54EAB1B6"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Competency Domain</w:t>
            </w:r>
          </w:p>
        </w:tc>
        <w:tc>
          <w:tcPr>
            <w:tcW w:w="0" w:type="auto"/>
          </w:tcPr>
          <w:p w14:paraId="4AB07F50"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Test Statistic</w:t>
            </w:r>
          </w:p>
        </w:tc>
        <w:tc>
          <w:tcPr>
            <w:tcW w:w="0" w:type="auto"/>
          </w:tcPr>
          <w:p w14:paraId="701104FD" w14:textId="77777777" w:rsidR="002335D3" w:rsidRPr="002335D3" w:rsidRDefault="002335D3" w:rsidP="005E2AC1">
            <w:pPr>
              <w:pStyle w:val="Compact"/>
              <w:jc w:val="right"/>
              <w:rPr>
                <w:rFonts w:ascii="Times New Roman" w:hAnsi="Times New Roman" w:cs="Times New Roman"/>
              </w:rPr>
            </w:pPr>
            <w:proofErr w:type="spellStart"/>
            <w:r w:rsidRPr="002335D3">
              <w:rPr>
                <w:rFonts w:ascii="Times New Roman" w:hAnsi="Times New Roman" w:cs="Times New Roman"/>
              </w:rPr>
              <w:t>df</w:t>
            </w:r>
            <w:proofErr w:type="spellEnd"/>
          </w:p>
        </w:tc>
        <w:tc>
          <w:tcPr>
            <w:tcW w:w="0" w:type="auto"/>
          </w:tcPr>
          <w:p w14:paraId="57F95173"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p-value</w:t>
            </w:r>
          </w:p>
        </w:tc>
        <w:tc>
          <w:tcPr>
            <w:tcW w:w="0" w:type="auto"/>
          </w:tcPr>
          <w:p w14:paraId="12B68637"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Decision</w:t>
            </w:r>
          </w:p>
        </w:tc>
      </w:tr>
      <w:tr w:rsidR="002335D3" w:rsidRPr="002335D3" w14:paraId="5D5BA423" w14:textId="77777777" w:rsidTr="002335D3">
        <w:tc>
          <w:tcPr>
            <w:tcW w:w="0" w:type="auto"/>
          </w:tcPr>
          <w:p w14:paraId="7CA59BAD"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Basic Competencies</w:t>
            </w:r>
          </w:p>
        </w:tc>
        <w:tc>
          <w:tcPr>
            <w:tcW w:w="0" w:type="auto"/>
          </w:tcPr>
          <w:p w14:paraId="7852427E"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i/>
                <w:iCs/>
              </w:rPr>
              <w:t>t</w:t>
            </w:r>
            <w:r w:rsidRPr="002335D3">
              <w:rPr>
                <w:rFonts w:ascii="Times New Roman" w:hAnsi="Times New Roman" w:cs="Times New Roman"/>
              </w:rPr>
              <w:t xml:space="preserve"> = -2.10</w:t>
            </w:r>
          </w:p>
        </w:tc>
        <w:tc>
          <w:tcPr>
            <w:tcW w:w="0" w:type="auto"/>
          </w:tcPr>
          <w:p w14:paraId="06CDC55A"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98</w:t>
            </w:r>
          </w:p>
        </w:tc>
        <w:tc>
          <w:tcPr>
            <w:tcW w:w="0" w:type="auto"/>
          </w:tcPr>
          <w:p w14:paraId="1F18BEA0"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.038</w:t>
            </w:r>
          </w:p>
        </w:tc>
        <w:tc>
          <w:tcPr>
            <w:tcW w:w="0" w:type="auto"/>
          </w:tcPr>
          <w:p w14:paraId="1355CB0E"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Significant</w:t>
            </w:r>
          </w:p>
        </w:tc>
      </w:tr>
      <w:tr w:rsidR="002335D3" w:rsidRPr="002335D3" w14:paraId="1F8EDBF9" w14:textId="77777777" w:rsidTr="002335D3">
        <w:tc>
          <w:tcPr>
            <w:tcW w:w="0" w:type="auto"/>
          </w:tcPr>
          <w:p w14:paraId="1FB4BA91"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Common Competencies</w:t>
            </w:r>
          </w:p>
        </w:tc>
        <w:tc>
          <w:tcPr>
            <w:tcW w:w="0" w:type="auto"/>
          </w:tcPr>
          <w:p w14:paraId="73661D12"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i/>
                <w:iCs/>
              </w:rPr>
              <w:t>t</w:t>
            </w:r>
            <w:r w:rsidRPr="002335D3">
              <w:rPr>
                <w:rFonts w:ascii="Times New Roman" w:hAnsi="Times New Roman" w:cs="Times New Roman"/>
              </w:rPr>
              <w:t xml:space="preserve"> = -1.37</w:t>
            </w:r>
          </w:p>
        </w:tc>
        <w:tc>
          <w:tcPr>
            <w:tcW w:w="0" w:type="auto"/>
          </w:tcPr>
          <w:p w14:paraId="2F7637EC"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98</w:t>
            </w:r>
          </w:p>
        </w:tc>
        <w:tc>
          <w:tcPr>
            <w:tcW w:w="0" w:type="auto"/>
          </w:tcPr>
          <w:p w14:paraId="654C204A"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.175</w:t>
            </w:r>
          </w:p>
        </w:tc>
        <w:tc>
          <w:tcPr>
            <w:tcW w:w="0" w:type="auto"/>
          </w:tcPr>
          <w:p w14:paraId="347FA2A1"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Not Significant</w:t>
            </w:r>
          </w:p>
        </w:tc>
      </w:tr>
      <w:tr w:rsidR="002335D3" w:rsidRPr="002335D3" w14:paraId="17329435" w14:textId="77777777" w:rsidTr="002335D3">
        <w:tc>
          <w:tcPr>
            <w:tcW w:w="0" w:type="auto"/>
          </w:tcPr>
          <w:p w14:paraId="46999EFF"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Core Competencies</w:t>
            </w:r>
          </w:p>
        </w:tc>
        <w:tc>
          <w:tcPr>
            <w:tcW w:w="0" w:type="auto"/>
          </w:tcPr>
          <w:p w14:paraId="0E7577AE"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i/>
                <w:iCs/>
              </w:rPr>
              <w:t>t</w:t>
            </w:r>
            <w:r w:rsidRPr="002335D3">
              <w:rPr>
                <w:rFonts w:ascii="Times New Roman" w:hAnsi="Times New Roman" w:cs="Times New Roman"/>
              </w:rPr>
              <w:t xml:space="preserve"> = -1.81</w:t>
            </w:r>
          </w:p>
        </w:tc>
        <w:tc>
          <w:tcPr>
            <w:tcW w:w="0" w:type="auto"/>
          </w:tcPr>
          <w:p w14:paraId="4B7CF5EC"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98</w:t>
            </w:r>
          </w:p>
        </w:tc>
        <w:tc>
          <w:tcPr>
            <w:tcW w:w="0" w:type="auto"/>
          </w:tcPr>
          <w:p w14:paraId="13F342EB" w14:textId="77777777" w:rsidR="002335D3" w:rsidRPr="002335D3" w:rsidRDefault="002335D3" w:rsidP="005E2AC1">
            <w:pPr>
              <w:pStyle w:val="Compact"/>
              <w:jc w:val="right"/>
              <w:rPr>
                <w:rFonts w:ascii="Times New Roman" w:hAnsi="Times New Roman" w:cs="Times New Roman"/>
              </w:rPr>
            </w:pPr>
            <w:r w:rsidRPr="002335D3">
              <w:rPr>
                <w:rFonts w:ascii="Times New Roman" w:hAnsi="Times New Roman" w:cs="Times New Roman"/>
              </w:rPr>
              <w:t>.074</w:t>
            </w:r>
          </w:p>
        </w:tc>
        <w:tc>
          <w:tcPr>
            <w:tcW w:w="0" w:type="auto"/>
          </w:tcPr>
          <w:p w14:paraId="765ADF39" w14:textId="77777777" w:rsidR="002335D3" w:rsidRPr="002335D3" w:rsidRDefault="002335D3" w:rsidP="005E2AC1">
            <w:pPr>
              <w:pStyle w:val="Compact"/>
              <w:rPr>
                <w:rFonts w:ascii="Times New Roman" w:hAnsi="Times New Roman" w:cs="Times New Roman"/>
              </w:rPr>
            </w:pPr>
            <w:r w:rsidRPr="002335D3">
              <w:rPr>
                <w:rFonts w:ascii="Times New Roman" w:hAnsi="Times New Roman" w:cs="Times New Roman"/>
              </w:rPr>
              <w:t>Not Significant</w:t>
            </w:r>
          </w:p>
        </w:tc>
      </w:tr>
    </w:tbl>
    <w:p w14:paraId="0C4CE074"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Note. Significant at p &lt; .05.</w:t>
      </w:r>
    </w:p>
    <w:p w14:paraId="7C4B67FA" w14:textId="77777777" w:rsidR="002335D3" w:rsidRP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b/>
          <w:bCs/>
        </w:rPr>
        <w:t>Table 3</w:t>
      </w:r>
      <w:r w:rsidRPr="002335D3">
        <w:rPr>
          <w:rFonts w:ascii="Times New Roman" w:hAnsi="Times New Roman" w:cs="Times New Roman"/>
        </w:rPr>
        <w:t xml:space="preserve"> shows that a statistically significant difference was found in Basic Competencies when respondents were grouped according to sex, </w:t>
      </w:r>
      <w:proofErr w:type="gramStart"/>
      <w:r w:rsidRPr="002335D3">
        <w:rPr>
          <w:rFonts w:ascii="Times New Roman" w:hAnsi="Times New Roman" w:cs="Times New Roman"/>
        </w:rPr>
        <w:t>t(</w:t>
      </w:r>
      <w:proofErr w:type="gramEnd"/>
      <w:r w:rsidRPr="002335D3">
        <w:rPr>
          <w:rFonts w:ascii="Times New Roman" w:hAnsi="Times New Roman" w:cs="Times New Roman"/>
        </w:rPr>
        <w:t xml:space="preserve">98) = -2.10, p = .038. Since the p-value is less than .05, the null hypothesis was </w:t>
      </w:r>
      <w:r w:rsidRPr="002335D3">
        <w:rPr>
          <w:rFonts w:ascii="Times New Roman" w:hAnsi="Times New Roman" w:cs="Times New Roman"/>
        </w:rPr>
        <w:lastRenderedPageBreak/>
        <w:t>rejected for Basic Competencies. This indicates that male and female respondents differed significantly in their perceived readiness in Basic Competencies.</w:t>
      </w:r>
    </w:p>
    <w:p w14:paraId="0C1C4B23" w14:textId="73E0D79B" w:rsidR="002335D3" w:rsidRDefault="002335D3" w:rsidP="002335D3">
      <w:pPr>
        <w:spacing w:before="240" w:after="240" w:line="240" w:lineRule="auto"/>
        <w:jc w:val="both"/>
        <w:rPr>
          <w:rFonts w:ascii="Times New Roman" w:hAnsi="Times New Roman" w:cs="Times New Roman"/>
        </w:rPr>
      </w:pPr>
      <w:r w:rsidRPr="002335D3">
        <w:rPr>
          <w:rFonts w:ascii="Times New Roman" w:hAnsi="Times New Roman" w:cs="Times New Roman"/>
        </w:rPr>
        <w:t xml:space="preserve">However, no statistically significant difference was found in Common Competencies, </w:t>
      </w:r>
      <w:proofErr w:type="gramStart"/>
      <w:r w:rsidRPr="002335D3">
        <w:rPr>
          <w:rFonts w:ascii="Times New Roman" w:hAnsi="Times New Roman" w:cs="Times New Roman"/>
        </w:rPr>
        <w:t>t(</w:t>
      </w:r>
      <w:proofErr w:type="gramEnd"/>
      <w:r w:rsidRPr="002335D3">
        <w:rPr>
          <w:rFonts w:ascii="Times New Roman" w:hAnsi="Times New Roman" w:cs="Times New Roman"/>
        </w:rPr>
        <w:t xml:space="preserve">98) = -1.37, p = .175, and Core Competencies, </w:t>
      </w:r>
      <w:proofErr w:type="gramStart"/>
      <w:r w:rsidRPr="002335D3">
        <w:rPr>
          <w:rFonts w:ascii="Times New Roman" w:hAnsi="Times New Roman" w:cs="Times New Roman"/>
        </w:rPr>
        <w:t>t(</w:t>
      </w:r>
      <w:proofErr w:type="gramEnd"/>
      <w:r w:rsidRPr="002335D3">
        <w:rPr>
          <w:rFonts w:ascii="Times New Roman" w:hAnsi="Times New Roman" w:cs="Times New Roman"/>
        </w:rPr>
        <w:t>98) = -1.81, p = .074. Since both p-values are greater than .05, the null hypothesis was retained for these two domains. This means that male and female respondents did not significantly differ in their perceived readiness in Common and Core Competencies.</w:t>
      </w:r>
    </w:p>
    <w:p w14:paraId="74302218" w14:textId="77777777" w:rsidR="002335D3" w:rsidRPr="0012408E" w:rsidRDefault="002335D3" w:rsidP="002335D3">
      <w:pPr>
        <w:spacing w:before="240" w:after="240" w:line="240" w:lineRule="auto"/>
        <w:jc w:val="both"/>
        <w:rPr>
          <w:rFonts w:ascii="Times New Roman" w:hAnsi="Times New Roman" w:cs="Times New Roman"/>
          <w:b/>
          <w:bCs/>
        </w:rPr>
      </w:pPr>
      <w:r w:rsidRPr="0012408E">
        <w:rPr>
          <w:rFonts w:ascii="Times New Roman" w:hAnsi="Times New Roman" w:cs="Times New Roman"/>
          <w:b/>
          <w:bCs/>
        </w:rPr>
        <w:t>Significant Difference in Readiness When Grouped According to Age</w:t>
      </w:r>
    </w:p>
    <w:p w14:paraId="7598E0EF" w14:textId="77777777" w:rsidR="002335D3" w:rsidRPr="002335D3" w:rsidRDefault="002335D3" w:rsidP="002335D3">
      <w:pPr>
        <w:spacing w:before="240" w:after="240" w:line="240" w:lineRule="auto"/>
        <w:jc w:val="both"/>
        <w:rPr>
          <w:rFonts w:ascii="Times New Roman" w:hAnsi="Times New Roman" w:cs="Times New Roman"/>
        </w:rPr>
      </w:pPr>
      <w:r w:rsidRPr="0012408E">
        <w:rPr>
          <w:rFonts w:ascii="Times New Roman" w:hAnsi="Times New Roman" w:cs="Times New Roman"/>
          <w:b/>
          <w:bCs/>
        </w:rPr>
        <w:t>Table 4</w:t>
      </w:r>
      <w:r w:rsidRPr="002335D3">
        <w:rPr>
          <w:rFonts w:ascii="Times New Roman" w:hAnsi="Times New Roman" w:cs="Times New Roman"/>
        </w:rPr>
        <w:t xml:space="preserve"> presents the results of the one-way analysis of variance used to determine whether significant differences existed in readiness when respondents were grouped according to age.</w:t>
      </w:r>
    </w:p>
    <w:p w14:paraId="04FA3886" w14:textId="77777777" w:rsidR="002335D3" w:rsidRPr="0012408E" w:rsidRDefault="002335D3" w:rsidP="002335D3">
      <w:pPr>
        <w:spacing w:before="240" w:after="240" w:line="240" w:lineRule="auto"/>
        <w:jc w:val="both"/>
        <w:rPr>
          <w:rFonts w:ascii="Times New Roman" w:hAnsi="Times New Roman" w:cs="Times New Roman"/>
          <w:b/>
          <w:bCs/>
        </w:rPr>
      </w:pPr>
      <w:r w:rsidRPr="0012408E">
        <w:rPr>
          <w:rFonts w:ascii="Times New Roman" w:hAnsi="Times New Roman" w:cs="Times New Roman"/>
          <w:b/>
          <w:bCs/>
        </w:rPr>
        <w:t>Table 4</w:t>
      </w:r>
    </w:p>
    <w:p w14:paraId="3882F2DC" w14:textId="0E571E5C" w:rsidR="002335D3" w:rsidRDefault="002335D3" w:rsidP="002335D3">
      <w:pPr>
        <w:spacing w:before="240" w:after="240" w:line="240" w:lineRule="auto"/>
        <w:jc w:val="both"/>
        <w:rPr>
          <w:rFonts w:ascii="Times New Roman" w:hAnsi="Times New Roman" w:cs="Times New Roman"/>
          <w:b/>
          <w:bCs/>
        </w:rPr>
      </w:pPr>
      <w:r w:rsidRPr="0012408E">
        <w:rPr>
          <w:rFonts w:ascii="Times New Roman" w:hAnsi="Times New Roman" w:cs="Times New Roman"/>
          <w:b/>
          <w:bCs/>
        </w:rPr>
        <w:t>Significant Difference in Readiness When Grouped According to Age</w:t>
      </w:r>
    </w:p>
    <w:tbl>
      <w:tblPr>
        <w:tblStyle w:val="TableGrid"/>
        <w:tblW w:w="0" w:type="auto"/>
        <w:tblLook w:val="0020" w:firstRow="1" w:lastRow="0" w:firstColumn="0" w:lastColumn="0" w:noHBand="0" w:noVBand="0"/>
      </w:tblPr>
      <w:tblGrid>
        <w:gridCol w:w="2530"/>
        <w:gridCol w:w="950"/>
        <w:gridCol w:w="536"/>
        <w:gridCol w:w="636"/>
        <w:gridCol w:w="936"/>
        <w:gridCol w:w="1270"/>
      </w:tblGrid>
      <w:tr w:rsidR="0012408E" w:rsidRPr="0012408E" w14:paraId="5F6851D9" w14:textId="77777777" w:rsidTr="0012408E">
        <w:tc>
          <w:tcPr>
            <w:tcW w:w="0" w:type="auto"/>
          </w:tcPr>
          <w:p w14:paraId="743CF0D0"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Competency Domain</w:t>
            </w:r>
          </w:p>
        </w:tc>
        <w:tc>
          <w:tcPr>
            <w:tcW w:w="0" w:type="auto"/>
          </w:tcPr>
          <w:p w14:paraId="60EF419D"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F-value</w:t>
            </w:r>
          </w:p>
        </w:tc>
        <w:tc>
          <w:tcPr>
            <w:tcW w:w="0" w:type="auto"/>
          </w:tcPr>
          <w:p w14:paraId="55B50D2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df1</w:t>
            </w:r>
          </w:p>
        </w:tc>
        <w:tc>
          <w:tcPr>
            <w:tcW w:w="0" w:type="auto"/>
          </w:tcPr>
          <w:p w14:paraId="1DC6B1AB"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df2</w:t>
            </w:r>
          </w:p>
        </w:tc>
        <w:tc>
          <w:tcPr>
            <w:tcW w:w="0" w:type="auto"/>
          </w:tcPr>
          <w:p w14:paraId="6A9AA371"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p-value</w:t>
            </w:r>
          </w:p>
        </w:tc>
        <w:tc>
          <w:tcPr>
            <w:tcW w:w="0" w:type="auto"/>
          </w:tcPr>
          <w:p w14:paraId="497D1A57"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Decision</w:t>
            </w:r>
          </w:p>
        </w:tc>
      </w:tr>
      <w:tr w:rsidR="0012408E" w:rsidRPr="0012408E" w14:paraId="47ECF173" w14:textId="77777777" w:rsidTr="0012408E">
        <w:tc>
          <w:tcPr>
            <w:tcW w:w="0" w:type="auto"/>
          </w:tcPr>
          <w:p w14:paraId="4018CE4B"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Basic Competencies</w:t>
            </w:r>
          </w:p>
        </w:tc>
        <w:tc>
          <w:tcPr>
            <w:tcW w:w="0" w:type="auto"/>
          </w:tcPr>
          <w:p w14:paraId="12AEF2A2"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3.60</w:t>
            </w:r>
          </w:p>
        </w:tc>
        <w:tc>
          <w:tcPr>
            <w:tcW w:w="0" w:type="auto"/>
          </w:tcPr>
          <w:p w14:paraId="5C9EED18"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57FA8D0E"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35.5</w:t>
            </w:r>
          </w:p>
        </w:tc>
        <w:tc>
          <w:tcPr>
            <w:tcW w:w="0" w:type="auto"/>
          </w:tcPr>
          <w:p w14:paraId="42023C0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.023</w:t>
            </w:r>
          </w:p>
        </w:tc>
        <w:tc>
          <w:tcPr>
            <w:tcW w:w="0" w:type="auto"/>
          </w:tcPr>
          <w:p w14:paraId="6AC5F8F6"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r w:rsidR="0012408E" w:rsidRPr="0012408E" w14:paraId="6ACD197B" w14:textId="77777777" w:rsidTr="0012408E">
        <w:tc>
          <w:tcPr>
            <w:tcW w:w="0" w:type="auto"/>
          </w:tcPr>
          <w:p w14:paraId="67F79AD2"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Common Competencies</w:t>
            </w:r>
          </w:p>
        </w:tc>
        <w:tc>
          <w:tcPr>
            <w:tcW w:w="0" w:type="auto"/>
          </w:tcPr>
          <w:p w14:paraId="20FB6686"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7.14</w:t>
            </w:r>
          </w:p>
        </w:tc>
        <w:tc>
          <w:tcPr>
            <w:tcW w:w="0" w:type="auto"/>
          </w:tcPr>
          <w:p w14:paraId="6798DC4C"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6E48439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33.9</w:t>
            </w:r>
          </w:p>
        </w:tc>
        <w:tc>
          <w:tcPr>
            <w:tcW w:w="0" w:type="auto"/>
          </w:tcPr>
          <w:p w14:paraId="65562550"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&lt; .001</w:t>
            </w:r>
          </w:p>
        </w:tc>
        <w:tc>
          <w:tcPr>
            <w:tcW w:w="0" w:type="auto"/>
          </w:tcPr>
          <w:p w14:paraId="34E25B16"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r w:rsidR="0012408E" w:rsidRPr="0012408E" w14:paraId="3A9FF3DA" w14:textId="77777777" w:rsidTr="0012408E">
        <w:tc>
          <w:tcPr>
            <w:tcW w:w="0" w:type="auto"/>
          </w:tcPr>
          <w:p w14:paraId="59577041"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Core Competencies</w:t>
            </w:r>
          </w:p>
        </w:tc>
        <w:tc>
          <w:tcPr>
            <w:tcW w:w="0" w:type="auto"/>
          </w:tcPr>
          <w:p w14:paraId="0A7A4F1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9.18</w:t>
            </w:r>
          </w:p>
        </w:tc>
        <w:tc>
          <w:tcPr>
            <w:tcW w:w="0" w:type="auto"/>
          </w:tcPr>
          <w:p w14:paraId="113931A0"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5A317BCC"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33.7</w:t>
            </w:r>
          </w:p>
        </w:tc>
        <w:tc>
          <w:tcPr>
            <w:tcW w:w="0" w:type="auto"/>
          </w:tcPr>
          <w:p w14:paraId="3767358C"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&lt; .001</w:t>
            </w:r>
          </w:p>
        </w:tc>
        <w:tc>
          <w:tcPr>
            <w:tcW w:w="0" w:type="auto"/>
          </w:tcPr>
          <w:p w14:paraId="0D7E200B"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bl>
    <w:p w14:paraId="4F121EAC"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i/>
          <w:iCs/>
        </w:rPr>
        <w:t>Note.</w:t>
      </w:r>
      <w:r w:rsidRPr="0012408E">
        <w:rPr>
          <w:rFonts w:ascii="Times New Roman" w:hAnsi="Times New Roman" w:cs="Times New Roman"/>
        </w:rPr>
        <w:t xml:space="preserve"> Significant at </w:t>
      </w:r>
      <w:r w:rsidRPr="0012408E">
        <w:rPr>
          <w:rFonts w:ascii="Times New Roman" w:hAnsi="Times New Roman" w:cs="Times New Roman"/>
          <w:i/>
          <w:iCs/>
        </w:rPr>
        <w:t>p</w:t>
      </w:r>
      <w:r w:rsidRPr="0012408E">
        <w:rPr>
          <w:rFonts w:ascii="Times New Roman" w:hAnsi="Times New Roman" w:cs="Times New Roman"/>
        </w:rPr>
        <w:t xml:space="preserve"> &lt; .05.</w:t>
      </w:r>
    </w:p>
    <w:p w14:paraId="052F90D1"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b/>
          <w:bCs/>
        </w:rPr>
        <w:t>Table 4</w:t>
      </w:r>
      <w:r w:rsidRPr="0012408E">
        <w:rPr>
          <w:rFonts w:ascii="Times New Roman" w:hAnsi="Times New Roman" w:cs="Times New Roman"/>
        </w:rPr>
        <w:t xml:space="preserve"> shows that significant differences existed in all three competency domains when respondents were grouped according to age. Basic Competencies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35.5) = 3.60, </w:t>
      </w:r>
      <w:r w:rsidRPr="0012408E">
        <w:rPr>
          <w:rFonts w:ascii="Times New Roman" w:hAnsi="Times New Roman" w:cs="Times New Roman"/>
          <w:i/>
          <w:iCs/>
        </w:rPr>
        <w:t>p</w:t>
      </w:r>
      <w:r w:rsidRPr="0012408E">
        <w:rPr>
          <w:rFonts w:ascii="Times New Roman" w:hAnsi="Times New Roman" w:cs="Times New Roman"/>
        </w:rPr>
        <w:t xml:space="preserve"> = .023. Common Competencies also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33.9) = 7.14, </w:t>
      </w:r>
      <w:r w:rsidRPr="0012408E">
        <w:rPr>
          <w:rFonts w:ascii="Times New Roman" w:hAnsi="Times New Roman" w:cs="Times New Roman"/>
          <w:i/>
          <w:iCs/>
        </w:rPr>
        <w:t>p</w:t>
      </w:r>
      <w:r w:rsidRPr="0012408E">
        <w:rPr>
          <w:rFonts w:ascii="Times New Roman" w:hAnsi="Times New Roman" w:cs="Times New Roman"/>
        </w:rPr>
        <w:t xml:space="preserve"> &lt; .001. Similarly, Core Competencies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33.7) = 9.18, </w:t>
      </w:r>
      <w:r w:rsidRPr="0012408E">
        <w:rPr>
          <w:rFonts w:ascii="Times New Roman" w:hAnsi="Times New Roman" w:cs="Times New Roman"/>
          <w:i/>
          <w:iCs/>
        </w:rPr>
        <w:t>p</w:t>
      </w:r>
      <w:r w:rsidRPr="0012408E">
        <w:rPr>
          <w:rFonts w:ascii="Times New Roman" w:hAnsi="Times New Roman" w:cs="Times New Roman"/>
        </w:rPr>
        <w:t xml:space="preserve"> &lt; .001.</w:t>
      </w:r>
    </w:p>
    <w:p w14:paraId="0CD35DB9"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rPr>
        <w:t>Since all p-values are less than .05, the null hypothesis was rejected for all three competency domains. These findings indicate that students’ perceived readiness for Housekeeping NC II certification significantly differed across age groups.</w:t>
      </w:r>
    </w:p>
    <w:p w14:paraId="7FD245F6" w14:textId="77777777" w:rsidR="0012408E" w:rsidRPr="0012408E" w:rsidRDefault="0012408E" w:rsidP="0012408E">
      <w:pPr>
        <w:spacing w:before="240" w:after="240" w:line="240" w:lineRule="auto"/>
        <w:jc w:val="both"/>
        <w:rPr>
          <w:rFonts w:ascii="Times New Roman" w:hAnsi="Times New Roman" w:cs="Times New Roman"/>
          <w:b/>
          <w:bCs/>
        </w:rPr>
      </w:pPr>
      <w:r w:rsidRPr="0012408E">
        <w:rPr>
          <w:rFonts w:ascii="Times New Roman" w:hAnsi="Times New Roman" w:cs="Times New Roman"/>
          <w:b/>
          <w:bCs/>
        </w:rPr>
        <w:t>Significant Difference in Readiness When Grouped According to Year Level</w:t>
      </w:r>
    </w:p>
    <w:p w14:paraId="40D2E8A7"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b/>
          <w:bCs/>
        </w:rPr>
        <w:t>Table 5</w:t>
      </w:r>
      <w:r w:rsidRPr="0012408E">
        <w:rPr>
          <w:rFonts w:ascii="Times New Roman" w:hAnsi="Times New Roman" w:cs="Times New Roman"/>
        </w:rPr>
        <w:t xml:space="preserve"> presents the results of the one-way analysis of variance used to determine whether significant differences existed in readiness when respondents were grouped according to year level.</w:t>
      </w:r>
    </w:p>
    <w:p w14:paraId="763412ED"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b/>
          <w:bCs/>
        </w:rPr>
        <w:t>Table 5</w:t>
      </w:r>
      <w:r w:rsidRPr="0012408E">
        <w:rPr>
          <w:rFonts w:ascii="Times New Roman" w:hAnsi="Times New Roman" w:cs="Times New Roman"/>
        </w:rPr>
        <w:br/>
      </w:r>
      <w:r w:rsidRPr="0012408E">
        <w:rPr>
          <w:rFonts w:ascii="Times New Roman" w:hAnsi="Times New Roman" w:cs="Times New Roman"/>
          <w:b/>
          <w:bCs/>
        </w:rPr>
        <w:t>Significant Difference in Readiness When Grouped According to Year Level</w:t>
      </w:r>
    </w:p>
    <w:tbl>
      <w:tblPr>
        <w:tblStyle w:val="TableGrid"/>
        <w:tblW w:w="0" w:type="auto"/>
        <w:tblLook w:val="0020" w:firstRow="1" w:lastRow="0" w:firstColumn="0" w:lastColumn="0" w:noHBand="0" w:noVBand="0"/>
      </w:tblPr>
      <w:tblGrid>
        <w:gridCol w:w="2530"/>
        <w:gridCol w:w="950"/>
        <w:gridCol w:w="536"/>
        <w:gridCol w:w="636"/>
        <w:gridCol w:w="936"/>
        <w:gridCol w:w="1270"/>
      </w:tblGrid>
      <w:tr w:rsidR="0012408E" w:rsidRPr="0012408E" w14:paraId="5FB21F4F" w14:textId="77777777" w:rsidTr="0012408E">
        <w:tc>
          <w:tcPr>
            <w:tcW w:w="0" w:type="auto"/>
          </w:tcPr>
          <w:p w14:paraId="6CCD8B56"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Competency Domain</w:t>
            </w:r>
          </w:p>
        </w:tc>
        <w:tc>
          <w:tcPr>
            <w:tcW w:w="0" w:type="auto"/>
          </w:tcPr>
          <w:p w14:paraId="24675C3A"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F-value</w:t>
            </w:r>
          </w:p>
        </w:tc>
        <w:tc>
          <w:tcPr>
            <w:tcW w:w="0" w:type="auto"/>
          </w:tcPr>
          <w:p w14:paraId="2C49EBD2"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df1</w:t>
            </w:r>
          </w:p>
        </w:tc>
        <w:tc>
          <w:tcPr>
            <w:tcW w:w="0" w:type="auto"/>
          </w:tcPr>
          <w:p w14:paraId="2AE8AD75"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df2</w:t>
            </w:r>
          </w:p>
        </w:tc>
        <w:tc>
          <w:tcPr>
            <w:tcW w:w="0" w:type="auto"/>
          </w:tcPr>
          <w:p w14:paraId="3B5336FF"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p-value</w:t>
            </w:r>
          </w:p>
        </w:tc>
        <w:tc>
          <w:tcPr>
            <w:tcW w:w="0" w:type="auto"/>
          </w:tcPr>
          <w:p w14:paraId="0271B825"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Decision</w:t>
            </w:r>
          </w:p>
        </w:tc>
      </w:tr>
      <w:tr w:rsidR="0012408E" w:rsidRPr="0012408E" w14:paraId="6A9C7759" w14:textId="77777777" w:rsidTr="0012408E">
        <w:tc>
          <w:tcPr>
            <w:tcW w:w="0" w:type="auto"/>
          </w:tcPr>
          <w:p w14:paraId="4F67F88F"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Basic Competencies</w:t>
            </w:r>
          </w:p>
        </w:tc>
        <w:tc>
          <w:tcPr>
            <w:tcW w:w="0" w:type="auto"/>
          </w:tcPr>
          <w:p w14:paraId="62B77524"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6.09</w:t>
            </w:r>
          </w:p>
        </w:tc>
        <w:tc>
          <w:tcPr>
            <w:tcW w:w="0" w:type="auto"/>
          </w:tcPr>
          <w:p w14:paraId="3315D533"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67A0C750"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48.0</w:t>
            </w:r>
          </w:p>
        </w:tc>
        <w:tc>
          <w:tcPr>
            <w:tcW w:w="0" w:type="auto"/>
          </w:tcPr>
          <w:p w14:paraId="1E0B3456"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.001</w:t>
            </w:r>
          </w:p>
        </w:tc>
        <w:tc>
          <w:tcPr>
            <w:tcW w:w="0" w:type="auto"/>
          </w:tcPr>
          <w:p w14:paraId="2EE38CC7"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r w:rsidR="0012408E" w:rsidRPr="0012408E" w14:paraId="3C12876C" w14:textId="77777777" w:rsidTr="0012408E">
        <w:tc>
          <w:tcPr>
            <w:tcW w:w="0" w:type="auto"/>
          </w:tcPr>
          <w:p w14:paraId="0F9B6EFF"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Common Competencies</w:t>
            </w:r>
          </w:p>
        </w:tc>
        <w:tc>
          <w:tcPr>
            <w:tcW w:w="0" w:type="auto"/>
          </w:tcPr>
          <w:p w14:paraId="58FDE20F"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10.19</w:t>
            </w:r>
          </w:p>
        </w:tc>
        <w:tc>
          <w:tcPr>
            <w:tcW w:w="0" w:type="auto"/>
          </w:tcPr>
          <w:p w14:paraId="1ED646D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1D68ADCE"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50.3</w:t>
            </w:r>
          </w:p>
        </w:tc>
        <w:tc>
          <w:tcPr>
            <w:tcW w:w="0" w:type="auto"/>
          </w:tcPr>
          <w:p w14:paraId="53E06970"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&lt; .001</w:t>
            </w:r>
          </w:p>
        </w:tc>
        <w:tc>
          <w:tcPr>
            <w:tcW w:w="0" w:type="auto"/>
          </w:tcPr>
          <w:p w14:paraId="6339D0F7"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r w:rsidR="0012408E" w:rsidRPr="0012408E" w14:paraId="4C1C7F00" w14:textId="77777777" w:rsidTr="0012408E">
        <w:tc>
          <w:tcPr>
            <w:tcW w:w="0" w:type="auto"/>
          </w:tcPr>
          <w:p w14:paraId="2DE1FF18"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Core Competencies</w:t>
            </w:r>
          </w:p>
        </w:tc>
        <w:tc>
          <w:tcPr>
            <w:tcW w:w="0" w:type="auto"/>
          </w:tcPr>
          <w:p w14:paraId="520412C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9.35</w:t>
            </w:r>
          </w:p>
        </w:tc>
        <w:tc>
          <w:tcPr>
            <w:tcW w:w="0" w:type="auto"/>
          </w:tcPr>
          <w:p w14:paraId="01518569"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3</w:t>
            </w:r>
          </w:p>
        </w:tc>
        <w:tc>
          <w:tcPr>
            <w:tcW w:w="0" w:type="auto"/>
          </w:tcPr>
          <w:p w14:paraId="2F77BF33"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48.9</w:t>
            </w:r>
          </w:p>
        </w:tc>
        <w:tc>
          <w:tcPr>
            <w:tcW w:w="0" w:type="auto"/>
          </w:tcPr>
          <w:p w14:paraId="1FEEC7E5" w14:textId="77777777" w:rsidR="0012408E" w:rsidRPr="0012408E" w:rsidRDefault="0012408E" w:rsidP="005E2AC1">
            <w:pPr>
              <w:pStyle w:val="Compact"/>
              <w:jc w:val="right"/>
              <w:rPr>
                <w:rFonts w:ascii="Times New Roman" w:hAnsi="Times New Roman" w:cs="Times New Roman"/>
              </w:rPr>
            </w:pPr>
            <w:r w:rsidRPr="0012408E">
              <w:rPr>
                <w:rFonts w:ascii="Times New Roman" w:hAnsi="Times New Roman" w:cs="Times New Roman"/>
              </w:rPr>
              <w:t>&lt; .001</w:t>
            </w:r>
          </w:p>
        </w:tc>
        <w:tc>
          <w:tcPr>
            <w:tcW w:w="0" w:type="auto"/>
          </w:tcPr>
          <w:p w14:paraId="26775C4B" w14:textId="77777777" w:rsidR="0012408E" w:rsidRPr="0012408E" w:rsidRDefault="0012408E" w:rsidP="005E2AC1">
            <w:pPr>
              <w:pStyle w:val="Compact"/>
              <w:rPr>
                <w:rFonts w:ascii="Times New Roman" w:hAnsi="Times New Roman" w:cs="Times New Roman"/>
              </w:rPr>
            </w:pPr>
            <w:r w:rsidRPr="0012408E">
              <w:rPr>
                <w:rFonts w:ascii="Times New Roman" w:hAnsi="Times New Roman" w:cs="Times New Roman"/>
              </w:rPr>
              <w:t>Significant</w:t>
            </w:r>
          </w:p>
        </w:tc>
      </w:tr>
    </w:tbl>
    <w:p w14:paraId="01CD425A"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i/>
          <w:iCs/>
        </w:rPr>
        <w:t>Note.</w:t>
      </w:r>
      <w:r w:rsidRPr="0012408E">
        <w:rPr>
          <w:rFonts w:ascii="Times New Roman" w:hAnsi="Times New Roman" w:cs="Times New Roman"/>
        </w:rPr>
        <w:t xml:space="preserve"> Significant at </w:t>
      </w:r>
      <w:r w:rsidRPr="0012408E">
        <w:rPr>
          <w:rFonts w:ascii="Times New Roman" w:hAnsi="Times New Roman" w:cs="Times New Roman"/>
          <w:i/>
          <w:iCs/>
        </w:rPr>
        <w:t>p</w:t>
      </w:r>
      <w:r w:rsidRPr="0012408E">
        <w:rPr>
          <w:rFonts w:ascii="Times New Roman" w:hAnsi="Times New Roman" w:cs="Times New Roman"/>
        </w:rPr>
        <w:t xml:space="preserve"> &lt; .05.</w:t>
      </w:r>
    </w:p>
    <w:p w14:paraId="3A7739E8"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b/>
          <w:bCs/>
        </w:rPr>
        <w:t>Table 5</w:t>
      </w:r>
      <w:r w:rsidRPr="0012408E">
        <w:rPr>
          <w:rFonts w:ascii="Times New Roman" w:hAnsi="Times New Roman" w:cs="Times New Roman"/>
        </w:rPr>
        <w:t xml:space="preserve"> shows that significant differences existed in all three competency domains when respondents were grouped according to year level. Basic Competencies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48.0) = 6.09, </w:t>
      </w:r>
      <w:r w:rsidRPr="0012408E">
        <w:rPr>
          <w:rFonts w:ascii="Times New Roman" w:hAnsi="Times New Roman" w:cs="Times New Roman"/>
          <w:i/>
          <w:iCs/>
        </w:rPr>
        <w:t>p</w:t>
      </w:r>
      <w:r w:rsidRPr="0012408E">
        <w:rPr>
          <w:rFonts w:ascii="Times New Roman" w:hAnsi="Times New Roman" w:cs="Times New Roman"/>
        </w:rPr>
        <w:t xml:space="preserve"> = .001. Common Competencies also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50.3) = 10.19, </w:t>
      </w:r>
      <w:r w:rsidRPr="0012408E">
        <w:rPr>
          <w:rFonts w:ascii="Times New Roman" w:hAnsi="Times New Roman" w:cs="Times New Roman"/>
          <w:i/>
          <w:iCs/>
        </w:rPr>
        <w:t>p</w:t>
      </w:r>
      <w:r w:rsidRPr="0012408E">
        <w:rPr>
          <w:rFonts w:ascii="Times New Roman" w:hAnsi="Times New Roman" w:cs="Times New Roman"/>
        </w:rPr>
        <w:t xml:space="preserve"> &lt; .001. Core Competencies likewise showed a significant difference, </w:t>
      </w:r>
      <w:proofErr w:type="gramStart"/>
      <w:r w:rsidRPr="0012408E">
        <w:rPr>
          <w:rFonts w:ascii="Times New Roman" w:hAnsi="Times New Roman" w:cs="Times New Roman"/>
          <w:i/>
          <w:iCs/>
        </w:rPr>
        <w:t>F</w:t>
      </w:r>
      <w:r w:rsidRPr="0012408E">
        <w:rPr>
          <w:rFonts w:ascii="Times New Roman" w:hAnsi="Times New Roman" w:cs="Times New Roman"/>
        </w:rPr>
        <w:t>(</w:t>
      </w:r>
      <w:proofErr w:type="gramEnd"/>
      <w:r w:rsidRPr="0012408E">
        <w:rPr>
          <w:rFonts w:ascii="Times New Roman" w:hAnsi="Times New Roman" w:cs="Times New Roman"/>
        </w:rPr>
        <w:t xml:space="preserve">3, 48.9) = 9.35, </w:t>
      </w:r>
      <w:r w:rsidRPr="0012408E">
        <w:rPr>
          <w:rFonts w:ascii="Times New Roman" w:hAnsi="Times New Roman" w:cs="Times New Roman"/>
          <w:i/>
          <w:iCs/>
        </w:rPr>
        <w:t>p</w:t>
      </w:r>
      <w:r w:rsidRPr="0012408E">
        <w:rPr>
          <w:rFonts w:ascii="Times New Roman" w:hAnsi="Times New Roman" w:cs="Times New Roman"/>
        </w:rPr>
        <w:t xml:space="preserve"> &lt; .001.</w:t>
      </w:r>
    </w:p>
    <w:p w14:paraId="0AF55081"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rPr>
        <w:lastRenderedPageBreak/>
        <w:t>Since all p-values are less than .05, the null hypothesis was rejected for all three competency domains. This indicates that students’ readiness for Housekeeping NC II certification significantly differed according to year level.</w:t>
      </w:r>
    </w:p>
    <w:p w14:paraId="6E673B92" w14:textId="77777777" w:rsidR="0012408E" w:rsidRPr="0012408E" w:rsidRDefault="0012408E" w:rsidP="0012408E">
      <w:pPr>
        <w:spacing w:before="240" w:after="240" w:line="240" w:lineRule="auto"/>
        <w:jc w:val="both"/>
        <w:rPr>
          <w:rFonts w:ascii="Times New Roman" w:hAnsi="Times New Roman" w:cs="Times New Roman"/>
          <w:b/>
          <w:bCs/>
        </w:rPr>
      </w:pPr>
      <w:r w:rsidRPr="0012408E">
        <w:rPr>
          <w:rFonts w:ascii="Times New Roman" w:hAnsi="Times New Roman" w:cs="Times New Roman"/>
          <w:b/>
          <w:bCs/>
        </w:rPr>
        <w:t>Summary of Results</w:t>
      </w:r>
    </w:p>
    <w:p w14:paraId="09654648"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rPr>
        <w:t xml:space="preserve">The findings revealed that BSHM students were generally </w:t>
      </w:r>
      <w:r w:rsidRPr="0012408E">
        <w:rPr>
          <w:rFonts w:ascii="Times New Roman" w:hAnsi="Times New Roman" w:cs="Times New Roman"/>
          <w:b/>
          <w:bCs/>
        </w:rPr>
        <w:t>Not Ready</w:t>
      </w:r>
      <w:r w:rsidRPr="0012408E">
        <w:rPr>
          <w:rFonts w:ascii="Times New Roman" w:hAnsi="Times New Roman" w:cs="Times New Roman"/>
        </w:rPr>
        <w:t xml:space="preserve"> for Housekeeping NC II certification in terms of Basic, Common, and Core Competencies. Among the three domains, Core Competencies obtained the highest mean score, while Basic Competencies obtained the lowest mean score. However, all three competency domains remained within the Not Ready range.</w:t>
      </w:r>
    </w:p>
    <w:p w14:paraId="0D45DD8D" w14:textId="77777777" w:rsidR="0012408E" w:rsidRPr="0012408E" w:rsidRDefault="0012408E" w:rsidP="0012408E">
      <w:pPr>
        <w:spacing w:before="240" w:after="240" w:line="240" w:lineRule="auto"/>
        <w:jc w:val="both"/>
        <w:rPr>
          <w:rFonts w:ascii="Times New Roman" w:hAnsi="Times New Roman" w:cs="Times New Roman"/>
        </w:rPr>
      </w:pPr>
      <w:r w:rsidRPr="0012408E">
        <w:rPr>
          <w:rFonts w:ascii="Times New Roman" w:hAnsi="Times New Roman" w:cs="Times New Roman"/>
        </w:rPr>
        <w:t>The results also showed that readiness differed significantly according to selected demographic characteristics. Sex showed a significant difference only in Basic Competencies, while age and year level showed significant differences across all three competency domains. These findings suggest that demographic characteristics, particularly age and academic progression, may be associated with students’ perceived readiness for Housekeeping NC II certification.</w:t>
      </w:r>
    </w:p>
    <w:p w14:paraId="2743EF38" w14:textId="0E563388" w:rsidR="0012408E" w:rsidRDefault="00167609" w:rsidP="002335D3">
      <w:pPr>
        <w:spacing w:before="240" w:after="240" w:line="240" w:lineRule="auto"/>
        <w:jc w:val="both"/>
        <w:rPr>
          <w:rFonts w:ascii="Times New Roman" w:hAnsi="Times New Roman" w:cs="Times New Roman"/>
          <w:b/>
          <w:bCs/>
          <w:sz w:val="28"/>
          <w:szCs w:val="28"/>
        </w:rPr>
      </w:pPr>
      <w:r w:rsidRPr="00167609">
        <w:rPr>
          <w:rFonts w:ascii="Times New Roman" w:hAnsi="Times New Roman" w:cs="Times New Roman"/>
          <w:b/>
          <w:bCs/>
          <w:sz w:val="28"/>
          <w:szCs w:val="28"/>
        </w:rPr>
        <w:t>DISCUSSION</w:t>
      </w:r>
    </w:p>
    <w:p w14:paraId="5B553A10"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The findings revealed that Bachelor of Science in Hospitality Management students were generally </w:t>
      </w:r>
      <w:r w:rsidRPr="00167609">
        <w:rPr>
          <w:rFonts w:ascii="Times New Roman" w:hAnsi="Times New Roman" w:cs="Times New Roman"/>
          <w:b/>
          <w:bCs/>
        </w:rPr>
        <w:t>Not Ready</w:t>
      </w:r>
      <w:r w:rsidRPr="00167609">
        <w:rPr>
          <w:rFonts w:ascii="Times New Roman" w:hAnsi="Times New Roman" w:cs="Times New Roman"/>
        </w:rPr>
        <w:t xml:space="preserve"> for TESDA Housekeeping NC II certification in terms of Basic Competencies, Common Competencies, and Core Competencies. This result is significant because Housekeeping NC II certification is competency-based and requires students to demonstrate practical skills, workplace behavior, and service-related competencies aligned with national industry standards. TESDA Housekeeping NC II identifies Basic, Common, and Core Competencies as essential areas for housekeeping-related work in accommodation establishments (Technical Education and Skills Development Authority [TESDA], 2013). Therefore, the low readiness scores across all three domains suggest that students may require stronger preparation before undergoing national certification assessment.</w:t>
      </w:r>
    </w:p>
    <w:p w14:paraId="6FA15F3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low readiness in Basic Competencies indicates that students may still need further development in foundational workplace skills such as communication, teamwork, career professionalism, and occupational health and safety. These competencies are important because they support effective performance in hospitality workplaces where employees are expected to interact with colleagues, follow procedures, observe safety standards, and maintain professional behavior. In competency-based education, learning outcomes should be clearly defined and assessed based on students’ ability to demonstrate expected knowledge, skills, values, and behaviors (Gervais, 2016). Thus, the low readiness in Basic Competencies may indicate the need for stronger integration of workplace communication, team-based learning, professionalism, and safety-related activities across hospitality subjects.</w:t>
      </w:r>
    </w:p>
    <w:p w14:paraId="1CCE8DEF"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The findings also showed that students were not ready in Common Competencies. These competencies include industry knowledge, workplace hygiene, computer operations, workplace safety practices, and customer service. In hospitality education, these areas are essential because service quality depends not only on technical performance but also on hygiene, safety, guest interaction, and service responsiveness. Succi and </w:t>
      </w:r>
      <w:proofErr w:type="spellStart"/>
      <w:r w:rsidRPr="00167609">
        <w:rPr>
          <w:rFonts w:ascii="Times New Roman" w:hAnsi="Times New Roman" w:cs="Times New Roman"/>
        </w:rPr>
        <w:t>Canovi</w:t>
      </w:r>
      <w:proofErr w:type="spellEnd"/>
      <w:r w:rsidRPr="00167609">
        <w:rPr>
          <w:rFonts w:ascii="Times New Roman" w:hAnsi="Times New Roman" w:cs="Times New Roman"/>
        </w:rPr>
        <w:t xml:space="preserve"> (2020) emphasized that employers highly value soft skills such as communication, teamwork, adaptability, and problem-solving because these skills contribute to graduate employability. Similarly, </w:t>
      </w:r>
      <w:proofErr w:type="spellStart"/>
      <w:r w:rsidRPr="00167609">
        <w:rPr>
          <w:rFonts w:ascii="Times New Roman" w:hAnsi="Times New Roman" w:cs="Times New Roman"/>
        </w:rPr>
        <w:t>Dzia</w:t>
      </w:r>
      <w:proofErr w:type="spellEnd"/>
      <w:r w:rsidRPr="00167609">
        <w:rPr>
          <w:rFonts w:ascii="Times New Roman" w:hAnsi="Times New Roman" w:cs="Times New Roman"/>
        </w:rPr>
        <w:t xml:space="preserve">-Uddin, </w:t>
      </w:r>
      <w:proofErr w:type="spellStart"/>
      <w:r w:rsidRPr="00167609">
        <w:rPr>
          <w:rFonts w:ascii="Times New Roman" w:hAnsi="Times New Roman" w:cs="Times New Roman"/>
        </w:rPr>
        <w:t>Minghat</w:t>
      </w:r>
      <w:proofErr w:type="spellEnd"/>
      <w:r w:rsidRPr="00167609">
        <w:rPr>
          <w:rFonts w:ascii="Times New Roman" w:hAnsi="Times New Roman" w:cs="Times New Roman"/>
        </w:rPr>
        <w:t>, and Wan Zakaria (2023) reported that post-pandemic hospitality graduates need a combination of knowledge, technical skills, attitudes, and interpersonal competencies to remain employable in changing service environments. The low readiness in Common Competencies therefore suggests the need to strengthen practical, customer-oriented, and workplace-based learning experiences.</w:t>
      </w:r>
    </w:p>
    <w:p w14:paraId="3B27D248"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The low readiness in Core Competencies is particularly important because these competencies directly represent the technical tasks required in Housekeeping NC II. These include providing housekeeping services to guests, cleaning and preparing rooms, providing valet or butler services, laundering linen and guest clothes, cleaning public areas and equipment, and handling guest-related concerns. Since these tasks require actual performance, classroom instruction alone may not be enough to prepare students for certification. Jackson and </w:t>
      </w:r>
      <w:proofErr w:type="spellStart"/>
      <w:r w:rsidRPr="00167609">
        <w:rPr>
          <w:rFonts w:ascii="Times New Roman" w:hAnsi="Times New Roman" w:cs="Times New Roman"/>
        </w:rPr>
        <w:t>Bridgstock</w:t>
      </w:r>
      <w:proofErr w:type="spellEnd"/>
      <w:r w:rsidRPr="00167609">
        <w:rPr>
          <w:rFonts w:ascii="Times New Roman" w:hAnsi="Times New Roman" w:cs="Times New Roman"/>
        </w:rPr>
        <w:t xml:space="preserve"> </w:t>
      </w:r>
      <w:r w:rsidRPr="00167609">
        <w:rPr>
          <w:rFonts w:ascii="Times New Roman" w:hAnsi="Times New Roman" w:cs="Times New Roman"/>
        </w:rPr>
        <w:lastRenderedPageBreak/>
        <w:t>(2021) found that employability is strengthened through curricular, co-curricular, extracurricular, and work-related experiences that allow students to develop skills, gain experience, and build employment readiness. For hospitality students, this means that laboratory activities, simulations, return demonstrations, practicum, and industry immersion should be intensified to improve technical readiness.</w:t>
      </w:r>
    </w:p>
    <w:p w14:paraId="01BAE070"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overall low readiness across all competency domains may also indicate a gap between curriculum delivery and competency assessment requirements. Although the Bachelor of Science in Hospitality Management program is guided by outcomes-based education, students may still require more structured exposure to TESDA-based performance standards. CHED CMO No. 62, series of 2017, emphasizes the preparation of hospitality management graduates for operational, supervisory, and managerial functions in the hospitality and tourism sectors (Commission on Higher Education [CHED], 2017). However, achieving these outcomes requires continuous alignment among classroom instruction, laboratory training, industry exposure, and national competency standards. If students perceive themselves as not ready, the program may need to review how Housekeeping NC II competencies are introduced, practiced, monitored, and assessed throughout the curriculum.</w:t>
      </w:r>
    </w:p>
    <w:p w14:paraId="7940D8B7"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significant difference in Basic Competency readiness when respondents were grouped according to sex indicates that male and female students differed in their self-assessed readiness in foundational workplace competencies. However, no significant differences were found in Common and Core Competencies according to sex. This suggests that sex may be associated with differences in students’ perceived readiness in basic workplace skills, but not necessarily in service-oriented and technical housekeeping competencies. This finding should be interpreted cautiously because the available results do not include group means showing which group had higher readiness. Nevertheless, the result implies that instructional strategies for Basic Competencies should be inclusive and should provide equal opportunities for all students to practice communication, teamwork, professionalism, and workplace safety.</w:t>
      </w:r>
    </w:p>
    <w:p w14:paraId="47C6CEE1"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significant differences in readiness when respondents were grouped according to age suggest that students’ perceived preparedness for Housekeeping NC II certification varies across age groups. This may be related to differences in maturity, academic experience, confidence, and exposure to practical learning activities. However, because the results do not include post hoc comparisons or group mean scores, the specific age groups that differed cannot be identified. Despite this limitation, the finding suggests that readiness interventions may need to consider students’ developmental and experiential differences. Younger students may benefit from earlier exposure to housekeeping tasks, while older students may need more advanced competency reinforcement before certification.</w:t>
      </w:r>
    </w:p>
    <w:p w14:paraId="30FB7BF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significant differences in readiness according to year level also suggest that academic progression may be related to students’ perceived preparedness. Students in higher academic levels are generally expected to have greater exposure to hospitality courses, laboratory activities, practical assessments, and industry-based experiences. However, as with age, the absence of group mean scores limits the interpretation of which specific year levels had higher or lower readiness. Still, the significant ANOVA results indicate that readiness is not uniform across academic levels. This supports the need for a scaffolded competency development plan in which Housekeeping NC II competencies are introduced early, reinforced progressively, and assessed continuously from first year to fourth year.</w:t>
      </w:r>
    </w:p>
    <w:p w14:paraId="3ACF4743"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The findings have important implications for curriculum enhancement. First, Housekeeping NC II competencies should be clearly mapped across the BSHM curriculum to determine where Basic, Common, and Core Competencies are introduced, practiced, and assessed. Second, laboratory instruction should be strengthened to ensure that students regularly perform housekeeping tasks rather than merely study the procedures. Third, diagnostic readiness assessments may be administered before students undergo TESDA assessment to identify competency gaps early. Fourth, simulation-based activities, mock competency assessments, role-playing, return demonstrations, and industry immersion may help students build confidence and technical proficiency. These strategies are consistent with competency-based education because they require students to demonstrate skills in realistic contexts (Gervais, 2016; Holmes et al., 2021).</w:t>
      </w:r>
    </w:p>
    <w:p w14:paraId="3CEDA65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lastRenderedPageBreak/>
        <w:t xml:space="preserve">The results also highlight the need for stronger collaboration among higher education institutions, TESDA-accredited assessment centers, and hospitality industry partners. Housekeeping competencies are practical and workplace-based; therefore, students benefit from exposure to actual accommodation settings. Baum, Mooney, Robinson, and </w:t>
      </w:r>
      <w:proofErr w:type="spellStart"/>
      <w:r w:rsidRPr="00167609">
        <w:rPr>
          <w:rFonts w:ascii="Times New Roman" w:hAnsi="Times New Roman" w:cs="Times New Roman"/>
        </w:rPr>
        <w:t>Solnet</w:t>
      </w:r>
      <w:proofErr w:type="spellEnd"/>
      <w:r w:rsidRPr="00167609">
        <w:rPr>
          <w:rFonts w:ascii="Times New Roman" w:hAnsi="Times New Roman" w:cs="Times New Roman"/>
        </w:rPr>
        <w:t xml:space="preserve"> (2020) emphasized that hospitality workforce challenges require renewed attention to labor preparedness and skills development. Similarly, Sigala (2020) argued that hospitality and tourism education must respond to changing industry demands after the pandemic. For BSHM programs, this means that certification readiness should be treated as part of employability preparation rather than as a separate requirement.</w:t>
      </w:r>
    </w:p>
    <w:p w14:paraId="041318A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Overall, the study indicates that BSHM students need stronger preparation for Housekeeping NC II certification. The finding that students were not ready across Basic, Common, and Core Competencies suggests the need for systematic curriculum review, improved laboratory training, and more frequent competency-based assessments. The significant differences according to sex, age, and year level further suggest that readiness may be influenced by demographic and academic factors. By addressing these gaps, the institution can better support students’ certification success, improve graduate employability, and contribute to the development of competent hospitality professionals who can meet national and industry standards.</w:t>
      </w:r>
    </w:p>
    <w:p w14:paraId="4FED90E1" w14:textId="1EB5B710" w:rsidR="00167609" w:rsidRPr="00167609" w:rsidRDefault="00167609" w:rsidP="002335D3">
      <w:pPr>
        <w:spacing w:before="240" w:after="240" w:line="240" w:lineRule="auto"/>
        <w:jc w:val="both"/>
        <w:rPr>
          <w:rFonts w:ascii="Times New Roman" w:hAnsi="Times New Roman" w:cs="Times New Roman"/>
          <w:b/>
          <w:bCs/>
          <w:sz w:val="28"/>
          <w:szCs w:val="28"/>
        </w:rPr>
      </w:pPr>
      <w:r w:rsidRPr="00167609">
        <w:rPr>
          <w:rFonts w:ascii="Times New Roman" w:hAnsi="Times New Roman" w:cs="Times New Roman"/>
          <w:b/>
          <w:bCs/>
          <w:sz w:val="28"/>
          <w:szCs w:val="28"/>
        </w:rPr>
        <w:t>REFERENCES</w:t>
      </w:r>
    </w:p>
    <w:p w14:paraId="2328F6BC"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 Baum, T., Mooney, S. K. K., Robinson, R. N. S., &amp; </w:t>
      </w:r>
      <w:proofErr w:type="spellStart"/>
      <w:r w:rsidRPr="00167609">
        <w:rPr>
          <w:rFonts w:ascii="Times New Roman" w:hAnsi="Times New Roman" w:cs="Times New Roman"/>
        </w:rPr>
        <w:t>Solnet</w:t>
      </w:r>
      <w:proofErr w:type="spellEnd"/>
      <w:r w:rsidRPr="00167609">
        <w:rPr>
          <w:rFonts w:ascii="Times New Roman" w:hAnsi="Times New Roman" w:cs="Times New Roman"/>
        </w:rPr>
        <w:t xml:space="preserve">, D. (2020). COVID-19’s impact on the hospitality workforce—New crisis or amplification of the norm? </w:t>
      </w:r>
      <w:r w:rsidRPr="00167609">
        <w:rPr>
          <w:rFonts w:ascii="Times New Roman" w:hAnsi="Times New Roman" w:cs="Times New Roman"/>
          <w:i/>
          <w:iCs/>
        </w:rPr>
        <w:t>International Journal of Contemporary Hospitality Management, 32</w:t>
      </w:r>
      <w:r w:rsidRPr="00167609">
        <w:rPr>
          <w:rFonts w:ascii="Times New Roman" w:hAnsi="Times New Roman" w:cs="Times New Roman"/>
        </w:rPr>
        <w:t xml:space="preserve">(9), 2813–2829. </w:t>
      </w:r>
      <w:hyperlink r:id="rId6" w:history="1">
        <w:r w:rsidRPr="00167609">
          <w:rPr>
            <w:rStyle w:val="Hyperlink"/>
            <w:rFonts w:ascii="Times New Roman" w:hAnsi="Times New Roman" w:cs="Times New Roman"/>
          </w:rPr>
          <w:t>https://doi.org/10.1108/IJCHM-04-2020-0314</w:t>
        </w:r>
      </w:hyperlink>
    </w:p>
    <w:p w14:paraId="758E473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[2] Commission on Higher Education. (2017). </w:t>
      </w:r>
      <w:r w:rsidRPr="00167609">
        <w:rPr>
          <w:rFonts w:ascii="Times New Roman" w:hAnsi="Times New Roman" w:cs="Times New Roman"/>
          <w:i/>
          <w:iCs/>
        </w:rPr>
        <w:t>CMO No. 62, series of 2017: Policies, standards and guidelines for Bachelor of Science in Tourism Management and Bachelor of Science in Hospitality Management</w:t>
      </w:r>
      <w:r w:rsidRPr="00167609">
        <w:rPr>
          <w:rFonts w:ascii="Times New Roman" w:hAnsi="Times New Roman" w:cs="Times New Roman"/>
        </w:rPr>
        <w:t>. Commission on Higher Education.</w:t>
      </w:r>
    </w:p>
    <w:p w14:paraId="6E4ED64E"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[3] Creswell, J. W., &amp; Creswell, J. D. (2018). </w:t>
      </w:r>
      <w:r w:rsidRPr="00167609">
        <w:rPr>
          <w:rFonts w:ascii="Times New Roman" w:hAnsi="Times New Roman" w:cs="Times New Roman"/>
          <w:i/>
          <w:iCs/>
        </w:rPr>
        <w:t xml:space="preserve">Research design: Qualitative, quantitative, and mixed methods </w:t>
      </w:r>
      <w:proofErr w:type="gramStart"/>
      <w:r w:rsidRPr="00167609">
        <w:rPr>
          <w:rFonts w:ascii="Times New Roman" w:hAnsi="Times New Roman" w:cs="Times New Roman"/>
          <w:i/>
          <w:iCs/>
        </w:rPr>
        <w:t>approaches</w:t>
      </w:r>
      <w:proofErr w:type="gramEnd"/>
      <w:r w:rsidRPr="00167609">
        <w:rPr>
          <w:rFonts w:ascii="Times New Roman" w:hAnsi="Times New Roman" w:cs="Times New Roman"/>
        </w:rPr>
        <w:t xml:space="preserve"> (5th ed.). SAGE Publications.</w:t>
      </w:r>
    </w:p>
    <w:p w14:paraId="6180598E"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[4] Cronbach, L. J. (1951). Coefficient alpha and the internal structure of tests. </w:t>
      </w:r>
      <w:r w:rsidRPr="00167609">
        <w:rPr>
          <w:rFonts w:ascii="Times New Roman" w:hAnsi="Times New Roman" w:cs="Times New Roman"/>
          <w:i/>
          <w:iCs/>
        </w:rPr>
        <w:t>Psychometrika, 16</w:t>
      </w:r>
      <w:r w:rsidRPr="00167609">
        <w:rPr>
          <w:rFonts w:ascii="Times New Roman" w:hAnsi="Times New Roman" w:cs="Times New Roman"/>
        </w:rPr>
        <w:t xml:space="preserve">(3), 297–334. </w:t>
      </w:r>
      <w:hyperlink r:id="rId7" w:history="1">
        <w:r w:rsidRPr="00167609">
          <w:rPr>
            <w:rStyle w:val="Hyperlink"/>
            <w:rFonts w:ascii="Times New Roman" w:hAnsi="Times New Roman" w:cs="Times New Roman"/>
          </w:rPr>
          <w:t>https://doi.org/10.1007/BF02310555</w:t>
        </w:r>
      </w:hyperlink>
    </w:p>
    <w:p w14:paraId="13F89A18"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[5] </w:t>
      </w:r>
      <w:proofErr w:type="spellStart"/>
      <w:r w:rsidRPr="00167609">
        <w:rPr>
          <w:rFonts w:ascii="Times New Roman" w:hAnsi="Times New Roman" w:cs="Times New Roman"/>
        </w:rPr>
        <w:t>Dzia</w:t>
      </w:r>
      <w:proofErr w:type="spellEnd"/>
      <w:r w:rsidRPr="00167609">
        <w:rPr>
          <w:rFonts w:ascii="Times New Roman" w:hAnsi="Times New Roman" w:cs="Times New Roman"/>
        </w:rPr>
        <w:t xml:space="preserve">-Uddin, D. N., </w:t>
      </w:r>
      <w:proofErr w:type="spellStart"/>
      <w:r w:rsidRPr="00167609">
        <w:rPr>
          <w:rFonts w:ascii="Times New Roman" w:hAnsi="Times New Roman" w:cs="Times New Roman"/>
        </w:rPr>
        <w:t>Minghat</w:t>
      </w:r>
      <w:proofErr w:type="spellEnd"/>
      <w:r w:rsidRPr="00167609">
        <w:rPr>
          <w:rFonts w:ascii="Times New Roman" w:hAnsi="Times New Roman" w:cs="Times New Roman"/>
        </w:rPr>
        <w:t xml:space="preserve">, A. D., &amp; Wan Zakaria, W. N. (2023). Systematic literature review of employability skills of hospitality graduates after COVID-19 era. </w:t>
      </w:r>
      <w:r w:rsidRPr="00167609">
        <w:rPr>
          <w:rFonts w:ascii="Times New Roman" w:hAnsi="Times New Roman" w:cs="Times New Roman"/>
          <w:i/>
          <w:iCs/>
        </w:rPr>
        <w:t>International Journal of Academic Research in Business and Social Sciences, 13</w:t>
      </w:r>
      <w:r w:rsidRPr="00167609">
        <w:rPr>
          <w:rFonts w:ascii="Times New Roman" w:hAnsi="Times New Roman" w:cs="Times New Roman"/>
        </w:rPr>
        <w:t xml:space="preserve">(10), 2155–2175. </w:t>
      </w:r>
      <w:hyperlink r:id="rId8" w:history="1">
        <w:r w:rsidRPr="00167609">
          <w:rPr>
            <w:rStyle w:val="Hyperlink"/>
            <w:rFonts w:ascii="Times New Roman" w:hAnsi="Times New Roman" w:cs="Times New Roman"/>
          </w:rPr>
          <w:t>https://doi.org/10.6007/IJARBSS/v13-i10/19116</w:t>
        </w:r>
      </w:hyperlink>
    </w:p>
    <w:p w14:paraId="433C47B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[6] Gervais, J. (2016). The operational definition of competency-based education. </w:t>
      </w:r>
      <w:r w:rsidRPr="00167609">
        <w:rPr>
          <w:rFonts w:ascii="Times New Roman" w:hAnsi="Times New Roman" w:cs="Times New Roman"/>
          <w:i/>
          <w:iCs/>
        </w:rPr>
        <w:t>The Journal of Competency-Based Education, 1</w:t>
      </w:r>
      <w:r w:rsidRPr="00167609">
        <w:rPr>
          <w:rFonts w:ascii="Times New Roman" w:hAnsi="Times New Roman" w:cs="Times New Roman"/>
        </w:rPr>
        <w:t xml:space="preserve">(2), 98–106. </w:t>
      </w:r>
      <w:hyperlink r:id="rId9" w:history="1">
        <w:r w:rsidRPr="00167609">
          <w:rPr>
            <w:rStyle w:val="Hyperlink"/>
            <w:rFonts w:ascii="Times New Roman" w:hAnsi="Times New Roman" w:cs="Times New Roman"/>
          </w:rPr>
          <w:t>https://doi.org/10.1002/cbe2.1011</w:t>
        </w:r>
      </w:hyperlink>
    </w:p>
    <w:p w14:paraId="7A97E569"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[7] Holmes, A. G. D., Tuin, M. P., &amp; Turner, S. L. (2021). Competence and competency in higher education, simple terms yet with complex meanings: Theoretical and practical issues for university teachers and assessors implementing competency-based education. </w:t>
      </w:r>
      <w:r w:rsidRPr="00167609">
        <w:rPr>
          <w:rFonts w:ascii="Times New Roman" w:hAnsi="Times New Roman" w:cs="Times New Roman"/>
          <w:i/>
          <w:iCs/>
        </w:rPr>
        <w:t>Educational Process: International Journal, 10</w:t>
      </w:r>
      <w:r w:rsidRPr="00167609">
        <w:rPr>
          <w:rFonts w:ascii="Times New Roman" w:hAnsi="Times New Roman" w:cs="Times New Roman"/>
        </w:rPr>
        <w:t xml:space="preserve">(3), 39–52. </w:t>
      </w:r>
      <w:hyperlink r:id="rId10" w:history="1">
        <w:r w:rsidRPr="00167609">
          <w:rPr>
            <w:rStyle w:val="Hyperlink"/>
            <w:rFonts w:ascii="Times New Roman" w:hAnsi="Times New Roman" w:cs="Times New Roman"/>
          </w:rPr>
          <w:t>https://doi.org/10.22521/edupij.2021.103.3</w:t>
        </w:r>
      </w:hyperlink>
    </w:p>
    <w:p w14:paraId="3048D43F"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[8] Jackson, D., &amp; </w:t>
      </w:r>
      <w:proofErr w:type="spellStart"/>
      <w:r w:rsidRPr="00167609">
        <w:rPr>
          <w:rFonts w:ascii="Times New Roman" w:hAnsi="Times New Roman" w:cs="Times New Roman"/>
        </w:rPr>
        <w:t>Bridgstock</w:t>
      </w:r>
      <w:proofErr w:type="spellEnd"/>
      <w:r w:rsidRPr="00167609">
        <w:rPr>
          <w:rFonts w:ascii="Times New Roman" w:hAnsi="Times New Roman" w:cs="Times New Roman"/>
        </w:rPr>
        <w:t xml:space="preserve">, R. (2021). What actually works to enhance graduate employability? The relative value of curricular, co-curricular, and extra-curricular learning and paid work. </w:t>
      </w:r>
      <w:r w:rsidRPr="00167609">
        <w:rPr>
          <w:rFonts w:ascii="Times New Roman" w:hAnsi="Times New Roman" w:cs="Times New Roman"/>
          <w:i/>
          <w:iCs/>
        </w:rPr>
        <w:t>Higher Education, 81</w:t>
      </w:r>
      <w:r w:rsidRPr="00167609">
        <w:rPr>
          <w:rFonts w:ascii="Times New Roman" w:hAnsi="Times New Roman" w:cs="Times New Roman"/>
        </w:rPr>
        <w:t xml:space="preserve">(4), 723–739. </w:t>
      </w:r>
      <w:hyperlink r:id="rId11" w:history="1">
        <w:r w:rsidRPr="00167609">
          <w:rPr>
            <w:rStyle w:val="Hyperlink"/>
            <w:rFonts w:ascii="Times New Roman" w:hAnsi="Times New Roman" w:cs="Times New Roman"/>
          </w:rPr>
          <w:t>https://doi.org/10.1007/s10734-020-00570-x</w:t>
        </w:r>
      </w:hyperlink>
    </w:p>
    <w:p w14:paraId="75034C53"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[9] Likert, R. (1932). A technique for the measurement of attitudes. </w:t>
      </w:r>
      <w:r w:rsidRPr="00167609">
        <w:rPr>
          <w:rFonts w:ascii="Times New Roman" w:hAnsi="Times New Roman" w:cs="Times New Roman"/>
          <w:i/>
          <w:iCs/>
        </w:rPr>
        <w:t>Archives of Psychology, 22</w:t>
      </w:r>
      <w:r w:rsidRPr="00167609">
        <w:rPr>
          <w:rFonts w:ascii="Times New Roman" w:hAnsi="Times New Roman" w:cs="Times New Roman"/>
        </w:rPr>
        <w:t>(140), 1–55.</w:t>
      </w:r>
    </w:p>
    <w:p w14:paraId="1A940B62"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[10] Pérez Zúñiga, R., Martínez García, M., &amp; Oliva Ibarra, F. E. (2025). Employability and its relationship with the competency-based approach, teaching methodologies, and assessment in higher education: A systematic review. </w:t>
      </w:r>
      <w:r w:rsidRPr="00167609">
        <w:rPr>
          <w:rFonts w:ascii="Times New Roman" w:hAnsi="Times New Roman" w:cs="Times New Roman"/>
          <w:i/>
          <w:iCs/>
        </w:rPr>
        <w:t>Frontiers in Education, 10</w:t>
      </w:r>
      <w:r w:rsidRPr="00167609">
        <w:rPr>
          <w:rFonts w:ascii="Times New Roman" w:hAnsi="Times New Roman" w:cs="Times New Roman"/>
        </w:rPr>
        <w:t xml:space="preserve">, Article 1703144. </w:t>
      </w:r>
      <w:hyperlink r:id="rId12" w:history="1">
        <w:r w:rsidRPr="00167609">
          <w:rPr>
            <w:rStyle w:val="Hyperlink"/>
            <w:rFonts w:ascii="Times New Roman" w:hAnsi="Times New Roman" w:cs="Times New Roman"/>
          </w:rPr>
          <w:t>https://doi.org/10.3389/feduc.2025.1703144</w:t>
        </w:r>
      </w:hyperlink>
    </w:p>
    <w:p w14:paraId="3C857290"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[11] Sigala, M. (2020). Tourism and COVID-19: Impacts and implications for advancing and resetting industry and research. </w:t>
      </w:r>
      <w:r w:rsidRPr="00167609">
        <w:rPr>
          <w:rFonts w:ascii="Times New Roman" w:hAnsi="Times New Roman" w:cs="Times New Roman"/>
          <w:i/>
          <w:iCs/>
        </w:rPr>
        <w:t>Journal of Business Research, 117</w:t>
      </w:r>
      <w:r w:rsidRPr="00167609">
        <w:rPr>
          <w:rFonts w:ascii="Times New Roman" w:hAnsi="Times New Roman" w:cs="Times New Roman"/>
        </w:rPr>
        <w:t xml:space="preserve">, 312–321. </w:t>
      </w:r>
      <w:hyperlink r:id="rId13" w:history="1">
        <w:r w:rsidRPr="00167609">
          <w:rPr>
            <w:rStyle w:val="Hyperlink"/>
            <w:rFonts w:ascii="Times New Roman" w:hAnsi="Times New Roman" w:cs="Times New Roman"/>
          </w:rPr>
          <w:t>https://doi.org/10.1016/j.jbusres.2020.06.015</w:t>
        </w:r>
      </w:hyperlink>
    </w:p>
    <w:p w14:paraId="6688CE7C"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lastRenderedPageBreak/>
        <w:t xml:space="preserve">[12] Succi, C., &amp; </w:t>
      </w:r>
      <w:proofErr w:type="spellStart"/>
      <w:r w:rsidRPr="00167609">
        <w:rPr>
          <w:rFonts w:ascii="Times New Roman" w:hAnsi="Times New Roman" w:cs="Times New Roman"/>
        </w:rPr>
        <w:t>Canovi</w:t>
      </w:r>
      <w:proofErr w:type="spellEnd"/>
      <w:r w:rsidRPr="00167609">
        <w:rPr>
          <w:rFonts w:ascii="Times New Roman" w:hAnsi="Times New Roman" w:cs="Times New Roman"/>
        </w:rPr>
        <w:t xml:space="preserve">, M. (2020). Soft skills to enhance graduate employability: Comparing students’ and employers’ perceptions. </w:t>
      </w:r>
      <w:r w:rsidRPr="00167609">
        <w:rPr>
          <w:rFonts w:ascii="Times New Roman" w:hAnsi="Times New Roman" w:cs="Times New Roman"/>
          <w:i/>
          <w:iCs/>
        </w:rPr>
        <w:t>Studies in Higher Education, 45</w:t>
      </w:r>
      <w:r w:rsidRPr="00167609">
        <w:rPr>
          <w:rFonts w:ascii="Times New Roman" w:hAnsi="Times New Roman" w:cs="Times New Roman"/>
        </w:rPr>
        <w:t xml:space="preserve">(9), 1834–1847. </w:t>
      </w:r>
      <w:hyperlink r:id="rId14" w:history="1">
        <w:r w:rsidRPr="00167609">
          <w:rPr>
            <w:rStyle w:val="Hyperlink"/>
            <w:rFonts w:ascii="Times New Roman" w:hAnsi="Times New Roman" w:cs="Times New Roman"/>
          </w:rPr>
          <w:t>https://doi.org/10.1080/03075079.2019.1585420</w:t>
        </w:r>
      </w:hyperlink>
    </w:p>
    <w:p w14:paraId="29665286"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[13] </w:t>
      </w:r>
      <w:proofErr w:type="spellStart"/>
      <w:r w:rsidRPr="00167609">
        <w:rPr>
          <w:rFonts w:ascii="Times New Roman" w:hAnsi="Times New Roman" w:cs="Times New Roman"/>
        </w:rPr>
        <w:t>Tavakol</w:t>
      </w:r>
      <w:proofErr w:type="spellEnd"/>
      <w:r w:rsidRPr="00167609">
        <w:rPr>
          <w:rFonts w:ascii="Times New Roman" w:hAnsi="Times New Roman" w:cs="Times New Roman"/>
        </w:rPr>
        <w:t xml:space="preserve">, M., &amp; Dennick, R. (2011). Making sense of Cronbach’s alpha. </w:t>
      </w:r>
      <w:r w:rsidRPr="00167609">
        <w:rPr>
          <w:rFonts w:ascii="Times New Roman" w:hAnsi="Times New Roman" w:cs="Times New Roman"/>
          <w:i/>
          <w:iCs/>
        </w:rPr>
        <w:t>International Journal of Medical Education, 2</w:t>
      </w:r>
      <w:r w:rsidRPr="00167609">
        <w:rPr>
          <w:rFonts w:ascii="Times New Roman" w:hAnsi="Times New Roman" w:cs="Times New Roman"/>
        </w:rPr>
        <w:t xml:space="preserve">, 53–55. </w:t>
      </w:r>
      <w:hyperlink r:id="rId15" w:history="1">
        <w:r w:rsidRPr="00167609">
          <w:rPr>
            <w:rStyle w:val="Hyperlink"/>
            <w:rFonts w:ascii="Times New Roman" w:hAnsi="Times New Roman" w:cs="Times New Roman"/>
          </w:rPr>
          <w:t>https://doi.org/10.5116/ijme.4dfb.8dfd</w:t>
        </w:r>
      </w:hyperlink>
    </w:p>
    <w:p w14:paraId="5578B299"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[14] Technical Education and Skills Development Authority. (2013). </w:t>
      </w:r>
      <w:r w:rsidRPr="00167609">
        <w:rPr>
          <w:rFonts w:ascii="Times New Roman" w:hAnsi="Times New Roman" w:cs="Times New Roman"/>
          <w:i/>
          <w:iCs/>
        </w:rPr>
        <w:t>Training regulations for Housekeeping NC II</w:t>
      </w:r>
      <w:r w:rsidRPr="00167609">
        <w:rPr>
          <w:rFonts w:ascii="Times New Roman" w:hAnsi="Times New Roman" w:cs="Times New Roman"/>
        </w:rPr>
        <w:t>. TESDA.</w:t>
      </w:r>
    </w:p>
    <w:p w14:paraId="12688235"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[15] UN Tourism. (2025). </w:t>
      </w:r>
      <w:r w:rsidRPr="00167609">
        <w:rPr>
          <w:rFonts w:ascii="Times New Roman" w:hAnsi="Times New Roman" w:cs="Times New Roman"/>
          <w:i/>
          <w:iCs/>
        </w:rPr>
        <w:t>World Tourism Barometer and Statistical Annex, January 2025</w:t>
      </w:r>
      <w:r w:rsidRPr="00167609">
        <w:rPr>
          <w:rFonts w:ascii="Times New Roman" w:hAnsi="Times New Roman" w:cs="Times New Roman"/>
        </w:rPr>
        <w:t>. UN Tourism.</w:t>
      </w:r>
    </w:p>
    <w:p w14:paraId="4E57F0F0" w14:textId="77777777" w:rsidR="00167609" w:rsidRPr="00167609" w:rsidRDefault="00167609" w:rsidP="00167609">
      <w:pPr>
        <w:spacing w:before="240" w:after="240" w:line="240" w:lineRule="auto"/>
        <w:jc w:val="both"/>
        <w:rPr>
          <w:rFonts w:ascii="Times New Roman" w:hAnsi="Times New Roman" w:cs="Times New Roman"/>
        </w:rPr>
      </w:pPr>
      <w:r w:rsidRPr="00167609">
        <w:rPr>
          <w:rFonts w:ascii="Times New Roman" w:hAnsi="Times New Roman" w:cs="Times New Roman"/>
        </w:rPr>
        <w:t xml:space="preserve">[16] World Travel &amp; Tourism Council. (2024). </w:t>
      </w:r>
      <w:r w:rsidRPr="00167609">
        <w:rPr>
          <w:rFonts w:ascii="Times New Roman" w:hAnsi="Times New Roman" w:cs="Times New Roman"/>
          <w:i/>
          <w:iCs/>
        </w:rPr>
        <w:t>Travel &amp; tourism economic impact 2024: Global trends</w:t>
      </w:r>
      <w:r w:rsidRPr="00167609">
        <w:rPr>
          <w:rFonts w:ascii="Times New Roman" w:hAnsi="Times New Roman" w:cs="Times New Roman"/>
        </w:rPr>
        <w:t>. World Travel &amp; Tourism Council.</w:t>
      </w:r>
    </w:p>
    <w:p w14:paraId="7AAFF0F3" w14:textId="77777777" w:rsidR="00167609" w:rsidRPr="00167609" w:rsidRDefault="00167609" w:rsidP="002335D3">
      <w:pPr>
        <w:spacing w:before="240" w:after="240" w:line="240" w:lineRule="auto"/>
        <w:jc w:val="both"/>
        <w:rPr>
          <w:rFonts w:ascii="Times New Roman" w:hAnsi="Times New Roman" w:cs="Times New Roman"/>
        </w:rPr>
      </w:pPr>
    </w:p>
    <w:sectPr w:rsidR="00167609" w:rsidRPr="00167609" w:rsidSect="001A34A1">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CC7DE" w14:textId="77777777" w:rsidR="00654CAC" w:rsidRDefault="00654CAC" w:rsidP="001A34A1">
      <w:pPr>
        <w:spacing w:after="0" w:line="240" w:lineRule="auto"/>
      </w:pPr>
      <w:r>
        <w:separator/>
      </w:r>
    </w:p>
  </w:endnote>
  <w:endnote w:type="continuationSeparator" w:id="0">
    <w:p w14:paraId="4E573173" w14:textId="77777777" w:rsidR="00654CAC" w:rsidRDefault="00654CAC" w:rsidP="001A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525E" w14:textId="77777777" w:rsidR="00654CAC" w:rsidRDefault="00654CAC" w:rsidP="001A34A1">
      <w:pPr>
        <w:spacing w:after="0" w:line="240" w:lineRule="auto"/>
      </w:pPr>
      <w:r>
        <w:separator/>
      </w:r>
    </w:p>
  </w:footnote>
  <w:footnote w:type="continuationSeparator" w:id="0">
    <w:p w14:paraId="2A0BEC55" w14:textId="77777777" w:rsidR="00654CAC" w:rsidRDefault="00654CAC" w:rsidP="001A34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05"/>
    <w:rsid w:val="000A1541"/>
    <w:rsid w:val="0012408E"/>
    <w:rsid w:val="00167609"/>
    <w:rsid w:val="001A34A1"/>
    <w:rsid w:val="001B58D4"/>
    <w:rsid w:val="002335D3"/>
    <w:rsid w:val="00262D06"/>
    <w:rsid w:val="00265805"/>
    <w:rsid w:val="003610B3"/>
    <w:rsid w:val="00654CAC"/>
    <w:rsid w:val="00967F6B"/>
    <w:rsid w:val="0097238F"/>
    <w:rsid w:val="00D6109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EC60"/>
  <w15:chartTrackingRefBased/>
  <w15:docId w15:val="{1FECC3CB-3952-4AE0-B7E0-83D01912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8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8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8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8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58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5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8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8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8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8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58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5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805"/>
    <w:rPr>
      <w:rFonts w:eastAsiaTheme="majorEastAsia" w:cstheme="majorBidi"/>
      <w:color w:val="272727" w:themeColor="text1" w:themeTint="D8"/>
    </w:rPr>
  </w:style>
  <w:style w:type="paragraph" w:styleId="Title">
    <w:name w:val="Title"/>
    <w:basedOn w:val="Normal"/>
    <w:next w:val="Normal"/>
    <w:link w:val="TitleChar"/>
    <w:uiPriority w:val="10"/>
    <w:qFormat/>
    <w:rsid w:val="00265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805"/>
    <w:pPr>
      <w:spacing w:before="160"/>
      <w:jc w:val="center"/>
    </w:pPr>
    <w:rPr>
      <w:i/>
      <w:iCs/>
      <w:color w:val="404040" w:themeColor="text1" w:themeTint="BF"/>
    </w:rPr>
  </w:style>
  <w:style w:type="character" w:customStyle="1" w:styleId="QuoteChar">
    <w:name w:val="Quote Char"/>
    <w:basedOn w:val="DefaultParagraphFont"/>
    <w:link w:val="Quote"/>
    <w:uiPriority w:val="29"/>
    <w:rsid w:val="00265805"/>
    <w:rPr>
      <w:i/>
      <w:iCs/>
      <w:color w:val="404040" w:themeColor="text1" w:themeTint="BF"/>
    </w:rPr>
  </w:style>
  <w:style w:type="paragraph" w:styleId="ListParagraph">
    <w:name w:val="List Paragraph"/>
    <w:basedOn w:val="Normal"/>
    <w:uiPriority w:val="34"/>
    <w:qFormat/>
    <w:rsid w:val="00265805"/>
    <w:pPr>
      <w:ind w:left="720"/>
      <w:contextualSpacing/>
    </w:pPr>
  </w:style>
  <w:style w:type="character" w:styleId="IntenseEmphasis">
    <w:name w:val="Intense Emphasis"/>
    <w:basedOn w:val="DefaultParagraphFont"/>
    <w:uiPriority w:val="21"/>
    <w:qFormat/>
    <w:rsid w:val="00265805"/>
    <w:rPr>
      <w:i/>
      <w:iCs/>
      <w:color w:val="2F5496" w:themeColor="accent1" w:themeShade="BF"/>
    </w:rPr>
  </w:style>
  <w:style w:type="paragraph" w:styleId="IntenseQuote">
    <w:name w:val="Intense Quote"/>
    <w:basedOn w:val="Normal"/>
    <w:next w:val="Normal"/>
    <w:link w:val="IntenseQuoteChar"/>
    <w:uiPriority w:val="30"/>
    <w:qFormat/>
    <w:rsid w:val="00265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805"/>
    <w:rPr>
      <w:i/>
      <w:iCs/>
      <w:color w:val="2F5496" w:themeColor="accent1" w:themeShade="BF"/>
    </w:rPr>
  </w:style>
  <w:style w:type="character" w:styleId="IntenseReference">
    <w:name w:val="Intense Reference"/>
    <w:basedOn w:val="DefaultParagraphFont"/>
    <w:uiPriority w:val="32"/>
    <w:qFormat/>
    <w:rsid w:val="00265805"/>
    <w:rPr>
      <w:b/>
      <w:bCs/>
      <w:smallCaps/>
      <w:color w:val="2F5496" w:themeColor="accent1" w:themeShade="BF"/>
      <w:spacing w:val="5"/>
    </w:rPr>
  </w:style>
  <w:style w:type="paragraph" w:styleId="Header">
    <w:name w:val="header"/>
    <w:basedOn w:val="Normal"/>
    <w:link w:val="HeaderChar"/>
    <w:uiPriority w:val="99"/>
    <w:unhideWhenUsed/>
    <w:rsid w:val="001A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A1"/>
  </w:style>
  <w:style w:type="paragraph" w:styleId="Footer">
    <w:name w:val="footer"/>
    <w:basedOn w:val="Normal"/>
    <w:link w:val="FooterChar"/>
    <w:uiPriority w:val="99"/>
    <w:unhideWhenUsed/>
    <w:rsid w:val="001A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A1"/>
  </w:style>
  <w:style w:type="table" w:styleId="TableGrid">
    <w:name w:val="Table Grid"/>
    <w:basedOn w:val="TableNormal"/>
    <w:uiPriority w:val="39"/>
    <w:rsid w:val="001B5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BodyText"/>
    <w:qFormat/>
    <w:rsid w:val="002335D3"/>
    <w:pPr>
      <w:spacing w:before="36" w:after="36" w:line="240" w:lineRule="auto"/>
    </w:pPr>
    <w:rPr>
      <w:kern w:val="0"/>
      <w:lang w:val="en-US"/>
      <w14:ligatures w14:val="none"/>
    </w:rPr>
  </w:style>
  <w:style w:type="table" w:customStyle="1" w:styleId="Table">
    <w:name w:val="Table"/>
    <w:semiHidden/>
    <w:unhideWhenUsed/>
    <w:qFormat/>
    <w:rsid w:val="002335D3"/>
    <w:pPr>
      <w:spacing w:after="200" w:line="240" w:lineRule="auto"/>
    </w:pPr>
    <w:rPr>
      <w:kern w:val="0"/>
      <w:lang w:val="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semiHidden/>
    <w:unhideWhenUsed/>
    <w:rsid w:val="002335D3"/>
    <w:pPr>
      <w:spacing w:after="120"/>
    </w:pPr>
  </w:style>
  <w:style w:type="character" w:customStyle="1" w:styleId="BodyTextChar">
    <w:name w:val="Body Text Char"/>
    <w:basedOn w:val="DefaultParagraphFont"/>
    <w:link w:val="BodyText"/>
    <w:uiPriority w:val="99"/>
    <w:semiHidden/>
    <w:rsid w:val="002335D3"/>
  </w:style>
  <w:style w:type="character" w:styleId="Hyperlink">
    <w:name w:val="Hyperlink"/>
    <w:basedOn w:val="DefaultParagraphFont"/>
    <w:uiPriority w:val="99"/>
    <w:unhideWhenUsed/>
    <w:rsid w:val="00167609"/>
    <w:rPr>
      <w:color w:val="0563C1" w:themeColor="hyperlink"/>
      <w:u w:val="single"/>
    </w:rPr>
  </w:style>
  <w:style w:type="character" w:styleId="UnresolvedMention">
    <w:name w:val="Unresolved Mention"/>
    <w:basedOn w:val="DefaultParagraphFont"/>
    <w:uiPriority w:val="99"/>
    <w:semiHidden/>
    <w:unhideWhenUsed/>
    <w:rsid w:val="0016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07/IJARBSS/v13-i10/19116" TargetMode="External"/><Relationship Id="rId13" Type="http://schemas.openxmlformats.org/officeDocument/2006/relationships/hyperlink" Target="https://doi.org/10.1016/j.jbusres.2020.06.015" TargetMode="External"/><Relationship Id="rId3" Type="http://schemas.openxmlformats.org/officeDocument/2006/relationships/webSettings" Target="webSettings.xml"/><Relationship Id="rId7" Type="http://schemas.openxmlformats.org/officeDocument/2006/relationships/hyperlink" Target="https://doi.org/10.1007/BF02310555" TargetMode="External"/><Relationship Id="rId12" Type="http://schemas.openxmlformats.org/officeDocument/2006/relationships/hyperlink" Target="https://doi.org/10.3389/feduc.2025.170314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108/IJCHM-04-2020-0314" TargetMode="External"/><Relationship Id="rId11" Type="http://schemas.openxmlformats.org/officeDocument/2006/relationships/hyperlink" Target="https://doi.org/10.1007/s10734-020-00570-x" TargetMode="External"/><Relationship Id="rId5" Type="http://schemas.openxmlformats.org/officeDocument/2006/relationships/endnotes" Target="endnotes.xml"/><Relationship Id="rId15" Type="http://schemas.openxmlformats.org/officeDocument/2006/relationships/hyperlink" Target="https://doi.org/10.5116/ijme.4dfb.8dfd" TargetMode="External"/><Relationship Id="rId10" Type="http://schemas.openxmlformats.org/officeDocument/2006/relationships/hyperlink" Target="https://doi.org/10.22521/edupij.2021.103.3" TargetMode="External"/><Relationship Id="rId4" Type="http://schemas.openxmlformats.org/officeDocument/2006/relationships/footnotes" Target="footnotes.xml"/><Relationship Id="rId9" Type="http://schemas.openxmlformats.org/officeDocument/2006/relationships/hyperlink" Target="https://doi.org/10.1002/cbe2.1011" TargetMode="External"/><Relationship Id="rId14" Type="http://schemas.openxmlformats.org/officeDocument/2006/relationships/hyperlink" Target="https://doi.org/10.1080/03075079.2019.1585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6557</Words>
  <Characters>37378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cruza</dc:creator>
  <cp:keywords/>
  <dc:description/>
  <cp:lastModifiedBy>ian cruza</cp:lastModifiedBy>
  <cp:revision>1</cp:revision>
  <dcterms:created xsi:type="dcterms:W3CDTF">2026-06-25T00:26:00Z</dcterms:created>
  <dcterms:modified xsi:type="dcterms:W3CDTF">2026-06-25T03:12:00Z</dcterms:modified>
</cp:coreProperties>
</file>