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BE9C" w14:textId="77777777" w:rsidR="00BD179B" w:rsidRDefault="00000000">
      <w:pPr>
        <w:spacing w:after="160"/>
        <w:jc w:val="center"/>
        <w:rPr>
          <w:rFonts w:cs="Times New Roman"/>
          <w:b/>
          <w:color w:val="000000" w:themeColor="text1"/>
          <w:sz w:val="28"/>
        </w:rPr>
      </w:pPr>
      <w:r w:rsidRPr="007A504A">
        <w:rPr>
          <w:rFonts w:cs="Times New Roman"/>
          <w:b/>
          <w:color w:val="000000" w:themeColor="text1"/>
          <w:sz w:val="28"/>
        </w:rPr>
        <w:t>Determinants of Willingness to Pay for Land Title Registration:</w:t>
      </w:r>
      <w:r w:rsidRPr="007A504A">
        <w:rPr>
          <w:rFonts w:cs="Times New Roman"/>
          <w:b/>
          <w:color w:val="000000" w:themeColor="text1"/>
          <w:sz w:val="28"/>
        </w:rPr>
        <w:br/>
        <w:t>Evidence from Colombo, Sri Lanka</w:t>
      </w:r>
    </w:p>
    <w:p w14:paraId="5C1F76A2" w14:textId="5ABD5482" w:rsidR="00BA25E7" w:rsidRPr="00BA25E7" w:rsidRDefault="00BA25E7">
      <w:pPr>
        <w:spacing w:after="160"/>
        <w:jc w:val="center"/>
        <w:rPr>
          <w:rFonts w:cs="Times New Roman"/>
          <w:bCs/>
          <w:color w:val="000000" w:themeColor="text1"/>
        </w:rPr>
      </w:pPr>
      <w:r w:rsidRPr="00BA25E7">
        <w:rPr>
          <w:rFonts w:cs="Times New Roman"/>
          <w:b/>
          <w:bCs/>
          <w:color w:val="000000" w:themeColor="text1"/>
        </w:rPr>
        <w:t/>
      </w:r>
      <w:r w:rsidRPr="00BA25E7">
        <w:rPr>
          <w:rFonts w:cs="Times New Roman"/>
          <w:b/>
          <w:bCs/>
          <w:color w:val="000000" w:themeColor="text1"/>
        </w:rPr>
        <w:br/>
      </w:r>
      <w:r w:rsidRPr="00ED264C">
        <w:rPr>
          <w:rFonts w:cs="Times New Roman"/>
          <w:bCs/>
          <w:i/>
          <w:iCs/>
          <w:color w:val="000000" w:themeColor="text1"/>
          <w:vertAlign w:val="superscript"/>
        </w:rPr>
        <w:t/>
      </w:r>
      <w:r w:rsidRPr="00BA25E7">
        <w:rPr>
          <w:rFonts w:cs="Times New Roman"/>
          <w:bCs/>
          <w:i/>
          <w:iCs/>
          <w:color w:val="000000" w:themeColor="text1"/>
        </w:rPr>
        <w:t/>
      </w:r>
      <w:r w:rsidRPr="00BA25E7">
        <w:rPr>
          <w:rFonts w:cs="Times New Roman"/>
          <w:bCs/>
          <w:i/>
          <w:iCs/>
          <w:color w:val="000000" w:themeColor="text1"/>
        </w:rPr>
        <w:br/>
        <w:t/>
      </w:r>
      <w:r w:rsidRPr="00BA25E7">
        <w:rPr>
          <w:rFonts w:cs="Times New Roman"/>
          <w:bCs/>
          <w:i/>
          <w:iCs/>
          <w:color w:val="000000" w:themeColor="text1"/>
        </w:rPr>
        <w:br/>
      </w:r>
      <w:r w:rsidRPr="00ED264C">
        <w:rPr>
          <w:rFonts w:cs="Times New Roman"/>
          <w:bCs/>
          <w:i/>
          <w:iCs/>
          <w:color w:val="000000" w:themeColor="text1"/>
          <w:vertAlign w:val="superscript"/>
        </w:rPr>
        <w:t/>
      </w:r>
      <w:r w:rsidRPr="00BA25E7">
        <w:rPr>
          <w:rFonts w:cs="Times New Roman"/>
          <w:bCs/>
          <w:i/>
          <w:iCs/>
          <w:color w:val="000000" w:themeColor="text1"/>
        </w:rPr>
        <w:t/>
      </w:r>
      <w:r w:rsidRPr="00BA25E7">
        <w:rPr>
          <w:rFonts w:cs="Times New Roman"/>
          <w:bCs/>
          <w:i/>
          <w:iCs/>
          <w:color w:val="000000" w:themeColor="text1"/>
        </w:rPr>
        <w:br/>
        <w:t/>
      </w:r>
      <w:r w:rsidRPr="00BA25E7">
        <w:rPr>
          <w:rFonts w:cs="Times New Roman"/>
          <w:bCs/>
          <w:i/>
          <w:iCs/>
          <w:color w:val="000000" w:themeColor="text1"/>
        </w:rPr>
        <w:br/>
      </w:r>
      <w:r w:rsidRPr="00BA25E7">
        <w:rPr>
          <w:rFonts w:cs="Times New Roman"/>
          <w:bCs/>
          <w:color w:val="000000" w:themeColor="text1"/>
        </w:rPr>
        <w:t/>
      </w:r>
      <w:r w:rsidRPr="00BA25E7">
        <w:rPr>
          <w:rFonts w:cs="Times New Roman"/>
          <w:bCs/>
          <w:i/>
          <w:iCs/>
          <w:color w:val="000000" w:themeColor="text1"/>
        </w:rPr>
        <w:t/>
      </w:r>
    </w:p>
    <w:p w14:paraId="2C0DD796" w14:textId="77777777" w:rsidR="00BD179B" w:rsidRPr="007A504A" w:rsidRDefault="00000000">
      <w:pPr>
        <w:pStyle w:val="Heading1"/>
        <w:spacing w:before="280" w:after="80"/>
        <w:rPr>
          <w:rFonts w:ascii="Times New Roman" w:hAnsi="Times New Roman" w:cs="Times New Roman"/>
          <w:color w:val="000000" w:themeColor="text1"/>
        </w:rPr>
      </w:pPr>
      <w:r w:rsidRPr="007A504A">
        <w:rPr>
          <w:rFonts w:ascii="Times New Roman" w:hAnsi="Times New Roman" w:cs="Times New Roman"/>
          <w:color w:val="000000" w:themeColor="text1"/>
        </w:rPr>
        <w:t>Abstract</w:t>
      </w:r>
    </w:p>
    <w:p w14:paraId="6BEA59C2" w14:textId="68E64A82" w:rsidR="00FB4FF4" w:rsidRPr="007A504A" w:rsidRDefault="00FB4FF4" w:rsidP="00AD72F1">
      <w:pPr>
        <w:spacing w:before="80" w:after="80"/>
        <w:jc w:val="both"/>
        <w:rPr>
          <w:rFonts w:cs="Times New Roman"/>
          <w:bCs/>
          <w:color w:val="000000" w:themeColor="text1"/>
          <w:sz w:val="22"/>
        </w:rPr>
      </w:pPr>
      <w:r w:rsidRPr="007A504A">
        <w:rPr>
          <w:rFonts w:cs="Times New Roman"/>
          <w:bCs/>
          <w:color w:val="000000" w:themeColor="text1"/>
          <w:sz w:val="22"/>
        </w:rPr>
        <w:t>Land title registration is widely recognised as a key instrument for strengthening tenure security, improving land governance, and promoting efficient land markets; however, despite the introduction of the Bim Saviya programme under the Title Registration Act No. 21 of 1998 to transition Sri Lanka from a deed-based to a conclusive title system, adoption remains limited, raising concerns regarding demand-side constraints and long-term financial sustainability. This study therefore aims to examine households’ willingness to pay (WTP) for land title registration in Colombo and to identify the socioeconomic, land-related, and perceptual factors influencing both the decision to participate and the amount households are willing to pay, addressing the limited empirical evidence on economic valuation in this context. The study employs a quantitative cross-sectional design using primary data collected from 252 land-owning households in selected Divisional Secretariat areas where the programme is actively implemented; WTP is elicited through a stated-preference approach, and a two-stage hurdle model is applied, with a probit model estimating participation (WTP &gt; 0) and an OLS specification modelling the WTP amount, supported by robustness checks including Tobit and two-stage least squares estimations. The findings indicate considerable heterogeneity in valuation, with a mean WTP of Rs. 17,900 and a median of Rs. 15,000, while approximately 18.7 per cent of households report zero WTP; demand remains relatively inelastic within the cost-relevant range but declines sharply beyond Rs. 15,000, and participation and valuation are significantly influenced by income, education, tenure status, and perceptual factors such as perceived benefits and transparency, whereas physical land attributes are not statistically significant. These results suggest that households’ valuation of title registration is shaped not only by cost considerations but also by institutional trust and perceived service quality; therefore, maintaining fees near the unit cost of provision, complemented by targeted subsidies and enhanced transparency and awareness, is essential to sustain participation and improve the financial viability of the programme.</w:t>
      </w:r>
    </w:p>
    <w:p w14:paraId="0315DC97" w14:textId="559C6563" w:rsidR="00BD179B" w:rsidRPr="007A504A" w:rsidRDefault="00000000" w:rsidP="00AD72F1">
      <w:pPr>
        <w:spacing w:before="80" w:after="80"/>
        <w:jc w:val="both"/>
        <w:rPr>
          <w:rFonts w:cs="Times New Roman"/>
          <w:color w:val="000000" w:themeColor="text1"/>
        </w:rPr>
      </w:pPr>
      <w:r w:rsidRPr="007A504A">
        <w:rPr>
          <w:rFonts w:cs="Times New Roman"/>
          <w:b/>
          <w:color w:val="000000" w:themeColor="text1"/>
          <w:sz w:val="22"/>
        </w:rPr>
        <w:t xml:space="preserve">Keywords: </w:t>
      </w:r>
      <w:r w:rsidRPr="007A504A">
        <w:rPr>
          <w:rFonts w:cs="Times New Roman"/>
          <w:i/>
          <w:color w:val="000000" w:themeColor="text1"/>
          <w:sz w:val="22"/>
        </w:rPr>
        <w:t>Land Title Registration; Willingness to Pay; Tenure Security; Sri Lanka; Land Governance</w:t>
      </w:r>
    </w:p>
    <w:p w14:paraId="78BC47BF" w14:textId="77777777" w:rsidR="00BD179B" w:rsidRPr="007A504A" w:rsidRDefault="00000000" w:rsidP="00AD72F1">
      <w:pPr>
        <w:spacing w:before="80" w:after="80"/>
        <w:jc w:val="both"/>
        <w:rPr>
          <w:rFonts w:cs="Times New Roman"/>
          <w:color w:val="000000" w:themeColor="text1"/>
        </w:rPr>
      </w:pPr>
      <w:r w:rsidRPr="007A504A">
        <w:rPr>
          <w:rFonts w:cs="Times New Roman"/>
          <w:b/>
          <w:color w:val="000000" w:themeColor="text1"/>
          <w:sz w:val="22"/>
        </w:rPr>
        <w:t xml:space="preserve">JEL Classification: </w:t>
      </w:r>
      <w:r w:rsidRPr="007A504A">
        <w:rPr>
          <w:rFonts w:cs="Times New Roman"/>
          <w:i/>
          <w:color w:val="000000" w:themeColor="text1"/>
          <w:sz w:val="22"/>
        </w:rPr>
        <w:t>Q15; D12; R14</w:t>
      </w:r>
    </w:p>
    <w:p w14:paraId="6A1961BF" w14:textId="77777777" w:rsidR="00BD179B" w:rsidRPr="007A504A" w:rsidRDefault="00000000" w:rsidP="00AD72F1">
      <w:pPr>
        <w:jc w:val="both"/>
        <w:rPr>
          <w:rFonts w:cs="Times New Roman"/>
          <w:color w:val="000000" w:themeColor="text1"/>
        </w:rPr>
      </w:pPr>
      <w:r w:rsidRPr="007A504A">
        <w:rPr>
          <w:rFonts w:cs="Times New Roman"/>
          <w:color w:val="000000" w:themeColor="text1"/>
        </w:rPr>
        <w:br w:type="page"/>
      </w:r>
    </w:p>
    <w:p w14:paraId="6AC7DACA" w14:textId="77777777" w:rsidR="00BD179B" w:rsidRPr="007A504A" w:rsidRDefault="00000000">
      <w:pPr>
        <w:pStyle w:val="Heading1"/>
        <w:spacing w:before="280" w:after="80"/>
        <w:rPr>
          <w:rFonts w:ascii="Times New Roman" w:hAnsi="Times New Roman" w:cs="Times New Roman"/>
          <w:color w:val="000000" w:themeColor="text1"/>
        </w:rPr>
      </w:pPr>
      <w:r w:rsidRPr="007A504A">
        <w:rPr>
          <w:rFonts w:ascii="Times New Roman" w:hAnsi="Times New Roman" w:cs="Times New Roman"/>
          <w:color w:val="000000" w:themeColor="text1"/>
        </w:rPr>
        <w:lastRenderedPageBreak/>
        <w:t>1. Introduction</w:t>
      </w:r>
    </w:p>
    <w:p w14:paraId="102161A2"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 xml:space="preserve">Secure land tenure is widely recognized as a foundational determinant of economic development, influencing investment incentives, access to credit markets, land market efficiency, and social stability (Byamugisha &amp; </w:t>
      </w:r>
      <w:proofErr w:type="spellStart"/>
      <w:r w:rsidRPr="007A504A">
        <w:rPr>
          <w:rFonts w:cs="Times New Roman"/>
          <w:color w:val="000000" w:themeColor="text1"/>
          <w:sz w:val="22"/>
        </w:rPr>
        <w:t>Dubosse</w:t>
      </w:r>
      <w:proofErr w:type="spellEnd"/>
      <w:r w:rsidRPr="007A504A">
        <w:rPr>
          <w:rFonts w:cs="Times New Roman"/>
          <w:color w:val="000000" w:themeColor="text1"/>
          <w:sz w:val="22"/>
        </w:rPr>
        <w:t xml:space="preserve">, 2023; </w:t>
      </w:r>
      <w:proofErr w:type="spellStart"/>
      <w:r w:rsidRPr="007A504A">
        <w:rPr>
          <w:rFonts w:cs="Times New Roman"/>
          <w:color w:val="000000" w:themeColor="text1"/>
          <w:sz w:val="22"/>
        </w:rPr>
        <w:t>Mbudzya</w:t>
      </w:r>
      <w:proofErr w:type="spellEnd"/>
      <w:r w:rsidRPr="007A504A">
        <w:rPr>
          <w:rFonts w:cs="Times New Roman"/>
          <w:color w:val="000000" w:themeColor="text1"/>
          <w:sz w:val="22"/>
        </w:rPr>
        <w:t xml:space="preserve"> et al., 2022; Subedi, 2016). Formal land title registration systems are designed to institutionalize tenure security by granting legally enforceable ownership rights, reducing boundary disputes, lowering transaction risks, and enhancing confidence in property exchanges. Empirical evidence from developing contexts, including Kumasi, Ghana, demonstrates that formal title registration strengthens tenure certainty and stimulates private investment by mitigating legal ambiguities (Sarpong et al., 2025). Consequently, land titling has become a central component of land administration reforms aimed at advancing sustainable urban development, strengthening governance institutions, and promoting inclusive economic growth.</w:t>
      </w:r>
    </w:p>
    <w:p w14:paraId="6BAB4D34"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Notwithstanding these anticipated benefits, global progress in land formalization remains uneven. It is estimated that only about 30% of land rights worldwide are formally registered, leaving approximately 70% undocumented and exposed to insecurity, disputes, and inefficiencies in land allocation and exchange (Di Falco et al., 2020; McDermott et al., 2018). While governments have introduced large-scale registration initiatives, their effectiveness depends not solely on statutory reforms or institutional restructuring but critically on demand-side participation. Theoretical models and empirical studies emphasize that landowners' willingness to accept and engage with registration systems is pivotal to programme success (Miceli et al., 2001; Schreiber, 2017). Nevertheless, adoption rates frequently remain low due to financial constraints, administrative bottlenecks, limited awareness, and institutional trust deficits (World Bank, 2017). These persistent barriers underscore the importance of examining behavioural and economic determinants of participation in formal land registration systems.</w:t>
      </w:r>
    </w:p>
    <w:p w14:paraId="25BDBD6D"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Sri Lanka's transition from a deed-based conveyancing system to a conclusive title registration framework under the Title Registration Act No. 21 of 1998 represents a significant institutional reform in land governance. The Bim Saviya programme was established to provide definitive legal proof of ownership, thereby addressing the uncertainties, fraudulent risks, and protracted litigation associated with the deed system (</w:t>
      </w:r>
      <w:proofErr w:type="spellStart"/>
      <w:r w:rsidRPr="007A504A">
        <w:rPr>
          <w:rFonts w:cs="Times New Roman"/>
          <w:color w:val="000000" w:themeColor="text1"/>
          <w:sz w:val="22"/>
        </w:rPr>
        <w:t>Divithure</w:t>
      </w:r>
      <w:proofErr w:type="spellEnd"/>
      <w:r w:rsidRPr="007A504A">
        <w:rPr>
          <w:rFonts w:cs="Times New Roman"/>
          <w:color w:val="000000" w:themeColor="text1"/>
          <w:sz w:val="22"/>
        </w:rPr>
        <w:t xml:space="preserve"> &amp; Tang, 2013). Despite the reform's institutional ambition, implementation outcomes have been modest. As of 2023, approximately 900,000 titles had been issued, representing nearly 7% of total land parcels nationwide (Registrar General's Department, 2025). This limited coverage reflects structural challenges including inadequate public awareness, procedural inefficiencies, administrative capacity constraints, and trust deficits in land administration institutions (</w:t>
      </w:r>
      <w:proofErr w:type="spellStart"/>
      <w:r w:rsidRPr="007A504A">
        <w:rPr>
          <w:rFonts w:cs="Times New Roman"/>
          <w:color w:val="000000" w:themeColor="text1"/>
          <w:sz w:val="22"/>
        </w:rPr>
        <w:t>Wickramaarachchi</w:t>
      </w:r>
      <w:proofErr w:type="spellEnd"/>
      <w:r w:rsidRPr="007A504A">
        <w:rPr>
          <w:rFonts w:cs="Times New Roman"/>
          <w:color w:val="000000" w:themeColor="text1"/>
          <w:sz w:val="22"/>
        </w:rPr>
        <w:t xml:space="preserve"> &amp; </w:t>
      </w:r>
      <w:proofErr w:type="spellStart"/>
      <w:r w:rsidRPr="007A504A">
        <w:rPr>
          <w:rFonts w:cs="Times New Roman"/>
          <w:color w:val="000000" w:themeColor="text1"/>
          <w:sz w:val="22"/>
        </w:rPr>
        <w:t>Namasinghe</w:t>
      </w:r>
      <w:proofErr w:type="spellEnd"/>
      <w:r w:rsidRPr="007A504A">
        <w:rPr>
          <w:rFonts w:cs="Times New Roman"/>
          <w:color w:val="000000" w:themeColor="text1"/>
          <w:sz w:val="22"/>
        </w:rPr>
        <w:t>, 2022; World Bank, 2017).</w:t>
      </w:r>
    </w:p>
    <w:p w14:paraId="7B18CA0C"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A further complexity arises from the programme's fiscal structure. Although first-time title registration is provided free of charge to beneficiaries, substantial administrative, technical, and operational costs are borne by the state. By 2022, cumulative expenditure on the Bim Saviya programme had reached approximately six billion Sri Lankan rupees (equivalent to around USD 19 million) (</w:t>
      </w:r>
      <w:proofErr w:type="spellStart"/>
      <w:r w:rsidRPr="007A504A">
        <w:rPr>
          <w:rFonts w:cs="Times New Roman"/>
          <w:color w:val="000000" w:themeColor="text1"/>
          <w:sz w:val="22"/>
        </w:rPr>
        <w:t>Lankalaw</w:t>
      </w:r>
      <w:proofErr w:type="spellEnd"/>
      <w:r w:rsidRPr="007A504A">
        <w:rPr>
          <w:rFonts w:cs="Times New Roman"/>
          <w:color w:val="000000" w:themeColor="text1"/>
          <w:sz w:val="22"/>
        </w:rPr>
        <w:t>, 2024; Sri Lanka Study Circle, 2022; Sugathadasa &amp; Hemachandra, 2025). In the absence of cost recovery mechanisms, the long-term financial sustainability of the programme becomes uncertain. This raises a critical policy question: to what extent do landholders value formal title registration, and what factors shape their willingness to contribute financially toward its provision?</w:t>
      </w:r>
    </w:p>
    <w:p w14:paraId="010C2B32"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lastRenderedPageBreak/>
        <w:t>The broader literature suggests that demand for land title registration is multidimensional, shaped by economic capacity, institutional quality, and behavioural perceptions. Cross-country evidence highlights the roles of household income, transaction costs, awareness of registration benefits, perceived tenure security, and trust in land administration institutions in influencing participation decisions (Ali &amp; Deininger, 2022; Manara, 2025). Recent applications of willingness-to-pay (WTP) methodologies demonstrate that landholders' valuation of formal titles extends beyond immediate financial returns to incorporate expectations of reduced litigation risk, improved intergenerational transfer security, and enhanced access to land markets (Manara &amp; Regan, 2024). These findings illustrate the importance of capturing latent demand and subjective valuation processes that are not observable through administrative uptake statistics alone.</w:t>
      </w:r>
    </w:p>
    <w:p w14:paraId="4AE1C1F4"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 xml:space="preserve">Despite these advances, empirical evidence on the demand-side economics of title registration in Sri Lanka remains limited. Existing studies primarily focus on institutional design, legal reforms, or implementation challenges, with comparatively little attention to households' economic valuation of formal title registration services. </w:t>
      </w:r>
      <w:proofErr w:type="gramStart"/>
      <w:r w:rsidRPr="007A504A">
        <w:rPr>
          <w:rFonts w:cs="Times New Roman"/>
          <w:color w:val="000000" w:themeColor="text1"/>
          <w:sz w:val="22"/>
        </w:rPr>
        <w:t>In particular, there</w:t>
      </w:r>
      <w:proofErr w:type="gramEnd"/>
      <w:r w:rsidRPr="007A504A">
        <w:rPr>
          <w:rFonts w:cs="Times New Roman"/>
          <w:color w:val="000000" w:themeColor="text1"/>
          <w:sz w:val="22"/>
        </w:rPr>
        <w:t xml:space="preserve"> is limited quantitative evidence distinguishing between the decision to participate in registration and the magnitude of financial contribution households are willing to make under alternative pricing scenarios. Addressing this gap is essential for informing cost-recovery strategies, improving programme targeting, and enhancing fiscal sustainability without undermining equitable access.</w:t>
      </w:r>
    </w:p>
    <w:p w14:paraId="51DA8E99" w14:textId="19936083"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 xml:space="preserve">Against this backdrop, this study empirically examines households' willingness to pay for land title registration in </w:t>
      </w:r>
      <w:r w:rsidR="00AD72F1" w:rsidRPr="007A504A">
        <w:rPr>
          <w:rFonts w:cs="Times New Roman"/>
          <w:color w:val="000000" w:themeColor="text1"/>
          <w:sz w:val="22"/>
        </w:rPr>
        <w:t xml:space="preserve">selected areas of </w:t>
      </w:r>
      <w:r w:rsidRPr="007A504A">
        <w:rPr>
          <w:rFonts w:cs="Times New Roman"/>
          <w:color w:val="000000" w:themeColor="text1"/>
          <w:sz w:val="22"/>
        </w:rPr>
        <w:t>Colombo District, Sri Lanka, and identifies the key determinants shaping this demand. Using household-level survey data and an econometric modelling framework appropriate for two-part willingness-to-pay responses, the analysis distinguishes between the participation decision and the conditional payment amount. The study evaluates how socioeconomic characteristics, tenure attributes, and perceived institutional quality influence demand for formal title registration. By providing empirical demand-side evidence, the study contributes to the literature on land governance reform and offers policy-relevant insights for designing financially sustainable and socially responsive title registration systems in Sri Lanka and comparable developing-country contexts.</w:t>
      </w:r>
    </w:p>
    <w:p w14:paraId="489D6A89" w14:textId="77777777" w:rsidR="00BD179B" w:rsidRPr="007A504A" w:rsidRDefault="00000000">
      <w:pPr>
        <w:pStyle w:val="Heading1"/>
        <w:spacing w:before="280" w:after="80"/>
        <w:rPr>
          <w:rFonts w:ascii="Times New Roman" w:hAnsi="Times New Roman" w:cs="Times New Roman"/>
          <w:color w:val="000000" w:themeColor="text1"/>
        </w:rPr>
      </w:pPr>
      <w:r w:rsidRPr="007A504A">
        <w:rPr>
          <w:rFonts w:ascii="Times New Roman" w:hAnsi="Times New Roman" w:cs="Times New Roman"/>
          <w:color w:val="000000" w:themeColor="text1"/>
        </w:rPr>
        <w:t>2. Literature Review</w:t>
      </w:r>
    </w:p>
    <w:p w14:paraId="5A0CD346"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Willingness to Pay (WTP) represents the maximum amount an individual or household is willing to sacrifice to obtain a good or service under specified conditions (</w:t>
      </w:r>
      <w:proofErr w:type="spellStart"/>
      <w:r w:rsidRPr="007A504A">
        <w:rPr>
          <w:rFonts w:cs="Times New Roman"/>
          <w:color w:val="000000" w:themeColor="text1"/>
          <w:sz w:val="22"/>
        </w:rPr>
        <w:t>Gunatilake</w:t>
      </w:r>
      <w:proofErr w:type="spellEnd"/>
      <w:r w:rsidRPr="007A504A">
        <w:rPr>
          <w:rFonts w:cs="Times New Roman"/>
          <w:color w:val="000000" w:themeColor="text1"/>
          <w:sz w:val="22"/>
        </w:rPr>
        <w:t xml:space="preserve"> et al., 2007). In the context of land administration, WTP provides a monetary measure of how landholders value formal title registration and the tenure security it confers. The conceptual foundation for analysing WTP for land title registration originates from the seminal framework proposed by Feder et al. (1988), which identified two primary channels through which land titling affects economic outcomes. First, secure property rights reduce uncertainty and expropriation risk, thereby strengthening incentives for long-term land-related investment. Second, formal titles improve access to credit by enabling land to serve as collateral, facilitating capital accumulation and productivity-enhancing investments (Byamugisha, 1999). This framework has strongly influenced subsequent empirical research on land tenure and economic performance.</w:t>
      </w:r>
    </w:p>
    <w:p w14:paraId="3912058A"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 xml:space="preserve">A substantial body of empirical literature has tested these propositions across diverse institutional and geographic contexts. Numerous studies report that land titling and registration are associated </w:t>
      </w:r>
      <w:r w:rsidRPr="007A504A">
        <w:rPr>
          <w:rFonts w:cs="Times New Roman"/>
          <w:color w:val="000000" w:themeColor="text1"/>
          <w:sz w:val="22"/>
        </w:rPr>
        <w:lastRenderedPageBreak/>
        <w:t>with increased agricultural productivity, higher levels of investment in land improvements, and improved access to formal credit markets (Feder &amp; Nishio, 1999; Flower, 2018; Schmidt &amp; Zakayo, 2018; Zhou et al., 2022). These findings suggest that landholders internalize the expected benefits of formal tenure, forming the basis for demand-driven participation in title registration programmes. From this perspective, WTP captures not only the direct financial valuation of a title certificate but also broader expectations regarding legal protection, transferability, dispute resolution, and future land market opportunities (Linde-Rahr, 2008).</w:t>
      </w:r>
    </w:p>
    <w:p w14:paraId="036B4233"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Empirical evidence from developing countries indicates that households are often willing to pay a non-trivial share of land value to secure formal titles. For example, studies from Tanzania estimate that households are willing to pay approximately USD 40–50, equivalent to around 2% of land value, for a title certificate (Ali et al., 2014), while research from Rwanda reports similar proportions for registering land transactions (Ali et al., 2021). These findings demonstrate that even low-income landholders perceive formal titling as valuable and are prepared to incur costs relative to expected benefits. At the same time, observed WTP levels frequently fall below the full administrative cost of providing registration services, raising concerns regarding cost recovery, subsidy design, and the financial sustainability of land registration systems. Consequently, WTP analysis has become an important policy tool for informing pricing strategies, cost-sharing arrangements, and demand-responsive land administration reforms.</w:t>
      </w:r>
    </w:p>
    <w:p w14:paraId="44D74172"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Methodologically, the literature employs a range of approaches to elicit and analyse WTP for land title registration. Stated preference techniques, particularly the Contingent Valuation Method (CVM), are widely used to capture WTP for non-market goods such as tenure security (Agbo et al., 2019). CVM typically involves presenting respondents with a hypothetical but realistic registration scenario and asking their maximum WTP using closed-ended or dichotomous choice formats across varying bid levels (Trang et al., 2017). Socio-economic and demographic information is collected alongside WTP responses to explain heterogeneity in valuation. While CVM provides direct insights into perceived benefits, it is subject to potential biases, including hypothetical bias and starting-point bias, necessitating careful survey design and econometric treatment (Zhu et al., 2021). Econometric models such as logit and probit are commonly applied to binary WTP responses, while Tobit and truncated regression models are used when WTP values are censored at zero. In contexts where land tenure choices and WTP may be jointly determined, instrumental variable approaches have been employed to address endogeneity and obtain consistent estimates (Zhu et al., 2021).</w:t>
      </w:r>
    </w:p>
    <w:p w14:paraId="10F67E9F"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Beyond methodological considerations, empirical studies consistently identify a set of socio-economic, institutional, and behavioural factors influencing WTP for land title registration. Household income is one of the most robust determinants, with higher-income households exhibiting greater WTP due to improved affordability and higher expected returns from secure tenure (Fu et al., 2022; Julius et al., 2017). Education also plays a significant role by enhancing awareness of legal rights and the perceived benefits of formal registration (Trang et al., 2017). Other household characteristics, such as household size, display mixed effects across studies, reflecting differences in dependency ratios, land use strategies, and risk preferences (</w:t>
      </w:r>
      <w:proofErr w:type="spellStart"/>
      <w:r w:rsidRPr="007A504A">
        <w:rPr>
          <w:rFonts w:cs="Times New Roman"/>
          <w:color w:val="000000" w:themeColor="text1"/>
          <w:sz w:val="22"/>
        </w:rPr>
        <w:t>Ezebilo</w:t>
      </w:r>
      <w:proofErr w:type="spellEnd"/>
      <w:r w:rsidRPr="007A504A">
        <w:rPr>
          <w:rFonts w:cs="Times New Roman"/>
          <w:color w:val="000000" w:themeColor="text1"/>
          <w:sz w:val="22"/>
        </w:rPr>
        <w:t>, 2013; Nkansah et al., 2015; Zhu et al., 2021). Spatial and contextual factors further shape demand, with urban households and those located closer to markets generally demonstrating higher WTP due to greater land values and more active land markets (Bezu &amp; Holden, 2013).</w:t>
      </w:r>
    </w:p>
    <w:p w14:paraId="5B6442D2"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lastRenderedPageBreak/>
        <w:t>Tenure-related and institutional factors are particularly influential in shaping WTP. More secure tenure arrangements are typically associated with higher WTP for formal titles, as landholders have stronger incentives to protect valuable assets (Kasirye, 2019). Gender disparities persist in many settings, with female-headed households often exhibiting lower WTP, reflecting structural inequalities in land ownership, access to information, and financial resources (Ali et al., 2015; Bezu &amp; Holden, 2013). Land size also constitutes a critical factor, as larger plots generate higher absolute benefits from legal protection, increasing the value placed on registration (Fu et al., 2022; Manara &amp; Regan, 2024). In addition, trust in government and land administration institutions has been shown to significantly enhance WTP by reducing perceived risks and increasing confidence in the registration process (Kim et al., 2020). Awareness-raising activities and transparent, efficient procedures further strengthen demand by lowering informational and transaction costs (Trang et al., 2017; Zevenbergen &amp; Western, 2023). Perceived risks of eviction, land disputes, or land grabbing also positively influence WTP, as households view formal titles as a mechanism for risk mitigation (Blackman et al., 2022), while social influence and community networks can reinforce participation through peer effects and local leadership (Kim et al., 2020; Manara &amp; Regan, 2024).</w:t>
      </w:r>
    </w:p>
    <w:p w14:paraId="306460CF"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Despite this extensive international evidence, significant gaps remain. Empirical research on WTP for land title registration has been unevenly distributed across regions, with relatively limited attention to urban South Asian contexts. In Sri Lanka, studies on land titling have largely focused on legal frameworks, institutional capacity, and implementation challenges, with minimal emphasis on household-level demand and economic valuation (</w:t>
      </w:r>
      <w:proofErr w:type="spellStart"/>
      <w:r w:rsidRPr="007A504A">
        <w:rPr>
          <w:rFonts w:cs="Times New Roman"/>
          <w:color w:val="000000" w:themeColor="text1"/>
          <w:sz w:val="22"/>
        </w:rPr>
        <w:t>Waduge</w:t>
      </w:r>
      <w:proofErr w:type="spellEnd"/>
      <w:r w:rsidRPr="007A504A">
        <w:rPr>
          <w:rFonts w:cs="Times New Roman"/>
          <w:color w:val="000000" w:themeColor="text1"/>
          <w:sz w:val="22"/>
        </w:rPr>
        <w:t xml:space="preserve">, 2022; </w:t>
      </w:r>
      <w:proofErr w:type="spellStart"/>
      <w:r w:rsidRPr="007A504A">
        <w:rPr>
          <w:rFonts w:cs="Times New Roman"/>
          <w:color w:val="000000" w:themeColor="text1"/>
          <w:sz w:val="22"/>
        </w:rPr>
        <w:t>Wickramaarachchi</w:t>
      </w:r>
      <w:proofErr w:type="spellEnd"/>
      <w:r w:rsidRPr="007A504A">
        <w:rPr>
          <w:rFonts w:cs="Times New Roman"/>
          <w:color w:val="000000" w:themeColor="text1"/>
          <w:sz w:val="22"/>
        </w:rPr>
        <w:t xml:space="preserve"> et al., 2021). As a result, policymakers lack robust evidence on how landholders perceive the benefits of title registration and how much they are willing to pay for such services. This gap constrains the design of effective pricing, subsidy, and outreach strategies and underscores the need for demand-side, econometric analysis of WTP for land title registration in urban Sri Lanka.</w:t>
      </w:r>
    </w:p>
    <w:p w14:paraId="15E2BBF8" w14:textId="77777777" w:rsidR="00BD179B" w:rsidRPr="007A504A" w:rsidRDefault="00000000">
      <w:pPr>
        <w:pStyle w:val="Heading1"/>
        <w:spacing w:before="280" w:after="80"/>
        <w:rPr>
          <w:rFonts w:ascii="Times New Roman" w:hAnsi="Times New Roman" w:cs="Times New Roman"/>
          <w:color w:val="000000" w:themeColor="text1"/>
        </w:rPr>
      </w:pPr>
      <w:r w:rsidRPr="007A504A">
        <w:rPr>
          <w:rFonts w:ascii="Times New Roman" w:hAnsi="Times New Roman" w:cs="Times New Roman"/>
          <w:color w:val="000000" w:themeColor="text1"/>
        </w:rPr>
        <w:t>3. Methods and Data</w:t>
      </w:r>
    </w:p>
    <w:p w14:paraId="3651D99C" w14:textId="77777777" w:rsidR="00BD179B" w:rsidRPr="007A504A" w:rsidRDefault="00000000">
      <w:pPr>
        <w:pStyle w:val="Heading2"/>
        <w:spacing w:after="80"/>
        <w:rPr>
          <w:rFonts w:ascii="Times New Roman" w:hAnsi="Times New Roman" w:cs="Times New Roman"/>
          <w:color w:val="000000" w:themeColor="text1"/>
        </w:rPr>
      </w:pPr>
      <w:proofErr w:type="gramStart"/>
      <w:r w:rsidRPr="007A504A">
        <w:rPr>
          <w:rFonts w:ascii="Times New Roman" w:hAnsi="Times New Roman" w:cs="Times New Roman"/>
          <w:color w:val="000000" w:themeColor="text1"/>
        </w:rPr>
        <w:t>3.1  Research</w:t>
      </w:r>
      <w:proofErr w:type="gramEnd"/>
      <w:r w:rsidRPr="007A504A">
        <w:rPr>
          <w:rFonts w:ascii="Times New Roman" w:hAnsi="Times New Roman" w:cs="Times New Roman"/>
          <w:color w:val="000000" w:themeColor="text1"/>
        </w:rPr>
        <w:t xml:space="preserve"> Design</w:t>
      </w:r>
    </w:p>
    <w:p w14:paraId="7D15F834"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This study adopts a quantitative research design to examine households' willingness to pay (WTP) for land title registration under Sri Lanka's Bim Saviya programme and to identify the socioeconomic, land-related, and perceptual factors influencing this willingness. A quantitative approach is appropriate given the study's objective of estimating the direction and magnitude of relationships between WTP and explanatory variables using econometric methods.</w:t>
      </w:r>
    </w:p>
    <w:p w14:paraId="4EDFEE7B"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The analysis is based on primary cross-sectional household survey data collected at a single point in time. This design allows for comparison of WTP behaviour across households operating under similar institutional and policy conditions, while capturing heterogeneity in income, education, tenure documentation, and perceptions of land administration.</w:t>
      </w:r>
    </w:p>
    <w:p w14:paraId="7FCCCDCE" w14:textId="77777777" w:rsidR="00BD179B" w:rsidRPr="007A504A" w:rsidRDefault="00000000">
      <w:pPr>
        <w:pStyle w:val="Heading2"/>
        <w:spacing w:after="80"/>
        <w:rPr>
          <w:rFonts w:ascii="Times New Roman" w:hAnsi="Times New Roman" w:cs="Times New Roman"/>
          <w:color w:val="000000" w:themeColor="text1"/>
        </w:rPr>
      </w:pPr>
      <w:proofErr w:type="gramStart"/>
      <w:r w:rsidRPr="007A504A">
        <w:rPr>
          <w:rFonts w:ascii="Times New Roman" w:hAnsi="Times New Roman" w:cs="Times New Roman"/>
          <w:color w:val="000000" w:themeColor="text1"/>
        </w:rPr>
        <w:t>3.2  Study</w:t>
      </w:r>
      <w:proofErr w:type="gramEnd"/>
      <w:r w:rsidRPr="007A504A">
        <w:rPr>
          <w:rFonts w:ascii="Times New Roman" w:hAnsi="Times New Roman" w:cs="Times New Roman"/>
          <w:color w:val="000000" w:themeColor="text1"/>
        </w:rPr>
        <w:t xml:space="preserve"> Area</w:t>
      </w:r>
    </w:p>
    <w:p w14:paraId="6F0051F7"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 xml:space="preserve">The study was conducted in selected areas of the Colombo District where the Bim Saviya title registration programme is actively progressing, covering local authority areas including Moratuwa, </w:t>
      </w:r>
      <w:proofErr w:type="spellStart"/>
      <w:r w:rsidRPr="007A504A">
        <w:rPr>
          <w:rFonts w:cs="Times New Roman"/>
          <w:color w:val="000000" w:themeColor="text1"/>
          <w:sz w:val="22"/>
        </w:rPr>
        <w:t>Kesbewa</w:t>
      </w:r>
      <w:proofErr w:type="spellEnd"/>
      <w:r w:rsidRPr="007A504A">
        <w:rPr>
          <w:rFonts w:cs="Times New Roman"/>
          <w:color w:val="000000" w:themeColor="text1"/>
          <w:sz w:val="22"/>
        </w:rPr>
        <w:t xml:space="preserve">, Homagama, and </w:t>
      </w:r>
      <w:proofErr w:type="spellStart"/>
      <w:r w:rsidRPr="007A504A">
        <w:rPr>
          <w:rFonts w:cs="Times New Roman"/>
          <w:color w:val="000000" w:themeColor="text1"/>
          <w:sz w:val="22"/>
        </w:rPr>
        <w:t>Maharagama</w:t>
      </w:r>
      <w:proofErr w:type="spellEnd"/>
      <w:r w:rsidRPr="007A504A">
        <w:rPr>
          <w:rFonts w:cs="Times New Roman"/>
          <w:color w:val="000000" w:themeColor="text1"/>
          <w:sz w:val="22"/>
        </w:rPr>
        <w:t xml:space="preserve">. These areas represent a particularly relevant setting for </w:t>
      </w:r>
      <w:r w:rsidRPr="007A504A">
        <w:rPr>
          <w:rFonts w:cs="Times New Roman"/>
          <w:color w:val="000000" w:themeColor="text1"/>
          <w:sz w:val="22"/>
        </w:rPr>
        <w:lastRenderedPageBreak/>
        <w:t>analysing WTP for title registration due to high land values, dense settlement patterns, and complex ownership arrangements.</w:t>
      </w:r>
    </w:p>
    <w:p w14:paraId="7A5573ED" w14:textId="202F43E6"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Colombo District combines strong economic incentives for secure land rights with pronounced socio-economic inequality. While the district records the highest average household income in Sri Lanka, a substantial share of households resides in under-serviced settlements and holds land under diverse tenure and documentation arrangements. These conditions make Colombo an appropriate case study for examining both participation decisions and valuation behaviour related to land title registration.</w:t>
      </w:r>
    </w:p>
    <w:p w14:paraId="589A0BAC" w14:textId="2D892AA1" w:rsidR="00BD179B" w:rsidRPr="007A504A" w:rsidRDefault="00AD72F1" w:rsidP="00EB4264">
      <w:pPr>
        <w:jc w:val="center"/>
        <w:rPr>
          <w:rFonts w:cs="Times New Roman"/>
          <w:color w:val="000000" w:themeColor="text1"/>
        </w:rPr>
      </w:pPr>
      <w:r w:rsidRPr="007A504A">
        <w:rPr>
          <w:rFonts w:cs="Times New Roman"/>
          <w:noProof/>
          <w:color w:val="000000" w:themeColor="text1"/>
        </w:rPr>
        <w:drawing>
          <wp:anchor distT="0" distB="0" distL="114300" distR="114300" simplePos="0" relativeHeight="251658752" behindDoc="0" locked="0" layoutInCell="1" allowOverlap="1" wp14:anchorId="108BC81A" wp14:editId="11CEF340">
            <wp:simplePos x="0" y="0"/>
            <wp:positionH relativeFrom="column">
              <wp:posOffset>238996</wp:posOffset>
            </wp:positionH>
            <wp:positionV relativeFrom="paragraph">
              <wp:posOffset>7620</wp:posOffset>
            </wp:positionV>
            <wp:extent cx="5029200" cy="3298825"/>
            <wp:effectExtent l="0" t="0" r="0" b="0"/>
            <wp:wrapThrough wrapText="bothSides">
              <wp:wrapPolygon edited="0">
                <wp:start x="0" y="0"/>
                <wp:lineTo x="0" y="21454"/>
                <wp:lineTo x="21518" y="21454"/>
                <wp:lineTo x="2151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stretch>
                      <a:fillRect/>
                    </a:stretch>
                  </pic:blipFill>
                  <pic:spPr>
                    <a:xfrm>
                      <a:off x="0" y="0"/>
                      <a:ext cx="5029200" cy="3298825"/>
                    </a:xfrm>
                    <a:prstGeom prst="rect">
                      <a:avLst/>
                    </a:prstGeom>
                  </pic:spPr>
                </pic:pic>
              </a:graphicData>
            </a:graphic>
          </wp:anchor>
        </w:drawing>
      </w:r>
      <w:r w:rsidRPr="007A504A">
        <w:rPr>
          <w:rFonts w:cs="Times New Roman"/>
          <w:b/>
          <w:color w:val="000000" w:themeColor="text1"/>
        </w:rPr>
        <w:t>Figure 1. Study Area</w:t>
      </w:r>
    </w:p>
    <w:p w14:paraId="28BEA219" w14:textId="77777777" w:rsidR="00BD179B" w:rsidRPr="007A504A" w:rsidRDefault="00000000" w:rsidP="00EB4264">
      <w:pPr>
        <w:pStyle w:val="Heading2"/>
        <w:spacing w:before="0" w:after="80"/>
        <w:rPr>
          <w:rFonts w:ascii="Times New Roman" w:hAnsi="Times New Roman" w:cs="Times New Roman"/>
          <w:color w:val="000000" w:themeColor="text1"/>
        </w:rPr>
      </w:pPr>
      <w:proofErr w:type="gramStart"/>
      <w:r w:rsidRPr="007A504A">
        <w:rPr>
          <w:rFonts w:ascii="Times New Roman" w:hAnsi="Times New Roman" w:cs="Times New Roman"/>
          <w:color w:val="000000" w:themeColor="text1"/>
        </w:rPr>
        <w:t>3.3  Data</w:t>
      </w:r>
      <w:proofErr w:type="gramEnd"/>
      <w:r w:rsidRPr="007A504A">
        <w:rPr>
          <w:rFonts w:ascii="Times New Roman" w:hAnsi="Times New Roman" w:cs="Times New Roman"/>
          <w:color w:val="000000" w:themeColor="text1"/>
        </w:rPr>
        <w:t xml:space="preserve"> Collection and Sampling</w:t>
      </w:r>
    </w:p>
    <w:p w14:paraId="345D600A"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Primary data were collected through a structured household questionnaire administered via face-to-face interviews. The questionnaire captured information on household demographics, income, education, land characteristics, tenure documentation, and perceptions related to land tenure security and the title registration process.</w:t>
      </w:r>
    </w:p>
    <w:p w14:paraId="7D3A39FE"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Respondents were selected from households residing in Colombo areas where the Bim Saviya programme is being implemented. A purposive sampling approach was employed to ensure that respondents possessed at least a basic level of awareness of land administration and title registration processes, consistent with established stated preference and contingent valuation studies where informed respondents are required to evaluate institutional or policy interventions. While this approach may limit strict population representativeness, it enhances internal validity by reducing information-driven zero responses and improving the reliability of valuation responses. The implications for external validity are discussed in the limitations section.</w:t>
      </w:r>
    </w:p>
    <w:p w14:paraId="3DCFC7B9" w14:textId="6A2C542E" w:rsidR="00BD179B" w:rsidRPr="007A504A" w:rsidRDefault="003811FB">
      <w:pPr>
        <w:pStyle w:val="Heading2"/>
        <w:spacing w:after="80"/>
        <w:rPr>
          <w:rFonts w:ascii="Times New Roman" w:hAnsi="Times New Roman" w:cs="Times New Roman"/>
          <w:color w:val="000000" w:themeColor="text1"/>
        </w:rPr>
      </w:pPr>
      <w:r w:rsidRPr="007A504A">
        <w:rPr>
          <w:rFonts w:ascii="Times New Roman" w:hAnsi="Times New Roman" w:cs="Times New Roman"/>
          <w:color w:val="000000" w:themeColor="text1"/>
        </w:rPr>
        <w:lastRenderedPageBreak/>
        <w:t>3.4 Elicitation</w:t>
      </w:r>
      <w:r w:rsidR="00000000" w:rsidRPr="007A504A">
        <w:rPr>
          <w:rFonts w:ascii="Times New Roman" w:hAnsi="Times New Roman" w:cs="Times New Roman"/>
          <w:color w:val="000000" w:themeColor="text1"/>
        </w:rPr>
        <w:t xml:space="preserve"> of Willingness to Pay</w:t>
      </w:r>
    </w:p>
    <w:p w14:paraId="672DE72F" w14:textId="2EE5389E"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Willingness to pay was elicited using a stated preference approach that combined a dichotomous choice question with follow-up price brackets. Respondents were first asked whether they were willing to pay anything for land title registration under the Bim Saviya programme. Those who responded affirmatively were then presented with a sequence of ascending price brackets (Rs. 1,000; 2,500; 5,000; 7,500; 10,000; 15,000; 20,000; 25,000; 50,000), followed by an open-ended question to identify their maximum willingness to pay. The resulting WTP variable contains a proportion of zero responses (18.7%) alongside continuous positive values, reflecting a mixed discrete</w:t>
      </w:r>
      <w:r w:rsidR="00AD72F1" w:rsidRPr="007A504A">
        <w:rPr>
          <w:rFonts w:cs="Times New Roman"/>
          <w:color w:val="000000" w:themeColor="text1"/>
          <w:sz w:val="22"/>
        </w:rPr>
        <w:t xml:space="preserve"> </w:t>
      </w:r>
      <w:r w:rsidRPr="007A504A">
        <w:rPr>
          <w:rFonts w:cs="Times New Roman"/>
          <w:color w:val="000000" w:themeColor="text1"/>
          <w:sz w:val="22"/>
        </w:rPr>
        <w:t>continuous outcome structure appropriate for a two-stage hurdle model.</w:t>
      </w:r>
    </w:p>
    <w:p w14:paraId="670AF440" w14:textId="77777777" w:rsidR="00BD179B" w:rsidRPr="007A504A" w:rsidRDefault="00000000">
      <w:pPr>
        <w:pStyle w:val="Heading2"/>
        <w:spacing w:after="80"/>
        <w:rPr>
          <w:rFonts w:ascii="Times New Roman" w:hAnsi="Times New Roman" w:cs="Times New Roman"/>
          <w:color w:val="000000" w:themeColor="text1"/>
        </w:rPr>
      </w:pPr>
      <w:proofErr w:type="gramStart"/>
      <w:r w:rsidRPr="007A504A">
        <w:rPr>
          <w:rFonts w:ascii="Times New Roman" w:hAnsi="Times New Roman" w:cs="Times New Roman"/>
          <w:color w:val="000000" w:themeColor="text1"/>
        </w:rPr>
        <w:t>3.5  Variable</w:t>
      </w:r>
      <w:proofErr w:type="gramEnd"/>
      <w:r w:rsidRPr="007A504A">
        <w:rPr>
          <w:rFonts w:ascii="Times New Roman" w:hAnsi="Times New Roman" w:cs="Times New Roman"/>
          <w:color w:val="000000" w:themeColor="text1"/>
        </w:rPr>
        <w:t xml:space="preserve"> Definition and Measurement</w:t>
      </w:r>
    </w:p>
    <w:p w14:paraId="2A4936F5"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The dependent variable is the maximum one-time fee (in Sri Lankan Rupees) that a household is willing to pay for land title registration. For econometric estimation, WTP is treated as a binary indicator in the participation stage (WTP &gt; 0) and as a continuous variable in logarithmic form for the amount stage (conditional on positive WTP).</w:t>
      </w:r>
    </w:p>
    <w:p w14:paraId="55CE2A92"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Composite perceptual indices were constructed from Likert-scale items and standardised prior to estimation. Internal consistency was assessed using Cronbach's alpha: benefit perception (α = 0.896, 4 items: PB_EVIC, PB_EINH, PB_CRDT, PB_SLD), transparency (α = 0.844, 3 items), and perceived risk (α = 0.897, 3 items), all exceeding the recommended threshold of 0.70. Exploratory factor analysis using principal axis factoring confirmed the unidimensional structure of each construct, with all items loading strongly on a single factor (loadings ranging from 0.683 to 0.919) and eigenvalues greater than one.</w:t>
      </w:r>
    </w:p>
    <w:p w14:paraId="17D70A44" w14:textId="77777777" w:rsidR="00BD179B" w:rsidRPr="007A504A" w:rsidRDefault="00000000">
      <w:pPr>
        <w:rPr>
          <w:rFonts w:cs="Times New Roman"/>
          <w:color w:val="000000" w:themeColor="text1"/>
        </w:rPr>
      </w:pPr>
      <w:r w:rsidRPr="007A504A">
        <w:rPr>
          <w:rFonts w:cs="Times New Roman"/>
          <w:b/>
          <w:color w:val="000000" w:themeColor="text1"/>
        </w:rPr>
        <w:t>Table 1. Definition of Variables</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1958"/>
        <w:gridCol w:w="3480"/>
        <w:gridCol w:w="3202"/>
      </w:tblGrid>
      <w:tr w:rsidR="000A6C42" w:rsidRPr="000A6C42" w14:paraId="6F7EF4C7" w14:textId="77777777" w:rsidTr="009C4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bottom w:val="single" w:sz="4" w:space="0" w:color="auto"/>
            </w:tcBorders>
          </w:tcPr>
          <w:p w14:paraId="5395CE78" w14:textId="77777777" w:rsidR="000A6C42" w:rsidRPr="000A6C42" w:rsidRDefault="000A6C42" w:rsidP="009C49C8">
            <w:pPr>
              <w:jc w:val="center"/>
              <w:rPr>
                <w:rFonts w:cs="Times New Roman"/>
                <w:color w:val="000000" w:themeColor="text1"/>
                <w:sz w:val="22"/>
              </w:rPr>
            </w:pPr>
            <w:r w:rsidRPr="000A6C42">
              <w:rPr>
                <w:rFonts w:cs="Times New Roman"/>
                <w:color w:val="000000" w:themeColor="text1"/>
                <w:sz w:val="22"/>
              </w:rPr>
              <w:t>Variable</w:t>
            </w:r>
          </w:p>
        </w:tc>
        <w:tc>
          <w:tcPr>
            <w:tcW w:w="3510" w:type="dxa"/>
            <w:tcBorders>
              <w:top w:val="single" w:sz="4" w:space="0" w:color="auto"/>
              <w:bottom w:val="single" w:sz="4" w:space="0" w:color="auto"/>
            </w:tcBorders>
          </w:tcPr>
          <w:p w14:paraId="351EAF08" w14:textId="77777777" w:rsidR="000A6C42" w:rsidRPr="000A6C42" w:rsidRDefault="000A6C42" w:rsidP="009C49C8">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Definition</w:t>
            </w:r>
          </w:p>
        </w:tc>
        <w:tc>
          <w:tcPr>
            <w:tcW w:w="3223" w:type="dxa"/>
            <w:tcBorders>
              <w:top w:val="single" w:sz="4" w:space="0" w:color="auto"/>
              <w:bottom w:val="single" w:sz="4" w:space="0" w:color="auto"/>
            </w:tcBorders>
          </w:tcPr>
          <w:p w14:paraId="752D8CC9" w14:textId="77777777" w:rsidR="000A6C42" w:rsidRPr="000A6C42" w:rsidRDefault="000A6C42" w:rsidP="009C49C8">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Measurement</w:t>
            </w:r>
          </w:p>
        </w:tc>
      </w:tr>
      <w:tr w:rsidR="000A6C42" w:rsidRPr="000A6C42" w14:paraId="51409776" w14:textId="77777777" w:rsidTr="009C4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bottom w:val="single" w:sz="4" w:space="0" w:color="auto"/>
            </w:tcBorders>
          </w:tcPr>
          <w:p w14:paraId="74815693" w14:textId="77777777" w:rsidR="000A6C42" w:rsidRPr="000A6C42" w:rsidRDefault="000A6C42" w:rsidP="009C49C8">
            <w:pPr>
              <w:rPr>
                <w:rFonts w:cs="Times New Roman"/>
                <w:b w:val="0"/>
                <w:bCs w:val="0"/>
                <w:color w:val="000000" w:themeColor="text1"/>
                <w:sz w:val="22"/>
              </w:rPr>
            </w:pPr>
            <w:r w:rsidRPr="000A6C42">
              <w:rPr>
                <w:rFonts w:cs="Times New Roman"/>
                <w:b w:val="0"/>
                <w:bCs w:val="0"/>
                <w:color w:val="000000" w:themeColor="text1"/>
                <w:sz w:val="22"/>
              </w:rPr>
              <w:t>WTP</w:t>
            </w:r>
          </w:p>
        </w:tc>
        <w:tc>
          <w:tcPr>
            <w:tcW w:w="3510" w:type="dxa"/>
            <w:tcBorders>
              <w:top w:val="single" w:sz="4" w:space="0" w:color="auto"/>
              <w:bottom w:val="single" w:sz="4" w:space="0" w:color="auto"/>
            </w:tcBorders>
          </w:tcPr>
          <w:p w14:paraId="20E32EFB" w14:textId="77777777" w:rsidR="000A6C42" w:rsidRPr="000A6C42" w:rsidRDefault="000A6C42" w:rsidP="009C49C8">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Maximum one-time fee respondent is willing to pay for land title registration</w:t>
            </w:r>
          </w:p>
        </w:tc>
        <w:tc>
          <w:tcPr>
            <w:tcW w:w="3223" w:type="dxa"/>
            <w:tcBorders>
              <w:top w:val="single" w:sz="4" w:space="0" w:color="auto"/>
              <w:bottom w:val="single" w:sz="4" w:space="0" w:color="auto"/>
            </w:tcBorders>
          </w:tcPr>
          <w:p w14:paraId="468E041D" w14:textId="77777777" w:rsidR="000A6C42" w:rsidRPr="000A6C42" w:rsidRDefault="000A6C42" w:rsidP="009C49C8">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Continuous (LKR); elicited via dichotomous choice followed by open-ended maximum</w:t>
            </w:r>
          </w:p>
        </w:tc>
      </w:tr>
      <w:tr w:rsidR="000A6C42" w:rsidRPr="000A6C42" w14:paraId="4E0558A4" w14:textId="77777777" w:rsidTr="009C49C8">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tcBorders>
          </w:tcPr>
          <w:p w14:paraId="35FF7C49" w14:textId="77777777" w:rsidR="000A6C42" w:rsidRPr="000A6C42" w:rsidRDefault="000A6C42" w:rsidP="009C49C8">
            <w:pPr>
              <w:rPr>
                <w:rFonts w:cs="Times New Roman"/>
                <w:b w:val="0"/>
                <w:bCs w:val="0"/>
                <w:color w:val="000000" w:themeColor="text1"/>
                <w:sz w:val="22"/>
              </w:rPr>
            </w:pPr>
            <w:r w:rsidRPr="000A6C42">
              <w:rPr>
                <w:rFonts w:cs="Times New Roman"/>
                <w:b w:val="0"/>
                <w:bCs w:val="0"/>
                <w:color w:val="000000" w:themeColor="text1"/>
                <w:sz w:val="22"/>
              </w:rPr>
              <w:t>Education level</w:t>
            </w:r>
          </w:p>
        </w:tc>
        <w:tc>
          <w:tcPr>
            <w:tcW w:w="3510" w:type="dxa"/>
            <w:tcBorders>
              <w:top w:val="single" w:sz="4" w:space="0" w:color="auto"/>
            </w:tcBorders>
          </w:tcPr>
          <w:p w14:paraId="254FBE02" w14:textId="77777777" w:rsidR="000A6C42" w:rsidRPr="000A6C42" w:rsidRDefault="000A6C42" w:rsidP="009C49C8">
            <w:pPr>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Highest educational attainment of the household head</w:t>
            </w:r>
          </w:p>
        </w:tc>
        <w:tc>
          <w:tcPr>
            <w:tcW w:w="3223" w:type="dxa"/>
            <w:tcBorders>
              <w:top w:val="single" w:sz="4" w:space="0" w:color="auto"/>
            </w:tcBorders>
          </w:tcPr>
          <w:p w14:paraId="7F39231F" w14:textId="77777777" w:rsidR="000A6C42" w:rsidRPr="000A6C42" w:rsidRDefault="000A6C42" w:rsidP="009C49C8">
            <w:pPr>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 xml:space="preserve">Categorical dummies: </w:t>
            </w:r>
            <w:proofErr w:type="spellStart"/>
            <w:r w:rsidRPr="000A6C42">
              <w:rPr>
                <w:rFonts w:cs="Times New Roman"/>
                <w:color w:val="000000" w:themeColor="text1"/>
                <w:sz w:val="22"/>
              </w:rPr>
              <w:t>Upto</w:t>
            </w:r>
            <w:proofErr w:type="spellEnd"/>
            <w:r w:rsidRPr="000A6C42">
              <w:rPr>
                <w:rFonts w:cs="Times New Roman"/>
                <w:color w:val="000000" w:themeColor="text1"/>
                <w:sz w:val="22"/>
              </w:rPr>
              <w:t xml:space="preserve"> O/L (reference), A/L, </w:t>
            </w:r>
            <w:proofErr w:type="gramStart"/>
            <w:r w:rsidRPr="000A6C42">
              <w:rPr>
                <w:rFonts w:cs="Times New Roman"/>
                <w:color w:val="000000" w:themeColor="text1"/>
                <w:sz w:val="22"/>
              </w:rPr>
              <w:t>Bachelor's</w:t>
            </w:r>
            <w:proofErr w:type="gramEnd"/>
            <w:r w:rsidRPr="000A6C42">
              <w:rPr>
                <w:rFonts w:cs="Times New Roman"/>
                <w:color w:val="000000" w:themeColor="text1"/>
                <w:sz w:val="22"/>
              </w:rPr>
              <w:t xml:space="preserve"> degree, Postgraduate</w:t>
            </w:r>
          </w:p>
        </w:tc>
      </w:tr>
      <w:tr w:rsidR="000A6C42" w:rsidRPr="000A6C42" w14:paraId="1B3DC509" w14:textId="77777777" w:rsidTr="009C4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3E267980" w14:textId="77777777" w:rsidR="000A6C42" w:rsidRPr="000A6C42" w:rsidRDefault="000A6C42" w:rsidP="009C49C8">
            <w:pPr>
              <w:rPr>
                <w:rFonts w:cs="Times New Roman"/>
                <w:b w:val="0"/>
                <w:bCs w:val="0"/>
                <w:color w:val="000000" w:themeColor="text1"/>
                <w:sz w:val="22"/>
              </w:rPr>
            </w:pPr>
            <w:proofErr w:type="spellStart"/>
            <w:r w:rsidRPr="000A6C42">
              <w:rPr>
                <w:rFonts w:cs="Times New Roman"/>
                <w:b w:val="0"/>
                <w:bCs w:val="0"/>
                <w:color w:val="000000" w:themeColor="text1"/>
                <w:sz w:val="22"/>
              </w:rPr>
              <w:t>HH_income</w:t>
            </w:r>
            <w:proofErr w:type="spellEnd"/>
          </w:p>
        </w:tc>
        <w:tc>
          <w:tcPr>
            <w:tcW w:w="3510" w:type="dxa"/>
          </w:tcPr>
          <w:p w14:paraId="650FE8E2" w14:textId="77777777" w:rsidR="000A6C42" w:rsidRPr="000A6C42" w:rsidRDefault="000A6C42" w:rsidP="009C49C8">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Natural logarithm of total annual household income</w:t>
            </w:r>
          </w:p>
        </w:tc>
        <w:tc>
          <w:tcPr>
            <w:tcW w:w="3223" w:type="dxa"/>
          </w:tcPr>
          <w:p w14:paraId="2E660796" w14:textId="77777777" w:rsidR="000A6C42" w:rsidRPr="000A6C42" w:rsidRDefault="000A6C42" w:rsidP="009C49C8">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Continuous (log LKR/year)</w:t>
            </w:r>
          </w:p>
        </w:tc>
      </w:tr>
      <w:tr w:rsidR="000A6C42" w:rsidRPr="000A6C42" w14:paraId="394B8BA7" w14:textId="77777777" w:rsidTr="009C49C8">
        <w:tc>
          <w:tcPr>
            <w:cnfStyle w:val="001000000000" w:firstRow="0" w:lastRow="0" w:firstColumn="1" w:lastColumn="0" w:oddVBand="0" w:evenVBand="0" w:oddHBand="0" w:evenHBand="0" w:firstRowFirstColumn="0" w:firstRowLastColumn="0" w:lastRowFirstColumn="0" w:lastRowLastColumn="0"/>
            <w:tcW w:w="1962" w:type="dxa"/>
          </w:tcPr>
          <w:p w14:paraId="2BBC9EF2" w14:textId="77777777" w:rsidR="000A6C42" w:rsidRPr="000A6C42" w:rsidRDefault="000A6C42" w:rsidP="009C49C8">
            <w:pPr>
              <w:rPr>
                <w:rFonts w:cs="Times New Roman"/>
                <w:b w:val="0"/>
                <w:bCs w:val="0"/>
                <w:color w:val="000000" w:themeColor="text1"/>
                <w:sz w:val="22"/>
              </w:rPr>
            </w:pPr>
            <w:proofErr w:type="spellStart"/>
            <w:r w:rsidRPr="000A6C42">
              <w:rPr>
                <w:rFonts w:cs="Times New Roman"/>
                <w:b w:val="0"/>
                <w:bCs w:val="0"/>
                <w:color w:val="000000" w:themeColor="text1"/>
                <w:sz w:val="22"/>
              </w:rPr>
              <w:t>HH_Size</w:t>
            </w:r>
            <w:proofErr w:type="spellEnd"/>
          </w:p>
        </w:tc>
        <w:tc>
          <w:tcPr>
            <w:tcW w:w="3510" w:type="dxa"/>
          </w:tcPr>
          <w:p w14:paraId="7E2A77FC" w14:textId="77777777" w:rsidR="000A6C42" w:rsidRPr="000A6C42" w:rsidRDefault="000A6C42" w:rsidP="009C49C8">
            <w:pPr>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Number of individuals living in the household</w:t>
            </w:r>
          </w:p>
        </w:tc>
        <w:tc>
          <w:tcPr>
            <w:tcW w:w="3223" w:type="dxa"/>
          </w:tcPr>
          <w:p w14:paraId="3E4A0917" w14:textId="77777777" w:rsidR="000A6C42" w:rsidRPr="000A6C42" w:rsidRDefault="000A6C42" w:rsidP="009C49C8">
            <w:pPr>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Continuous (count)</w:t>
            </w:r>
          </w:p>
        </w:tc>
      </w:tr>
      <w:tr w:rsidR="000A6C42" w:rsidRPr="000A6C42" w14:paraId="5332B536" w14:textId="77777777" w:rsidTr="009C4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22394668" w14:textId="77777777" w:rsidR="000A6C42" w:rsidRPr="000A6C42" w:rsidRDefault="000A6C42" w:rsidP="009C49C8">
            <w:pPr>
              <w:rPr>
                <w:rFonts w:cs="Times New Roman"/>
                <w:b w:val="0"/>
                <w:bCs w:val="0"/>
                <w:color w:val="000000" w:themeColor="text1"/>
                <w:sz w:val="22"/>
              </w:rPr>
            </w:pPr>
            <w:proofErr w:type="spellStart"/>
            <w:r w:rsidRPr="000A6C42">
              <w:rPr>
                <w:rFonts w:cs="Times New Roman"/>
                <w:b w:val="0"/>
                <w:bCs w:val="0"/>
                <w:color w:val="000000" w:themeColor="text1"/>
                <w:sz w:val="22"/>
              </w:rPr>
              <w:t>LT_Type</w:t>
            </w:r>
            <w:proofErr w:type="spellEnd"/>
          </w:p>
        </w:tc>
        <w:tc>
          <w:tcPr>
            <w:tcW w:w="3510" w:type="dxa"/>
          </w:tcPr>
          <w:p w14:paraId="0A4EDB3A" w14:textId="77777777" w:rsidR="000A6C42" w:rsidRPr="000A6C42" w:rsidRDefault="000A6C42" w:rsidP="009C49C8">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Legal tenure status of the land parcel</w:t>
            </w:r>
          </w:p>
        </w:tc>
        <w:tc>
          <w:tcPr>
            <w:tcW w:w="3223" w:type="dxa"/>
          </w:tcPr>
          <w:p w14:paraId="0E3CF293" w14:textId="77777777" w:rsidR="000A6C42" w:rsidRPr="000A6C42" w:rsidRDefault="000A6C42" w:rsidP="009C49C8">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Categorical dummies: Deed (reference), Title, Other (permit/leasehold)</w:t>
            </w:r>
          </w:p>
        </w:tc>
      </w:tr>
      <w:tr w:rsidR="000A6C42" w:rsidRPr="000A6C42" w14:paraId="369AD7D5" w14:textId="77777777" w:rsidTr="009C49C8">
        <w:tc>
          <w:tcPr>
            <w:cnfStyle w:val="001000000000" w:firstRow="0" w:lastRow="0" w:firstColumn="1" w:lastColumn="0" w:oddVBand="0" w:evenVBand="0" w:oddHBand="0" w:evenHBand="0" w:firstRowFirstColumn="0" w:firstRowLastColumn="0" w:lastRowFirstColumn="0" w:lastRowLastColumn="0"/>
            <w:tcW w:w="1962" w:type="dxa"/>
          </w:tcPr>
          <w:p w14:paraId="5B5EC137" w14:textId="77777777" w:rsidR="000A6C42" w:rsidRPr="000A6C42" w:rsidRDefault="000A6C42" w:rsidP="009C49C8">
            <w:pPr>
              <w:rPr>
                <w:rFonts w:cs="Times New Roman"/>
                <w:b w:val="0"/>
                <w:bCs w:val="0"/>
                <w:color w:val="000000" w:themeColor="text1"/>
                <w:sz w:val="22"/>
              </w:rPr>
            </w:pPr>
            <w:proofErr w:type="spellStart"/>
            <w:r w:rsidRPr="000A6C42">
              <w:rPr>
                <w:rFonts w:cs="Times New Roman"/>
                <w:b w:val="0"/>
                <w:bCs w:val="0"/>
                <w:color w:val="000000" w:themeColor="text1"/>
                <w:sz w:val="22"/>
              </w:rPr>
              <w:t>benefit_indx</w:t>
            </w:r>
            <w:proofErr w:type="spellEnd"/>
          </w:p>
        </w:tc>
        <w:tc>
          <w:tcPr>
            <w:tcW w:w="3510" w:type="dxa"/>
          </w:tcPr>
          <w:p w14:paraId="5D274AB2" w14:textId="77777777" w:rsidR="000A6C42" w:rsidRPr="000A6C42" w:rsidRDefault="000A6C42" w:rsidP="009C49C8">
            <w:pPr>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Perceived benefits of title registration (tenure security, transferability, dispute reduction)</w:t>
            </w:r>
          </w:p>
        </w:tc>
        <w:tc>
          <w:tcPr>
            <w:tcW w:w="3223" w:type="dxa"/>
          </w:tcPr>
          <w:p w14:paraId="47698833" w14:textId="77777777" w:rsidR="000A6C42" w:rsidRPr="000A6C42" w:rsidRDefault="000A6C42" w:rsidP="009C49C8">
            <w:pPr>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Standardised composite index (mean of 4 items; α=0.896)</w:t>
            </w:r>
          </w:p>
        </w:tc>
      </w:tr>
      <w:tr w:rsidR="000A6C42" w:rsidRPr="000A6C42" w14:paraId="4C59DDBA" w14:textId="77777777" w:rsidTr="009C4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6D56CEE8" w14:textId="77777777" w:rsidR="000A6C42" w:rsidRPr="000A6C42" w:rsidRDefault="000A6C42" w:rsidP="009C49C8">
            <w:pPr>
              <w:rPr>
                <w:rFonts w:cs="Times New Roman"/>
                <w:b w:val="0"/>
                <w:bCs w:val="0"/>
                <w:color w:val="000000" w:themeColor="text1"/>
                <w:sz w:val="22"/>
              </w:rPr>
            </w:pPr>
            <w:proofErr w:type="spellStart"/>
            <w:r w:rsidRPr="000A6C42">
              <w:rPr>
                <w:rFonts w:cs="Times New Roman"/>
                <w:b w:val="0"/>
                <w:bCs w:val="0"/>
                <w:color w:val="000000" w:themeColor="text1"/>
                <w:sz w:val="22"/>
              </w:rPr>
              <w:t>Gender_HH</w:t>
            </w:r>
            <w:proofErr w:type="spellEnd"/>
          </w:p>
        </w:tc>
        <w:tc>
          <w:tcPr>
            <w:tcW w:w="3510" w:type="dxa"/>
          </w:tcPr>
          <w:p w14:paraId="364C93E4" w14:textId="77777777" w:rsidR="000A6C42" w:rsidRPr="000A6C42" w:rsidRDefault="000A6C42" w:rsidP="009C49C8">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Gender of the household head</w:t>
            </w:r>
          </w:p>
        </w:tc>
        <w:tc>
          <w:tcPr>
            <w:tcW w:w="3223" w:type="dxa"/>
          </w:tcPr>
          <w:p w14:paraId="32D2642D" w14:textId="77777777" w:rsidR="000A6C42" w:rsidRPr="000A6C42" w:rsidRDefault="000A6C42" w:rsidP="009C49C8">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Dummy: 1=female, 0=male</w:t>
            </w:r>
          </w:p>
        </w:tc>
      </w:tr>
      <w:tr w:rsidR="000A6C42" w:rsidRPr="000A6C42" w14:paraId="428313AB" w14:textId="77777777" w:rsidTr="009C49C8">
        <w:tc>
          <w:tcPr>
            <w:cnfStyle w:val="001000000000" w:firstRow="0" w:lastRow="0" w:firstColumn="1" w:lastColumn="0" w:oddVBand="0" w:evenVBand="0" w:oddHBand="0" w:evenHBand="0" w:firstRowFirstColumn="0" w:firstRowLastColumn="0" w:lastRowFirstColumn="0" w:lastRowLastColumn="0"/>
            <w:tcW w:w="1962" w:type="dxa"/>
          </w:tcPr>
          <w:p w14:paraId="2E9BF812" w14:textId="77777777" w:rsidR="000A6C42" w:rsidRPr="000A6C42" w:rsidRDefault="000A6C42" w:rsidP="009C49C8">
            <w:pPr>
              <w:rPr>
                <w:rFonts w:cs="Times New Roman"/>
                <w:b w:val="0"/>
                <w:bCs w:val="0"/>
                <w:color w:val="000000" w:themeColor="text1"/>
                <w:sz w:val="22"/>
              </w:rPr>
            </w:pPr>
            <w:proofErr w:type="spellStart"/>
            <w:r w:rsidRPr="000A6C42">
              <w:rPr>
                <w:rFonts w:cs="Times New Roman"/>
                <w:b w:val="0"/>
                <w:bCs w:val="0"/>
                <w:color w:val="000000" w:themeColor="text1"/>
                <w:sz w:val="22"/>
              </w:rPr>
              <w:t>No_Lots_Owned</w:t>
            </w:r>
            <w:proofErr w:type="spellEnd"/>
          </w:p>
        </w:tc>
        <w:tc>
          <w:tcPr>
            <w:tcW w:w="3510" w:type="dxa"/>
          </w:tcPr>
          <w:p w14:paraId="308899AA" w14:textId="77777777" w:rsidR="000A6C42" w:rsidRPr="000A6C42" w:rsidRDefault="000A6C42" w:rsidP="009C49C8">
            <w:pPr>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Number of land parcels owned by the household</w:t>
            </w:r>
          </w:p>
        </w:tc>
        <w:tc>
          <w:tcPr>
            <w:tcW w:w="3223" w:type="dxa"/>
          </w:tcPr>
          <w:p w14:paraId="037BE168" w14:textId="77777777" w:rsidR="000A6C42" w:rsidRPr="000A6C42" w:rsidRDefault="000A6C42" w:rsidP="009C49C8">
            <w:pPr>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Continuous (count)</w:t>
            </w:r>
          </w:p>
        </w:tc>
      </w:tr>
      <w:tr w:rsidR="000A6C42" w:rsidRPr="000A6C42" w14:paraId="60878FA1" w14:textId="77777777" w:rsidTr="009C4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39966C80" w14:textId="77777777" w:rsidR="000A6C42" w:rsidRPr="000A6C42" w:rsidRDefault="000A6C42" w:rsidP="009C49C8">
            <w:pPr>
              <w:rPr>
                <w:rFonts w:cs="Times New Roman"/>
                <w:b w:val="0"/>
                <w:bCs w:val="0"/>
                <w:color w:val="000000" w:themeColor="text1"/>
                <w:sz w:val="22"/>
              </w:rPr>
            </w:pPr>
            <w:r w:rsidRPr="000A6C42">
              <w:rPr>
                <w:rFonts w:cs="Times New Roman"/>
                <w:b w:val="0"/>
                <w:bCs w:val="0"/>
                <w:color w:val="000000" w:themeColor="text1"/>
                <w:sz w:val="22"/>
              </w:rPr>
              <w:t>Transparency</w:t>
            </w:r>
          </w:p>
        </w:tc>
        <w:tc>
          <w:tcPr>
            <w:tcW w:w="3510" w:type="dxa"/>
          </w:tcPr>
          <w:p w14:paraId="5ACD3B1F" w14:textId="77777777" w:rsidR="000A6C42" w:rsidRPr="000A6C42" w:rsidRDefault="000A6C42" w:rsidP="009C49C8">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Perceived transparency of the registration process</w:t>
            </w:r>
          </w:p>
        </w:tc>
        <w:tc>
          <w:tcPr>
            <w:tcW w:w="3223" w:type="dxa"/>
          </w:tcPr>
          <w:p w14:paraId="0E61FF30" w14:textId="77777777" w:rsidR="000A6C42" w:rsidRPr="000A6C42" w:rsidRDefault="000A6C42" w:rsidP="009C49C8">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Standardised composite index (mean of 3 items; α=0.844)</w:t>
            </w:r>
          </w:p>
        </w:tc>
      </w:tr>
      <w:tr w:rsidR="000A6C42" w:rsidRPr="000A6C42" w14:paraId="03A011BF" w14:textId="77777777" w:rsidTr="009C49C8">
        <w:tc>
          <w:tcPr>
            <w:cnfStyle w:val="001000000000" w:firstRow="0" w:lastRow="0" w:firstColumn="1" w:lastColumn="0" w:oddVBand="0" w:evenVBand="0" w:oddHBand="0" w:evenHBand="0" w:firstRowFirstColumn="0" w:firstRowLastColumn="0" w:lastRowFirstColumn="0" w:lastRowLastColumn="0"/>
            <w:tcW w:w="1962" w:type="dxa"/>
          </w:tcPr>
          <w:p w14:paraId="4B9E005C" w14:textId="77777777" w:rsidR="000A6C42" w:rsidRPr="000A6C42" w:rsidRDefault="000A6C42" w:rsidP="009C49C8">
            <w:pPr>
              <w:rPr>
                <w:rFonts w:cs="Times New Roman"/>
                <w:b w:val="0"/>
                <w:bCs w:val="0"/>
                <w:color w:val="000000" w:themeColor="text1"/>
                <w:sz w:val="22"/>
              </w:rPr>
            </w:pPr>
            <w:proofErr w:type="spellStart"/>
            <w:r w:rsidRPr="000A6C42">
              <w:rPr>
                <w:rFonts w:cs="Times New Roman"/>
                <w:b w:val="0"/>
                <w:bCs w:val="0"/>
                <w:color w:val="000000" w:themeColor="text1"/>
                <w:sz w:val="22"/>
              </w:rPr>
              <w:lastRenderedPageBreak/>
              <w:t>Plot_Size</w:t>
            </w:r>
            <w:proofErr w:type="spellEnd"/>
          </w:p>
        </w:tc>
        <w:tc>
          <w:tcPr>
            <w:tcW w:w="3510" w:type="dxa"/>
          </w:tcPr>
          <w:p w14:paraId="0780A058" w14:textId="77777777" w:rsidR="000A6C42" w:rsidRPr="000A6C42" w:rsidRDefault="000A6C42" w:rsidP="009C49C8">
            <w:pPr>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Size of the land parcel under consideration</w:t>
            </w:r>
          </w:p>
        </w:tc>
        <w:tc>
          <w:tcPr>
            <w:tcW w:w="3223" w:type="dxa"/>
          </w:tcPr>
          <w:p w14:paraId="6C93F80E" w14:textId="77777777" w:rsidR="000A6C42" w:rsidRPr="000A6C42" w:rsidRDefault="000A6C42" w:rsidP="009C49C8">
            <w:pPr>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Continuous (perches)</w:t>
            </w:r>
          </w:p>
        </w:tc>
      </w:tr>
      <w:tr w:rsidR="000A6C42" w:rsidRPr="000A6C42" w14:paraId="6847C42B" w14:textId="77777777" w:rsidTr="009C4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2ED58C27" w14:textId="77777777" w:rsidR="000A6C42" w:rsidRPr="000A6C42" w:rsidRDefault="000A6C42" w:rsidP="009C49C8">
            <w:pPr>
              <w:rPr>
                <w:rFonts w:cs="Times New Roman"/>
                <w:b w:val="0"/>
                <w:bCs w:val="0"/>
                <w:color w:val="000000" w:themeColor="text1"/>
                <w:sz w:val="22"/>
              </w:rPr>
            </w:pPr>
            <w:proofErr w:type="spellStart"/>
            <w:r w:rsidRPr="000A6C42">
              <w:rPr>
                <w:rFonts w:cs="Times New Roman"/>
                <w:b w:val="0"/>
                <w:bCs w:val="0"/>
                <w:color w:val="000000" w:themeColor="text1"/>
                <w:sz w:val="22"/>
              </w:rPr>
              <w:t>log_Lvalue</w:t>
            </w:r>
            <w:proofErr w:type="spellEnd"/>
          </w:p>
        </w:tc>
        <w:tc>
          <w:tcPr>
            <w:tcW w:w="3510" w:type="dxa"/>
          </w:tcPr>
          <w:p w14:paraId="516E7DBF" w14:textId="77777777" w:rsidR="000A6C42" w:rsidRPr="000A6C42" w:rsidRDefault="000A6C42" w:rsidP="009C49C8">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Natural logarithm of estimated land value</w:t>
            </w:r>
          </w:p>
        </w:tc>
        <w:tc>
          <w:tcPr>
            <w:tcW w:w="3223" w:type="dxa"/>
          </w:tcPr>
          <w:p w14:paraId="16DAF077" w14:textId="77777777" w:rsidR="000A6C42" w:rsidRPr="000A6C42" w:rsidRDefault="000A6C42" w:rsidP="009C49C8">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Continuous (log LKR)</w:t>
            </w:r>
          </w:p>
        </w:tc>
      </w:tr>
      <w:tr w:rsidR="000A6C42" w:rsidRPr="000A6C42" w14:paraId="7D73A4EC" w14:textId="77777777" w:rsidTr="009C49C8">
        <w:tc>
          <w:tcPr>
            <w:cnfStyle w:val="001000000000" w:firstRow="0" w:lastRow="0" w:firstColumn="1" w:lastColumn="0" w:oddVBand="0" w:evenVBand="0" w:oddHBand="0" w:evenHBand="0" w:firstRowFirstColumn="0" w:firstRowLastColumn="0" w:lastRowFirstColumn="0" w:lastRowLastColumn="0"/>
            <w:tcW w:w="1962" w:type="dxa"/>
          </w:tcPr>
          <w:p w14:paraId="243D95A4" w14:textId="77777777" w:rsidR="000A6C42" w:rsidRPr="000A6C42" w:rsidRDefault="000A6C42" w:rsidP="009C49C8">
            <w:pPr>
              <w:rPr>
                <w:rFonts w:cs="Times New Roman"/>
                <w:b w:val="0"/>
                <w:bCs w:val="0"/>
                <w:color w:val="000000" w:themeColor="text1"/>
                <w:sz w:val="22"/>
              </w:rPr>
            </w:pPr>
            <w:proofErr w:type="spellStart"/>
            <w:r w:rsidRPr="000A6C42">
              <w:rPr>
                <w:rFonts w:cs="Times New Roman"/>
                <w:b w:val="0"/>
                <w:bCs w:val="0"/>
                <w:color w:val="000000" w:themeColor="text1"/>
                <w:sz w:val="22"/>
              </w:rPr>
              <w:t>L_Use</w:t>
            </w:r>
            <w:proofErr w:type="spellEnd"/>
          </w:p>
        </w:tc>
        <w:tc>
          <w:tcPr>
            <w:tcW w:w="3510" w:type="dxa"/>
          </w:tcPr>
          <w:p w14:paraId="69A27D42" w14:textId="77777777" w:rsidR="000A6C42" w:rsidRPr="000A6C42" w:rsidRDefault="000A6C42" w:rsidP="009C49C8">
            <w:pPr>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Current land use category</w:t>
            </w:r>
          </w:p>
        </w:tc>
        <w:tc>
          <w:tcPr>
            <w:tcW w:w="3223" w:type="dxa"/>
          </w:tcPr>
          <w:p w14:paraId="19AC2E29" w14:textId="77777777" w:rsidR="000A6C42" w:rsidRPr="000A6C42" w:rsidRDefault="000A6C42" w:rsidP="009C49C8">
            <w:pPr>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Dummy: 1=residential, 0=other</w:t>
            </w:r>
          </w:p>
        </w:tc>
      </w:tr>
      <w:tr w:rsidR="000A6C42" w:rsidRPr="000A6C42" w14:paraId="26B76737" w14:textId="77777777" w:rsidTr="009C4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bottom w:val="none" w:sz="0" w:space="0" w:color="auto"/>
            </w:tcBorders>
          </w:tcPr>
          <w:p w14:paraId="588ADD41" w14:textId="77777777" w:rsidR="000A6C42" w:rsidRPr="000A6C42" w:rsidRDefault="000A6C42" w:rsidP="009C49C8">
            <w:pPr>
              <w:rPr>
                <w:rFonts w:cs="Times New Roman"/>
                <w:b w:val="0"/>
                <w:bCs w:val="0"/>
                <w:color w:val="000000" w:themeColor="text1"/>
                <w:sz w:val="22"/>
              </w:rPr>
            </w:pPr>
            <w:proofErr w:type="spellStart"/>
            <w:r w:rsidRPr="000A6C42">
              <w:rPr>
                <w:rFonts w:cs="Times New Roman"/>
                <w:b w:val="0"/>
                <w:bCs w:val="0"/>
                <w:color w:val="000000" w:themeColor="text1"/>
                <w:sz w:val="22"/>
              </w:rPr>
              <w:t>risk_indx</w:t>
            </w:r>
            <w:proofErr w:type="spellEnd"/>
          </w:p>
        </w:tc>
        <w:tc>
          <w:tcPr>
            <w:tcW w:w="3510" w:type="dxa"/>
            <w:tcBorders>
              <w:bottom w:val="none" w:sz="0" w:space="0" w:color="auto"/>
            </w:tcBorders>
          </w:tcPr>
          <w:p w14:paraId="6256F9A0" w14:textId="77777777" w:rsidR="000A6C42" w:rsidRPr="000A6C42" w:rsidRDefault="000A6C42" w:rsidP="009C49C8">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Perceived risk related to land tenure (eviction, disputes, land grabbing)</w:t>
            </w:r>
          </w:p>
        </w:tc>
        <w:tc>
          <w:tcPr>
            <w:tcW w:w="3223" w:type="dxa"/>
            <w:tcBorders>
              <w:bottom w:val="none" w:sz="0" w:space="0" w:color="auto"/>
            </w:tcBorders>
          </w:tcPr>
          <w:p w14:paraId="3DB3685C" w14:textId="77777777" w:rsidR="000A6C42" w:rsidRPr="000A6C42" w:rsidRDefault="000A6C42" w:rsidP="009C49C8">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Standardised composite index (mean of 3 items; α=0.897)</w:t>
            </w:r>
          </w:p>
        </w:tc>
      </w:tr>
      <w:tr w:rsidR="000A6C42" w:rsidRPr="000A6C42" w14:paraId="742D6778" w14:textId="77777777" w:rsidTr="009C49C8">
        <w:tc>
          <w:tcPr>
            <w:cnfStyle w:val="001000000000" w:firstRow="0" w:lastRow="0" w:firstColumn="1" w:lastColumn="0" w:oddVBand="0" w:evenVBand="0" w:oddHBand="0" w:evenHBand="0" w:firstRowFirstColumn="0" w:firstRowLastColumn="0" w:lastRowFirstColumn="0" w:lastRowLastColumn="0"/>
            <w:tcW w:w="1962" w:type="dxa"/>
            <w:tcBorders>
              <w:bottom w:val="single" w:sz="4" w:space="0" w:color="auto"/>
            </w:tcBorders>
          </w:tcPr>
          <w:p w14:paraId="64FF81FE" w14:textId="77777777" w:rsidR="000A6C42" w:rsidRPr="000A6C42" w:rsidRDefault="000A6C42" w:rsidP="009C49C8">
            <w:pPr>
              <w:rPr>
                <w:rFonts w:cs="Times New Roman"/>
                <w:b w:val="0"/>
                <w:bCs w:val="0"/>
                <w:color w:val="000000" w:themeColor="text1"/>
                <w:sz w:val="22"/>
              </w:rPr>
            </w:pPr>
            <w:r w:rsidRPr="000A6C42">
              <w:rPr>
                <w:rFonts w:cs="Times New Roman"/>
                <w:b w:val="0"/>
                <w:bCs w:val="0"/>
                <w:color w:val="000000" w:themeColor="text1"/>
                <w:sz w:val="22"/>
              </w:rPr>
              <w:t>Social influence</w:t>
            </w:r>
          </w:p>
        </w:tc>
        <w:tc>
          <w:tcPr>
            <w:tcW w:w="3510" w:type="dxa"/>
            <w:tcBorders>
              <w:bottom w:val="single" w:sz="4" w:space="0" w:color="auto"/>
            </w:tcBorders>
          </w:tcPr>
          <w:p w14:paraId="392AE562" w14:textId="77777777" w:rsidR="000A6C42" w:rsidRPr="000A6C42" w:rsidRDefault="000A6C42" w:rsidP="009C49C8">
            <w:pPr>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 xml:space="preserve">Perceived influence of family members, </w:t>
            </w:r>
            <w:proofErr w:type="spellStart"/>
            <w:r w:rsidRPr="000A6C42">
              <w:rPr>
                <w:rFonts w:cs="Times New Roman"/>
                <w:color w:val="000000" w:themeColor="text1"/>
                <w:sz w:val="22"/>
              </w:rPr>
              <w:t>neighbors</w:t>
            </w:r>
            <w:proofErr w:type="spellEnd"/>
            <w:r w:rsidRPr="000A6C42">
              <w:rPr>
                <w:rFonts w:cs="Times New Roman"/>
                <w:color w:val="000000" w:themeColor="text1"/>
                <w:sz w:val="22"/>
              </w:rPr>
              <w:t>, peers, and community experiences on an individual’s decision to register land title</w:t>
            </w:r>
          </w:p>
        </w:tc>
        <w:tc>
          <w:tcPr>
            <w:tcW w:w="3223" w:type="dxa"/>
            <w:tcBorders>
              <w:bottom w:val="single" w:sz="4" w:space="0" w:color="auto"/>
            </w:tcBorders>
          </w:tcPr>
          <w:p w14:paraId="3DAEC0F6" w14:textId="77777777" w:rsidR="000A6C42" w:rsidRPr="000A6C42" w:rsidRDefault="000A6C42" w:rsidP="009C49C8">
            <w:pPr>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0A6C42">
              <w:rPr>
                <w:rFonts w:cs="Times New Roman"/>
                <w:color w:val="000000" w:themeColor="text1"/>
                <w:sz w:val="22"/>
              </w:rPr>
              <w:t>Standardised composite index (mean of 4 items; α = 0.836)</w:t>
            </w:r>
          </w:p>
        </w:tc>
      </w:tr>
    </w:tbl>
    <w:p w14:paraId="5963B48F" w14:textId="51E0C52C" w:rsidR="000A6C42" w:rsidRDefault="000A6C42" w:rsidP="000A6C42"/>
    <w:p w14:paraId="6A59D504" w14:textId="450AD454" w:rsidR="003811FB" w:rsidRDefault="00AE2ED2" w:rsidP="00AE2ED2">
      <w:pPr>
        <w:spacing w:before="80" w:after="80"/>
        <w:jc w:val="both"/>
        <w:rPr>
          <w:rFonts w:eastAsia="Times New Roman"/>
          <w:color w:val="000000"/>
        </w:rPr>
      </w:pPr>
      <w:r w:rsidRPr="00AE2ED2">
        <w:rPr>
          <w:rFonts w:eastAsia="Times New Roman"/>
          <w:color w:val="000000"/>
        </w:rPr>
        <w:t xml:space="preserve">The conceptual framework of this study is developed based on the premise that participation in voluntary land title registration is a behavioural decision influenced by the perceived benefits and costs associated with formalising land rights. The framework draws primarily on the economic theory of utility maximization and the land formalization literature, which suggest that landowners will participate in registration programmes when the expected benefits of obtaining formal title outweigh the associated financial, administrative, and opportunity costs (Deininger &amp; Feder, 2009; Miceli et al., 2001). Within this perspective, title registration is viewed as an investment decision through which landowners seek to enhance tenure security, improve land marketability, facilitate inheritance, and increase access to formal credit (Feder &amp; Nishio, 1999; Byamugisha &amp; </w:t>
      </w:r>
      <w:proofErr w:type="spellStart"/>
      <w:r w:rsidRPr="00AE2ED2">
        <w:rPr>
          <w:rFonts w:eastAsia="Times New Roman"/>
          <w:color w:val="000000"/>
        </w:rPr>
        <w:t>Dubosse</w:t>
      </w:r>
      <w:proofErr w:type="spellEnd"/>
      <w:r w:rsidRPr="00AE2ED2">
        <w:rPr>
          <w:rFonts w:eastAsia="Times New Roman"/>
          <w:color w:val="000000"/>
        </w:rPr>
        <w:t>, 2023).</w:t>
      </w:r>
    </w:p>
    <w:p w14:paraId="1BA11128" w14:textId="77777777" w:rsidR="003811FB" w:rsidRPr="00AE2ED2" w:rsidRDefault="003811FB" w:rsidP="00AE2ED2">
      <w:pPr>
        <w:spacing w:before="80" w:after="80"/>
        <w:jc w:val="both"/>
        <w:rPr>
          <w:rFonts w:eastAsia="Times New Roman"/>
          <w:color w:val="000000"/>
        </w:rPr>
      </w:pPr>
    </w:p>
    <w:p w14:paraId="506D5395" w14:textId="31455453" w:rsidR="00AE2ED2" w:rsidRDefault="00AE2ED2" w:rsidP="00AE2ED2">
      <w:pPr>
        <w:spacing w:before="80" w:after="80"/>
        <w:jc w:val="both"/>
        <w:rPr>
          <w:rFonts w:eastAsia="Times New Roman"/>
          <w:color w:val="000000"/>
        </w:rPr>
      </w:pPr>
      <w:r w:rsidRPr="00AE2ED2">
        <w:rPr>
          <w:rFonts w:eastAsia="Times New Roman"/>
          <w:color w:val="000000"/>
        </w:rPr>
        <w:t>The framework is further informed by the Theory of Planned Behaviour, which posits that an individual's intention to engage in a particular behaviour is shaped by attitudes towards the behaviour, perceived social norms, and perceived behavioural control. In the context of land title registration, positive perceptions regarding the benefits of title registration are expected to increase willingness to participate, whereas perceived risks and uncertainties may discourage participation. Likewise, social influence from family members, neighbours, community leaders, and professionals may affect landowners' decisions by shaping their perceptions of the programme and its expected outcomes (Kim et al., 2020).</w:t>
      </w:r>
    </w:p>
    <w:p w14:paraId="3EA59B34" w14:textId="77777777" w:rsidR="003811FB" w:rsidRPr="00AE2ED2" w:rsidRDefault="003811FB" w:rsidP="00AE2ED2">
      <w:pPr>
        <w:spacing w:before="80" w:after="80"/>
        <w:jc w:val="both"/>
        <w:rPr>
          <w:rFonts w:eastAsia="Times New Roman"/>
          <w:color w:val="000000"/>
        </w:rPr>
      </w:pPr>
    </w:p>
    <w:p w14:paraId="0D2C6887" w14:textId="77777777" w:rsidR="00AE2ED2" w:rsidRPr="00AE2ED2" w:rsidRDefault="00AE2ED2" w:rsidP="00AE2ED2">
      <w:pPr>
        <w:spacing w:before="80" w:after="80"/>
        <w:jc w:val="both"/>
        <w:rPr>
          <w:rFonts w:eastAsia="Times New Roman"/>
          <w:color w:val="000000"/>
        </w:rPr>
      </w:pPr>
      <w:r w:rsidRPr="00AE2ED2">
        <w:rPr>
          <w:rFonts w:eastAsia="Times New Roman"/>
          <w:color w:val="000000"/>
        </w:rPr>
        <w:t>Based on these theoretical foundations, the study groups the determinants of participation into three broad categories. The first category comprises socioeconomic characteristics, including age, education level, household income, household size, and gender of the household head. Previous studies have shown that these factors influence households' ability to engage with formal institutions, understand administrative procedures, and mobilise the resources required for land formalisation (Bezu &amp; Holden, 2013; Kasirye, 2019).</w:t>
      </w:r>
    </w:p>
    <w:p w14:paraId="7BB2BE02" w14:textId="77777777" w:rsidR="00AE2ED2" w:rsidRPr="00AE2ED2" w:rsidRDefault="00AE2ED2" w:rsidP="00AE2ED2">
      <w:pPr>
        <w:spacing w:before="80" w:after="80"/>
        <w:jc w:val="both"/>
        <w:rPr>
          <w:rFonts w:eastAsia="Times New Roman"/>
          <w:color w:val="000000"/>
        </w:rPr>
      </w:pPr>
    </w:p>
    <w:p w14:paraId="1330510F" w14:textId="77777777" w:rsidR="00AE2ED2" w:rsidRPr="00AE2ED2" w:rsidRDefault="00AE2ED2" w:rsidP="00AE2ED2">
      <w:pPr>
        <w:spacing w:before="80" w:after="80"/>
        <w:jc w:val="both"/>
        <w:rPr>
          <w:rFonts w:eastAsia="Times New Roman"/>
          <w:color w:val="000000"/>
        </w:rPr>
      </w:pPr>
      <w:r w:rsidRPr="00AE2ED2">
        <w:rPr>
          <w:rFonts w:eastAsia="Times New Roman"/>
          <w:color w:val="000000"/>
        </w:rPr>
        <w:t>The second category consists of land and tenure characteristics, including land certification type, plot size, land value, land use, and the number of land parcels owned. These variables represent the economic significance of land assets and the extent to which landowners may benefit from obtaining legally recognised ownership rights. Earlier research suggests that owners of higher-value land and those with more complex landholdings often have stronger incentives to secure formal title due to the potential gains in tenure security, transferability, and investment opportunities (Miceli et al., 2001; Zhou et al., 2022).</w:t>
      </w:r>
    </w:p>
    <w:p w14:paraId="3FA26984" w14:textId="77777777" w:rsidR="00AE2ED2" w:rsidRPr="00AE2ED2" w:rsidRDefault="00AE2ED2" w:rsidP="00AE2ED2">
      <w:pPr>
        <w:spacing w:before="80" w:after="80"/>
        <w:jc w:val="both"/>
        <w:rPr>
          <w:rFonts w:eastAsia="Times New Roman"/>
          <w:color w:val="000000"/>
        </w:rPr>
      </w:pPr>
    </w:p>
    <w:p w14:paraId="54B6C837" w14:textId="62AD2C3F" w:rsidR="00AE2ED2" w:rsidRPr="00AE2ED2" w:rsidRDefault="00AE2ED2" w:rsidP="00AE2ED2">
      <w:pPr>
        <w:spacing w:before="80" w:after="80"/>
        <w:jc w:val="both"/>
        <w:rPr>
          <w:rFonts w:eastAsia="Times New Roman"/>
          <w:color w:val="000000"/>
        </w:rPr>
      </w:pPr>
      <w:r w:rsidRPr="00AE2ED2">
        <w:rPr>
          <w:rFonts w:eastAsia="Times New Roman"/>
          <w:color w:val="000000"/>
        </w:rPr>
        <w:t>The third category comprises perceptual and behavioural factors, including perceived benefits of title registration, perceived transparency of the registration process, perceived tenure-related risks, and social influence. These variables capture landowners' subjective assessments of the programme and reflect the behavioural dimension of participation decisions. Studies on land formalisation and willingness-to-pay behaviour consistently demonstrate that perceptions of programme effectiveness, institutional transparency, and anticipated benefits play a crucial role in determining participation outcomes (</w:t>
      </w:r>
      <w:proofErr w:type="spellStart"/>
      <w:r w:rsidRPr="00AE2ED2">
        <w:rPr>
          <w:rFonts w:eastAsia="Times New Roman"/>
          <w:color w:val="000000"/>
        </w:rPr>
        <w:t>Wickramaarachchi</w:t>
      </w:r>
      <w:proofErr w:type="spellEnd"/>
      <w:r w:rsidRPr="00AE2ED2">
        <w:rPr>
          <w:rFonts w:eastAsia="Times New Roman"/>
          <w:color w:val="000000"/>
        </w:rPr>
        <w:t xml:space="preserve"> et al., 2021; Manara &amp; Regan, 2024).</w:t>
      </w:r>
    </w:p>
    <w:p w14:paraId="032BC8F7" w14:textId="77777777" w:rsidR="00AE2ED2" w:rsidRPr="00AE2ED2" w:rsidRDefault="00AE2ED2" w:rsidP="00AE2ED2">
      <w:pPr>
        <w:spacing w:before="80" w:after="80"/>
        <w:jc w:val="both"/>
        <w:rPr>
          <w:rFonts w:eastAsia="Times New Roman"/>
          <w:color w:val="000000"/>
        </w:rPr>
      </w:pPr>
    </w:p>
    <w:p w14:paraId="33372B16" w14:textId="7871BB1A" w:rsidR="009E1BC5" w:rsidRDefault="00AE2ED2" w:rsidP="00AE2ED2">
      <w:pPr>
        <w:spacing w:before="80" w:after="80"/>
        <w:jc w:val="both"/>
        <w:rPr>
          <w:rFonts w:eastAsia="Times New Roman"/>
          <w:color w:val="000000"/>
        </w:rPr>
      </w:pPr>
      <w:r w:rsidRPr="00AE2ED2">
        <w:rPr>
          <w:rFonts w:eastAsia="Times New Roman"/>
          <w:color w:val="000000"/>
        </w:rPr>
        <w:t xml:space="preserve">Accordingly, the conceptual framework hypothesises that willingness to participate in voluntary title registration is jointly determined by socioeconomic characteristics, land and tenure attributes, and perception-based factors. Figure </w:t>
      </w:r>
      <w:r>
        <w:rPr>
          <w:rFonts w:eastAsia="Times New Roman"/>
          <w:color w:val="000000"/>
        </w:rPr>
        <w:t>2</w:t>
      </w:r>
      <w:r w:rsidRPr="00AE2ED2">
        <w:rPr>
          <w:rFonts w:eastAsia="Times New Roman"/>
          <w:color w:val="000000"/>
        </w:rPr>
        <w:t xml:space="preserve"> presents the conceptual framework adopted for the study.</w:t>
      </w:r>
    </w:p>
    <w:p w14:paraId="0B4FBF25" w14:textId="3E3E251F" w:rsidR="00420BE5" w:rsidRDefault="00420BE5" w:rsidP="00AE2ED2">
      <w:pPr>
        <w:spacing w:before="80" w:after="80"/>
        <w:jc w:val="both"/>
        <w:rPr>
          <w:rFonts w:eastAsia="Times New Roman"/>
          <w:color w:val="000000"/>
        </w:rPr>
      </w:pPr>
    </w:p>
    <w:p w14:paraId="4C94A49A" w14:textId="77777777" w:rsidR="00420BE5" w:rsidRPr="00420BE5" w:rsidRDefault="00420BE5" w:rsidP="00420BE5">
      <w:pPr>
        <w:spacing w:before="80" w:after="80"/>
        <w:jc w:val="both"/>
        <w:rPr>
          <w:rFonts w:cs="Times New Roman"/>
          <w:color w:val="000000" w:themeColor="text1"/>
          <w:szCs w:val="24"/>
        </w:rPr>
      </w:pPr>
      <w:r w:rsidRPr="00420BE5">
        <w:rPr>
          <w:rFonts w:cs="Times New Roman"/>
          <w:color w:val="000000" w:themeColor="text1"/>
          <w:szCs w:val="24"/>
        </w:rPr>
        <w:t>Based on the conceptual framework, the following hypotheses were formulated:</w:t>
      </w:r>
    </w:p>
    <w:p w14:paraId="759E9411" w14:textId="677C5758" w:rsidR="00420BE5" w:rsidRPr="00420BE5" w:rsidRDefault="00420BE5" w:rsidP="00420BE5">
      <w:pPr>
        <w:spacing w:before="80" w:after="0"/>
        <w:jc w:val="both"/>
        <w:rPr>
          <w:rFonts w:cs="Times New Roman"/>
          <w:color w:val="000000" w:themeColor="text1"/>
          <w:szCs w:val="24"/>
        </w:rPr>
      </w:pPr>
      <w:r w:rsidRPr="00420BE5">
        <w:rPr>
          <w:rFonts w:cs="Times New Roman"/>
          <w:color w:val="000000" w:themeColor="text1"/>
          <w:szCs w:val="24"/>
        </w:rPr>
        <w:t>H1: Household Demographics and Willingness to Pay</w:t>
      </w:r>
    </w:p>
    <w:p w14:paraId="14B768CA" w14:textId="282FB5D1" w:rsidR="00420BE5" w:rsidRPr="00420BE5" w:rsidRDefault="00420BE5" w:rsidP="00420BE5">
      <w:pPr>
        <w:spacing w:before="80" w:after="0"/>
        <w:jc w:val="both"/>
        <w:rPr>
          <w:rFonts w:cs="Times New Roman"/>
          <w:color w:val="000000" w:themeColor="text1"/>
          <w:szCs w:val="24"/>
        </w:rPr>
      </w:pPr>
      <w:r w:rsidRPr="00420BE5">
        <w:rPr>
          <w:rFonts w:cs="Times New Roman"/>
          <w:color w:val="000000" w:themeColor="text1"/>
          <w:szCs w:val="24"/>
        </w:rPr>
        <w:t>H1a: Household demographic characteristics significantly influence the probability of willingness to pay for land title registration.</w:t>
      </w:r>
    </w:p>
    <w:p w14:paraId="5B3BB94A" w14:textId="77777777" w:rsidR="00420BE5" w:rsidRPr="00420BE5" w:rsidRDefault="00420BE5" w:rsidP="00420BE5">
      <w:pPr>
        <w:spacing w:before="80" w:after="0"/>
        <w:jc w:val="both"/>
        <w:rPr>
          <w:rFonts w:cs="Times New Roman"/>
          <w:color w:val="000000" w:themeColor="text1"/>
          <w:szCs w:val="24"/>
        </w:rPr>
      </w:pPr>
      <w:r w:rsidRPr="00420BE5">
        <w:rPr>
          <w:rFonts w:cs="Times New Roman"/>
          <w:color w:val="000000" w:themeColor="text1"/>
          <w:szCs w:val="24"/>
        </w:rPr>
        <w:t>H1b: Household demographic characteristics significantly influence the amount households are willing to pay for land title registration.</w:t>
      </w:r>
    </w:p>
    <w:p w14:paraId="1D4036A8" w14:textId="77777777" w:rsidR="00420BE5" w:rsidRPr="00420BE5" w:rsidRDefault="00420BE5" w:rsidP="00420BE5">
      <w:pPr>
        <w:spacing w:before="80" w:after="0"/>
        <w:jc w:val="both"/>
        <w:rPr>
          <w:rFonts w:cs="Times New Roman"/>
          <w:color w:val="000000" w:themeColor="text1"/>
          <w:szCs w:val="24"/>
        </w:rPr>
      </w:pPr>
    </w:p>
    <w:p w14:paraId="453C3B6B" w14:textId="495EED84" w:rsidR="00420BE5" w:rsidRPr="00420BE5" w:rsidRDefault="00420BE5" w:rsidP="00420BE5">
      <w:pPr>
        <w:spacing w:before="80" w:after="0"/>
        <w:jc w:val="both"/>
        <w:rPr>
          <w:rFonts w:cs="Times New Roman"/>
          <w:color w:val="000000" w:themeColor="text1"/>
          <w:szCs w:val="24"/>
        </w:rPr>
      </w:pPr>
      <w:r w:rsidRPr="00420BE5">
        <w:rPr>
          <w:rFonts w:cs="Times New Roman"/>
          <w:color w:val="000000" w:themeColor="text1"/>
          <w:szCs w:val="24"/>
        </w:rPr>
        <w:t>Specifically:</w:t>
      </w:r>
    </w:p>
    <w:p w14:paraId="32C04E0A" w14:textId="77777777" w:rsidR="00420BE5" w:rsidRPr="00420BE5" w:rsidRDefault="00420BE5" w:rsidP="00420BE5">
      <w:pPr>
        <w:spacing w:before="80" w:after="0"/>
        <w:jc w:val="both"/>
        <w:rPr>
          <w:rFonts w:cs="Times New Roman"/>
          <w:color w:val="000000" w:themeColor="text1"/>
          <w:szCs w:val="24"/>
        </w:rPr>
      </w:pPr>
      <w:r w:rsidRPr="00420BE5">
        <w:rPr>
          <w:rFonts w:cs="Times New Roman"/>
          <w:color w:val="000000" w:themeColor="text1"/>
          <w:szCs w:val="24"/>
        </w:rPr>
        <w:t>H1a1: Gender of the household head significantly influences willingness to pay.</w:t>
      </w:r>
    </w:p>
    <w:p w14:paraId="167EAB21" w14:textId="77777777" w:rsidR="00420BE5" w:rsidRPr="00420BE5" w:rsidRDefault="00420BE5" w:rsidP="00420BE5">
      <w:pPr>
        <w:spacing w:before="80" w:after="0"/>
        <w:jc w:val="both"/>
        <w:rPr>
          <w:rFonts w:cs="Times New Roman"/>
          <w:color w:val="000000" w:themeColor="text1"/>
          <w:szCs w:val="24"/>
        </w:rPr>
      </w:pPr>
      <w:r w:rsidRPr="00420BE5">
        <w:rPr>
          <w:rFonts w:cs="Times New Roman"/>
          <w:color w:val="000000" w:themeColor="text1"/>
          <w:szCs w:val="24"/>
        </w:rPr>
        <w:t>H1a2: Household size significantly influences willingness to pay.</w:t>
      </w:r>
    </w:p>
    <w:p w14:paraId="1477CE22" w14:textId="77777777" w:rsidR="00420BE5" w:rsidRPr="00420BE5" w:rsidRDefault="00420BE5" w:rsidP="00420BE5">
      <w:pPr>
        <w:spacing w:before="80" w:after="0"/>
        <w:jc w:val="both"/>
        <w:rPr>
          <w:rFonts w:cs="Times New Roman"/>
          <w:color w:val="000000" w:themeColor="text1"/>
          <w:szCs w:val="24"/>
        </w:rPr>
      </w:pPr>
      <w:r w:rsidRPr="00420BE5">
        <w:rPr>
          <w:rFonts w:cs="Times New Roman"/>
          <w:color w:val="000000" w:themeColor="text1"/>
          <w:szCs w:val="24"/>
        </w:rPr>
        <w:t>H1a3: Educational attainment significantly influences willingness to pay.</w:t>
      </w:r>
    </w:p>
    <w:p w14:paraId="532BAA38" w14:textId="77777777" w:rsidR="00420BE5" w:rsidRPr="00420BE5" w:rsidRDefault="00420BE5" w:rsidP="00420BE5">
      <w:pPr>
        <w:spacing w:before="80" w:after="0"/>
        <w:jc w:val="both"/>
        <w:rPr>
          <w:rFonts w:cs="Times New Roman"/>
          <w:color w:val="000000" w:themeColor="text1"/>
          <w:szCs w:val="24"/>
        </w:rPr>
      </w:pPr>
      <w:r w:rsidRPr="00420BE5">
        <w:rPr>
          <w:rFonts w:cs="Times New Roman"/>
          <w:color w:val="000000" w:themeColor="text1"/>
          <w:szCs w:val="24"/>
        </w:rPr>
        <w:t>H1a4: Household income significantly influences willingness to pay.</w:t>
      </w:r>
    </w:p>
    <w:p w14:paraId="798A7414" w14:textId="0F270A41" w:rsidR="00420BE5" w:rsidRPr="00420BE5" w:rsidRDefault="00420BE5" w:rsidP="00420BE5">
      <w:pPr>
        <w:spacing w:before="80" w:after="0"/>
        <w:jc w:val="both"/>
        <w:rPr>
          <w:rFonts w:cs="Times New Roman"/>
          <w:color w:val="000000" w:themeColor="text1"/>
          <w:szCs w:val="24"/>
        </w:rPr>
      </w:pPr>
      <w:r w:rsidRPr="00420BE5">
        <w:rPr>
          <w:rFonts w:cs="Times New Roman"/>
          <w:color w:val="000000" w:themeColor="text1"/>
          <w:szCs w:val="24"/>
        </w:rPr>
        <w:t>H2: Property Characteristics and Willingness to Pay</w:t>
      </w:r>
    </w:p>
    <w:p w14:paraId="7FEDF21A" w14:textId="6A5B257E" w:rsidR="00420BE5" w:rsidRPr="00420BE5" w:rsidRDefault="00420BE5" w:rsidP="00420BE5">
      <w:pPr>
        <w:spacing w:before="80" w:after="0"/>
        <w:jc w:val="both"/>
        <w:rPr>
          <w:rFonts w:cs="Times New Roman"/>
          <w:color w:val="000000" w:themeColor="text1"/>
          <w:sz w:val="22"/>
        </w:rPr>
      </w:pPr>
      <w:r w:rsidRPr="00420BE5">
        <w:rPr>
          <w:rFonts w:cs="Times New Roman"/>
          <w:color w:val="000000" w:themeColor="text1"/>
          <w:sz w:val="22"/>
        </w:rPr>
        <w:lastRenderedPageBreak/>
        <w:t>H2a: Property characteristics significantly influence the probability of willingness to pay for land title registration.</w:t>
      </w:r>
    </w:p>
    <w:p w14:paraId="666DBBCA" w14:textId="77777777" w:rsidR="00420BE5" w:rsidRPr="00420BE5" w:rsidRDefault="00420BE5" w:rsidP="00420BE5">
      <w:pPr>
        <w:spacing w:before="80" w:after="0"/>
        <w:jc w:val="both"/>
        <w:rPr>
          <w:rFonts w:cs="Times New Roman"/>
          <w:color w:val="000000" w:themeColor="text1"/>
          <w:sz w:val="22"/>
        </w:rPr>
      </w:pPr>
      <w:r w:rsidRPr="00420BE5">
        <w:rPr>
          <w:rFonts w:cs="Times New Roman"/>
          <w:color w:val="000000" w:themeColor="text1"/>
          <w:sz w:val="22"/>
        </w:rPr>
        <w:t>H2b: Property characteristics significantly influence the amount households are willing to pay for land title registration.</w:t>
      </w:r>
    </w:p>
    <w:p w14:paraId="1ACA2766" w14:textId="77777777" w:rsidR="00420BE5" w:rsidRPr="00420BE5" w:rsidRDefault="00420BE5" w:rsidP="00420BE5">
      <w:pPr>
        <w:spacing w:before="80" w:after="0"/>
        <w:jc w:val="both"/>
        <w:rPr>
          <w:rFonts w:cs="Times New Roman"/>
          <w:color w:val="000000" w:themeColor="text1"/>
          <w:sz w:val="22"/>
        </w:rPr>
      </w:pPr>
    </w:p>
    <w:p w14:paraId="00EBC7E5" w14:textId="34B36B02" w:rsidR="00420BE5" w:rsidRPr="00420BE5" w:rsidRDefault="00420BE5" w:rsidP="00420BE5">
      <w:pPr>
        <w:spacing w:after="0"/>
        <w:jc w:val="both"/>
        <w:rPr>
          <w:rFonts w:cs="Times New Roman"/>
          <w:color w:val="000000" w:themeColor="text1"/>
          <w:sz w:val="22"/>
        </w:rPr>
      </w:pPr>
      <w:r w:rsidRPr="00420BE5">
        <w:rPr>
          <w:rFonts w:cs="Times New Roman"/>
          <w:color w:val="000000" w:themeColor="text1"/>
          <w:sz w:val="22"/>
        </w:rPr>
        <w:t>Specifically:</w:t>
      </w:r>
    </w:p>
    <w:p w14:paraId="70604ED7" w14:textId="3A6184FF" w:rsidR="00420BE5" w:rsidRPr="00420BE5" w:rsidRDefault="00420BE5" w:rsidP="00420BE5">
      <w:pPr>
        <w:spacing w:after="0"/>
        <w:jc w:val="both"/>
        <w:rPr>
          <w:rFonts w:cs="Times New Roman"/>
          <w:color w:val="000000" w:themeColor="text1"/>
          <w:sz w:val="22"/>
        </w:rPr>
      </w:pPr>
      <w:r w:rsidRPr="00420BE5">
        <w:rPr>
          <w:rFonts w:cs="Times New Roman"/>
          <w:color w:val="000000" w:themeColor="text1"/>
          <w:sz w:val="22"/>
        </w:rPr>
        <w:t>H2a1: Land title type significantly influences willingness to pay.</w:t>
      </w:r>
    </w:p>
    <w:p w14:paraId="39BD8638" w14:textId="38E2EC11" w:rsidR="00420BE5" w:rsidRPr="00420BE5" w:rsidRDefault="00420BE5" w:rsidP="00420BE5">
      <w:pPr>
        <w:spacing w:after="0"/>
        <w:jc w:val="both"/>
        <w:rPr>
          <w:rFonts w:cs="Times New Roman"/>
          <w:color w:val="000000" w:themeColor="text1"/>
          <w:sz w:val="22"/>
        </w:rPr>
      </w:pPr>
      <w:r w:rsidRPr="00420BE5">
        <w:rPr>
          <w:rFonts w:cs="Times New Roman"/>
          <w:color w:val="000000" w:themeColor="text1"/>
          <w:sz w:val="22"/>
        </w:rPr>
        <w:t>H2a2: Land value significantly influences willingness to pay.</w:t>
      </w:r>
    </w:p>
    <w:p w14:paraId="36D2D7F4" w14:textId="7E38438A" w:rsidR="00420BE5" w:rsidRPr="00420BE5" w:rsidRDefault="00420BE5" w:rsidP="00420BE5">
      <w:pPr>
        <w:spacing w:after="0"/>
        <w:jc w:val="both"/>
        <w:rPr>
          <w:rFonts w:cs="Times New Roman"/>
          <w:color w:val="000000" w:themeColor="text1"/>
          <w:sz w:val="22"/>
        </w:rPr>
      </w:pPr>
      <w:r w:rsidRPr="00420BE5">
        <w:rPr>
          <w:rFonts w:cs="Times New Roman"/>
          <w:color w:val="000000" w:themeColor="text1"/>
          <w:sz w:val="22"/>
        </w:rPr>
        <w:t>H2a3: Number of lots owned significantly influences willingness to pay.</w:t>
      </w:r>
    </w:p>
    <w:p w14:paraId="51B37BAA" w14:textId="4D5B8DC6" w:rsidR="00420BE5" w:rsidRPr="00420BE5" w:rsidRDefault="00420BE5" w:rsidP="00420BE5">
      <w:pPr>
        <w:spacing w:after="0"/>
        <w:jc w:val="both"/>
        <w:rPr>
          <w:rFonts w:cs="Times New Roman"/>
          <w:color w:val="000000" w:themeColor="text1"/>
          <w:sz w:val="22"/>
        </w:rPr>
      </w:pPr>
      <w:r w:rsidRPr="00420BE5">
        <w:rPr>
          <w:rFonts w:cs="Times New Roman"/>
          <w:color w:val="000000" w:themeColor="text1"/>
          <w:sz w:val="22"/>
        </w:rPr>
        <w:t>H2a4: Plot size significantly influences willingness to pay.</w:t>
      </w:r>
    </w:p>
    <w:p w14:paraId="6D9C024B" w14:textId="3D2862E7" w:rsidR="00420BE5" w:rsidRPr="00420BE5" w:rsidRDefault="00420BE5" w:rsidP="00420BE5">
      <w:pPr>
        <w:spacing w:after="0"/>
        <w:jc w:val="both"/>
        <w:rPr>
          <w:rFonts w:cs="Times New Roman"/>
          <w:color w:val="000000" w:themeColor="text1"/>
          <w:sz w:val="22"/>
        </w:rPr>
      </w:pPr>
      <w:r w:rsidRPr="00420BE5">
        <w:rPr>
          <w:rFonts w:cs="Times New Roman"/>
          <w:color w:val="000000" w:themeColor="text1"/>
          <w:sz w:val="22"/>
        </w:rPr>
        <w:t>H2a5: Land use type significantly influences willingness to pay.</w:t>
      </w:r>
    </w:p>
    <w:p w14:paraId="1510F9C6" w14:textId="498A552E" w:rsidR="00420BE5" w:rsidRPr="00420BE5" w:rsidRDefault="00420BE5" w:rsidP="00420BE5">
      <w:pPr>
        <w:spacing w:after="0"/>
        <w:jc w:val="both"/>
        <w:rPr>
          <w:rFonts w:cs="Times New Roman"/>
          <w:color w:val="000000" w:themeColor="text1"/>
          <w:sz w:val="22"/>
        </w:rPr>
      </w:pPr>
      <w:r w:rsidRPr="00420BE5">
        <w:rPr>
          <w:rFonts w:cs="Times New Roman"/>
          <w:color w:val="000000" w:themeColor="text1"/>
          <w:sz w:val="22"/>
        </w:rPr>
        <w:t>H3: Perceptual and Social Factors and Willingness to Pay</w:t>
      </w:r>
    </w:p>
    <w:p w14:paraId="474AE497" w14:textId="1ED891FD" w:rsidR="00420BE5" w:rsidRPr="00420BE5" w:rsidRDefault="00420BE5" w:rsidP="00420BE5">
      <w:pPr>
        <w:spacing w:before="80" w:after="0"/>
        <w:jc w:val="both"/>
        <w:rPr>
          <w:rFonts w:cs="Times New Roman"/>
          <w:color w:val="000000" w:themeColor="text1"/>
          <w:sz w:val="22"/>
        </w:rPr>
      </w:pPr>
    </w:p>
    <w:p w14:paraId="1B6772EA" w14:textId="79565439" w:rsidR="00420BE5" w:rsidRPr="00420BE5" w:rsidRDefault="00420BE5" w:rsidP="00420BE5">
      <w:pPr>
        <w:spacing w:before="80" w:after="0"/>
        <w:jc w:val="both"/>
        <w:rPr>
          <w:rFonts w:cs="Times New Roman"/>
          <w:color w:val="000000" w:themeColor="text1"/>
          <w:sz w:val="22"/>
        </w:rPr>
      </w:pPr>
      <w:r w:rsidRPr="00420BE5">
        <w:rPr>
          <w:rFonts w:cs="Times New Roman"/>
          <w:color w:val="000000" w:themeColor="text1"/>
          <w:sz w:val="22"/>
        </w:rPr>
        <w:t>H3a: Perceptual and social factors significantly influence the probability of willingness to pay for land title registration.</w:t>
      </w:r>
    </w:p>
    <w:p w14:paraId="6AB04D6D" w14:textId="34F8E6AA" w:rsidR="00420BE5" w:rsidRPr="00420BE5" w:rsidRDefault="00420BE5" w:rsidP="00420BE5">
      <w:pPr>
        <w:spacing w:before="80" w:after="0"/>
        <w:jc w:val="both"/>
        <w:rPr>
          <w:rFonts w:cs="Times New Roman"/>
          <w:color w:val="000000" w:themeColor="text1"/>
          <w:sz w:val="22"/>
        </w:rPr>
      </w:pPr>
      <w:r w:rsidRPr="00420BE5">
        <w:rPr>
          <w:rFonts w:cs="Times New Roman"/>
          <w:color w:val="000000" w:themeColor="text1"/>
          <w:sz w:val="22"/>
        </w:rPr>
        <w:t>H3b: Perceptual and social factors significantly influence the amount households are willing to pay for land title registration.</w:t>
      </w:r>
    </w:p>
    <w:p w14:paraId="08974750" w14:textId="39FF7929" w:rsidR="00420BE5" w:rsidRPr="00420BE5" w:rsidRDefault="00420BE5" w:rsidP="00420BE5">
      <w:pPr>
        <w:spacing w:after="0"/>
        <w:jc w:val="both"/>
        <w:rPr>
          <w:rFonts w:cs="Times New Roman"/>
          <w:color w:val="000000" w:themeColor="text1"/>
          <w:sz w:val="22"/>
        </w:rPr>
      </w:pPr>
    </w:p>
    <w:p w14:paraId="024067C5" w14:textId="6A8B6255" w:rsidR="00420BE5" w:rsidRPr="00420BE5" w:rsidRDefault="00420BE5" w:rsidP="00420BE5">
      <w:pPr>
        <w:spacing w:after="0"/>
        <w:jc w:val="both"/>
        <w:rPr>
          <w:rFonts w:cs="Times New Roman"/>
          <w:color w:val="000000" w:themeColor="text1"/>
          <w:sz w:val="22"/>
        </w:rPr>
      </w:pPr>
      <w:r w:rsidRPr="00420BE5">
        <w:rPr>
          <w:rFonts w:cs="Times New Roman"/>
          <w:color w:val="000000" w:themeColor="text1"/>
          <w:sz w:val="22"/>
        </w:rPr>
        <w:t>Specifically:</w:t>
      </w:r>
    </w:p>
    <w:p w14:paraId="7BD99953" w14:textId="4A23F86C" w:rsidR="00420BE5" w:rsidRPr="00420BE5" w:rsidRDefault="00420BE5" w:rsidP="00420BE5">
      <w:pPr>
        <w:spacing w:after="0"/>
        <w:jc w:val="both"/>
        <w:rPr>
          <w:rFonts w:cs="Times New Roman"/>
          <w:color w:val="000000" w:themeColor="text1"/>
          <w:sz w:val="22"/>
        </w:rPr>
      </w:pPr>
      <w:r w:rsidRPr="00420BE5">
        <w:rPr>
          <w:rFonts w:cs="Times New Roman"/>
          <w:color w:val="000000" w:themeColor="text1"/>
          <w:sz w:val="22"/>
        </w:rPr>
        <w:t>H3a1: Perceived benefits positively influence willingness to pay.</w:t>
      </w:r>
    </w:p>
    <w:p w14:paraId="65DBFE29" w14:textId="77777777" w:rsidR="00420BE5" w:rsidRPr="00420BE5" w:rsidRDefault="00420BE5" w:rsidP="00420BE5">
      <w:pPr>
        <w:spacing w:after="0"/>
        <w:jc w:val="both"/>
        <w:rPr>
          <w:rFonts w:cs="Times New Roman"/>
          <w:color w:val="000000" w:themeColor="text1"/>
          <w:sz w:val="22"/>
        </w:rPr>
      </w:pPr>
      <w:r w:rsidRPr="00420BE5">
        <w:rPr>
          <w:rFonts w:cs="Times New Roman"/>
          <w:color w:val="000000" w:themeColor="text1"/>
          <w:sz w:val="22"/>
        </w:rPr>
        <w:t>H3a2: Perceived risk significantly influences willingness to pay.</w:t>
      </w:r>
    </w:p>
    <w:p w14:paraId="43B26926" w14:textId="77777777" w:rsidR="00420BE5" w:rsidRPr="00420BE5" w:rsidRDefault="00420BE5" w:rsidP="00420BE5">
      <w:pPr>
        <w:spacing w:after="0"/>
        <w:jc w:val="both"/>
        <w:rPr>
          <w:rFonts w:cs="Times New Roman"/>
          <w:color w:val="000000" w:themeColor="text1"/>
          <w:sz w:val="22"/>
        </w:rPr>
      </w:pPr>
      <w:r w:rsidRPr="00420BE5">
        <w:rPr>
          <w:rFonts w:cs="Times New Roman"/>
          <w:color w:val="000000" w:themeColor="text1"/>
          <w:sz w:val="22"/>
        </w:rPr>
        <w:t>H3a3: Perceived transparency positively influences willingness to pay.</w:t>
      </w:r>
    </w:p>
    <w:p w14:paraId="6703B8CB" w14:textId="2E78B31E" w:rsidR="00420BE5" w:rsidRDefault="00420BE5" w:rsidP="00420BE5">
      <w:pPr>
        <w:spacing w:after="0"/>
        <w:jc w:val="both"/>
        <w:rPr>
          <w:rFonts w:cs="Times New Roman"/>
          <w:color w:val="000000" w:themeColor="text1"/>
          <w:sz w:val="22"/>
        </w:rPr>
      </w:pPr>
      <w:r w:rsidRPr="00420BE5">
        <w:rPr>
          <w:rFonts w:cs="Times New Roman"/>
          <w:color w:val="000000" w:themeColor="text1"/>
          <w:sz w:val="22"/>
        </w:rPr>
        <w:t>H3a4: Social influence significantly influences willingness to pay.</w:t>
      </w:r>
    </w:p>
    <w:p w14:paraId="667CA7C2" w14:textId="7FEA06AA" w:rsidR="009E1BC5" w:rsidRDefault="00420BE5" w:rsidP="009E1BC5">
      <w:pPr>
        <w:spacing w:before="80" w:after="80"/>
        <w:jc w:val="center"/>
        <w:rPr>
          <w:b/>
          <w:bCs/>
          <w:noProof/>
        </w:rPr>
      </w:pPr>
      <w:r>
        <w:rPr>
          <w:rFonts w:cs="Times New Roman"/>
          <w:b/>
          <w:noProof/>
          <w:color w:val="000000" w:themeColor="text1"/>
        </w:rPr>
        <w:lastRenderedPageBreak/>
        <mc:AlternateContent>
          <mc:Choice Requires="wpg">
            <w:drawing>
              <wp:anchor distT="0" distB="0" distL="114300" distR="114300" simplePos="0" relativeHeight="251666944" behindDoc="0" locked="0" layoutInCell="1" allowOverlap="1" wp14:anchorId="3694C08E" wp14:editId="153CF215">
                <wp:simplePos x="0" y="0"/>
                <wp:positionH relativeFrom="margin">
                  <wp:align>right</wp:align>
                </wp:positionH>
                <wp:positionV relativeFrom="paragraph">
                  <wp:posOffset>0</wp:posOffset>
                </wp:positionV>
                <wp:extent cx="5521325" cy="4023360"/>
                <wp:effectExtent l="0" t="0" r="3175" b="0"/>
                <wp:wrapSquare wrapText="bothSides"/>
                <wp:docPr id="1033825833" name="Group 2"/>
                <wp:cNvGraphicFramePr/>
                <a:graphic xmlns:a="http://schemas.openxmlformats.org/drawingml/2006/main">
                  <a:graphicData uri="http://schemas.microsoft.com/office/word/2010/wordprocessingGroup">
                    <wpg:wgp>
                      <wpg:cNvGrpSpPr/>
                      <wpg:grpSpPr>
                        <a:xfrm>
                          <a:off x="0" y="0"/>
                          <a:ext cx="5521325" cy="4023360"/>
                          <a:chOff x="0" y="0"/>
                          <a:chExt cx="5521325" cy="4023360"/>
                        </a:xfrm>
                      </wpg:grpSpPr>
                      <pic:pic xmlns:pic="http://schemas.openxmlformats.org/drawingml/2006/picture">
                        <pic:nvPicPr>
                          <pic:cNvPr id="1255570785"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521325" cy="4023360"/>
                          </a:xfrm>
                          <a:prstGeom prst="rect">
                            <a:avLst/>
                          </a:prstGeom>
                        </pic:spPr>
                      </pic:pic>
                      <wps:wsp>
                        <wps:cNvPr id="426710764" name="Text Box 1"/>
                        <wps:cNvSpPr txBox="1"/>
                        <wps:spPr>
                          <a:xfrm>
                            <a:off x="2374710" y="655093"/>
                            <a:ext cx="532263" cy="423081"/>
                          </a:xfrm>
                          <a:prstGeom prst="rect">
                            <a:avLst/>
                          </a:prstGeom>
                          <a:noFill/>
                          <a:ln w="6350">
                            <a:noFill/>
                          </a:ln>
                        </wps:spPr>
                        <wps:txbx>
                          <w:txbxContent>
                            <w:p w14:paraId="06ADA707" w14:textId="120B1A3A" w:rsidR="00420BE5" w:rsidRPr="00420BE5" w:rsidRDefault="00420BE5">
                              <w:pPr>
                                <w:rPr>
                                  <w:b/>
                                  <w:bCs/>
                                </w:rPr>
                              </w:pPr>
                              <w:r w:rsidRPr="00420BE5">
                                <w:rPr>
                                  <w:b/>
                                  <w:bCs/>
                                </w:rPr>
                                <w:t>H</w:t>
                              </w:r>
                              <w:r w:rsidRPr="00420BE5">
                                <w:rPr>
                                  <w:b/>
                                  <w:bCs/>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0440910" name="Text Box 1"/>
                        <wps:cNvSpPr txBox="1"/>
                        <wps:spPr>
                          <a:xfrm>
                            <a:off x="2292824" y="1610436"/>
                            <a:ext cx="532263" cy="423081"/>
                          </a:xfrm>
                          <a:prstGeom prst="rect">
                            <a:avLst/>
                          </a:prstGeom>
                          <a:noFill/>
                          <a:ln w="6350">
                            <a:noFill/>
                          </a:ln>
                        </wps:spPr>
                        <wps:txbx>
                          <w:txbxContent>
                            <w:p w14:paraId="252BB1EF" w14:textId="69EE4A82" w:rsidR="00420BE5" w:rsidRPr="00420BE5" w:rsidRDefault="00420BE5" w:rsidP="00420BE5">
                              <w:pPr>
                                <w:rPr>
                                  <w:b/>
                                  <w:bCs/>
                                </w:rPr>
                              </w:pPr>
                              <w:r w:rsidRPr="00420BE5">
                                <w:rPr>
                                  <w:b/>
                                  <w:bCs/>
                                </w:rPr>
                                <w:t>H</w:t>
                              </w:r>
                              <w:r>
                                <w:rPr>
                                  <w:b/>
                                  <w:bCs/>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9785136" name="Text Box 1"/>
                        <wps:cNvSpPr txBox="1"/>
                        <wps:spPr>
                          <a:xfrm>
                            <a:off x="2320119" y="2743200"/>
                            <a:ext cx="532263" cy="423081"/>
                          </a:xfrm>
                          <a:prstGeom prst="rect">
                            <a:avLst/>
                          </a:prstGeom>
                          <a:noFill/>
                          <a:ln w="6350">
                            <a:noFill/>
                          </a:ln>
                        </wps:spPr>
                        <wps:txbx>
                          <w:txbxContent>
                            <w:p w14:paraId="5140774D" w14:textId="7E8D4113" w:rsidR="00420BE5" w:rsidRPr="00420BE5" w:rsidRDefault="00420BE5" w:rsidP="00420BE5">
                              <w:pPr>
                                <w:rPr>
                                  <w:b/>
                                  <w:bCs/>
                                </w:rPr>
                              </w:pPr>
                              <w:r w:rsidRPr="00420BE5">
                                <w:rPr>
                                  <w:b/>
                                  <w:bCs/>
                                </w:rPr>
                                <w:t>H</w:t>
                              </w:r>
                              <w:r>
                                <w:rPr>
                                  <w:b/>
                                  <w:bCs/>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694C08E" id="Group 2" o:spid="_x0000_s1026" style="position:absolute;left:0;text-align:left;margin-left:383.55pt;margin-top:0;width:434.75pt;height:316.8pt;z-index:251666944;mso-position-horizontal:right;mso-position-horizontal-relative:margin" coordsize="55213,40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5213;height:40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">
                  <v:imagedata r:id="rId8" o:title=""/>
                </v:shape>
                <v:shapetype id="_x0000_t202" coordsize="21600,21600" o:spt="202" path="m,l,21600r21600,l21600,xe">
                  <v:stroke joinstyle="miter"/>
                  <v:path gradientshapeok="t" o:connecttype="rect"/>
                </v:shapetype>
                <v:shape id="Text Box 1" o:spid="_x0000_s1028" type="#_x0000_t202" style="position:absolute;left:23747;top:6550;width:5322;height:4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" filled="f" stroked="f" strokeweight=".5pt">
                  <v:textbox>
                    <w:txbxContent>
                      <w:p w14:paraId="06ADA707" w14:textId="120B1A3A" w:rsidR="00420BE5" w:rsidRPr="00420BE5" w:rsidRDefault="00420BE5">
                        <w:pPr>
                          <w:rPr>
                            <w:b/>
                            <w:bCs/>
                          </w:rPr>
                        </w:pPr>
                        <w:r w:rsidRPr="00420BE5">
                          <w:rPr>
                            <w:b/>
                            <w:bCs/>
                          </w:rPr>
                          <w:t>H</w:t>
                        </w:r>
                        <w:r w:rsidRPr="00420BE5">
                          <w:rPr>
                            <w:b/>
                            <w:bCs/>
                            <w:vertAlign w:val="subscript"/>
                          </w:rPr>
                          <w:t>1</w:t>
                        </w:r>
                      </w:p>
                    </w:txbxContent>
                  </v:textbox>
                </v:shape>
                <v:shape id="Text Box 1" o:spid="_x0000_s1029" type="#_x0000_t202" style="position:absolute;left:22928;top:16104;width:5322;height:4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" filled="f" stroked="f" strokeweight=".5pt">
                  <v:textbox>
                    <w:txbxContent>
                      <w:p w14:paraId="252BB1EF" w14:textId="69EE4A82" w:rsidR="00420BE5" w:rsidRPr="00420BE5" w:rsidRDefault="00420BE5" w:rsidP="00420BE5">
                        <w:pPr>
                          <w:rPr>
                            <w:b/>
                            <w:bCs/>
                          </w:rPr>
                        </w:pPr>
                        <w:r w:rsidRPr="00420BE5">
                          <w:rPr>
                            <w:b/>
                            <w:bCs/>
                          </w:rPr>
                          <w:t>H</w:t>
                        </w:r>
                        <w:r>
                          <w:rPr>
                            <w:b/>
                            <w:bCs/>
                            <w:vertAlign w:val="subscript"/>
                          </w:rPr>
                          <w:t>2</w:t>
                        </w:r>
                      </w:p>
                    </w:txbxContent>
                  </v:textbox>
                </v:shape>
                <v:shape id="Text Box 1" o:spid="_x0000_s1030" type="#_x0000_t202" style="position:absolute;left:23201;top:27432;width:5322;height:4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" filled="f" stroked="f" strokeweight=".5pt">
                  <v:textbox>
                    <w:txbxContent>
                      <w:p w14:paraId="5140774D" w14:textId="7E8D4113" w:rsidR="00420BE5" w:rsidRPr="00420BE5" w:rsidRDefault="00420BE5" w:rsidP="00420BE5">
                        <w:pPr>
                          <w:rPr>
                            <w:b/>
                            <w:bCs/>
                          </w:rPr>
                        </w:pPr>
                        <w:r w:rsidRPr="00420BE5">
                          <w:rPr>
                            <w:b/>
                            <w:bCs/>
                          </w:rPr>
                          <w:t>H</w:t>
                        </w:r>
                        <w:r>
                          <w:rPr>
                            <w:b/>
                            <w:bCs/>
                            <w:vertAlign w:val="subscript"/>
                          </w:rPr>
                          <w:t>3</w:t>
                        </w:r>
                      </w:p>
                    </w:txbxContent>
                  </v:textbox>
                </v:shape>
                <w10:wrap type="square" anchorx="margin"/>
              </v:group>
            </w:pict>
          </mc:Fallback>
        </mc:AlternateContent>
      </w:r>
      <w:r w:rsidR="009E1BC5" w:rsidRPr="007A504A">
        <w:rPr>
          <w:rFonts w:cs="Times New Roman"/>
          <w:b/>
          <w:color w:val="000000" w:themeColor="text1"/>
        </w:rPr>
        <w:t xml:space="preserve">Figure </w:t>
      </w:r>
      <w:r w:rsidR="009E1BC5">
        <w:rPr>
          <w:rFonts w:cs="Times New Roman"/>
          <w:b/>
          <w:color w:val="000000" w:themeColor="text1"/>
        </w:rPr>
        <w:t>2</w:t>
      </w:r>
      <w:r w:rsidR="009E1BC5" w:rsidRPr="007A504A">
        <w:rPr>
          <w:rFonts w:cs="Times New Roman"/>
          <w:b/>
          <w:color w:val="000000" w:themeColor="text1"/>
        </w:rPr>
        <w:t xml:space="preserve">. </w:t>
      </w:r>
      <w:r w:rsidR="009E1BC5">
        <w:rPr>
          <w:rFonts w:cs="Times New Roman"/>
          <w:b/>
          <w:color w:val="000000" w:themeColor="text1"/>
        </w:rPr>
        <w:t>Conceptual Framework</w:t>
      </w:r>
      <w:r w:rsidR="009E1BC5" w:rsidRPr="00E62007">
        <w:rPr>
          <w:b/>
          <w:bCs/>
          <w:noProof/>
        </w:rPr>
        <w:t xml:space="preserve"> </w:t>
      </w:r>
    </w:p>
    <w:p w14:paraId="091892AF" w14:textId="77777777" w:rsidR="00420BE5" w:rsidRDefault="00420BE5" w:rsidP="009E1BC5">
      <w:pPr>
        <w:spacing w:before="80" w:after="80"/>
        <w:jc w:val="center"/>
        <w:rPr>
          <w:rFonts w:cs="Times New Roman"/>
          <w:color w:val="000000" w:themeColor="text1"/>
          <w:sz w:val="22"/>
        </w:rPr>
      </w:pPr>
    </w:p>
    <w:p w14:paraId="6113093B" w14:textId="688384B3" w:rsidR="00BD179B" w:rsidRPr="007A504A" w:rsidRDefault="00EB4264">
      <w:pPr>
        <w:pStyle w:val="Heading2"/>
        <w:spacing w:after="80"/>
        <w:rPr>
          <w:rFonts w:ascii="Times New Roman" w:hAnsi="Times New Roman" w:cs="Times New Roman"/>
          <w:color w:val="000000" w:themeColor="text1"/>
        </w:rPr>
      </w:pPr>
      <w:r w:rsidRPr="007A504A">
        <w:rPr>
          <w:rFonts w:ascii="Times New Roman" w:hAnsi="Times New Roman" w:cs="Times New Roman"/>
          <w:color w:val="000000" w:themeColor="text1"/>
        </w:rPr>
        <w:t>3.6 Econometric Model: Two-Stage Hurdle Model</w:t>
      </w:r>
    </w:p>
    <w:p w14:paraId="3255F79F" w14:textId="1DACAB64"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The distribution of WTP responses exhibits two key features: (</w:t>
      </w:r>
      <w:proofErr w:type="spellStart"/>
      <w:r w:rsidRPr="007A504A">
        <w:rPr>
          <w:rFonts w:cs="Times New Roman"/>
          <w:color w:val="000000" w:themeColor="text1"/>
          <w:sz w:val="22"/>
        </w:rPr>
        <w:t>i</w:t>
      </w:r>
      <w:proofErr w:type="spellEnd"/>
      <w:r w:rsidRPr="007A504A">
        <w:rPr>
          <w:rFonts w:cs="Times New Roman"/>
          <w:color w:val="000000" w:themeColor="text1"/>
          <w:sz w:val="22"/>
        </w:rPr>
        <w:t>) a non-negligible mass of zero values (18.7%), representing households unwilling to pay, and (ii) positively skewed continuous WTP amounts among paying households. These features indicate that the decision to pay and the amount to be paid are governed by distinct behavioural processes.</w:t>
      </w:r>
    </w:p>
    <w:p w14:paraId="27096AC7"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Rather than treating zero responses as censored observations from a single latent process, this study adopts a two-stage hurdle model that explicitly separates the participation decision from the valuation decision. This approach imposes fewer behavioural restrictions than a Tobit model and is well suited to stated-preference settings where non-payment reflects a deliberate choice.</w:t>
      </w:r>
    </w:p>
    <w:p w14:paraId="2F5209DE" w14:textId="77777777" w:rsidR="00BD179B" w:rsidRPr="007A504A" w:rsidRDefault="00000000" w:rsidP="00AD72F1">
      <w:pPr>
        <w:spacing w:before="80" w:after="80"/>
        <w:jc w:val="both"/>
        <w:rPr>
          <w:rFonts w:cs="Times New Roman"/>
          <w:color w:val="000000" w:themeColor="text1"/>
        </w:rPr>
      </w:pPr>
      <w:r w:rsidRPr="007A504A">
        <w:rPr>
          <w:rFonts w:cs="Times New Roman"/>
          <w:i/>
          <w:color w:val="000000" w:themeColor="text1"/>
          <w:sz w:val="22"/>
        </w:rPr>
        <w:t xml:space="preserve">Stage 1 — Participation Decision: </w:t>
      </w:r>
      <w:r w:rsidRPr="007A504A">
        <w:rPr>
          <w:rFonts w:cs="Times New Roman"/>
          <w:color w:val="000000" w:themeColor="text1"/>
          <w:sz w:val="22"/>
        </w:rPr>
        <w:t xml:space="preserve">In the first stage, the probability that household </w:t>
      </w:r>
      <w:proofErr w:type="spellStart"/>
      <w:r w:rsidRPr="007A504A">
        <w:rPr>
          <w:rFonts w:cs="Times New Roman"/>
          <w:color w:val="000000" w:themeColor="text1"/>
          <w:sz w:val="22"/>
        </w:rPr>
        <w:t>i</w:t>
      </w:r>
      <w:proofErr w:type="spellEnd"/>
      <w:r w:rsidRPr="007A504A">
        <w:rPr>
          <w:rFonts w:cs="Times New Roman"/>
          <w:color w:val="000000" w:themeColor="text1"/>
          <w:sz w:val="22"/>
        </w:rPr>
        <w:t xml:space="preserve"> is willing to pay for title registration is modelled using a probit specification:</w:t>
      </w:r>
    </w:p>
    <w:p w14:paraId="79515E9D"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 xml:space="preserve">  </w:t>
      </w:r>
      <w:proofErr w:type="spellStart"/>
      <w:proofErr w:type="gramStart"/>
      <w:r w:rsidRPr="007A504A">
        <w:rPr>
          <w:rFonts w:cs="Times New Roman"/>
          <w:color w:val="000000" w:themeColor="text1"/>
          <w:sz w:val="22"/>
        </w:rPr>
        <w:t>Pr</w:t>
      </w:r>
      <w:proofErr w:type="spellEnd"/>
      <w:r w:rsidRPr="007A504A">
        <w:rPr>
          <w:rFonts w:cs="Times New Roman"/>
          <w:color w:val="000000" w:themeColor="text1"/>
          <w:sz w:val="22"/>
        </w:rPr>
        <w:t>(</w:t>
      </w:r>
      <w:proofErr w:type="spellStart"/>
      <w:proofErr w:type="gramEnd"/>
      <w:r w:rsidRPr="007A504A">
        <w:rPr>
          <w:rFonts w:cs="Times New Roman"/>
          <w:color w:val="000000" w:themeColor="text1"/>
          <w:sz w:val="22"/>
        </w:rPr>
        <w:t>WTPi</w:t>
      </w:r>
      <w:proofErr w:type="spellEnd"/>
      <w:r w:rsidRPr="007A504A">
        <w:rPr>
          <w:rFonts w:cs="Times New Roman"/>
          <w:color w:val="000000" w:themeColor="text1"/>
          <w:sz w:val="22"/>
        </w:rPr>
        <w:t>&gt; 0 | X</w:t>
      </w:r>
      <w:r w:rsidRPr="007A504A">
        <w:rPr>
          <w:rFonts w:cs="Times New Roman"/>
          <w:b/>
          <w:color w:val="000000" w:themeColor="text1"/>
          <w:sz w:val="22"/>
        </w:rPr>
        <w:t>i</w:t>
      </w:r>
      <w:r w:rsidRPr="007A504A">
        <w:rPr>
          <w:rFonts w:cs="Times New Roman"/>
          <w:color w:val="000000" w:themeColor="text1"/>
          <w:sz w:val="22"/>
        </w:rPr>
        <w:t>&gt; 0</w:t>
      </w:r>
    </w:p>
    <w:p w14:paraId="2CAD6AD0" w14:textId="13E76C21" w:rsidR="00EB4264" w:rsidRPr="007A504A" w:rsidRDefault="00000000" w:rsidP="00AD72F1">
      <w:pPr>
        <w:spacing w:before="80" w:after="80"/>
        <w:jc w:val="both"/>
        <w:rPr>
          <w:rFonts w:cs="Times New Roman"/>
          <w:color w:val="000000" w:themeColor="text1"/>
          <w:sz w:val="22"/>
        </w:rPr>
      </w:pPr>
      <w:r w:rsidRPr="007A504A">
        <w:rPr>
          <w:rFonts w:cs="Times New Roman"/>
          <w:color w:val="000000" w:themeColor="text1"/>
          <w:sz w:val="22"/>
        </w:rPr>
        <w:t>Logarithmic transformation is applied to reduce skewness and allow coefficients to be interpreted as approximate percentage effects.</w:t>
      </w:r>
    </w:p>
    <w:p w14:paraId="1C2ACF8B" w14:textId="4B36FCFD" w:rsidR="000A6C42" w:rsidRDefault="00000000" w:rsidP="00AD72F1">
      <w:pPr>
        <w:spacing w:before="80" w:after="80"/>
        <w:jc w:val="both"/>
        <w:rPr>
          <w:rFonts w:cs="Times New Roman"/>
          <w:color w:val="000000" w:themeColor="text1"/>
          <w:sz w:val="22"/>
        </w:rPr>
      </w:pPr>
      <w:r w:rsidRPr="007A504A">
        <w:rPr>
          <w:rFonts w:cs="Times New Roman"/>
          <w:i/>
          <w:color w:val="000000" w:themeColor="text1"/>
          <w:sz w:val="22"/>
        </w:rPr>
        <w:t xml:space="preserve">Identification and robustness: </w:t>
      </w:r>
      <w:r w:rsidRPr="007A504A">
        <w:rPr>
          <w:rFonts w:cs="Times New Roman"/>
          <w:color w:val="000000" w:themeColor="text1"/>
          <w:sz w:val="22"/>
        </w:rPr>
        <w:t>The potential endogeneity of perceptual variables (benefit perception and transparency) was assessed using the Wu-Hausman test. The test statistic (chi</w:t>
      </w:r>
      <w:proofErr w:type="gramStart"/>
      <w:r w:rsidRPr="007A504A">
        <w:rPr>
          <w:rFonts w:cs="Times New Roman"/>
          <w:color w:val="000000" w:themeColor="text1"/>
          <w:sz w:val="22"/>
        </w:rPr>
        <w:t>²(</w:t>
      </w:r>
      <w:proofErr w:type="gramEnd"/>
      <w:r w:rsidRPr="007A504A">
        <w:rPr>
          <w:rFonts w:cs="Times New Roman"/>
          <w:color w:val="000000" w:themeColor="text1"/>
          <w:sz w:val="22"/>
        </w:rPr>
        <w:t xml:space="preserve">2) = 0.147, p = 0.863) fails to reject the null hypothesis of OLS consistency, confirming that OLS is the appropriate </w:t>
      </w:r>
      <w:r w:rsidRPr="007A504A">
        <w:rPr>
          <w:rFonts w:cs="Times New Roman"/>
          <w:color w:val="000000" w:themeColor="text1"/>
          <w:sz w:val="22"/>
        </w:rPr>
        <w:lastRenderedPageBreak/>
        <w:t>estimator for the amount equation. Two-stage least squares (2SLS) estimates using leave-one-out local authority mean instruments are reported as a robustness check. All models are estimated with heteroskedasticity-robust standard errors (HC3). Tobit and OLS estimations on the full sample are also reported to assess robustness. All analysis was conducted using Stata Statistical Software.</w:t>
      </w:r>
    </w:p>
    <w:p w14:paraId="502757BB" w14:textId="77777777" w:rsidR="00BD179B" w:rsidRPr="007A504A" w:rsidRDefault="00000000">
      <w:pPr>
        <w:pStyle w:val="Heading1"/>
        <w:spacing w:before="280" w:after="80"/>
        <w:rPr>
          <w:rFonts w:ascii="Times New Roman" w:hAnsi="Times New Roman" w:cs="Times New Roman"/>
          <w:color w:val="000000" w:themeColor="text1"/>
        </w:rPr>
      </w:pPr>
      <w:r w:rsidRPr="007A504A">
        <w:rPr>
          <w:rFonts w:ascii="Times New Roman" w:hAnsi="Times New Roman" w:cs="Times New Roman"/>
          <w:color w:val="000000" w:themeColor="text1"/>
        </w:rPr>
        <w:t>4. Results and Discussion</w:t>
      </w:r>
    </w:p>
    <w:p w14:paraId="105D8DA8" w14:textId="79E3183E" w:rsidR="00BD179B" w:rsidRPr="007A504A" w:rsidRDefault="000A6C42" w:rsidP="000A6C42">
      <w:pPr>
        <w:pStyle w:val="Heading2"/>
        <w:spacing w:after="80" w:line="360" w:lineRule="auto"/>
        <w:rPr>
          <w:rFonts w:ascii="Times New Roman" w:hAnsi="Times New Roman" w:cs="Times New Roman"/>
          <w:color w:val="000000" w:themeColor="text1"/>
        </w:rPr>
      </w:pPr>
      <w:r w:rsidRPr="007A504A">
        <w:rPr>
          <w:rFonts w:ascii="Times New Roman" w:hAnsi="Times New Roman" w:cs="Times New Roman"/>
          <w:color w:val="000000" w:themeColor="text1"/>
        </w:rPr>
        <w:t>4.1 Socio-Economic and Land Characteristics</w:t>
      </w:r>
    </w:p>
    <w:p w14:paraId="37E85CC8" w14:textId="5B2BB5A5" w:rsidR="00BD179B" w:rsidRPr="007A504A" w:rsidRDefault="00000000" w:rsidP="000A6C42">
      <w:pPr>
        <w:spacing w:after="0"/>
        <w:rPr>
          <w:rFonts w:cs="Times New Roman"/>
          <w:color w:val="000000" w:themeColor="text1"/>
        </w:rPr>
      </w:pPr>
      <w:r w:rsidRPr="007A504A">
        <w:rPr>
          <w:rFonts w:cs="Times New Roman"/>
          <w:b/>
          <w:color w:val="000000" w:themeColor="text1"/>
        </w:rPr>
        <w:t>Table 2. Socio-Economic Profile of Respondents</w:t>
      </w:r>
    </w:p>
    <w:tbl>
      <w:tblPr>
        <w:tblStyle w:val="TableGrid"/>
        <w:tblW w:w="0" w:type="auto"/>
        <w:tblLook w:val="04A0" w:firstRow="1" w:lastRow="0" w:firstColumn="1" w:lastColumn="0" w:noHBand="0" w:noVBand="1"/>
      </w:tblPr>
      <w:tblGrid>
        <w:gridCol w:w="2158"/>
        <w:gridCol w:w="2158"/>
        <w:gridCol w:w="2157"/>
        <w:gridCol w:w="2157"/>
      </w:tblGrid>
      <w:tr w:rsidR="00B87706" w:rsidRPr="007A504A" w14:paraId="0D904983" w14:textId="77777777" w:rsidTr="00AD72F1">
        <w:tc>
          <w:tcPr>
            <w:tcW w:w="2160" w:type="dxa"/>
          </w:tcPr>
          <w:p w14:paraId="683C44A3" w14:textId="77777777" w:rsidR="00BD179B" w:rsidRPr="007A504A" w:rsidRDefault="00000000">
            <w:pPr>
              <w:jc w:val="center"/>
              <w:rPr>
                <w:rFonts w:cs="Times New Roman"/>
                <w:color w:val="000000" w:themeColor="text1"/>
                <w:sz w:val="22"/>
              </w:rPr>
            </w:pPr>
            <w:r w:rsidRPr="007A504A">
              <w:rPr>
                <w:rFonts w:cs="Times New Roman"/>
                <w:b/>
                <w:color w:val="000000" w:themeColor="text1"/>
                <w:sz w:val="22"/>
              </w:rPr>
              <w:t>Variable</w:t>
            </w:r>
          </w:p>
        </w:tc>
        <w:tc>
          <w:tcPr>
            <w:tcW w:w="2160" w:type="dxa"/>
          </w:tcPr>
          <w:p w14:paraId="6B221534" w14:textId="77777777" w:rsidR="00BD179B" w:rsidRPr="007A504A" w:rsidRDefault="00000000">
            <w:pPr>
              <w:jc w:val="center"/>
              <w:rPr>
                <w:rFonts w:cs="Times New Roman"/>
                <w:color w:val="000000" w:themeColor="text1"/>
                <w:sz w:val="22"/>
              </w:rPr>
            </w:pPr>
            <w:r w:rsidRPr="007A504A">
              <w:rPr>
                <w:rFonts w:cs="Times New Roman"/>
                <w:b/>
                <w:color w:val="000000" w:themeColor="text1"/>
                <w:sz w:val="22"/>
              </w:rPr>
              <w:t>Category</w:t>
            </w:r>
          </w:p>
        </w:tc>
        <w:tc>
          <w:tcPr>
            <w:tcW w:w="2160" w:type="dxa"/>
          </w:tcPr>
          <w:p w14:paraId="15944CA0" w14:textId="77777777" w:rsidR="00BD179B" w:rsidRPr="007A504A" w:rsidRDefault="00000000">
            <w:pPr>
              <w:jc w:val="center"/>
              <w:rPr>
                <w:rFonts w:cs="Times New Roman"/>
                <w:color w:val="000000" w:themeColor="text1"/>
                <w:sz w:val="22"/>
              </w:rPr>
            </w:pPr>
            <w:r w:rsidRPr="007A504A">
              <w:rPr>
                <w:rFonts w:cs="Times New Roman"/>
                <w:b/>
                <w:color w:val="000000" w:themeColor="text1"/>
                <w:sz w:val="22"/>
              </w:rPr>
              <w:t>Frequency</w:t>
            </w:r>
          </w:p>
        </w:tc>
        <w:tc>
          <w:tcPr>
            <w:tcW w:w="2160" w:type="dxa"/>
          </w:tcPr>
          <w:p w14:paraId="754C5CC8" w14:textId="77777777" w:rsidR="00BD179B" w:rsidRPr="007A504A" w:rsidRDefault="00000000">
            <w:pPr>
              <w:jc w:val="center"/>
              <w:rPr>
                <w:rFonts w:cs="Times New Roman"/>
                <w:color w:val="000000" w:themeColor="text1"/>
                <w:sz w:val="22"/>
              </w:rPr>
            </w:pPr>
            <w:r w:rsidRPr="007A504A">
              <w:rPr>
                <w:rFonts w:cs="Times New Roman"/>
                <w:b/>
                <w:color w:val="000000" w:themeColor="text1"/>
                <w:sz w:val="22"/>
              </w:rPr>
              <w:t>Percentage (%)</w:t>
            </w:r>
          </w:p>
        </w:tc>
      </w:tr>
      <w:tr w:rsidR="00B87706" w:rsidRPr="007A504A" w14:paraId="0FA4025A" w14:textId="77777777" w:rsidTr="00AD72F1">
        <w:tc>
          <w:tcPr>
            <w:tcW w:w="2160" w:type="dxa"/>
          </w:tcPr>
          <w:p w14:paraId="7360ECF2" w14:textId="77777777" w:rsidR="00BD179B" w:rsidRPr="007A504A" w:rsidRDefault="00000000">
            <w:pPr>
              <w:rPr>
                <w:rFonts w:cs="Times New Roman"/>
                <w:color w:val="000000" w:themeColor="text1"/>
                <w:sz w:val="22"/>
              </w:rPr>
            </w:pPr>
            <w:r w:rsidRPr="007A504A">
              <w:rPr>
                <w:rFonts w:cs="Times New Roman"/>
                <w:color w:val="000000" w:themeColor="text1"/>
                <w:sz w:val="22"/>
              </w:rPr>
              <w:t>Local Government Type</w:t>
            </w:r>
          </w:p>
        </w:tc>
        <w:tc>
          <w:tcPr>
            <w:tcW w:w="2160" w:type="dxa"/>
          </w:tcPr>
          <w:p w14:paraId="686EEF41" w14:textId="77777777" w:rsidR="00BD179B" w:rsidRPr="007A504A" w:rsidRDefault="00000000">
            <w:pPr>
              <w:rPr>
                <w:rFonts w:cs="Times New Roman"/>
                <w:color w:val="000000" w:themeColor="text1"/>
                <w:sz w:val="22"/>
              </w:rPr>
            </w:pPr>
            <w:r w:rsidRPr="007A504A">
              <w:rPr>
                <w:rFonts w:cs="Times New Roman"/>
                <w:color w:val="000000" w:themeColor="text1"/>
                <w:sz w:val="22"/>
              </w:rPr>
              <w:t>Municipal Council (MC)</w:t>
            </w:r>
          </w:p>
        </w:tc>
        <w:tc>
          <w:tcPr>
            <w:tcW w:w="2160" w:type="dxa"/>
          </w:tcPr>
          <w:p w14:paraId="02DD8DD3"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40</w:t>
            </w:r>
          </w:p>
        </w:tc>
        <w:tc>
          <w:tcPr>
            <w:tcW w:w="2160" w:type="dxa"/>
          </w:tcPr>
          <w:p w14:paraId="089678C6"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15.87</w:t>
            </w:r>
          </w:p>
        </w:tc>
      </w:tr>
      <w:tr w:rsidR="00B87706" w:rsidRPr="007A504A" w14:paraId="7F523E02" w14:textId="77777777" w:rsidTr="00AD72F1">
        <w:tc>
          <w:tcPr>
            <w:tcW w:w="2160" w:type="dxa"/>
          </w:tcPr>
          <w:p w14:paraId="21FAE691" w14:textId="77777777" w:rsidR="00BD179B" w:rsidRPr="007A504A" w:rsidRDefault="00BD179B">
            <w:pPr>
              <w:rPr>
                <w:rFonts w:cs="Times New Roman"/>
                <w:color w:val="000000" w:themeColor="text1"/>
                <w:sz w:val="22"/>
              </w:rPr>
            </w:pPr>
          </w:p>
        </w:tc>
        <w:tc>
          <w:tcPr>
            <w:tcW w:w="2160" w:type="dxa"/>
          </w:tcPr>
          <w:p w14:paraId="316C15E4" w14:textId="77777777" w:rsidR="00BD179B" w:rsidRPr="007A504A" w:rsidRDefault="00000000">
            <w:pPr>
              <w:rPr>
                <w:rFonts w:cs="Times New Roman"/>
                <w:color w:val="000000" w:themeColor="text1"/>
                <w:sz w:val="22"/>
              </w:rPr>
            </w:pPr>
            <w:r w:rsidRPr="007A504A">
              <w:rPr>
                <w:rFonts w:cs="Times New Roman"/>
                <w:color w:val="000000" w:themeColor="text1"/>
                <w:sz w:val="22"/>
              </w:rPr>
              <w:t>Urban Council (UC)</w:t>
            </w:r>
          </w:p>
        </w:tc>
        <w:tc>
          <w:tcPr>
            <w:tcW w:w="2160" w:type="dxa"/>
          </w:tcPr>
          <w:p w14:paraId="1A90996B"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67</w:t>
            </w:r>
          </w:p>
        </w:tc>
        <w:tc>
          <w:tcPr>
            <w:tcW w:w="2160" w:type="dxa"/>
          </w:tcPr>
          <w:p w14:paraId="385A67F0"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26.59</w:t>
            </w:r>
          </w:p>
        </w:tc>
      </w:tr>
      <w:tr w:rsidR="00B87706" w:rsidRPr="007A504A" w14:paraId="3632CD3A" w14:textId="77777777" w:rsidTr="00AD72F1">
        <w:tc>
          <w:tcPr>
            <w:tcW w:w="2160" w:type="dxa"/>
          </w:tcPr>
          <w:p w14:paraId="1121D6C1" w14:textId="77777777" w:rsidR="00BD179B" w:rsidRPr="007A504A" w:rsidRDefault="00BD179B">
            <w:pPr>
              <w:rPr>
                <w:rFonts w:cs="Times New Roman"/>
                <w:color w:val="000000" w:themeColor="text1"/>
                <w:sz w:val="22"/>
              </w:rPr>
            </w:pPr>
          </w:p>
        </w:tc>
        <w:tc>
          <w:tcPr>
            <w:tcW w:w="2160" w:type="dxa"/>
          </w:tcPr>
          <w:p w14:paraId="5A385FB0" w14:textId="77777777" w:rsidR="00BD179B" w:rsidRPr="007A504A" w:rsidRDefault="00000000">
            <w:pPr>
              <w:rPr>
                <w:rFonts w:cs="Times New Roman"/>
                <w:color w:val="000000" w:themeColor="text1"/>
                <w:sz w:val="22"/>
              </w:rPr>
            </w:pPr>
            <w:r w:rsidRPr="007A504A">
              <w:rPr>
                <w:rFonts w:cs="Times New Roman"/>
                <w:color w:val="000000" w:themeColor="text1"/>
                <w:sz w:val="22"/>
              </w:rPr>
              <w:t>Pradeshiya Sabha (PS)</w:t>
            </w:r>
          </w:p>
        </w:tc>
        <w:tc>
          <w:tcPr>
            <w:tcW w:w="2160" w:type="dxa"/>
          </w:tcPr>
          <w:p w14:paraId="3FBBB7E8"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145</w:t>
            </w:r>
          </w:p>
        </w:tc>
        <w:tc>
          <w:tcPr>
            <w:tcW w:w="2160" w:type="dxa"/>
          </w:tcPr>
          <w:p w14:paraId="1F8B1860"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57.54</w:t>
            </w:r>
          </w:p>
        </w:tc>
      </w:tr>
      <w:tr w:rsidR="00B87706" w:rsidRPr="007A504A" w14:paraId="371D2ABB" w14:textId="77777777" w:rsidTr="00AD72F1">
        <w:tc>
          <w:tcPr>
            <w:tcW w:w="2160" w:type="dxa"/>
          </w:tcPr>
          <w:p w14:paraId="55F8064E" w14:textId="77777777" w:rsidR="00BD179B" w:rsidRPr="007A504A" w:rsidRDefault="00000000">
            <w:pPr>
              <w:rPr>
                <w:rFonts w:cs="Times New Roman"/>
                <w:color w:val="000000" w:themeColor="text1"/>
                <w:sz w:val="22"/>
              </w:rPr>
            </w:pPr>
            <w:r w:rsidRPr="007A504A">
              <w:rPr>
                <w:rFonts w:cs="Times New Roman"/>
                <w:color w:val="000000" w:themeColor="text1"/>
                <w:sz w:val="22"/>
              </w:rPr>
              <w:t>Gender of Household Head</w:t>
            </w:r>
          </w:p>
        </w:tc>
        <w:tc>
          <w:tcPr>
            <w:tcW w:w="2160" w:type="dxa"/>
          </w:tcPr>
          <w:p w14:paraId="2716CF2E" w14:textId="77777777" w:rsidR="00BD179B" w:rsidRPr="007A504A" w:rsidRDefault="00000000">
            <w:pPr>
              <w:rPr>
                <w:rFonts w:cs="Times New Roman"/>
                <w:color w:val="000000" w:themeColor="text1"/>
                <w:sz w:val="22"/>
              </w:rPr>
            </w:pPr>
            <w:r w:rsidRPr="007A504A">
              <w:rPr>
                <w:rFonts w:cs="Times New Roman"/>
                <w:color w:val="000000" w:themeColor="text1"/>
                <w:sz w:val="22"/>
              </w:rPr>
              <w:t>Male</w:t>
            </w:r>
          </w:p>
        </w:tc>
        <w:tc>
          <w:tcPr>
            <w:tcW w:w="2160" w:type="dxa"/>
          </w:tcPr>
          <w:p w14:paraId="3116E051"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215</w:t>
            </w:r>
          </w:p>
        </w:tc>
        <w:tc>
          <w:tcPr>
            <w:tcW w:w="2160" w:type="dxa"/>
          </w:tcPr>
          <w:p w14:paraId="55A85DA3"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85.32</w:t>
            </w:r>
          </w:p>
        </w:tc>
      </w:tr>
      <w:tr w:rsidR="00B87706" w:rsidRPr="007A504A" w14:paraId="4F0D8E8C" w14:textId="77777777" w:rsidTr="00AD72F1">
        <w:tc>
          <w:tcPr>
            <w:tcW w:w="2160" w:type="dxa"/>
          </w:tcPr>
          <w:p w14:paraId="74FD0CB7" w14:textId="77777777" w:rsidR="00BD179B" w:rsidRPr="007A504A" w:rsidRDefault="00BD179B">
            <w:pPr>
              <w:rPr>
                <w:rFonts w:cs="Times New Roman"/>
                <w:color w:val="000000" w:themeColor="text1"/>
                <w:sz w:val="22"/>
              </w:rPr>
            </w:pPr>
          </w:p>
        </w:tc>
        <w:tc>
          <w:tcPr>
            <w:tcW w:w="2160" w:type="dxa"/>
          </w:tcPr>
          <w:p w14:paraId="2ADDBEF2" w14:textId="77777777" w:rsidR="00BD179B" w:rsidRPr="007A504A" w:rsidRDefault="00000000">
            <w:pPr>
              <w:rPr>
                <w:rFonts w:cs="Times New Roman"/>
                <w:color w:val="000000" w:themeColor="text1"/>
                <w:sz w:val="22"/>
              </w:rPr>
            </w:pPr>
            <w:r w:rsidRPr="007A504A">
              <w:rPr>
                <w:rFonts w:cs="Times New Roman"/>
                <w:color w:val="000000" w:themeColor="text1"/>
                <w:sz w:val="22"/>
              </w:rPr>
              <w:t>Female</w:t>
            </w:r>
          </w:p>
        </w:tc>
        <w:tc>
          <w:tcPr>
            <w:tcW w:w="2160" w:type="dxa"/>
          </w:tcPr>
          <w:p w14:paraId="17F30423"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37</w:t>
            </w:r>
          </w:p>
        </w:tc>
        <w:tc>
          <w:tcPr>
            <w:tcW w:w="2160" w:type="dxa"/>
          </w:tcPr>
          <w:p w14:paraId="60F26B5C"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14.68</w:t>
            </w:r>
          </w:p>
        </w:tc>
      </w:tr>
      <w:tr w:rsidR="00B87706" w:rsidRPr="007A504A" w14:paraId="66939DB0" w14:textId="77777777" w:rsidTr="00AD72F1">
        <w:tc>
          <w:tcPr>
            <w:tcW w:w="2160" w:type="dxa"/>
          </w:tcPr>
          <w:p w14:paraId="562280CD" w14:textId="77777777" w:rsidR="00BD179B" w:rsidRPr="007A504A" w:rsidRDefault="00000000">
            <w:pPr>
              <w:rPr>
                <w:rFonts w:cs="Times New Roman"/>
                <w:color w:val="000000" w:themeColor="text1"/>
                <w:sz w:val="22"/>
              </w:rPr>
            </w:pPr>
            <w:r w:rsidRPr="007A504A">
              <w:rPr>
                <w:rFonts w:cs="Times New Roman"/>
                <w:color w:val="000000" w:themeColor="text1"/>
                <w:sz w:val="22"/>
              </w:rPr>
              <w:t>Age Group (years)</w:t>
            </w:r>
          </w:p>
        </w:tc>
        <w:tc>
          <w:tcPr>
            <w:tcW w:w="2160" w:type="dxa"/>
          </w:tcPr>
          <w:p w14:paraId="04B4208D" w14:textId="77777777" w:rsidR="00BD179B" w:rsidRPr="007A504A" w:rsidRDefault="00000000">
            <w:pPr>
              <w:rPr>
                <w:rFonts w:cs="Times New Roman"/>
                <w:color w:val="000000" w:themeColor="text1"/>
                <w:sz w:val="22"/>
              </w:rPr>
            </w:pPr>
            <w:r w:rsidRPr="007A504A">
              <w:rPr>
                <w:rFonts w:cs="Times New Roman"/>
                <w:color w:val="000000" w:themeColor="text1"/>
                <w:sz w:val="22"/>
              </w:rPr>
              <w:t>Below 40</w:t>
            </w:r>
          </w:p>
        </w:tc>
        <w:tc>
          <w:tcPr>
            <w:tcW w:w="2160" w:type="dxa"/>
          </w:tcPr>
          <w:p w14:paraId="0D51802A"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31</w:t>
            </w:r>
          </w:p>
        </w:tc>
        <w:tc>
          <w:tcPr>
            <w:tcW w:w="2160" w:type="dxa"/>
          </w:tcPr>
          <w:p w14:paraId="0AAE94EA"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12.30</w:t>
            </w:r>
          </w:p>
        </w:tc>
      </w:tr>
      <w:tr w:rsidR="00B87706" w:rsidRPr="007A504A" w14:paraId="75833631" w14:textId="77777777" w:rsidTr="00AD72F1">
        <w:tc>
          <w:tcPr>
            <w:tcW w:w="2160" w:type="dxa"/>
          </w:tcPr>
          <w:p w14:paraId="48154A1F" w14:textId="77777777" w:rsidR="00BD179B" w:rsidRPr="007A504A" w:rsidRDefault="00BD179B">
            <w:pPr>
              <w:rPr>
                <w:rFonts w:cs="Times New Roman"/>
                <w:color w:val="000000" w:themeColor="text1"/>
                <w:sz w:val="22"/>
              </w:rPr>
            </w:pPr>
          </w:p>
        </w:tc>
        <w:tc>
          <w:tcPr>
            <w:tcW w:w="2160" w:type="dxa"/>
          </w:tcPr>
          <w:p w14:paraId="73C9514A" w14:textId="77777777" w:rsidR="00BD179B" w:rsidRPr="007A504A" w:rsidRDefault="00000000">
            <w:pPr>
              <w:rPr>
                <w:rFonts w:cs="Times New Roman"/>
                <w:color w:val="000000" w:themeColor="text1"/>
                <w:sz w:val="22"/>
              </w:rPr>
            </w:pPr>
            <w:r w:rsidRPr="007A504A">
              <w:rPr>
                <w:rFonts w:cs="Times New Roman"/>
                <w:color w:val="000000" w:themeColor="text1"/>
                <w:sz w:val="22"/>
              </w:rPr>
              <w:t>Between 40–60</w:t>
            </w:r>
          </w:p>
        </w:tc>
        <w:tc>
          <w:tcPr>
            <w:tcW w:w="2160" w:type="dxa"/>
          </w:tcPr>
          <w:p w14:paraId="0D406F69"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140</w:t>
            </w:r>
          </w:p>
        </w:tc>
        <w:tc>
          <w:tcPr>
            <w:tcW w:w="2160" w:type="dxa"/>
          </w:tcPr>
          <w:p w14:paraId="7BFEB56E"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55.56</w:t>
            </w:r>
          </w:p>
        </w:tc>
      </w:tr>
      <w:tr w:rsidR="00B87706" w:rsidRPr="007A504A" w14:paraId="08BA1D88" w14:textId="77777777" w:rsidTr="00AD72F1">
        <w:tc>
          <w:tcPr>
            <w:tcW w:w="2160" w:type="dxa"/>
          </w:tcPr>
          <w:p w14:paraId="45C2F21B" w14:textId="77777777" w:rsidR="00BD179B" w:rsidRPr="007A504A" w:rsidRDefault="00BD179B">
            <w:pPr>
              <w:rPr>
                <w:rFonts w:cs="Times New Roman"/>
                <w:color w:val="000000" w:themeColor="text1"/>
                <w:sz w:val="22"/>
              </w:rPr>
            </w:pPr>
          </w:p>
        </w:tc>
        <w:tc>
          <w:tcPr>
            <w:tcW w:w="2160" w:type="dxa"/>
          </w:tcPr>
          <w:p w14:paraId="62CEDCD5" w14:textId="77777777" w:rsidR="00BD179B" w:rsidRPr="007A504A" w:rsidRDefault="00000000">
            <w:pPr>
              <w:rPr>
                <w:rFonts w:cs="Times New Roman"/>
                <w:color w:val="000000" w:themeColor="text1"/>
                <w:sz w:val="22"/>
              </w:rPr>
            </w:pPr>
            <w:r w:rsidRPr="007A504A">
              <w:rPr>
                <w:rFonts w:cs="Times New Roman"/>
                <w:color w:val="000000" w:themeColor="text1"/>
                <w:sz w:val="22"/>
              </w:rPr>
              <w:t>Above 60</w:t>
            </w:r>
          </w:p>
        </w:tc>
        <w:tc>
          <w:tcPr>
            <w:tcW w:w="2160" w:type="dxa"/>
          </w:tcPr>
          <w:p w14:paraId="34FACE37"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81</w:t>
            </w:r>
          </w:p>
        </w:tc>
        <w:tc>
          <w:tcPr>
            <w:tcW w:w="2160" w:type="dxa"/>
          </w:tcPr>
          <w:p w14:paraId="14C5F0F8"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32.14</w:t>
            </w:r>
          </w:p>
        </w:tc>
      </w:tr>
      <w:tr w:rsidR="00B87706" w:rsidRPr="007A504A" w14:paraId="1BE3683E" w14:textId="77777777" w:rsidTr="00AD72F1">
        <w:tc>
          <w:tcPr>
            <w:tcW w:w="2160" w:type="dxa"/>
          </w:tcPr>
          <w:p w14:paraId="670BB02A" w14:textId="77777777" w:rsidR="00BD179B" w:rsidRPr="007A504A" w:rsidRDefault="00000000">
            <w:pPr>
              <w:rPr>
                <w:rFonts w:cs="Times New Roman"/>
                <w:color w:val="000000" w:themeColor="text1"/>
                <w:sz w:val="22"/>
              </w:rPr>
            </w:pPr>
            <w:r w:rsidRPr="007A504A">
              <w:rPr>
                <w:rFonts w:cs="Times New Roman"/>
                <w:color w:val="000000" w:themeColor="text1"/>
                <w:sz w:val="22"/>
              </w:rPr>
              <w:t>Education Level</w:t>
            </w:r>
          </w:p>
        </w:tc>
        <w:tc>
          <w:tcPr>
            <w:tcW w:w="2160" w:type="dxa"/>
          </w:tcPr>
          <w:p w14:paraId="46721938" w14:textId="77777777" w:rsidR="00BD179B" w:rsidRPr="007A504A" w:rsidRDefault="00000000">
            <w:pPr>
              <w:rPr>
                <w:rFonts w:cs="Times New Roman"/>
                <w:color w:val="000000" w:themeColor="text1"/>
                <w:sz w:val="22"/>
              </w:rPr>
            </w:pPr>
            <w:proofErr w:type="spellStart"/>
            <w:r w:rsidRPr="007A504A">
              <w:rPr>
                <w:rFonts w:cs="Times New Roman"/>
                <w:color w:val="000000" w:themeColor="text1"/>
                <w:sz w:val="22"/>
              </w:rPr>
              <w:t>Upto</w:t>
            </w:r>
            <w:proofErr w:type="spellEnd"/>
            <w:r w:rsidRPr="007A504A">
              <w:rPr>
                <w:rFonts w:cs="Times New Roman"/>
                <w:color w:val="000000" w:themeColor="text1"/>
                <w:sz w:val="22"/>
              </w:rPr>
              <w:t xml:space="preserve"> O/L</w:t>
            </w:r>
          </w:p>
        </w:tc>
        <w:tc>
          <w:tcPr>
            <w:tcW w:w="2160" w:type="dxa"/>
          </w:tcPr>
          <w:p w14:paraId="223E4AA5"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51</w:t>
            </w:r>
          </w:p>
        </w:tc>
        <w:tc>
          <w:tcPr>
            <w:tcW w:w="2160" w:type="dxa"/>
          </w:tcPr>
          <w:p w14:paraId="4AC2527D"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20.24</w:t>
            </w:r>
          </w:p>
        </w:tc>
      </w:tr>
      <w:tr w:rsidR="00B87706" w:rsidRPr="007A504A" w14:paraId="0483E9EC" w14:textId="77777777" w:rsidTr="00AD72F1">
        <w:tc>
          <w:tcPr>
            <w:tcW w:w="2160" w:type="dxa"/>
          </w:tcPr>
          <w:p w14:paraId="7E22DC66" w14:textId="77777777" w:rsidR="00BD179B" w:rsidRPr="007A504A" w:rsidRDefault="00BD179B">
            <w:pPr>
              <w:rPr>
                <w:rFonts w:cs="Times New Roman"/>
                <w:color w:val="000000" w:themeColor="text1"/>
                <w:sz w:val="22"/>
              </w:rPr>
            </w:pPr>
          </w:p>
        </w:tc>
        <w:tc>
          <w:tcPr>
            <w:tcW w:w="2160" w:type="dxa"/>
          </w:tcPr>
          <w:p w14:paraId="1A6E3902" w14:textId="77777777" w:rsidR="00BD179B" w:rsidRPr="007A504A" w:rsidRDefault="00000000">
            <w:pPr>
              <w:rPr>
                <w:rFonts w:cs="Times New Roman"/>
                <w:color w:val="000000" w:themeColor="text1"/>
                <w:sz w:val="22"/>
              </w:rPr>
            </w:pPr>
            <w:r w:rsidRPr="007A504A">
              <w:rPr>
                <w:rFonts w:cs="Times New Roman"/>
                <w:color w:val="000000" w:themeColor="text1"/>
                <w:sz w:val="22"/>
              </w:rPr>
              <w:t>A/L</w:t>
            </w:r>
          </w:p>
        </w:tc>
        <w:tc>
          <w:tcPr>
            <w:tcW w:w="2160" w:type="dxa"/>
          </w:tcPr>
          <w:p w14:paraId="118DB043"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133</w:t>
            </w:r>
          </w:p>
        </w:tc>
        <w:tc>
          <w:tcPr>
            <w:tcW w:w="2160" w:type="dxa"/>
          </w:tcPr>
          <w:p w14:paraId="03AFA61A"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52.78</w:t>
            </w:r>
          </w:p>
        </w:tc>
      </w:tr>
      <w:tr w:rsidR="00B87706" w:rsidRPr="007A504A" w14:paraId="197081C0" w14:textId="77777777" w:rsidTr="00AD72F1">
        <w:tc>
          <w:tcPr>
            <w:tcW w:w="2160" w:type="dxa"/>
          </w:tcPr>
          <w:p w14:paraId="53B1B83B" w14:textId="77777777" w:rsidR="00BD179B" w:rsidRPr="007A504A" w:rsidRDefault="00BD179B">
            <w:pPr>
              <w:rPr>
                <w:rFonts w:cs="Times New Roman"/>
                <w:color w:val="000000" w:themeColor="text1"/>
                <w:sz w:val="22"/>
              </w:rPr>
            </w:pPr>
          </w:p>
        </w:tc>
        <w:tc>
          <w:tcPr>
            <w:tcW w:w="2160" w:type="dxa"/>
          </w:tcPr>
          <w:p w14:paraId="63F5A3CC" w14:textId="77777777" w:rsidR="00BD179B" w:rsidRPr="007A504A" w:rsidRDefault="00000000">
            <w:pPr>
              <w:rPr>
                <w:rFonts w:cs="Times New Roman"/>
                <w:color w:val="000000" w:themeColor="text1"/>
                <w:sz w:val="22"/>
              </w:rPr>
            </w:pPr>
            <w:r w:rsidRPr="007A504A">
              <w:rPr>
                <w:rFonts w:cs="Times New Roman"/>
                <w:color w:val="000000" w:themeColor="text1"/>
                <w:sz w:val="22"/>
              </w:rPr>
              <w:t>Bachelor's degree</w:t>
            </w:r>
          </w:p>
        </w:tc>
        <w:tc>
          <w:tcPr>
            <w:tcW w:w="2160" w:type="dxa"/>
          </w:tcPr>
          <w:p w14:paraId="6199A652"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56</w:t>
            </w:r>
          </w:p>
        </w:tc>
        <w:tc>
          <w:tcPr>
            <w:tcW w:w="2160" w:type="dxa"/>
          </w:tcPr>
          <w:p w14:paraId="5E8E7021"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22.22</w:t>
            </w:r>
          </w:p>
        </w:tc>
      </w:tr>
      <w:tr w:rsidR="00B87706" w:rsidRPr="007A504A" w14:paraId="5B14EDE1" w14:textId="77777777" w:rsidTr="00AD72F1">
        <w:tc>
          <w:tcPr>
            <w:tcW w:w="2160" w:type="dxa"/>
          </w:tcPr>
          <w:p w14:paraId="0C2E5B79" w14:textId="77777777" w:rsidR="00BD179B" w:rsidRPr="007A504A" w:rsidRDefault="00BD179B">
            <w:pPr>
              <w:rPr>
                <w:rFonts w:cs="Times New Roman"/>
                <w:color w:val="000000" w:themeColor="text1"/>
                <w:sz w:val="22"/>
              </w:rPr>
            </w:pPr>
          </w:p>
        </w:tc>
        <w:tc>
          <w:tcPr>
            <w:tcW w:w="2160" w:type="dxa"/>
          </w:tcPr>
          <w:p w14:paraId="6977F7B0" w14:textId="77777777" w:rsidR="00BD179B" w:rsidRPr="007A504A" w:rsidRDefault="00000000">
            <w:pPr>
              <w:rPr>
                <w:rFonts w:cs="Times New Roman"/>
                <w:color w:val="000000" w:themeColor="text1"/>
                <w:sz w:val="22"/>
              </w:rPr>
            </w:pPr>
            <w:r w:rsidRPr="007A504A">
              <w:rPr>
                <w:rFonts w:cs="Times New Roman"/>
                <w:color w:val="000000" w:themeColor="text1"/>
                <w:sz w:val="22"/>
              </w:rPr>
              <w:t>Postgraduate</w:t>
            </w:r>
          </w:p>
        </w:tc>
        <w:tc>
          <w:tcPr>
            <w:tcW w:w="2160" w:type="dxa"/>
          </w:tcPr>
          <w:p w14:paraId="3A6606C3"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12</w:t>
            </w:r>
          </w:p>
        </w:tc>
        <w:tc>
          <w:tcPr>
            <w:tcW w:w="2160" w:type="dxa"/>
          </w:tcPr>
          <w:p w14:paraId="771E28EC"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4.76</w:t>
            </w:r>
          </w:p>
        </w:tc>
      </w:tr>
      <w:tr w:rsidR="00B87706" w:rsidRPr="007A504A" w14:paraId="42A99FA5" w14:textId="77777777" w:rsidTr="00AD72F1">
        <w:tc>
          <w:tcPr>
            <w:tcW w:w="2160" w:type="dxa"/>
          </w:tcPr>
          <w:p w14:paraId="4CF6AC3A" w14:textId="77777777" w:rsidR="00BD179B" w:rsidRPr="007A504A" w:rsidRDefault="00000000">
            <w:pPr>
              <w:rPr>
                <w:rFonts w:cs="Times New Roman"/>
                <w:color w:val="000000" w:themeColor="text1"/>
                <w:sz w:val="22"/>
              </w:rPr>
            </w:pPr>
            <w:r w:rsidRPr="007A504A">
              <w:rPr>
                <w:rFonts w:cs="Times New Roman"/>
                <w:color w:val="000000" w:themeColor="text1"/>
                <w:sz w:val="22"/>
              </w:rPr>
              <w:t>Household Income (LKR/month)</w:t>
            </w:r>
          </w:p>
        </w:tc>
        <w:tc>
          <w:tcPr>
            <w:tcW w:w="2160" w:type="dxa"/>
          </w:tcPr>
          <w:p w14:paraId="2E39FE98" w14:textId="77777777" w:rsidR="00BD179B" w:rsidRPr="007A504A" w:rsidRDefault="00000000">
            <w:pPr>
              <w:rPr>
                <w:rFonts w:cs="Times New Roman"/>
                <w:color w:val="000000" w:themeColor="text1"/>
                <w:sz w:val="22"/>
              </w:rPr>
            </w:pPr>
            <w:r w:rsidRPr="007A504A">
              <w:rPr>
                <w:rFonts w:cs="Times New Roman"/>
                <w:color w:val="000000" w:themeColor="text1"/>
                <w:sz w:val="22"/>
              </w:rPr>
              <w:t>Less than Rs. 100,000</w:t>
            </w:r>
          </w:p>
        </w:tc>
        <w:tc>
          <w:tcPr>
            <w:tcW w:w="2160" w:type="dxa"/>
          </w:tcPr>
          <w:p w14:paraId="01E8D8AD"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50</w:t>
            </w:r>
          </w:p>
        </w:tc>
        <w:tc>
          <w:tcPr>
            <w:tcW w:w="2160" w:type="dxa"/>
          </w:tcPr>
          <w:p w14:paraId="5CCD14F3"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19.84</w:t>
            </w:r>
          </w:p>
        </w:tc>
      </w:tr>
      <w:tr w:rsidR="00B87706" w:rsidRPr="007A504A" w14:paraId="79213ED9" w14:textId="77777777" w:rsidTr="00AD72F1">
        <w:tc>
          <w:tcPr>
            <w:tcW w:w="2160" w:type="dxa"/>
          </w:tcPr>
          <w:p w14:paraId="005E66F8" w14:textId="77777777" w:rsidR="00BD179B" w:rsidRPr="007A504A" w:rsidRDefault="00BD179B">
            <w:pPr>
              <w:rPr>
                <w:rFonts w:cs="Times New Roman"/>
                <w:color w:val="000000" w:themeColor="text1"/>
                <w:sz w:val="22"/>
              </w:rPr>
            </w:pPr>
          </w:p>
        </w:tc>
        <w:tc>
          <w:tcPr>
            <w:tcW w:w="2160" w:type="dxa"/>
          </w:tcPr>
          <w:p w14:paraId="40A0EC65" w14:textId="77777777" w:rsidR="00BD179B" w:rsidRPr="007A504A" w:rsidRDefault="00000000">
            <w:pPr>
              <w:rPr>
                <w:rFonts w:cs="Times New Roman"/>
                <w:color w:val="000000" w:themeColor="text1"/>
                <w:sz w:val="22"/>
              </w:rPr>
            </w:pPr>
            <w:r w:rsidRPr="007A504A">
              <w:rPr>
                <w:rFonts w:cs="Times New Roman"/>
                <w:color w:val="000000" w:themeColor="text1"/>
                <w:sz w:val="22"/>
              </w:rPr>
              <w:t>Rs. 100,000 – Rs. 150,000</w:t>
            </w:r>
          </w:p>
        </w:tc>
        <w:tc>
          <w:tcPr>
            <w:tcW w:w="2160" w:type="dxa"/>
          </w:tcPr>
          <w:p w14:paraId="7899B049"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58</w:t>
            </w:r>
          </w:p>
        </w:tc>
        <w:tc>
          <w:tcPr>
            <w:tcW w:w="2160" w:type="dxa"/>
          </w:tcPr>
          <w:p w14:paraId="3B0CE7B1"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23.02</w:t>
            </w:r>
          </w:p>
        </w:tc>
      </w:tr>
      <w:tr w:rsidR="00B87706" w:rsidRPr="007A504A" w14:paraId="4FEAB915" w14:textId="77777777" w:rsidTr="00AD72F1">
        <w:tc>
          <w:tcPr>
            <w:tcW w:w="2160" w:type="dxa"/>
          </w:tcPr>
          <w:p w14:paraId="0B750AF7" w14:textId="77777777" w:rsidR="00BD179B" w:rsidRPr="007A504A" w:rsidRDefault="00BD179B">
            <w:pPr>
              <w:rPr>
                <w:rFonts w:cs="Times New Roman"/>
                <w:color w:val="000000" w:themeColor="text1"/>
                <w:sz w:val="22"/>
              </w:rPr>
            </w:pPr>
          </w:p>
        </w:tc>
        <w:tc>
          <w:tcPr>
            <w:tcW w:w="2160" w:type="dxa"/>
          </w:tcPr>
          <w:p w14:paraId="24324A39" w14:textId="77777777" w:rsidR="00BD179B" w:rsidRPr="007A504A" w:rsidRDefault="00000000">
            <w:pPr>
              <w:rPr>
                <w:rFonts w:cs="Times New Roman"/>
                <w:color w:val="000000" w:themeColor="text1"/>
                <w:sz w:val="22"/>
              </w:rPr>
            </w:pPr>
            <w:r w:rsidRPr="007A504A">
              <w:rPr>
                <w:rFonts w:cs="Times New Roman"/>
                <w:color w:val="000000" w:themeColor="text1"/>
                <w:sz w:val="22"/>
              </w:rPr>
              <w:t>Rs. 150,001 – Rs. 300,000</w:t>
            </w:r>
          </w:p>
        </w:tc>
        <w:tc>
          <w:tcPr>
            <w:tcW w:w="2160" w:type="dxa"/>
          </w:tcPr>
          <w:p w14:paraId="385631CB"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103</w:t>
            </w:r>
          </w:p>
        </w:tc>
        <w:tc>
          <w:tcPr>
            <w:tcW w:w="2160" w:type="dxa"/>
          </w:tcPr>
          <w:p w14:paraId="5DC0FE5A"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40.87</w:t>
            </w:r>
          </w:p>
        </w:tc>
      </w:tr>
      <w:tr w:rsidR="00B87706" w:rsidRPr="007A504A" w14:paraId="6F5FE2F8" w14:textId="77777777" w:rsidTr="00AD72F1">
        <w:tc>
          <w:tcPr>
            <w:tcW w:w="2160" w:type="dxa"/>
          </w:tcPr>
          <w:p w14:paraId="7ACB342A" w14:textId="77777777" w:rsidR="00BD179B" w:rsidRPr="007A504A" w:rsidRDefault="00BD179B">
            <w:pPr>
              <w:rPr>
                <w:rFonts w:cs="Times New Roman"/>
                <w:color w:val="000000" w:themeColor="text1"/>
                <w:sz w:val="22"/>
              </w:rPr>
            </w:pPr>
          </w:p>
        </w:tc>
        <w:tc>
          <w:tcPr>
            <w:tcW w:w="2160" w:type="dxa"/>
          </w:tcPr>
          <w:p w14:paraId="609D31C8" w14:textId="77777777" w:rsidR="00BD179B" w:rsidRPr="007A504A" w:rsidRDefault="00000000">
            <w:pPr>
              <w:rPr>
                <w:rFonts w:cs="Times New Roman"/>
                <w:color w:val="000000" w:themeColor="text1"/>
                <w:sz w:val="22"/>
              </w:rPr>
            </w:pPr>
            <w:r w:rsidRPr="007A504A">
              <w:rPr>
                <w:rFonts w:cs="Times New Roman"/>
                <w:color w:val="000000" w:themeColor="text1"/>
                <w:sz w:val="22"/>
              </w:rPr>
              <w:t>Above Rs. 300,000</w:t>
            </w:r>
          </w:p>
        </w:tc>
        <w:tc>
          <w:tcPr>
            <w:tcW w:w="2160" w:type="dxa"/>
          </w:tcPr>
          <w:p w14:paraId="098BAFAF"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41</w:t>
            </w:r>
          </w:p>
        </w:tc>
        <w:tc>
          <w:tcPr>
            <w:tcW w:w="2160" w:type="dxa"/>
          </w:tcPr>
          <w:p w14:paraId="4EDF80E0"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16.27</w:t>
            </w:r>
          </w:p>
        </w:tc>
      </w:tr>
      <w:tr w:rsidR="00B87706" w:rsidRPr="007A504A" w14:paraId="24565B4B" w14:textId="77777777" w:rsidTr="00AD72F1">
        <w:tc>
          <w:tcPr>
            <w:tcW w:w="2160" w:type="dxa"/>
          </w:tcPr>
          <w:p w14:paraId="4C933CE1" w14:textId="77777777" w:rsidR="00BD179B" w:rsidRPr="007A504A" w:rsidRDefault="00000000">
            <w:pPr>
              <w:rPr>
                <w:rFonts w:cs="Times New Roman"/>
                <w:color w:val="000000" w:themeColor="text1"/>
                <w:sz w:val="22"/>
              </w:rPr>
            </w:pPr>
            <w:r w:rsidRPr="007A504A">
              <w:rPr>
                <w:rFonts w:cs="Times New Roman"/>
                <w:color w:val="000000" w:themeColor="text1"/>
                <w:sz w:val="22"/>
              </w:rPr>
              <w:t>Household Size</w:t>
            </w:r>
          </w:p>
        </w:tc>
        <w:tc>
          <w:tcPr>
            <w:tcW w:w="2160" w:type="dxa"/>
          </w:tcPr>
          <w:p w14:paraId="47935616" w14:textId="77777777" w:rsidR="00BD179B" w:rsidRPr="007A504A" w:rsidRDefault="00000000">
            <w:pPr>
              <w:rPr>
                <w:rFonts w:cs="Times New Roman"/>
                <w:color w:val="000000" w:themeColor="text1"/>
                <w:sz w:val="22"/>
              </w:rPr>
            </w:pPr>
            <w:r w:rsidRPr="007A504A">
              <w:rPr>
                <w:rFonts w:cs="Times New Roman"/>
                <w:color w:val="000000" w:themeColor="text1"/>
                <w:sz w:val="22"/>
              </w:rPr>
              <w:t>1–3 members</w:t>
            </w:r>
          </w:p>
        </w:tc>
        <w:tc>
          <w:tcPr>
            <w:tcW w:w="2160" w:type="dxa"/>
          </w:tcPr>
          <w:p w14:paraId="7A5A555E"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86</w:t>
            </w:r>
          </w:p>
        </w:tc>
        <w:tc>
          <w:tcPr>
            <w:tcW w:w="2160" w:type="dxa"/>
          </w:tcPr>
          <w:p w14:paraId="7689ED02"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34.13</w:t>
            </w:r>
          </w:p>
        </w:tc>
      </w:tr>
      <w:tr w:rsidR="00B87706" w:rsidRPr="007A504A" w14:paraId="07DED500" w14:textId="77777777" w:rsidTr="00AD72F1">
        <w:tc>
          <w:tcPr>
            <w:tcW w:w="2160" w:type="dxa"/>
          </w:tcPr>
          <w:p w14:paraId="1FF8FF93" w14:textId="77777777" w:rsidR="00BD179B" w:rsidRPr="007A504A" w:rsidRDefault="00BD179B">
            <w:pPr>
              <w:rPr>
                <w:rFonts w:cs="Times New Roman"/>
                <w:color w:val="000000" w:themeColor="text1"/>
                <w:sz w:val="22"/>
              </w:rPr>
            </w:pPr>
          </w:p>
        </w:tc>
        <w:tc>
          <w:tcPr>
            <w:tcW w:w="2160" w:type="dxa"/>
          </w:tcPr>
          <w:p w14:paraId="2E716E24" w14:textId="77777777" w:rsidR="00BD179B" w:rsidRPr="007A504A" w:rsidRDefault="00000000">
            <w:pPr>
              <w:rPr>
                <w:rFonts w:cs="Times New Roman"/>
                <w:color w:val="000000" w:themeColor="text1"/>
                <w:sz w:val="22"/>
              </w:rPr>
            </w:pPr>
            <w:r w:rsidRPr="007A504A">
              <w:rPr>
                <w:rFonts w:cs="Times New Roman"/>
                <w:color w:val="000000" w:themeColor="text1"/>
                <w:sz w:val="22"/>
              </w:rPr>
              <w:t>4–5 members</w:t>
            </w:r>
          </w:p>
        </w:tc>
        <w:tc>
          <w:tcPr>
            <w:tcW w:w="2160" w:type="dxa"/>
          </w:tcPr>
          <w:p w14:paraId="509B1659"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150</w:t>
            </w:r>
          </w:p>
        </w:tc>
        <w:tc>
          <w:tcPr>
            <w:tcW w:w="2160" w:type="dxa"/>
          </w:tcPr>
          <w:p w14:paraId="68B521CE"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59.52</w:t>
            </w:r>
          </w:p>
        </w:tc>
      </w:tr>
      <w:tr w:rsidR="00B87706" w:rsidRPr="007A504A" w14:paraId="538A30CC" w14:textId="77777777" w:rsidTr="00AD72F1">
        <w:tc>
          <w:tcPr>
            <w:tcW w:w="2160" w:type="dxa"/>
          </w:tcPr>
          <w:p w14:paraId="0A9E0977" w14:textId="77777777" w:rsidR="00BD179B" w:rsidRPr="007A504A" w:rsidRDefault="00BD179B">
            <w:pPr>
              <w:rPr>
                <w:rFonts w:cs="Times New Roman"/>
                <w:color w:val="000000" w:themeColor="text1"/>
                <w:sz w:val="22"/>
              </w:rPr>
            </w:pPr>
          </w:p>
        </w:tc>
        <w:tc>
          <w:tcPr>
            <w:tcW w:w="2160" w:type="dxa"/>
          </w:tcPr>
          <w:p w14:paraId="6BDDD100" w14:textId="77777777" w:rsidR="00BD179B" w:rsidRPr="007A504A" w:rsidRDefault="00000000">
            <w:pPr>
              <w:rPr>
                <w:rFonts w:cs="Times New Roman"/>
                <w:color w:val="000000" w:themeColor="text1"/>
                <w:sz w:val="22"/>
              </w:rPr>
            </w:pPr>
            <w:r w:rsidRPr="007A504A">
              <w:rPr>
                <w:rFonts w:cs="Times New Roman"/>
                <w:color w:val="000000" w:themeColor="text1"/>
                <w:sz w:val="22"/>
              </w:rPr>
              <w:t>More than 5 members</w:t>
            </w:r>
          </w:p>
        </w:tc>
        <w:tc>
          <w:tcPr>
            <w:tcW w:w="2160" w:type="dxa"/>
          </w:tcPr>
          <w:p w14:paraId="37A7E4BC"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16</w:t>
            </w:r>
          </w:p>
        </w:tc>
        <w:tc>
          <w:tcPr>
            <w:tcW w:w="2160" w:type="dxa"/>
          </w:tcPr>
          <w:p w14:paraId="3EFEE454"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6.35</w:t>
            </w:r>
          </w:p>
        </w:tc>
      </w:tr>
    </w:tbl>
    <w:p w14:paraId="5AF671DC" w14:textId="1E17BBA7" w:rsidR="00BD179B" w:rsidRPr="007A504A" w:rsidRDefault="00000000" w:rsidP="00AD72F1">
      <w:pPr>
        <w:spacing w:before="80" w:after="80"/>
        <w:rPr>
          <w:rFonts w:cs="Times New Roman"/>
          <w:color w:val="000000" w:themeColor="text1"/>
        </w:rPr>
      </w:pPr>
      <w:r w:rsidRPr="007A504A">
        <w:rPr>
          <w:rFonts w:cs="Times New Roman"/>
          <w:color w:val="000000" w:themeColor="text1"/>
          <w:sz w:val="22"/>
        </w:rPr>
        <w:t>Source: Survey data, 2026</w:t>
      </w:r>
    </w:p>
    <w:p w14:paraId="3B7AE475"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 xml:space="preserve">The socio-economic profile of respondents indicates that the sample captures a mixed urban and semi-urban population within Colombo District. </w:t>
      </w:r>
      <w:proofErr w:type="gramStart"/>
      <w:r w:rsidRPr="007A504A">
        <w:rPr>
          <w:rFonts w:cs="Times New Roman"/>
          <w:color w:val="000000" w:themeColor="text1"/>
          <w:sz w:val="22"/>
        </w:rPr>
        <w:t>A majority of</w:t>
      </w:r>
      <w:proofErr w:type="gramEnd"/>
      <w:r w:rsidRPr="007A504A">
        <w:rPr>
          <w:rFonts w:cs="Times New Roman"/>
          <w:color w:val="000000" w:themeColor="text1"/>
          <w:sz w:val="22"/>
        </w:rPr>
        <w:t xml:space="preserve"> households reside in Pradeshiya Sabha areas (57.54%), followed by Urban Councils (26.59%) and Municipal Councils (15.87%). Male-headed households account for 85.32% of the sample, reflecting prevailing gender patterns in property ownership and household leadership structures in Sri Lanka (Keerthika, 2025).</w:t>
      </w:r>
    </w:p>
    <w:p w14:paraId="7F27DAAB" w14:textId="0F86B3F0"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 xml:space="preserve">The age distribution is concentrated in the economically active segment, with 55.56% of respondents between 40–60 years and 32.14% above 60 years. Educational attainment is varied: 20.24% completed up to O/L, 52.78% completed A/L, and approximately 27% possess tertiary qualifications. Income distribution is predominantly middle-income, with 63.89% earning between </w:t>
      </w:r>
      <w:r w:rsidRPr="007A504A">
        <w:rPr>
          <w:rFonts w:cs="Times New Roman"/>
          <w:color w:val="000000" w:themeColor="text1"/>
          <w:sz w:val="22"/>
        </w:rPr>
        <w:lastRenderedPageBreak/>
        <w:t>Rs. 100,000–Rs. 300,000 per month; 16.27% earn above Rs. 300,000. Household size is dominated by 4–5 member families (59.52%).</w:t>
      </w:r>
    </w:p>
    <w:p w14:paraId="36FCBCE5" w14:textId="77777777" w:rsidR="00BD179B" w:rsidRPr="007A504A" w:rsidRDefault="00000000" w:rsidP="00420BE5">
      <w:pPr>
        <w:spacing w:after="0"/>
        <w:rPr>
          <w:rFonts w:cs="Times New Roman"/>
          <w:color w:val="000000" w:themeColor="text1"/>
        </w:rPr>
      </w:pPr>
      <w:r w:rsidRPr="007A504A">
        <w:rPr>
          <w:rFonts w:cs="Times New Roman"/>
          <w:b/>
          <w:color w:val="000000" w:themeColor="text1"/>
        </w:rPr>
        <w:t>Table 3. Land Characteristics of the Sample</w:t>
      </w:r>
    </w:p>
    <w:tbl>
      <w:tblPr>
        <w:tblStyle w:val="TableGrid"/>
        <w:tblW w:w="0" w:type="auto"/>
        <w:tblLook w:val="04A0" w:firstRow="1" w:lastRow="0" w:firstColumn="1" w:lastColumn="0" w:noHBand="0" w:noVBand="1"/>
      </w:tblPr>
      <w:tblGrid>
        <w:gridCol w:w="2156"/>
        <w:gridCol w:w="2158"/>
        <w:gridCol w:w="2158"/>
        <w:gridCol w:w="2158"/>
      </w:tblGrid>
      <w:tr w:rsidR="00B87706" w:rsidRPr="007A504A" w14:paraId="1BABCF0D" w14:textId="77777777" w:rsidTr="00AD72F1">
        <w:tc>
          <w:tcPr>
            <w:tcW w:w="2160" w:type="dxa"/>
          </w:tcPr>
          <w:p w14:paraId="18E770E4" w14:textId="77777777" w:rsidR="00BD179B" w:rsidRPr="007A504A" w:rsidRDefault="00000000">
            <w:pPr>
              <w:jc w:val="center"/>
              <w:rPr>
                <w:rFonts w:cs="Times New Roman"/>
                <w:color w:val="000000" w:themeColor="text1"/>
                <w:sz w:val="22"/>
              </w:rPr>
            </w:pPr>
            <w:r w:rsidRPr="007A504A">
              <w:rPr>
                <w:rFonts w:cs="Times New Roman"/>
                <w:b/>
                <w:color w:val="000000" w:themeColor="text1"/>
                <w:sz w:val="22"/>
              </w:rPr>
              <w:t>Variable</w:t>
            </w:r>
          </w:p>
        </w:tc>
        <w:tc>
          <w:tcPr>
            <w:tcW w:w="2160" w:type="dxa"/>
          </w:tcPr>
          <w:p w14:paraId="01E28A30" w14:textId="77777777" w:rsidR="00BD179B" w:rsidRPr="007A504A" w:rsidRDefault="00000000">
            <w:pPr>
              <w:jc w:val="center"/>
              <w:rPr>
                <w:rFonts w:cs="Times New Roman"/>
                <w:color w:val="000000" w:themeColor="text1"/>
                <w:sz w:val="22"/>
              </w:rPr>
            </w:pPr>
            <w:r w:rsidRPr="007A504A">
              <w:rPr>
                <w:rFonts w:cs="Times New Roman"/>
                <w:b/>
                <w:color w:val="000000" w:themeColor="text1"/>
                <w:sz w:val="22"/>
              </w:rPr>
              <w:t>Category</w:t>
            </w:r>
          </w:p>
        </w:tc>
        <w:tc>
          <w:tcPr>
            <w:tcW w:w="2160" w:type="dxa"/>
          </w:tcPr>
          <w:p w14:paraId="6ADBFF1E" w14:textId="77777777" w:rsidR="00BD179B" w:rsidRPr="007A504A" w:rsidRDefault="00000000">
            <w:pPr>
              <w:jc w:val="center"/>
              <w:rPr>
                <w:rFonts w:cs="Times New Roman"/>
                <w:color w:val="000000" w:themeColor="text1"/>
                <w:sz w:val="22"/>
              </w:rPr>
            </w:pPr>
            <w:r w:rsidRPr="007A504A">
              <w:rPr>
                <w:rFonts w:cs="Times New Roman"/>
                <w:b/>
                <w:color w:val="000000" w:themeColor="text1"/>
                <w:sz w:val="22"/>
              </w:rPr>
              <w:t>Frequency</w:t>
            </w:r>
          </w:p>
        </w:tc>
        <w:tc>
          <w:tcPr>
            <w:tcW w:w="2160" w:type="dxa"/>
          </w:tcPr>
          <w:p w14:paraId="14D71E23" w14:textId="77777777" w:rsidR="00BD179B" w:rsidRPr="007A504A" w:rsidRDefault="00000000">
            <w:pPr>
              <w:jc w:val="center"/>
              <w:rPr>
                <w:rFonts w:cs="Times New Roman"/>
                <w:color w:val="000000" w:themeColor="text1"/>
                <w:sz w:val="22"/>
              </w:rPr>
            </w:pPr>
            <w:r w:rsidRPr="007A504A">
              <w:rPr>
                <w:rFonts w:cs="Times New Roman"/>
                <w:b/>
                <w:color w:val="000000" w:themeColor="text1"/>
                <w:sz w:val="22"/>
              </w:rPr>
              <w:t>Percentage (%)</w:t>
            </w:r>
          </w:p>
        </w:tc>
      </w:tr>
      <w:tr w:rsidR="00B87706" w:rsidRPr="007A504A" w14:paraId="0FC933C9" w14:textId="77777777" w:rsidTr="00AD72F1">
        <w:tc>
          <w:tcPr>
            <w:tcW w:w="2160" w:type="dxa"/>
          </w:tcPr>
          <w:p w14:paraId="2932F141" w14:textId="77777777" w:rsidR="00BD179B" w:rsidRPr="007A504A" w:rsidRDefault="00000000">
            <w:pPr>
              <w:rPr>
                <w:rFonts w:cs="Times New Roman"/>
                <w:color w:val="000000" w:themeColor="text1"/>
                <w:sz w:val="22"/>
              </w:rPr>
            </w:pPr>
            <w:r w:rsidRPr="007A504A">
              <w:rPr>
                <w:rFonts w:cs="Times New Roman"/>
                <w:color w:val="000000" w:themeColor="text1"/>
                <w:sz w:val="22"/>
              </w:rPr>
              <w:t>Land Tenure Type</w:t>
            </w:r>
          </w:p>
        </w:tc>
        <w:tc>
          <w:tcPr>
            <w:tcW w:w="2160" w:type="dxa"/>
          </w:tcPr>
          <w:p w14:paraId="225E01B0" w14:textId="77777777" w:rsidR="00BD179B" w:rsidRPr="007A504A" w:rsidRDefault="00000000">
            <w:pPr>
              <w:rPr>
                <w:rFonts w:cs="Times New Roman"/>
                <w:color w:val="000000" w:themeColor="text1"/>
                <w:sz w:val="22"/>
              </w:rPr>
            </w:pPr>
            <w:r w:rsidRPr="007A504A">
              <w:rPr>
                <w:rFonts w:cs="Times New Roman"/>
                <w:color w:val="000000" w:themeColor="text1"/>
                <w:sz w:val="22"/>
              </w:rPr>
              <w:t>Freehold (Deed)</w:t>
            </w:r>
          </w:p>
        </w:tc>
        <w:tc>
          <w:tcPr>
            <w:tcW w:w="2160" w:type="dxa"/>
          </w:tcPr>
          <w:p w14:paraId="0B7383D3"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109</w:t>
            </w:r>
          </w:p>
        </w:tc>
        <w:tc>
          <w:tcPr>
            <w:tcW w:w="2160" w:type="dxa"/>
          </w:tcPr>
          <w:p w14:paraId="6994E2AF"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43.25</w:t>
            </w:r>
          </w:p>
        </w:tc>
      </w:tr>
      <w:tr w:rsidR="00B87706" w:rsidRPr="007A504A" w14:paraId="09F50F30" w14:textId="77777777" w:rsidTr="00AD72F1">
        <w:tc>
          <w:tcPr>
            <w:tcW w:w="2160" w:type="dxa"/>
          </w:tcPr>
          <w:p w14:paraId="34D46230" w14:textId="77777777" w:rsidR="00BD179B" w:rsidRPr="007A504A" w:rsidRDefault="00BD179B">
            <w:pPr>
              <w:rPr>
                <w:rFonts w:cs="Times New Roman"/>
                <w:color w:val="000000" w:themeColor="text1"/>
                <w:sz w:val="22"/>
              </w:rPr>
            </w:pPr>
          </w:p>
        </w:tc>
        <w:tc>
          <w:tcPr>
            <w:tcW w:w="2160" w:type="dxa"/>
          </w:tcPr>
          <w:p w14:paraId="52C79FCE" w14:textId="77777777" w:rsidR="00BD179B" w:rsidRPr="007A504A" w:rsidRDefault="00000000">
            <w:pPr>
              <w:rPr>
                <w:rFonts w:cs="Times New Roman"/>
                <w:color w:val="000000" w:themeColor="text1"/>
                <w:sz w:val="22"/>
              </w:rPr>
            </w:pPr>
            <w:r w:rsidRPr="007A504A">
              <w:rPr>
                <w:rFonts w:cs="Times New Roman"/>
                <w:color w:val="000000" w:themeColor="text1"/>
                <w:sz w:val="22"/>
              </w:rPr>
              <w:t>Title (1st/2nd Class)</w:t>
            </w:r>
          </w:p>
        </w:tc>
        <w:tc>
          <w:tcPr>
            <w:tcW w:w="2160" w:type="dxa"/>
          </w:tcPr>
          <w:p w14:paraId="4F4A8FE8"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110</w:t>
            </w:r>
          </w:p>
        </w:tc>
        <w:tc>
          <w:tcPr>
            <w:tcW w:w="2160" w:type="dxa"/>
          </w:tcPr>
          <w:p w14:paraId="7A7F8A99"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43.65</w:t>
            </w:r>
          </w:p>
        </w:tc>
      </w:tr>
      <w:tr w:rsidR="00B87706" w:rsidRPr="007A504A" w14:paraId="13DFEE35" w14:textId="77777777" w:rsidTr="00AD72F1">
        <w:tc>
          <w:tcPr>
            <w:tcW w:w="2160" w:type="dxa"/>
          </w:tcPr>
          <w:p w14:paraId="195464CE" w14:textId="77777777" w:rsidR="00BD179B" w:rsidRPr="007A504A" w:rsidRDefault="00BD179B">
            <w:pPr>
              <w:rPr>
                <w:rFonts w:cs="Times New Roman"/>
                <w:color w:val="000000" w:themeColor="text1"/>
                <w:sz w:val="22"/>
              </w:rPr>
            </w:pPr>
          </w:p>
        </w:tc>
        <w:tc>
          <w:tcPr>
            <w:tcW w:w="2160" w:type="dxa"/>
          </w:tcPr>
          <w:p w14:paraId="55ABE76F" w14:textId="77777777" w:rsidR="00BD179B" w:rsidRPr="007A504A" w:rsidRDefault="00000000">
            <w:pPr>
              <w:rPr>
                <w:rFonts w:cs="Times New Roman"/>
                <w:color w:val="000000" w:themeColor="text1"/>
                <w:sz w:val="22"/>
              </w:rPr>
            </w:pPr>
            <w:r w:rsidRPr="007A504A">
              <w:rPr>
                <w:rFonts w:cs="Times New Roman"/>
                <w:color w:val="000000" w:themeColor="text1"/>
                <w:sz w:val="22"/>
              </w:rPr>
              <w:t>Other (State Permit &amp; Leasehold)</w:t>
            </w:r>
          </w:p>
        </w:tc>
        <w:tc>
          <w:tcPr>
            <w:tcW w:w="2160" w:type="dxa"/>
          </w:tcPr>
          <w:p w14:paraId="3EDA7ACB"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33</w:t>
            </w:r>
          </w:p>
        </w:tc>
        <w:tc>
          <w:tcPr>
            <w:tcW w:w="2160" w:type="dxa"/>
          </w:tcPr>
          <w:p w14:paraId="5EA5A60B"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13.10</w:t>
            </w:r>
          </w:p>
        </w:tc>
      </w:tr>
      <w:tr w:rsidR="00B87706" w:rsidRPr="007A504A" w14:paraId="08BBAAB6" w14:textId="77777777" w:rsidTr="00AD72F1">
        <w:tc>
          <w:tcPr>
            <w:tcW w:w="2160" w:type="dxa"/>
          </w:tcPr>
          <w:p w14:paraId="10C2248C" w14:textId="77777777" w:rsidR="00BD179B" w:rsidRPr="007A504A" w:rsidRDefault="00000000">
            <w:pPr>
              <w:rPr>
                <w:rFonts w:cs="Times New Roman"/>
                <w:color w:val="000000" w:themeColor="text1"/>
                <w:sz w:val="22"/>
              </w:rPr>
            </w:pPr>
            <w:r w:rsidRPr="007A504A">
              <w:rPr>
                <w:rFonts w:cs="Times New Roman"/>
                <w:color w:val="000000" w:themeColor="text1"/>
                <w:sz w:val="22"/>
              </w:rPr>
              <w:t>Plot Size</w:t>
            </w:r>
          </w:p>
        </w:tc>
        <w:tc>
          <w:tcPr>
            <w:tcW w:w="2160" w:type="dxa"/>
          </w:tcPr>
          <w:p w14:paraId="0300D8AB" w14:textId="77777777" w:rsidR="00BD179B" w:rsidRPr="007A504A" w:rsidRDefault="00000000">
            <w:pPr>
              <w:rPr>
                <w:rFonts w:cs="Times New Roman"/>
                <w:color w:val="000000" w:themeColor="text1"/>
                <w:sz w:val="22"/>
              </w:rPr>
            </w:pPr>
            <w:r w:rsidRPr="007A504A">
              <w:rPr>
                <w:rFonts w:cs="Times New Roman"/>
                <w:color w:val="000000" w:themeColor="text1"/>
                <w:sz w:val="22"/>
              </w:rPr>
              <w:t>Small (&lt; 14 perches)</w:t>
            </w:r>
          </w:p>
        </w:tc>
        <w:tc>
          <w:tcPr>
            <w:tcW w:w="2160" w:type="dxa"/>
          </w:tcPr>
          <w:p w14:paraId="5284C860"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114</w:t>
            </w:r>
          </w:p>
        </w:tc>
        <w:tc>
          <w:tcPr>
            <w:tcW w:w="2160" w:type="dxa"/>
          </w:tcPr>
          <w:p w14:paraId="4B07E3D1"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45.24</w:t>
            </w:r>
          </w:p>
        </w:tc>
      </w:tr>
      <w:tr w:rsidR="00B87706" w:rsidRPr="007A504A" w14:paraId="1E29488B" w14:textId="77777777" w:rsidTr="00AD72F1">
        <w:tc>
          <w:tcPr>
            <w:tcW w:w="2160" w:type="dxa"/>
          </w:tcPr>
          <w:p w14:paraId="2290BD2B" w14:textId="77777777" w:rsidR="00BD179B" w:rsidRPr="007A504A" w:rsidRDefault="00BD179B">
            <w:pPr>
              <w:rPr>
                <w:rFonts w:cs="Times New Roman"/>
                <w:color w:val="000000" w:themeColor="text1"/>
                <w:sz w:val="22"/>
              </w:rPr>
            </w:pPr>
          </w:p>
        </w:tc>
        <w:tc>
          <w:tcPr>
            <w:tcW w:w="2160" w:type="dxa"/>
          </w:tcPr>
          <w:p w14:paraId="25B5E52D" w14:textId="77777777" w:rsidR="00BD179B" w:rsidRPr="007A504A" w:rsidRDefault="00000000">
            <w:pPr>
              <w:rPr>
                <w:rFonts w:cs="Times New Roman"/>
                <w:color w:val="000000" w:themeColor="text1"/>
                <w:sz w:val="22"/>
              </w:rPr>
            </w:pPr>
            <w:r w:rsidRPr="007A504A">
              <w:rPr>
                <w:rFonts w:cs="Times New Roman"/>
                <w:color w:val="000000" w:themeColor="text1"/>
                <w:sz w:val="22"/>
              </w:rPr>
              <w:t>Medium (14–30 perches)</w:t>
            </w:r>
          </w:p>
        </w:tc>
        <w:tc>
          <w:tcPr>
            <w:tcW w:w="2160" w:type="dxa"/>
          </w:tcPr>
          <w:p w14:paraId="4E25BEEC"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102</w:t>
            </w:r>
          </w:p>
        </w:tc>
        <w:tc>
          <w:tcPr>
            <w:tcW w:w="2160" w:type="dxa"/>
          </w:tcPr>
          <w:p w14:paraId="191A39D4"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40.48</w:t>
            </w:r>
          </w:p>
        </w:tc>
      </w:tr>
      <w:tr w:rsidR="00B87706" w:rsidRPr="007A504A" w14:paraId="08BBF3E2" w14:textId="77777777" w:rsidTr="00AD72F1">
        <w:tc>
          <w:tcPr>
            <w:tcW w:w="2160" w:type="dxa"/>
          </w:tcPr>
          <w:p w14:paraId="30D0BDC3" w14:textId="77777777" w:rsidR="00BD179B" w:rsidRPr="007A504A" w:rsidRDefault="00BD179B">
            <w:pPr>
              <w:rPr>
                <w:rFonts w:cs="Times New Roman"/>
                <w:color w:val="000000" w:themeColor="text1"/>
                <w:sz w:val="22"/>
              </w:rPr>
            </w:pPr>
          </w:p>
        </w:tc>
        <w:tc>
          <w:tcPr>
            <w:tcW w:w="2160" w:type="dxa"/>
          </w:tcPr>
          <w:p w14:paraId="530C9D55" w14:textId="77777777" w:rsidR="00BD179B" w:rsidRPr="007A504A" w:rsidRDefault="00000000">
            <w:pPr>
              <w:rPr>
                <w:rFonts w:cs="Times New Roman"/>
                <w:color w:val="000000" w:themeColor="text1"/>
                <w:sz w:val="22"/>
              </w:rPr>
            </w:pPr>
            <w:r w:rsidRPr="007A504A">
              <w:rPr>
                <w:rFonts w:cs="Times New Roman"/>
                <w:color w:val="000000" w:themeColor="text1"/>
                <w:sz w:val="22"/>
              </w:rPr>
              <w:t>Large (&gt; 30 perches)</w:t>
            </w:r>
          </w:p>
        </w:tc>
        <w:tc>
          <w:tcPr>
            <w:tcW w:w="2160" w:type="dxa"/>
          </w:tcPr>
          <w:p w14:paraId="25FCA843"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36</w:t>
            </w:r>
          </w:p>
        </w:tc>
        <w:tc>
          <w:tcPr>
            <w:tcW w:w="2160" w:type="dxa"/>
          </w:tcPr>
          <w:p w14:paraId="68CFD8C5"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14.29</w:t>
            </w:r>
          </w:p>
        </w:tc>
      </w:tr>
      <w:tr w:rsidR="00B87706" w:rsidRPr="007A504A" w14:paraId="2DEE10BC" w14:textId="77777777" w:rsidTr="00AD72F1">
        <w:tc>
          <w:tcPr>
            <w:tcW w:w="2160" w:type="dxa"/>
          </w:tcPr>
          <w:p w14:paraId="2D87D150" w14:textId="77777777" w:rsidR="00BD179B" w:rsidRPr="007A504A" w:rsidRDefault="00000000">
            <w:pPr>
              <w:rPr>
                <w:rFonts w:cs="Times New Roman"/>
                <w:color w:val="000000" w:themeColor="text1"/>
                <w:sz w:val="22"/>
              </w:rPr>
            </w:pPr>
            <w:r w:rsidRPr="007A504A">
              <w:rPr>
                <w:rFonts w:cs="Times New Roman"/>
                <w:color w:val="000000" w:themeColor="text1"/>
                <w:sz w:val="22"/>
              </w:rPr>
              <w:t>Land Value</w:t>
            </w:r>
          </w:p>
        </w:tc>
        <w:tc>
          <w:tcPr>
            <w:tcW w:w="2160" w:type="dxa"/>
          </w:tcPr>
          <w:p w14:paraId="4E75A3FB" w14:textId="77777777" w:rsidR="00BD179B" w:rsidRPr="007A504A" w:rsidRDefault="00000000">
            <w:pPr>
              <w:rPr>
                <w:rFonts w:cs="Times New Roman"/>
                <w:color w:val="000000" w:themeColor="text1"/>
                <w:sz w:val="22"/>
              </w:rPr>
            </w:pPr>
            <w:r w:rsidRPr="007A504A">
              <w:rPr>
                <w:rFonts w:cs="Times New Roman"/>
                <w:color w:val="000000" w:themeColor="text1"/>
                <w:sz w:val="22"/>
              </w:rPr>
              <w:t>Low (&lt; Rs. 750,000)</w:t>
            </w:r>
          </w:p>
        </w:tc>
        <w:tc>
          <w:tcPr>
            <w:tcW w:w="2160" w:type="dxa"/>
          </w:tcPr>
          <w:p w14:paraId="1220BDB0"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130</w:t>
            </w:r>
          </w:p>
        </w:tc>
        <w:tc>
          <w:tcPr>
            <w:tcW w:w="2160" w:type="dxa"/>
          </w:tcPr>
          <w:p w14:paraId="0D19B2D3"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51.59</w:t>
            </w:r>
          </w:p>
        </w:tc>
      </w:tr>
      <w:tr w:rsidR="00B87706" w:rsidRPr="007A504A" w14:paraId="2D1E7AD4" w14:textId="77777777" w:rsidTr="00AD72F1">
        <w:tc>
          <w:tcPr>
            <w:tcW w:w="2160" w:type="dxa"/>
          </w:tcPr>
          <w:p w14:paraId="2104CC19" w14:textId="77777777" w:rsidR="00BD179B" w:rsidRPr="007A504A" w:rsidRDefault="00BD179B">
            <w:pPr>
              <w:rPr>
                <w:rFonts w:cs="Times New Roman"/>
                <w:color w:val="000000" w:themeColor="text1"/>
                <w:sz w:val="22"/>
              </w:rPr>
            </w:pPr>
          </w:p>
        </w:tc>
        <w:tc>
          <w:tcPr>
            <w:tcW w:w="2160" w:type="dxa"/>
          </w:tcPr>
          <w:p w14:paraId="50169FB7" w14:textId="77777777" w:rsidR="00BD179B" w:rsidRPr="007A504A" w:rsidRDefault="00000000">
            <w:pPr>
              <w:rPr>
                <w:rFonts w:cs="Times New Roman"/>
                <w:color w:val="000000" w:themeColor="text1"/>
                <w:sz w:val="22"/>
              </w:rPr>
            </w:pPr>
            <w:r w:rsidRPr="007A504A">
              <w:rPr>
                <w:rFonts w:cs="Times New Roman"/>
                <w:color w:val="000000" w:themeColor="text1"/>
                <w:sz w:val="22"/>
              </w:rPr>
              <w:t>Medium (Rs. 750,001–Rs. 2,000,000)</w:t>
            </w:r>
          </w:p>
        </w:tc>
        <w:tc>
          <w:tcPr>
            <w:tcW w:w="2160" w:type="dxa"/>
          </w:tcPr>
          <w:p w14:paraId="0EFA1802"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96</w:t>
            </w:r>
          </w:p>
        </w:tc>
        <w:tc>
          <w:tcPr>
            <w:tcW w:w="2160" w:type="dxa"/>
          </w:tcPr>
          <w:p w14:paraId="2B77C71D"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38.10</w:t>
            </w:r>
          </w:p>
        </w:tc>
      </w:tr>
      <w:tr w:rsidR="00B87706" w:rsidRPr="007A504A" w14:paraId="0053A424" w14:textId="77777777" w:rsidTr="00AD72F1">
        <w:tc>
          <w:tcPr>
            <w:tcW w:w="2160" w:type="dxa"/>
          </w:tcPr>
          <w:p w14:paraId="055AE1F3" w14:textId="77777777" w:rsidR="00BD179B" w:rsidRPr="007A504A" w:rsidRDefault="00BD179B">
            <w:pPr>
              <w:rPr>
                <w:rFonts w:cs="Times New Roman"/>
                <w:color w:val="000000" w:themeColor="text1"/>
                <w:sz w:val="22"/>
              </w:rPr>
            </w:pPr>
          </w:p>
        </w:tc>
        <w:tc>
          <w:tcPr>
            <w:tcW w:w="2160" w:type="dxa"/>
          </w:tcPr>
          <w:p w14:paraId="0A9ACCF8" w14:textId="77777777" w:rsidR="00BD179B" w:rsidRPr="007A504A" w:rsidRDefault="00000000">
            <w:pPr>
              <w:rPr>
                <w:rFonts w:cs="Times New Roman"/>
                <w:color w:val="000000" w:themeColor="text1"/>
                <w:sz w:val="22"/>
              </w:rPr>
            </w:pPr>
            <w:r w:rsidRPr="007A504A">
              <w:rPr>
                <w:rFonts w:cs="Times New Roman"/>
                <w:color w:val="000000" w:themeColor="text1"/>
                <w:sz w:val="22"/>
              </w:rPr>
              <w:t>High (&gt; Rs. 2,000,000)</w:t>
            </w:r>
          </w:p>
        </w:tc>
        <w:tc>
          <w:tcPr>
            <w:tcW w:w="2160" w:type="dxa"/>
          </w:tcPr>
          <w:p w14:paraId="6FB60794"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26</w:t>
            </w:r>
          </w:p>
        </w:tc>
        <w:tc>
          <w:tcPr>
            <w:tcW w:w="2160" w:type="dxa"/>
          </w:tcPr>
          <w:p w14:paraId="354DAF87"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10.32</w:t>
            </w:r>
          </w:p>
        </w:tc>
      </w:tr>
      <w:tr w:rsidR="00B87706" w:rsidRPr="007A504A" w14:paraId="289072A9" w14:textId="77777777" w:rsidTr="00AD72F1">
        <w:tc>
          <w:tcPr>
            <w:tcW w:w="2160" w:type="dxa"/>
          </w:tcPr>
          <w:p w14:paraId="23CCA13E" w14:textId="77777777" w:rsidR="00BD179B" w:rsidRPr="007A504A" w:rsidRDefault="00000000">
            <w:pPr>
              <w:rPr>
                <w:rFonts w:cs="Times New Roman"/>
                <w:color w:val="000000" w:themeColor="text1"/>
                <w:sz w:val="22"/>
              </w:rPr>
            </w:pPr>
            <w:r w:rsidRPr="007A504A">
              <w:rPr>
                <w:rFonts w:cs="Times New Roman"/>
                <w:color w:val="000000" w:themeColor="text1"/>
                <w:sz w:val="22"/>
              </w:rPr>
              <w:t>Land Use</w:t>
            </w:r>
          </w:p>
        </w:tc>
        <w:tc>
          <w:tcPr>
            <w:tcW w:w="2160" w:type="dxa"/>
          </w:tcPr>
          <w:p w14:paraId="7C5288C9" w14:textId="77777777" w:rsidR="00BD179B" w:rsidRPr="007A504A" w:rsidRDefault="00000000">
            <w:pPr>
              <w:rPr>
                <w:rFonts w:cs="Times New Roman"/>
                <w:color w:val="000000" w:themeColor="text1"/>
                <w:sz w:val="22"/>
              </w:rPr>
            </w:pPr>
            <w:r w:rsidRPr="007A504A">
              <w:rPr>
                <w:rFonts w:cs="Times New Roman"/>
                <w:color w:val="000000" w:themeColor="text1"/>
                <w:sz w:val="22"/>
              </w:rPr>
              <w:t>Residential</w:t>
            </w:r>
          </w:p>
        </w:tc>
        <w:tc>
          <w:tcPr>
            <w:tcW w:w="2160" w:type="dxa"/>
          </w:tcPr>
          <w:p w14:paraId="05567744"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210</w:t>
            </w:r>
          </w:p>
        </w:tc>
        <w:tc>
          <w:tcPr>
            <w:tcW w:w="2160" w:type="dxa"/>
          </w:tcPr>
          <w:p w14:paraId="612A2313"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83.33</w:t>
            </w:r>
          </w:p>
        </w:tc>
      </w:tr>
      <w:tr w:rsidR="00B87706" w:rsidRPr="007A504A" w14:paraId="3D627BC5" w14:textId="77777777" w:rsidTr="00AD72F1">
        <w:tc>
          <w:tcPr>
            <w:tcW w:w="2160" w:type="dxa"/>
          </w:tcPr>
          <w:p w14:paraId="488B804E" w14:textId="77777777" w:rsidR="00BD179B" w:rsidRPr="007A504A" w:rsidRDefault="00BD179B">
            <w:pPr>
              <w:rPr>
                <w:rFonts w:cs="Times New Roman"/>
                <w:color w:val="000000" w:themeColor="text1"/>
                <w:sz w:val="22"/>
              </w:rPr>
            </w:pPr>
          </w:p>
        </w:tc>
        <w:tc>
          <w:tcPr>
            <w:tcW w:w="2160" w:type="dxa"/>
          </w:tcPr>
          <w:p w14:paraId="2AC6120B" w14:textId="77777777" w:rsidR="00BD179B" w:rsidRPr="007A504A" w:rsidRDefault="00000000">
            <w:pPr>
              <w:rPr>
                <w:rFonts w:cs="Times New Roman"/>
                <w:color w:val="000000" w:themeColor="text1"/>
                <w:sz w:val="22"/>
              </w:rPr>
            </w:pPr>
            <w:r w:rsidRPr="007A504A">
              <w:rPr>
                <w:rFonts w:cs="Times New Roman"/>
                <w:color w:val="000000" w:themeColor="text1"/>
                <w:sz w:val="22"/>
              </w:rPr>
              <w:t>Commercial</w:t>
            </w:r>
          </w:p>
        </w:tc>
        <w:tc>
          <w:tcPr>
            <w:tcW w:w="2160" w:type="dxa"/>
          </w:tcPr>
          <w:p w14:paraId="0BAF0472"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6</w:t>
            </w:r>
          </w:p>
        </w:tc>
        <w:tc>
          <w:tcPr>
            <w:tcW w:w="2160" w:type="dxa"/>
          </w:tcPr>
          <w:p w14:paraId="544A31B9"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2.38</w:t>
            </w:r>
          </w:p>
        </w:tc>
      </w:tr>
      <w:tr w:rsidR="00B87706" w:rsidRPr="007A504A" w14:paraId="67F2233C" w14:textId="77777777" w:rsidTr="00AD72F1">
        <w:tc>
          <w:tcPr>
            <w:tcW w:w="2160" w:type="dxa"/>
          </w:tcPr>
          <w:p w14:paraId="06330E2F" w14:textId="77777777" w:rsidR="00BD179B" w:rsidRPr="007A504A" w:rsidRDefault="00BD179B">
            <w:pPr>
              <w:rPr>
                <w:rFonts w:cs="Times New Roman"/>
                <w:color w:val="000000" w:themeColor="text1"/>
                <w:sz w:val="22"/>
              </w:rPr>
            </w:pPr>
          </w:p>
        </w:tc>
        <w:tc>
          <w:tcPr>
            <w:tcW w:w="2160" w:type="dxa"/>
          </w:tcPr>
          <w:p w14:paraId="6FB3DDD7" w14:textId="77777777" w:rsidR="00BD179B" w:rsidRPr="007A504A" w:rsidRDefault="00000000">
            <w:pPr>
              <w:rPr>
                <w:rFonts w:cs="Times New Roman"/>
                <w:color w:val="000000" w:themeColor="text1"/>
                <w:sz w:val="22"/>
              </w:rPr>
            </w:pPr>
            <w:r w:rsidRPr="007A504A">
              <w:rPr>
                <w:rFonts w:cs="Times New Roman"/>
                <w:color w:val="000000" w:themeColor="text1"/>
                <w:sz w:val="22"/>
              </w:rPr>
              <w:t>Mixed Use</w:t>
            </w:r>
          </w:p>
        </w:tc>
        <w:tc>
          <w:tcPr>
            <w:tcW w:w="2160" w:type="dxa"/>
          </w:tcPr>
          <w:p w14:paraId="625266DB"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23</w:t>
            </w:r>
          </w:p>
        </w:tc>
        <w:tc>
          <w:tcPr>
            <w:tcW w:w="2160" w:type="dxa"/>
          </w:tcPr>
          <w:p w14:paraId="0E40D32D"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9.13</w:t>
            </w:r>
          </w:p>
        </w:tc>
      </w:tr>
      <w:tr w:rsidR="00B87706" w:rsidRPr="007A504A" w14:paraId="24A83857" w14:textId="77777777" w:rsidTr="00AD72F1">
        <w:tc>
          <w:tcPr>
            <w:tcW w:w="2160" w:type="dxa"/>
          </w:tcPr>
          <w:p w14:paraId="4F3EB659" w14:textId="77777777" w:rsidR="00BD179B" w:rsidRPr="007A504A" w:rsidRDefault="00BD179B">
            <w:pPr>
              <w:rPr>
                <w:rFonts w:cs="Times New Roman"/>
                <w:color w:val="000000" w:themeColor="text1"/>
                <w:sz w:val="22"/>
              </w:rPr>
            </w:pPr>
          </w:p>
        </w:tc>
        <w:tc>
          <w:tcPr>
            <w:tcW w:w="2160" w:type="dxa"/>
          </w:tcPr>
          <w:p w14:paraId="33E65058" w14:textId="77777777" w:rsidR="00BD179B" w:rsidRPr="007A504A" w:rsidRDefault="00000000">
            <w:pPr>
              <w:rPr>
                <w:rFonts w:cs="Times New Roman"/>
                <w:color w:val="000000" w:themeColor="text1"/>
                <w:sz w:val="22"/>
              </w:rPr>
            </w:pPr>
            <w:r w:rsidRPr="007A504A">
              <w:rPr>
                <w:rFonts w:cs="Times New Roman"/>
                <w:color w:val="000000" w:themeColor="text1"/>
                <w:sz w:val="22"/>
              </w:rPr>
              <w:t>Other</w:t>
            </w:r>
          </w:p>
        </w:tc>
        <w:tc>
          <w:tcPr>
            <w:tcW w:w="2160" w:type="dxa"/>
          </w:tcPr>
          <w:p w14:paraId="25A51BE8"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13</w:t>
            </w:r>
          </w:p>
        </w:tc>
        <w:tc>
          <w:tcPr>
            <w:tcW w:w="2160" w:type="dxa"/>
          </w:tcPr>
          <w:p w14:paraId="4A2C6840" w14:textId="77777777" w:rsidR="00BD179B" w:rsidRPr="007A504A" w:rsidRDefault="00000000">
            <w:pPr>
              <w:jc w:val="center"/>
              <w:rPr>
                <w:rFonts w:cs="Times New Roman"/>
                <w:color w:val="000000" w:themeColor="text1"/>
                <w:sz w:val="22"/>
              </w:rPr>
            </w:pPr>
            <w:r w:rsidRPr="007A504A">
              <w:rPr>
                <w:rFonts w:cs="Times New Roman"/>
                <w:color w:val="000000" w:themeColor="text1"/>
                <w:sz w:val="22"/>
              </w:rPr>
              <w:t>5.16</w:t>
            </w:r>
          </w:p>
        </w:tc>
      </w:tr>
    </w:tbl>
    <w:p w14:paraId="64863A52" w14:textId="77777777" w:rsidR="00BD179B" w:rsidRPr="007A504A" w:rsidRDefault="00000000">
      <w:pPr>
        <w:spacing w:before="80" w:after="80"/>
        <w:rPr>
          <w:rFonts w:cs="Times New Roman"/>
          <w:color w:val="000000" w:themeColor="text1"/>
        </w:rPr>
      </w:pPr>
      <w:r w:rsidRPr="007A504A">
        <w:rPr>
          <w:rFonts w:cs="Times New Roman"/>
          <w:color w:val="000000" w:themeColor="text1"/>
          <w:sz w:val="22"/>
        </w:rPr>
        <w:t>Source: Survey data, 2026</w:t>
      </w:r>
    </w:p>
    <w:p w14:paraId="0C783807" w14:textId="77777777" w:rsidR="00BD179B" w:rsidRPr="007A504A" w:rsidRDefault="00000000">
      <w:pPr>
        <w:spacing w:before="80" w:after="80"/>
        <w:rPr>
          <w:rFonts w:cs="Times New Roman"/>
          <w:color w:val="000000" w:themeColor="text1"/>
        </w:rPr>
      </w:pPr>
      <w:r w:rsidRPr="007A504A">
        <w:rPr>
          <w:rFonts w:cs="Times New Roman"/>
          <w:color w:val="000000" w:themeColor="text1"/>
          <w:sz w:val="22"/>
        </w:rPr>
        <w:t>Land characteristics show an almost even split between deed-based freehold (43.25%) and title-registered land (43.65%), with 13.10% under state permit or leasehold arrangements. More than 85% of plots are under 30 perches, and over half (51.59%) fall into the low-value category. Land use is overwhelmingly residential (83.33%).</w:t>
      </w:r>
    </w:p>
    <w:p w14:paraId="50BAC1C9" w14:textId="7851D1D9" w:rsidR="00BD179B" w:rsidRPr="007A504A" w:rsidRDefault="00000000" w:rsidP="00AD72F1">
      <w:pPr>
        <w:pStyle w:val="Heading2"/>
        <w:spacing w:after="80"/>
        <w:rPr>
          <w:rFonts w:ascii="Times New Roman" w:hAnsi="Times New Roman" w:cs="Times New Roman"/>
          <w:color w:val="000000" w:themeColor="text1"/>
        </w:rPr>
      </w:pPr>
      <w:r w:rsidRPr="007A504A">
        <w:rPr>
          <w:rFonts w:ascii="Times New Roman" w:hAnsi="Times New Roman" w:cs="Times New Roman"/>
          <w:color w:val="000000" w:themeColor="text1"/>
        </w:rPr>
        <w:t>4.2</w:t>
      </w:r>
      <w:r w:rsidR="00AD72F1" w:rsidRPr="007A504A">
        <w:rPr>
          <w:rFonts w:ascii="Times New Roman" w:hAnsi="Times New Roman" w:cs="Times New Roman"/>
          <w:color w:val="000000" w:themeColor="text1"/>
        </w:rPr>
        <w:t xml:space="preserve"> </w:t>
      </w:r>
      <w:r w:rsidRPr="007A504A">
        <w:rPr>
          <w:rFonts w:ascii="Times New Roman" w:hAnsi="Times New Roman" w:cs="Times New Roman"/>
          <w:color w:val="000000" w:themeColor="text1"/>
        </w:rPr>
        <w:t>Willingness to Pay and Demand Patterns</w:t>
      </w:r>
    </w:p>
    <w:p w14:paraId="27A9164F" w14:textId="77777777" w:rsidR="00BD179B" w:rsidRPr="007A504A" w:rsidRDefault="00000000">
      <w:pPr>
        <w:rPr>
          <w:rFonts w:cs="Times New Roman"/>
          <w:color w:val="000000" w:themeColor="text1"/>
        </w:rPr>
      </w:pPr>
      <w:r w:rsidRPr="007A504A">
        <w:rPr>
          <w:rFonts w:cs="Times New Roman"/>
          <w:b/>
          <w:color w:val="000000" w:themeColor="text1"/>
        </w:rPr>
        <w:t>Table 4. Descriptive Statistics of Willingness to Pay</w:t>
      </w:r>
    </w:p>
    <w:tbl>
      <w:tblPr>
        <w:tblStyle w:val="TableGrid"/>
        <w:tblW w:w="0" w:type="auto"/>
        <w:tblLook w:val="04A0" w:firstRow="1" w:lastRow="0" w:firstColumn="1" w:lastColumn="0" w:noHBand="0" w:noVBand="1"/>
      </w:tblPr>
      <w:tblGrid>
        <w:gridCol w:w="1316"/>
        <w:gridCol w:w="947"/>
        <w:gridCol w:w="902"/>
        <w:gridCol w:w="903"/>
        <w:gridCol w:w="857"/>
        <w:gridCol w:w="903"/>
        <w:gridCol w:w="951"/>
        <w:gridCol w:w="903"/>
        <w:gridCol w:w="948"/>
      </w:tblGrid>
      <w:tr w:rsidR="00B87706" w:rsidRPr="000A6C42" w14:paraId="4DFC5B27" w14:textId="77777777" w:rsidTr="00B87706">
        <w:tc>
          <w:tcPr>
            <w:tcW w:w="960" w:type="dxa"/>
          </w:tcPr>
          <w:p w14:paraId="1CC9A9D2" w14:textId="77777777" w:rsidR="00BD179B" w:rsidRPr="000A6C42" w:rsidRDefault="00000000">
            <w:pPr>
              <w:jc w:val="center"/>
              <w:rPr>
                <w:rFonts w:cs="Times New Roman"/>
                <w:color w:val="000000" w:themeColor="text1"/>
                <w:sz w:val="22"/>
              </w:rPr>
            </w:pPr>
            <w:r w:rsidRPr="000A6C42">
              <w:rPr>
                <w:rFonts w:cs="Times New Roman"/>
                <w:b/>
                <w:color w:val="000000" w:themeColor="text1"/>
                <w:sz w:val="22"/>
              </w:rPr>
              <w:t>Variable</w:t>
            </w:r>
          </w:p>
        </w:tc>
        <w:tc>
          <w:tcPr>
            <w:tcW w:w="960" w:type="dxa"/>
          </w:tcPr>
          <w:p w14:paraId="7F849DF3" w14:textId="77777777" w:rsidR="00BD179B" w:rsidRPr="000A6C42" w:rsidRDefault="00000000">
            <w:pPr>
              <w:jc w:val="center"/>
              <w:rPr>
                <w:rFonts w:cs="Times New Roman"/>
                <w:color w:val="000000" w:themeColor="text1"/>
                <w:sz w:val="22"/>
              </w:rPr>
            </w:pPr>
            <w:r w:rsidRPr="000A6C42">
              <w:rPr>
                <w:rFonts w:cs="Times New Roman"/>
                <w:b/>
                <w:color w:val="000000" w:themeColor="text1"/>
                <w:sz w:val="22"/>
              </w:rPr>
              <w:t>N</w:t>
            </w:r>
          </w:p>
        </w:tc>
        <w:tc>
          <w:tcPr>
            <w:tcW w:w="960" w:type="dxa"/>
          </w:tcPr>
          <w:p w14:paraId="1DAC6A1E" w14:textId="77777777" w:rsidR="00BD179B" w:rsidRPr="000A6C42" w:rsidRDefault="00000000">
            <w:pPr>
              <w:jc w:val="center"/>
              <w:rPr>
                <w:rFonts w:cs="Times New Roman"/>
                <w:color w:val="000000" w:themeColor="text1"/>
                <w:sz w:val="22"/>
              </w:rPr>
            </w:pPr>
            <w:r w:rsidRPr="000A6C42">
              <w:rPr>
                <w:rFonts w:cs="Times New Roman"/>
                <w:b/>
                <w:color w:val="000000" w:themeColor="text1"/>
                <w:sz w:val="22"/>
              </w:rPr>
              <w:t>Mean (Rs.)</w:t>
            </w:r>
          </w:p>
        </w:tc>
        <w:tc>
          <w:tcPr>
            <w:tcW w:w="960" w:type="dxa"/>
          </w:tcPr>
          <w:p w14:paraId="7A6FB7AB" w14:textId="77777777" w:rsidR="00BD179B" w:rsidRPr="000A6C42" w:rsidRDefault="00000000">
            <w:pPr>
              <w:jc w:val="center"/>
              <w:rPr>
                <w:rFonts w:cs="Times New Roman"/>
                <w:color w:val="000000" w:themeColor="text1"/>
                <w:sz w:val="22"/>
              </w:rPr>
            </w:pPr>
            <w:r w:rsidRPr="000A6C42">
              <w:rPr>
                <w:rFonts w:cs="Times New Roman"/>
                <w:b/>
                <w:color w:val="000000" w:themeColor="text1"/>
                <w:sz w:val="22"/>
              </w:rPr>
              <w:t>Std. Dev.</w:t>
            </w:r>
          </w:p>
        </w:tc>
        <w:tc>
          <w:tcPr>
            <w:tcW w:w="960" w:type="dxa"/>
          </w:tcPr>
          <w:p w14:paraId="2AE612DC" w14:textId="77777777" w:rsidR="00BD179B" w:rsidRPr="000A6C42" w:rsidRDefault="00000000">
            <w:pPr>
              <w:jc w:val="center"/>
              <w:rPr>
                <w:rFonts w:cs="Times New Roman"/>
                <w:color w:val="000000" w:themeColor="text1"/>
                <w:sz w:val="22"/>
              </w:rPr>
            </w:pPr>
            <w:r w:rsidRPr="000A6C42">
              <w:rPr>
                <w:rFonts w:cs="Times New Roman"/>
                <w:b/>
                <w:color w:val="000000" w:themeColor="text1"/>
                <w:sz w:val="22"/>
              </w:rPr>
              <w:t>Min</w:t>
            </w:r>
          </w:p>
        </w:tc>
        <w:tc>
          <w:tcPr>
            <w:tcW w:w="960" w:type="dxa"/>
          </w:tcPr>
          <w:p w14:paraId="576E3F96" w14:textId="77777777" w:rsidR="00BD179B" w:rsidRPr="000A6C42" w:rsidRDefault="00000000">
            <w:pPr>
              <w:jc w:val="center"/>
              <w:rPr>
                <w:rFonts w:cs="Times New Roman"/>
                <w:color w:val="000000" w:themeColor="text1"/>
                <w:sz w:val="22"/>
              </w:rPr>
            </w:pPr>
            <w:r w:rsidRPr="000A6C42">
              <w:rPr>
                <w:rFonts w:cs="Times New Roman"/>
                <w:b/>
                <w:color w:val="000000" w:themeColor="text1"/>
                <w:sz w:val="22"/>
              </w:rPr>
              <w:t>P25</w:t>
            </w:r>
          </w:p>
        </w:tc>
        <w:tc>
          <w:tcPr>
            <w:tcW w:w="960" w:type="dxa"/>
          </w:tcPr>
          <w:p w14:paraId="3B8A4A24" w14:textId="77777777" w:rsidR="00BD179B" w:rsidRPr="000A6C42" w:rsidRDefault="00000000">
            <w:pPr>
              <w:jc w:val="center"/>
              <w:rPr>
                <w:rFonts w:cs="Times New Roman"/>
                <w:color w:val="000000" w:themeColor="text1"/>
                <w:sz w:val="22"/>
              </w:rPr>
            </w:pPr>
            <w:r w:rsidRPr="000A6C42">
              <w:rPr>
                <w:rFonts w:cs="Times New Roman"/>
                <w:b/>
                <w:color w:val="000000" w:themeColor="text1"/>
                <w:sz w:val="22"/>
              </w:rPr>
              <w:t>Median</w:t>
            </w:r>
          </w:p>
        </w:tc>
        <w:tc>
          <w:tcPr>
            <w:tcW w:w="960" w:type="dxa"/>
          </w:tcPr>
          <w:p w14:paraId="434B0917" w14:textId="77777777" w:rsidR="00BD179B" w:rsidRPr="000A6C42" w:rsidRDefault="00000000">
            <w:pPr>
              <w:jc w:val="center"/>
              <w:rPr>
                <w:rFonts w:cs="Times New Roman"/>
                <w:color w:val="000000" w:themeColor="text1"/>
                <w:sz w:val="22"/>
              </w:rPr>
            </w:pPr>
            <w:r w:rsidRPr="000A6C42">
              <w:rPr>
                <w:rFonts w:cs="Times New Roman"/>
                <w:b/>
                <w:color w:val="000000" w:themeColor="text1"/>
                <w:sz w:val="22"/>
              </w:rPr>
              <w:t>P75</w:t>
            </w:r>
          </w:p>
        </w:tc>
        <w:tc>
          <w:tcPr>
            <w:tcW w:w="960" w:type="dxa"/>
          </w:tcPr>
          <w:p w14:paraId="30A8922B" w14:textId="77777777" w:rsidR="00BD179B" w:rsidRPr="000A6C42" w:rsidRDefault="00000000">
            <w:pPr>
              <w:jc w:val="center"/>
              <w:rPr>
                <w:rFonts w:cs="Times New Roman"/>
                <w:color w:val="000000" w:themeColor="text1"/>
                <w:sz w:val="22"/>
              </w:rPr>
            </w:pPr>
            <w:r w:rsidRPr="000A6C42">
              <w:rPr>
                <w:rFonts w:cs="Times New Roman"/>
                <w:b/>
                <w:color w:val="000000" w:themeColor="text1"/>
                <w:sz w:val="22"/>
              </w:rPr>
              <w:t>Max</w:t>
            </w:r>
          </w:p>
        </w:tc>
      </w:tr>
      <w:tr w:rsidR="00B87706" w:rsidRPr="000A6C42" w14:paraId="61F6099B" w14:textId="77777777" w:rsidTr="00B87706">
        <w:tc>
          <w:tcPr>
            <w:tcW w:w="960" w:type="dxa"/>
          </w:tcPr>
          <w:p w14:paraId="6541D7B5" w14:textId="77777777" w:rsidR="00BD179B" w:rsidRPr="000A6C42" w:rsidRDefault="00000000">
            <w:pPr>
              <w:rPr>
                <w:rFonts w:cs="Times New Roman"/>
                <w:color w:val="000000" w:themeColor="text1"/>
                <w:sz w:val="22"/>
              </w:rPr>
            </w:pPr>
            <w:r w:rsidRPr="000A6C42">
              <w:rPr>
                <w:rFonts w:cs="Times New Roman"/>
                <w:color w:val="000000" w:themeColor="text1"/>
                <w:sz w:val="22"/>
              </w:rPr>
              <w:t>WTP — All respondents</w:t>
            </w:r>
          </w:p>
        </w:tc>
        <w:tc>
          <w:tcPr>
            <w:tcW w:w="960" w:type="dxa"/>
          </w:tcPr>
          <w:p w14:paraId="29FD3437"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252</w:t>
            </w:r>
          </w:p>
        </w:tc>
        <w:tc>
          <w:tcPr>
            <w:tcW w:w="960" w:type="dxa"/>
          </w:tcPr>
          <w:p w14:paraId="71C8E650"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18,296</w:t>
            </w:r>
          </w:p>
        </w:tc>
        <w:tc>
          <w:tcPr>
            <w:tcW w:w="960" w:type="dxa"/>
          </w:tcPr>
          <w:p w14:paraId="43387E14"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20,398</w:t>
            </w:r>
          </w:p>
        </w:tc>
        <w:tc>
          <w:tcPr>
            <w:tcW w:w="960" w:type="dxa"/>
          </w:tcPr>
          <w:p w14:paraId="69499836"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0</w:t>
            </w:r>
          </w:p>
        </w:tc>
        <w:tc>
          <w:tcPr>
            <w:tcW w:w="960" w:type="dxa"/>
          </w:tcPr>
          <w:p w14:paraId="47612C61"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5,000</w:t>
            </w:r>
          </w:p>
        </w:tc>
        <w:tc>
          <w:tcPr>
            <w:tcW w:w="960" w:type="dxa"/>
          </w:tcPr>
          <w:p w14:paraId="75F05A21"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15,000</w:t>
            </w:r>
          </w:p>
        </w:tc>
        <w:tc>
          <w:tcPr>
            <w:tcW w:w="960" w:type="dxa"/>
          </w:tcPr>
          <w:p w14:paraId="20BE9C7A"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25,000</w:t>
            </w:r>
          </w:p>
        </w:tc>
        <w:tc>
          <w:tcPr>
            <w:tcW w:w="960" w:type="dxa"/>
          </w:tcPr>
          <w:p w14:paraId="4B85AACB"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100,000</w:t>
            </w:r>
          </w:p>
        </w:tc>
      </w:tr>
      <w:tr w:rsidR="00B87706" w:rsidRPr="000A6C42" w14:paraId="713A2C99" w14:textId="77777777" w:rsidTr="00B87706">
        <w:tc>
          <w:tcPr>
            <w:tcW w:w="960" w:type="dxa"/>
          </w:tcPr>
          <w:p w14:paraId="36DB73AC" w14:textId="77777777" w:rsidR="00BD179B" w:rsidRPr="000A6C42" w:rsidRDefault="00000000">
            <w:pPr>
              <w:rPr>
                <w:rFonts w:cs="Times New Roman"/>
                <w:color w:val="000000" w:themeColor="text1"/>
                <w:sz w:val="22"/>
              </w:rPr>
            </w:pPr>
            <w:r w:rsidRPr="000A6C42">
              <w:rPr>
                <w:rFonts w:cs="Times New Roman"/>
                <w:color w:val="000000" w:themeColor="text1"/>
                <w:sz w:val="22"/>
              </w:rPr>
              <w:t>WTP — Positive responses only</w:t>
            </w:r>
          </w:p>
        </w:tc>
        <w:tc>
          <w:tcPr>
            <w:tcW w:w="960" w:type="dxa"/>
          </w:tcPr>
          <w:p w14:paraId="1BF16AB3"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205</w:t>
            </w:r>
          </w:p>
        </w:tc>
        <w:tc>
          <w:tcPr>
            <w:tcW w:w="960" w:type="dxa"/>
          </w:tcPr>
          <w:p w14:paraId="17970702"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22,490</w:t>
            </w:r>
          </w:p>
        </w:tc>
        <w:tc>
          <w:tcPr>
            <w:tcW w:w="960" w:type="dxa"/>
          </w:tcPr>
          <w:p w14:paraId="17F49120"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20,424</w:t>
            </w:r>
          </w:p>
        </w:tc>
        <w:tc>
          <w:tcPr>
            <w:tcW w:w="960" w:type="dxa"/>
          </w:tcPr>
          <w:p w14:paraId="1C703159"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1,000</w:t>
            </w:r>
          </w:p>
        </w:tc>
        <w:tc>
          <w:tcPr>
            <w:tcW w:w="960" w:type="dxa"/>
          </w:tcPr>
          <w:p w14:paraId="1721EA11"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15,000</w:t>
            </w:r>
          </w:p>
        </w:tc>
        <w:tc>
          <w:tcPr>
            <w:tcW w:w="960" w:type="dxa"/>
          </w:tcPr>
          <w:p w14:paraId="0B1D53A3"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15,000</w:t>
            </w:r>
          </w:p>
        </w:tc>
        <w:tc>
          <w:tcPr>
            <w:tcW w:w="960" w:type="dxa"/>
          </w:tcPr>
          <w:p w14:paraId="7F1E564C"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25,000</w:t>
            </w:r>
          </w:p>
        </w:tc>
        <w:tc>
          <w:tcPr>
            <w:tcW w:w="960" w:type="dxa"/>
          </w:tcPr>
          <w:p w14:paraId="49E1A9C1"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100,000</w:t>
            </w:r>
          </w:p>
        </w:tc>
      </w:tr>
      <w:tr w:rsidR="00B87706" w:rsidRPr="000A6C42" w14:paraId="45B7AB5C" w14:textId="77777777" w:rsidTr="00B87706">
        <w:tc>
          <w:tcPr>
            <w:tcW w:w="960" w:type="dxa"/>
          </w:tcPr>
          <w:p w14:paraId="5FCDE177" w14:textId="77777777" w:rsidR="00BD179B" w:rsidRPr="000A6C42" w:rsidRDefault="00000000">
            <w:pPr>
              <w:rPr>
                <w:rFonts w:cs="Times New Roman"/>
                <w:color w:val="000000" w:themeColor="text1"/>
                <w:sz w:val="22"/>
              </w:rPr>
            </w:pPr>
            <w:r w:rsidRPr="000A6C42">
              <w:rPr>
                <w:rFonts w:cs="Times New Roman"/>
                <w:color w:val="000000" w:themeColor="text1"/>
                <w:sz w:val="22"/>
              </w:rPr>
              <w:t>WTP = 0 (non-participants)</w:t>
            </w:r>
          </w:p>
        </w:tc>
        <w:tc>
          <w:tcPr>
            <w:tcW w:w="960" w:type="dxa"/>
          </w:tcPr>
          <w:p w14:paraId="784F840B"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47 (18.7%)</w:t>
            </w:r>
          </w:p>
        </w:tc>
        <w:tc>
          <w:tcPr>
            <w:tcW w:w="960" w:type="dxa"/>
          </w:tcPr>
          <w:p w14:paraId="1D8996D4"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w:t>
            </w:r>
          </w:p>
        </w:tc>
        <w:tc>
          <w:tcPr>
            <w:tcW w:w="960" w:type="dxa"/>
          </w:tcPr>
          <w:p w14:paraId="426C0E2B"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w:t>
            </w:r>
          </w:p>
        </w:tc>
        <w:tc>
          <w:tcPr>
            <w:tcW w:w="960" w:type="dxa"/>
          </w:tcPr>
          <w:p w14:paraId="46686894"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w:t>
            </w:r>
          </w:p>
        </w:tc>
        <w:tc>
          <w:tcPr>
            <w:tcW w:w="960" w:type="dxa"/>
          </w:tcPr>
          <w:p w14:paraId="2E80D141"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w:t>
            </w:r>
          </w:p>
        </w:tc>
        <w:tc>
          <w:tcPr>
            <w:tcW w:w="960" w:type="dxa"/>
          </w:tcPr>
          <w:p w14:paraId="1EE87C23"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w:t>
            </w:r>
          </w:p>
        </w:tc>
        <w:tc>
          <w:tcPr>
            <w:tcW w:w="960" w:type="dxa"/>
          </w:tcPr>
          <w:p w14:paraId="57EF162B"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w:t>
            </w:r>
          </w:p>
        </w:tc>
        <w:tc>
          <w:tcPr>
            <w:tcW w:w="960" w:type="dxa"/>
          </w:tcPr>
          <w:p w14:paraId="0A324618" w14:textId="77777777" w:rsidR="00BD179B" w:rsidRPr="000A6C42" w:rsidRDefault="00000000">
            <w:pPr>
              <w:jc w:val="center"/>
              <w:rPr>
                <w:rFonts w:cs="Times New Roman"/>
                <w:color w:val="000000" w:themeColor="text1"/>
                <w:sz w:val="22"/>
              </w:rPr>
            </w:pPr>
            <w:r w:rsidRPr="000A6C42">
              <w:rPr>
                <w:rFonts w:cs="Times New Roman"/>
                <w:color w:val="000000" w:themeColor="text1"/>
                <w:sz w:val="22"/>
              </w:rPr>
              <w:t>—</w:t>
            </w:r>
          </w:p>
        </w:tc>
      </w:tr>
    </w:tbl>
    <w:p w14:paraId="3235BB72" w14:textId="77777777" w:rsidR="00BD179B" w:rsidRPr="007A504A" w:rsidRDefault="00000000">
      <w:pPr>
        <w:spacing w:before="80" w:after="80"/>
        <w:rPr>
          <w:rFonts w:cs="Times New Roman"/>
          <w:color w:val="000000" w:themeColor="text1"/>
        </w:rPr>
      </w:pPr>
      <w:r w:rsidRPr="007A504A">
        <w:rPr>
          <w:rFonts w:cs="Times New Roman"/>
          <w:color w:val="000000" w:themeColor="text1"/>
          <w:sz w:val="22"/>
        </w:rPr>
        <w:t>Source: Survey data, 2026</w:t>
      </w:r>
    </w:p>
    <w:p w14:paraId="5264C1C8"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 xml:space="preserve">The mean WTP for title registration is Rs. 17,900 (including zero responses), with a median of Rs. 15,000 and a standard deviation of Rs. 20,398, indicating high heterogeneity in valuation. Among the 205 households willing to pay (81.3%), the mean conditional WTP is Rs. 22,490. </w:t>
      </w:r>
      <w:r w:rsidRPr="007A504A">
        <w:rPr>
          <w:rFonts w:cs="Times New Roman"/>
          <w:color w:val="000000" w:themeColor="text1"/>
          <w:sz w:val="22"/>
        </w:rPr>
        <w:lastRenderedPageBreak/>
        <w:t>Approximately 18.7% of respondents report zero WTP. The distribution is right-skewed, driven by a smaller group of households willing to pay significantly higher amounts (up to Rs. 100,000).</w:t>
      </w:r>
    </w:p>
    <w:p w14:paraId="7E6AE66D" w14:textId="77777777" w:rsidR="00BD179B" w:rsidRPr="007A504A" w:rsidRDefault="00000000" w:rsidP="00AD72F1">
      <w:pPr>
        <w:spacing w:before="80" w:after="80"/>
        <w:jc w:val="both"/>
        <w:rPr>
          <w:rFonts w:cs="Times New Roman"/>
          <w:color w:val="000000" w:themeColor="text1"/>
        </w:rPr>
      </w:pPr>
      <w:r w:rsidRPr="007A504A">
        <w:rPr>
          <w:rFonts w:cs="Times New Roman"/>
          <w:color w:val="000000" w:themeColor="text1"/>
          <w:sz w:val="22"/>
        </w:rPr>
        <w:t>The demand curve (Figure 2) was derived as the empirical survival function: for each fee level P, the participation rate equals the share of respondents with stated WTP ≥ P (N = 252). This payment-card approach directly reflects the elicitation format used in the survey.</w:t>
      </w:r>
    </w:p>
    <w:p w14:paraId="6616DC74" w14:textId="77777777" w:rsidR="00BD179B" w:rsidRPr="007A504A" w:rsidRDefault="00BD179B">
      <w:pPr>
        <w:rPr>
          <w:rFonts w:cs="Times New Roman"/>
          <w:color w:val="000000" w:themeColor="text1"/>
        </w:rPr>
      </w:pPr>
    </w:p>
    <w:p w14:paraId="16144DE5" w14:textId="77777777" w:rsidR="00BD179B" w:rsidRPr="007A504A" w:rsidRDefault="00000000">
      <w:pPr>
        <w:jc w:val="center"/>
        <w:rPr>
          <w:rFonts w:cs="Times New Roman"/>
          <w:color w:val="000000" w:themeColor="text1"/>
        </w:rPr>
      </w:pPr>
      <w:r w:rsidRPr="007A504A">
        <w:rPr>
          <w:rFonts w:cs="Times New Roman"/>
          <w:noProof/>
          <w:color w:val="000000" w:themeColor="text1"/>
        </w:rPr>
        <w:drawing>
          <wp:inline distT="0" distB="0" distL="0" distR="0" wp14:anchorId="4E9551A8" wp14:editId="7FC533C0">
            <wp:extent cx="5287645" cy="3125833"/>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and_curve_final.png"/>
                    <pic:cNvPicPr/>
                  </pic:nvPicPr>
                  <pic:blipFill rotWithShape="1">
                    <a:blip r:embed="rId9"/>
                    <a:srcRect t="7881"/>
                    <a:stretch>
                      <a:fillRect/>
                    </a:stretch>
                  </pic:blipFill>
                  <pic:spPr bwMode="auto">
                    <a:xfrm>
                      <a:off x="0" y="0"/>
                      <a:ext cx="5296397" cy="3131007"/>
                    </a:xfrm>
                    <a:prstGeom prst="rect">
                      <a:avLst/>
                    </a:prstGeom>
                    <a:ln>
                      <a:noFill/>
                    </a:ln>
                    <a:extLst>
                      <a:ext uri="{53640926-AAD7-44D8-BBD7-CCE9431645EC}">
                        <a14:shadowObscured xmlns:a14="http://schemas.microsoft.com/office/drawing/2010/main"/>
                      </a:ext>
                    </a:extLst>
                  </pic:spPr>
                </pic:pic>
              </a:graphicData>
            </a:graphic>
          </wp:inline>
        </w:drawing>
      </w:r>
    </w:p>
    <w:p w14:paraId="3F9E8CA0" w14:textId="7FE6B909" w:rsidR="00BD179B" w:rsidRPr="007A504A" w:rsidRDefault="00000000" w:rsidP="00B87706">
      <w:pPr>
        <w:spacing w:after="0"/>
        <w:jc w:val="center"/>
        <w:rPr>
          <w:rFonts w:cs="Times New Roman"/>
          <w:color w:val="000000" w:themeColor="text1"/>
        </w:rPr>
      </w:pPr>
      <w:r w:rsidRPr="007A504A">
        <w:rPr>
          <w:rFonts w:cs="Times New Roman"/>
          <w:b/>
          <w:color w:val="000000" w:themeColor="text1"/>
        </w:rPr>
        <w:t>Figure 2. Demand Curve for Land Title Registration, Bim Saviya Programme</w:t>
      </w:r>
      <w:r w:rsidR="00EB4264" w:rsidRPr="007A504A">
        <w:rPr>
          <w:rFonts w:cs="Times New Roman"/>
          <w:b/>
          <w:color w:val="000000" w:themeColor="text1"/>
        </w:rPr>
        <w:t xml:space="preserve"> in Case Study Area</w:t>
      </w:r>
    </w:p>
    <w:p w14:paraId="28C4C057" w14:textId="77777777" w:rsidR="00B87706" w:rsidRPr="007A504A" w:rsidRDefault="00000000" w:rsidP="00B87706">
      <w:pPr>
        <w:spacing w:after="0"/>
        <w:jc w:val="center"/>
        <w:rPr>
          <w:rFonts w:cs="Times New Roman"/>
          <w:color w:val="000000" w:themeColor="text1"/>
          <w:sz w:val="18"/>
        </w:rPr>
      </w:pPr>
      <w:r w:rsidRPr="007A504A">
        <w:rPr>
          <w:rFonts w:cs="Times New Roman"/>
          <w:color w:val="000000" w:themeColor="text1"/>
          <w:sz w:val="18"/>
        </w:rPr>
        <w:t xml:space="preserve">Source: Authors, 2026. </w:t>
      </w:r>
    </w:p>
    <w:p w14:paraId="4085A21A" w14:textId="591F81D5" w:rsidR="00BD179B" w:rsidRDefault="00000000" w:rsidP="00B87706">
      <w:pPr>
        <w:spacing w:after="0"/>
        <w:jc w:val="center"/>
        <w:rPr>
          <w:rFonts w:cs="Times New Roman"/>
          <w:color w:val="000000" w:themeColor="text1"/>
          <w:sz w:val="18"/>
        </w:rPr>
      </w:pPr>
      <w:r w:rsidRPr="007A504A">
        <w:rPr>
          <w:rFonts w:cs="Times New Roman"/>
          <w:color w:val="000000" w:themeColor="text1"/>
          <w:sz w:val="18"/>
        </w:rPr>
        <w:t>Note: Derived from empirical survival function of stated maximum WTP (N=252). Red dashed lines indicate public cost benchmark (Rs.7,000–9,000); green dotted line indicates median WTP (Rs.15,000).</w:t>
      </w:r>
    </w:p>
    <w:p w14:paraId="7CD2DC9E" w14:textId="77777777" w:rsidR="007777D1" w:rsidRPr="007A504A" w:rsidRDefault="007777D1" w:rsidP="00B87706">
      <w:pPr>
        <w:spacing w:after="0"/>
        <w:jc w:val="center"/>
        <w:rPr>
          <w:rFonts w:cs="Times New Roman"/>
          <w:color w:val="000000" w:themeColor="text1"/>
        </w:rPr>
      </w:pPr>
    </w:p>
    <w:p w14:paraId="1D1B8B0A" w14:textId="77777777" w:rsidR="00BD179B" w:rsidRPr="007777D1" w:rsidRDefault="00000000" w:rsidP="00B87706">
      <w:pPr>
        <w:spacing w:before="80" w:after="80"/>
        <w:jc w:val="both"/>
        <w:rPr>
          <w:rFonts w:cs="Times New Roman"/>
          <w:color w:val="000000" w:themeColor="text1"/>
          <w:sz w:val="28"/>
          <w:szCs w:val="24"/>
        </w:rPr>
      </w:pPr>
      <w:r w:rsidRPr="007777D1">
        <w:rPr>
          <w:rFonts w:cs="Times New Roman"/>
          <w:color w:val="000000" w:themeColor="text1"/>
          <w:szCs w:val="24"/>
        </w:rPr>
        <w:t>A comparison of stated willingness to pay with the estimated public cost of title registration provides important insights for pricing and subsidy design under the Bim Saviya programme. The Auditor General's Annual Report (National Audit Office, 2022) indicates that the average fiscal cost of issuing a title certificate is approximately Rs. 7,000–9,000 per parcel. Several key pricing insights emerge from the demand schedule:</w:t>
      </w:r>
    </w:p>
    <w:p w14:paraId="44B1ADEA" w14:textId="77777777" w:rsidR="00BD179B" w:rsidRPr="007777D1" w:rsidRDefault="00000000" w:rsidP="00B87706">
      <w:pPr>
        <w:spacing w:before="80" w:after="80"/>
        <w:jc w:val="both"/>
        <w:rPr>
          <w:rFonts w:cs="Times New Roman"/>
          <w:color w:val="000000" w:themeColor="text1"/>
          <w:sz w:val="28"/>
          <w:szCs w:val="24"/>
        </w:rPr>
      </w:pPr>
      <w:r w:rsidRPr="007777D1">
        <w:rPr>
          <w:rFonts w:cs="Times New Roman"/>
          <w:color w:val="000000" w:themeColor="text1"/>
          <w:szCs w:val="24"/>
        </w:rPr>
        <w:t>First, in the policy-relevant cost-benchmark range (Rs. 7,000–9,000), the demand curve is nearly perfectly inelastic: at both Rs. 7,000 and Rs. 9,000, 71.4% of households (n = 180) are willing to pay, yielding an arc price elasticity of approximately −0.034. This means fees can be set at the service delivery cost level without any measurable demand loss.</w:t>
      </w:r>
    </w:p>
    <w:p w14:paraId="6F69B515" w14:textId="52BE4F16" w:rsidR="00BD179B" w:rsidRPr="007777D1" w:rsidRDefault="00000000" w:rsidP="00B87706">
      <w:pPr>
        <w:spacing w:before="80" w:after="80"/>
        <w:jc w:val="both"/>
        <w:rPr>
          <w:rFonts w:cs="Times New Roman"/>
          <w:color w:val="000000" w:themeColor="text1"/>
          <w:sz w:val="28"/>
          <w:szCs w:val="24"/>
        </w:rPr>
      </w:pPr>
      <w:r w:rsidRPr="007777D1">
        <w:rPr>
          <w:rFonts w:cs="Times New Roman"/>
          <w:color w:val="000000" w:themeColor="text1"/>
          <w:szCs w:val="24"/>
        </w:rPr>
        <w:t>Second, the inelasticity persists up to the median WTP of Rs. 15,000, where 70.2% participation is maintained</w:t>
      </w:r>
      <w:r w:rsidR="00B87706" w:rsidRPr="007777D1">
        <w:rPr>
          <w:rFonts w:cs="Times New Roman"/>
          <w:color w:val="000000" w:themeColor="text1"/>
          <w:szCs w:val="24"/>
        </w:rPr>
        <w:t xml:space="preserve">, </w:t>
      </w:r>
      <w:r w:rsidRPr="007777D1">
        <w:rPr>
          <w:rFonts w:cs="Times New Roman"/>
          <w:color w:val="000000" w:themeColor="text1"/>
          <w:szCs w:val="24"/>
        </w:rPr>
        <w:t>a decline of only 1.2 percentage points from the cost-</w:t>
      </w:r>
      <w:r w:rsidRPr="007777D1">
        <w:rPr>
          <w:rFonts w:cs="Times New Roman"/>
          <w:color w:val="000000" w:themeColor="text1"/>
          <w:szCs w:val="24"/>
        </w:rPr>
        <w:lastRenderedPageBreak/>
        <w:t>benchmark level. This suggests that a fee of up to Rs. 15,000 could be implemented while preserving approximately 70% uptake.</w:t>
      </w:r>
    </w:p>
    <w:p w14:paraId="4554E6FB" w14:textId="2DCBBBCD" w:rsidR="00BD179B" w:rsidRPr="007777D1" w:rsidRDefault="00000000" w:rsidP="00B87706">
      <w:pPr>
        <w:spacing w:before="80" w:after="80"/>
        <w:jc w:val="both"/>
        <w:rPr>
          <w:rFonts w:cs="Times New Roman"/>
          <w:color w:val="000000" w:themeColor="text1"/>
          <w:sz w:val="28"/>
          <w:szCs w:val="24"/>
        </w:rPr>
      </w:pPr>
      <w:r w:rsidRPr="007777D1">
        <w:rPr>
          <w:rFonts w:cs="Times New Roman"/>
          <w:color w:val="000000" w:themeColor="text1"/>
          <w:szCs w:val="24"/>
        </w:rPr>
        <w:t>Third, the demand curve exhibits a sharp threshold effect between Rs. 15,000 and Rs. 20,000, where participation collapses from 70.2% to 26.2</w:t>
      </w:r>
      <w:proofErr w:type="gramStart"/>
      <w:r w:rsidRPr="007777D1">
        <w:rPr>
          <w:rFonts w:cs="Times New Roman"/>
          <w:color w:val="000000" w:themeColor="text1"/>
          <w:szCs w:val="24"/>
        </w:rPr>
        <w:t>%</w:t>
      </w:r>
      <w:r w:rsidR="003811FB" w:rsidRPr="007777D1">
        <w:rPr>
          <w:rFonts w:cs="Times New Roman"/>
          <w:color w:val="000000" w:themeColor="text1"/>
          <w:szCs w:val="24"/>
        </w:rPr>
        <w:t xml:space="preserve">, </w:t>
      </w:r>
      <w:r w:rsidRPr="007777D1">
        <w:rPr>
          <w:rFonts w:cs="Times New Roman"/>
          <w:color w:val="000000" w:themeColor="text1"/>
          <w:szCs w:val="24"/>
        </w:rPr>
        <w:t xml:space="preserve"> a</w:t>
      </w:r>
      <w:proofErr w:type="gramEnd"/>
      <w:r w:rsidRPr="007777D1">
        <w:rPr>
          <w:rFonts w:cs="Times New Roman"/>
          <w:color w:val="000000" w:themeColor="text1"/>
          <w:szCs w:val="24"/>
        </w:rPr>
        <w:t xml:space="preserve"> decline of 44 percentage points. This identifies Rs. 15,000 as a critical pricing ceiling. Fees above this threshold risk dramatically undermining programme objectives.</w:t>
      </w:r>
    </w:p>
    <w:p w14:paraId="652E0ADD" w14:textId="77777777" w:rsidR="00BD179B" w:rsidRPr="007777D1" w:rsidRDefault="00000000" w:rsidP="00B87706">
      <w:pPr>
        <w:spacing w:before="80" w:after="80"/>
        <w:jc w:val="both"/>
        <w:rPr>
          <w:rFonts w:cs="Times New Roman"/>
          <w:color w:val="000000" w:themeColor="text1"/>
          <w:sz w:val="28"/>
          <w:szCs w:val="24"/>
        </w:rPr>
      </w:pPr>
      <w:r w:rsidRPr="007777D1">
        <w:rPr>
          <w:rFonts w:cs="Times New Roman"/>
          <w:color w:val="000000" w:themeColor="text1"/>
          <w:szCs w:val="24"/>
        </w:rPr>
        <w:t>These findings support a cost-recovery pricing strategy in the Rs. 7,000–15,000 range, combined with targeted subsidies for lower-income households, as a financially sustainable and demand-sensitive approach.</w:t>
      </w:r>
    </w:p>
    <w:p w14:paraId="3263BEC4" w14:textId="6583384A" w:rsidR="00BD179B" w:rsidRDefault="00420BE5">
      <w:pPr>
        <w:pStyle w:val="Heading2"/>
        <w:spacing w:after="80"/>
        <w:rPr>
          <w:rFonts w:ascii="Times New Roman" w:hAnsi="Times New Roman" w:cs="Times New Roman"/>
          <w:b w:val="0"/>
          <w:bCs w:val="0"/>
          <w:color w:val="000000" w:themeColor="text1"/>
        </w:rPr>
      </w:pPr>
      <w:r w:rsidRPr="007A504A">
        <w:rPr>
          <w:rFonts w:ascii="Times New Roman" w:hAnsi="Times New Roman" w:cs="Times New Roman"/>
          <w:color w:val="000000" w:themeColor="text1"/>
        </w:rPr>
        <w:t xml:space="preserve">4.3 </w:t>
      </w:r>
      <w:r w:rsidR="004A350A" w:rsidRPr="004A350A">
        <w:rPr>
          <w:rFonts w:ascii="Times New Roman" w:hAnsi="Times New Roman" w:cs="Times New Roman"/>
          <w:color w:val="000000" w:themeColor="text1"/>
        </w:rPr>
        <w:t>Effects of Household, Property, and Perceptual Factors on Willingness to Pay for Land Title Registration</w:t>
      </w:r>
    </w:p>
    <w:p w14:paraId="30FA2423" w14:textId="75B34B66" w:rsidR="007777D1" w:rsidRPr="007777D1" w:rsidRDefault="007777D1" w:rsidP="007777D1">
      <w:pPr>
        <w:jc w:val="both"/>
      </w:pPr>
      <w:r w:rsidRPr="007777D1">
        <w:t>Consistent with the conceptual framework, the determinants of willingness to pay (WTP) for land title registration are examined under three broad categories: household demographics, property characteristics, and perceptual and social factors. The Double-Hurdle model enables separate identification of factors influencing the decision to participate in title registration (Stage 1) and factors influencing the amount households are willing to pay conditional on participation (Stage 2).</w:t>
      </w:r>
    </w:p>
    <w:p w14:paraId="31327489" w14:textId="77777777" w:rsidR="00BD179B" w:rsidRPr="007A504A" w:rsidRDefault="00000000">
      <w:pPr>
        <w:rPr>
          <w:rFonts w:cs="Times New Roman"/>
          <w:color w:val="000000" w:themeColor="text1"/>
        </w:rPr>
      </w:pPr>
      <w:r w:rsidRPr="007A504A">
        <w:rPr>
          <w:rFonts w:cs="Times New Roman"/>
          <w:b/>
          <w:color w:val="000000" w:themeColor="text1"/>
        </w:rPr>
        <w:t>Table 5. Two-Stage Hurdle Model Results</w:t>
      </w:r>
    </w:p>
    <w:tbl>
      <w:tblPr>
        <w:tblStyle w:val="TableGrid"/>
        <w:tblW w:w="0" w:type="auto"/>
        <w:tblLook w:val="04A0" w:firstRow="1" w:lastRow="0" w:firstColumn="1" w:lastColumn="0" w:noHBand="0" w:noVBand="1"/>
      </w:tblPr>
      <w:tblGrid>
        <w:gridCol w:w="1568"/>
        <w:gridCol w:w="1424"/>
        <w:gridCol w:w="1400"/>
        <w:gridCol w:w="1424"/>
        <w:gridCol w:w="1403"/>
        <w:gridCol w:w="1411"/>
      </w:tblGrid>
      <w:tr w:rsidR="00B87706" w:rsidRPr="007A504A" w14:paraId="427D2AC7" w14:textId="77777777" w:rsidTr="00EB4264">
        <w:tc>
          <w:tcPr>
            <w:tcW w:w="1568" w:type="dxa"/>
          </w:tcPr>
          <w:p w14:paraId="77AD7160" w14:textId="77777777" w:rsidR="00BD179B" w:rsidRPr="007A504A" w:rsidRDefault="00000000">
            <w:pPr>
              <w:jc w:val="center"/>
              <w:rPr>
                <w:rFonts w:cs="Times New Roman"/>
                <w:color w:val="000000" w:themeColor="text1"/>
              </w:rPr>
            </w:pPr>
            <w:r w:rsidRPr="007A504A">
              <w:rPr>
                <w:rFonts w:cs="Times New Roman"/>
                <w:b/>
                <w:color w:val="000000" w:themeColor="text1"/>
                <w:sz w:val="16"/>
              </w:rPr>
              <w:t>Variable</w:t>
            </w:r>
          </w:p>
        </w:tc>
        <w:tc>
          <w:tcPr>
            <w:tcW w:w="1424" w:type="dxa"/>
          </w:tcPr>
          <w:p w14:paraId="53E36643" w14:textId="77777777" w:rsidR="00BD179B" w:rsidRPr="007A504A" w:rsidRDefault="00000000">
            <w:pPr>
              <w:jc w:val="center"/>
              <w:rPr>
                <w:rFonts w:cs="Times New Roman"/>
                <w:color w:val="000000" w:themeColor="text1"/>
              </w:rPr>
            </w:pPr>
            <w:r w:rsidRPr="007A504A">
              <w:rPr>
                <w:rFonts w:cs="Times New Roman"/>
                <w:b/>
                <w:color w:val="000000" w:themeColor="text1"/>
                <w:sz w:val="16"/>
              </w:rPr>
              <w:t>Stage 1: Probit</w:t>
            </w:r>
            <w:r w:rsidRPr="007A504A">
              <w:rPr>
                <w:rFonts w:cs="Times New Roman"/>
                <w:b/>
                <w:color w:val="000000" w:themeColor="text1"/>
                <w:sz w:val="16"/>
              </w:rPr>
              <w:br/>
              <w:t>(Parsimonious)</w:t>
            </w:r>
            <w:r w:rsidRPr="007A504A">
              <w:rPr>
                <w:rFonts w:cs="Times New Roman"/>
                <w:b/>
                <w:color w:val="000000" w:themeColor="text1"/>
                <w:sz w:val="16"/>
              </w:rPr>
              <w:br/>
              <w:t>AME</w:t>
            </w:r>
          </w:p>
        </w:tc>
        <w:tc>
          <w:tcPr>
            <w:tcW w:w="1400" w:type="dxa"/>
          </w:tcPr>
          <w:p w14:paraId="55D6F1E1" w14:textId="77777777" w:rsidR="00BD179B" w:rsidRPr="007A504A" w:rsidRDefault="00000000">
            <w:pPr>
              <w:jc w:val="center"/>
              <w:rPr>
                <w:rFonts w:cs="Times New Roman"/>
                <w:color w:val="000000" w:themeColor="text1"/>
              </w:rPr>
            </w:pPr>
            <w:r w:rsidRPr="007A504A">
              <w:rPr>
                <w:rFonts w:cs="Times New Roman"/>
                <w:b/>
                <w:color w:val="000000" w:themeColor="text1"/>
                <w:sz w:val="16"/>
              </w:rPr>
              <w:t>Stage 1: Probit</w:t>
            </w:r>
            <w:r w:rsidRPr="007A504A">
              <w:rPr>
                <w:rFonts w:cs="Times New Roman"/>
                <w:b/>
                <w:color w:val="000000" w:themeColor="text1"/>
                <w:sz w:val="16"/>
              </w:rPr>
              <w:br/>
              <w:t>(Extended)</w:t>
            </w:r>
            <w:r w:rsidRPr="007A504A">
              <w:rPr>
                <w:rFonts w:cs="Times New Roman"/>
                <w:b/>
                <w:color w:val="000000" w:themeColor="text1"/>
                <w:sz w:val="16"/>
              </w:rPr>
              <w:br/>
              <w:t>AME</w:t>
            </w:r>
          </w:p>
        </w:tc>
        <w:tc>
          <w:tcPr>
            <w:tcW w:w="1424" w:type="dxa"/>
          </w:tcPr>
          <w:p w14:paraId="320A20E7" w14:textId="77777777" w:rsidR="00BD179B" w:rsidRPr="007A504A" w:rsidRDefault="00000000">
            <w:pPr>
              <w:jc w:val="center"/>
              <w:rPr>
                <w:rFonts w:cs="Times New Roman"/>
                <w:color w:val="000000" w:themeColor="text1"/>
              </w:rPr>
            </w:pPr>
            <w:r w:rsidRPr="007A504A">
              <w:rPr>
                <w:rFonts w:cs="Times New Roman"/>
                <w:b/>
                <w:color w:val="000000" w:themeColor="text1"/>
                <w:sz w:val="16"/>
              </w:rPr>
              <w:t>Stage 2: OLS</w:t>
            </w:r>
            <w:r w:rsidRPr="007A504A">
              <w:rPr>
                <w:rFonts w:cs="Times New Roman"/>
                <w:b/>
                <w:color w:val="000000" w:themeColor="text1"/>
                <w:sz w:val="16"/>
              </w:rPr>
              <w:br/>
              <w:t>(Parsimonious)</w:t>
            </w:r>
            <w:r w:rsidRPr="007A504A">
              <w:rPr>
                <w:rFonts w:cs="Times New Roman"/>
                <w:b/>
                <w:color w:val="000000" w:themeColor="text1"/>
                <w:sz w:val="16"/>
              </w:rPr>
              <w:br/>
              <w:t>Coeff.</w:t>
            </w:r>
          </w:p>
        </w:tc>
        <w:tc>
          <w:tcPr>
            <w:tcW w:w="1403" w:type="dxa"/>
          </w:tcPr>
          <w:p w14:paraId="499D016E" w14:textId="77777777" w:rsidR="00BD179B" w:rsidRPr="007A504A" w:rsidRDefault="00000000">
            <w:pPr>
              <w:jc w:val="center"/>
              <w:rPr>
                <w:rFonts w:cs="Times New Roman"/>
                <w:color w:val="000000" w:themeColor="text1"/>
              </w:rPr>
            </w:pPr>
            <w:r w:rsidRPr="007A504A">
              <w:rPr>
                <w:rFonts w:cs="Times New Roman"/>
                <w:b/>
                <w:color w:val="000000" w:themeColor="text1"/>
                <w:sz w:val="16"/>
              </w:rPr>
              <w:t>Stage 2: OLS</w:t>
            </w:r>
            <w:r w:rsidRPr="007A504A">
              <w:rPr>
                <w:rFonts w:cs="Times New Roman"/>
                <w:b/>
                <w:color w:val="000000" w:themeColor="text1"/>
                <w:sz w:val="16"/>
              </w:rPr>
              <w:br/>
              <w:t>(Extended)</w:t>
            </w:r>
            <w:r w:rsidRPr="007A504A">
              <w:rPr>
                <w:rFonts w:cs="Times New Roman"/>
                <w:b/>
                <w:color w:val="000000" w:themeColor="text1"/>
                <w:sz w:val="16"/>
              </w:rPr>
              <w:br/>
              <w:t>Coeff.</w:t>
            </w:r>
          </w:p>
        </w:tc>
        <w:tc>
          <w:tcPr>
            <w:tcW w:w="1411" w:type="dxa"/>
          </w:tcPr>
          <w:p w14:paraId="274CA5B0" w14:textId="77777777" w:rsidR="00BD179B" w:rsidRPr="007A504A" w:rsidRDefault="00000000">
            <w:pPr>
              <w:jc w:val="center"/>
              <w:rPr>
                <w:rFonts w:cs="Times New Roman"/>
                <w:color w:val="000000" w:themeColor="text1"/>
              </w:rPr>
            </w:pPr>
            <w:r w:rsidRPr="007A504A">
              <w:rPr>
                <w:rFonts w:cs="Times New Roman"/>
                <w:b/>
                <w:color w:val="000000" w:themeColor="text1"/>
                <w:sz w:val="16"/>
              </w:rPr>
              <w:t>Stage 2: 2SLS</w:t>
            </w:r>
            <w:r w:rsidRPr="007A504A">
              <w:rPr>
                <w:rFonts w:cs="Times New Roman"/>
                <w:b/>
                <w:color w:val="000000" w:themeColor="text1"/>
                <w:sz w:val="16"/>
              </w:rPr>
              <w:br/>
              <w:t>(Robustness)</w:t>
            </w:r>
            <w:r w:rsidRPr="007A504A">
              <w:rPr>
                <w:rFonts w:cs="Times New Roman"/>
                <w:b/>
                <w:color w:val="000000" w:themeColor="text1"/>
                <w:sz w:val="16"/>
              </w:rPr>
              <w:br/>
              <w:t>Coeff.</w:t>
            </w:r>
          </w:p>
        </w:tc>
      </w:tr>
      <w:tr w:rsidR="00B87706" w:rsidRPr="007A504A" w14:paraId="345A9107" w14:textId="77777777" w:rsidTr="00EB4264">
        <w:tc>
          <w:tcPr>
            <w:tcW w:w="1568" w:type="dxa"/>
          </w:tcPr>
          <w:p w14:paraId="56DEE5F7" w14:textId="77777777" w:rsidR="00BD179B" w:rsidRPr="007A504A" w:rsidRDefault="00000000">
            <w:pPr>
              <w:rPr>
                <w:rFonts w:cs="Times New Roman"/>
                <w:color w:val="000000" w:themeColor="text1"/>
              </w:rPr>
            </w:pPr>
            <w:r w:rsidRPr="007A504A">
              <w:rPr>
                <w:rFonts w:cs="Times New Roman"/>
                <w:color w:val="000000" w:themeColor="text1"/>
                <w:sz w:val="17"/>
              </w:rPr>
              <w:t>Education: A/L</w:t>
            </w:r>
          </w:p>
        </w:tc>
        <w:tc>
          <w:tcPr>
            <w:tcW w:w="1424" w:type="dxa"/>
          </w:tcPr>
          <w:p w14:paraId="40290E1F" w14:textId="77777777" w:rsidR="00BD179B" w:rsidRPr="007A504A" w:rsidRDefault="00000000">
            <w:pPr>
              <w:jc w:val="center"/>
              <w:rPr>
                <w:rFonts w:cs="Times New Roman"/>
                <w:color w:val="000000" w:themeColor="text1"/>
              </w:rPr>
            </w:pPr>
            <w:r w:rsidRPr="007A504A">
              <w:rPr>
                <w:rFonts w:cs="Times New Roman"/>
                <w:color w:val="000000" w:themeColor="text1"/>
                <w:sz w:val="17"/>
              </w:rPr>
              <w:t>0.094*</w:t>
            </w:r>
            <w:r w:rsidRPr="007A504A">
              <w:rPr>
                <w:rFonts w:cs="Times New Roman"/>
                <w:color w:val="000000" w:themeColor="text1"/>
                <w:sz w:val="17"/>
              </w:rPr>
              <w:br/>
              <w:t>(0.056)</w:t>
            </w:r>
          </w:p>
        </w:tc>
        <w:tc>
          <w:tcPr>
            <w:tcW w:w="1400" w:type="dxa"/>
          </w:tcPr>
          <w:p w14:paraId="020F897E" w14:textId="77777777" w:rsidR="00BD179B" w:rsidRPr="007A504A" w:rsidRDefault="00000000">
            <w:pPr>
              <w:jc w:val="center"/>
              <w:rPr>
                <w:rFonts w:cs="Times New Roman"/>
                <w:color w:val="000000" w:themeColor="text1"/>
              </w:rPr>
            </w:pPr>
            <w:r w:rsidRPr="007A504A">
              <w:rPr>
                <w:rFonts w:cs="Times New Roman"/>
                <w:color w:val="000000" w:themeColor="text1"/>
                <w:sz w:val="17"/>
              </w:rPr>
              <w:t>0.073</w:t>
            </w:r>
            <w:r w:rsidRPr="007A504A">
              <w:rPr>
                <w:rFonts w:cs="Times New Roman"/>
                <w:color w:val="000000" w:themeColor="text1"/>
                <w:sz w:val="17"/>
              </w:rPr>
              <w:br/>
              <w:t>(0.056)</w:t>
            </w:r>
          </w:p>
        </w:tc>
        <w:tc>
          <w:tcPr>
            <w:tcW w:w="1424" w:type="dxa"/>
          </w:tcPr>
          <w:p w14:paraId="291A4C2A" w14:textId="77777777" w:rsidR="00BD179B" w:rsidRPr="007A504A" w:rsidRDefault="00000000">
            <w:pPr>
              <w:jc w:val="center"/>
              <w:rPr>
                <w:rFonts w:cs="Times New Roman"/>
                <w:color w:val="000000" w:themeColor="text1"/>
              </w:rPr>
            </w:pPr>
            <w:r w:rsidRPr="007A504A">
              <w:rPr>
                <w:rFonts w:cs="Times New Roman"/>
                <w:color w:val="000000" w:themeColor="text1"/>
                <w:sz w:val="17"/>
              </w:rPr>
              <w:t>0.166</w:t>
            </w:r>
            <w:r w:rsidRPr="007A504A">
              <w:rPr>
                <w:rFonts w:cs="Times New Roman"/>
                <w:color w:val="000000" w:themeColor="text1"/>
                <w:sz w:val="17"/>
              </w:rPr>
              <w:br/>
              <w:t>(0.135)</w:t>
            </w:r>
          </w:p>
        </w:tc>
        <w:tc>
          <w:tcPr>
            <w:tcW w:w="1403" w:type="dxa"/>
          </w:tcPr>
          <w:p w14:paraId="70E8B33C" w14:textId="77777777" w:rsidR="00BD179B" w:rsidRPr="007A504A" w:rsidRDefault="00000000">
            <w:pPr>
              <w:jc w:val="center"/>
              <w:rPr>
                <w:rFonts w:cs="Times New Roman"/>
                <w:color w:val="000000" w:themeColor="text1"/>
              </w:rPr>
            </w:pPr>
            <w:r w:rsidRPr="007A504A">
              <w:rPr>
                <w:rFonts w:cs="Times New Roman"/>
                <w:color w:val="000000" w:themeColor="text1"/>
                <w:sz w:val="17"/>
              </w:rPr>
              <w:t>0.223</w:t>
            </w:r>
            <w:r w:rsidRPr="007A504A">
              <w:rPr>
                <w:rFonts w:cs="Times New Roman"/>
                <w:color w:val="000000" w:themeColor="text1"/>
                <w:sz w:val="17"/>
              </w:rPr>
              <w:br/>
              <w:t>(0.154)</w:t>
            </w:r>
          </w:p>
        </w:tc>
        <w:tc>
          <w:tcPr>
            <w:tcW w:w="1411" w:type="dxa"/>
          </w:tcPr>
          <w:p w14:paraId="2A30FCAF" w14:textId="77777777" w:rsidR="00BD179B" w:rsidRPr="007A504A" w:rsidRDefault="00000000">
            <w:pPr>
              <w:jc w:val="center"/>
              <w:rPr>
                <w:rFonts w:cs="Times New Roman"/>
                <w:color w:val="000000" w:themeColor="text1"/>
              </w:rPr>
            </w:pPr>
            <w:r w:rsidRPr="007A504A">
              <w:rPr>
                <w:rFonts w:cs="Times New Roman"/>
                <w:color w:val="000000" w:themeColor="text1"/>
                <w:sz w:val="17"/>
              </w:rPr>
              <w:t>0.175</w:t>
            </w:r>
            <w:r w:rsidRPr="007A504A">
              <w:rPr>
                <w:rFonts w:cs="Times New Roman"/>
                <w:color w:val="000000" w:themeColor="text1"/>
                <w:sz w:val="17"/>
              </w:rPr>
              <w:br/>
              <w:t>(0.132)</w:t>
            </w:r>
          </w:p>
        </w:tc>
      </w:tr>
      <w:tr w:rsidR="00B87706" w:rsidRPr="007A504A" w14:paraId="7FD5059A" w14:textId="77777777" w:rsidTr="00EB4264">
        <w:tc>
          <w:tcPr>
            <w:tcW w:w="1568" w:type="dxa"/>
          </w:tcPr>
          <w:p w14:paraId="117A9003" w14:textId="77777777" w:rsidR="00BD179B" w:rsidRPr="007A504A" w:rsidRDefault="00000000">
            <w:pPr>
              <w:rPr>
                <w:rFonts w:cs="Times New Roman"/>
                <w:color w:val="000000" w:themeColor="text1"/>
              </w:rPr>
            </w:pPr>
            <w:r w:rsidRPr="007A504A">
              <w:rPr>
                <w:rFonts w:cs="Times New Roman"/>
                <w:color w:val="000000" w:themeColor="text1"/>
                <w:sz w:val="17"/>
              </w:rPr>
              <w:t>Education: Bachelor's</w:t>
            </w:r>
          </w:p>
        </w:tc>
        <w:tc>
          <w:tcPr>
            <w:tcW w:w="1424" w:type="dxa"/>
          </w:tcPr>
          <w:p w14:paraId="25F38E18" w14:textId="77777777" w:rsidR="00BD179B" w:rsidRPr="007A504A" w:rsidRDefault="00000000">
            <w:pPr>
              <w:jc w:val="center"/>
              <w:rPr>
                <w:rFonts w:cs="Times New Roman"/>
                <w:color w:val="000000" w:themeColor="text1"/>
              </w:rPr>
            </w:pPr>
            <w:r w:rsidRPr="007A504A">
              <w:rPr>
                <w:rFonts w:cs="Times New Roman"/>
                <w:color w:val="000000" w:themeColor="text1"/>
                <w:sz w:val="17"/>
              </w:rPr>
              <w:t>0.073</w:t>
            </w:r>
            <w:r w:rsidRPr="007A504A">
              <w:rPr>
                <w:rFonts w:cs="Times New Roman"/>
                <w:color w:val="000000" w:themeColor="text1"/>
                <w:sz w:val="17"/>
              </w:rPr>
              <w:br/>
              <w:t>(0.069)</w:t>
            </w:r>
          </w:p>
        </w:tc>
        <w:tc>
          <w:tcPr>
            <w:tcW w:w="1400" w:type="dxa"/>
          </w:tcPr>
          <w:p w14:paraId="0B9F01BE" w14:textId="77777777" w:rsidR="00BD179B" w:rsidRPr="007A504A" w:rsidRDefault="00000000">
            <w:pPr>
              <w:jc w:val="center"/>
              <w:rPr>
                <w:rFonts w:cs="Times New Roman"/>
                <w:color w:val="000000" w:themeColor="text1"/>
              </w:rPr>
            </w:pPr>
            <w:r w:rsidRPr="007A504A">
              <w:rPr>
                <w:rFonts w:cs="Times New Roman"/>
                <w:color w:val="000000" w:themeColor="text1"/>
                <w:sz w:val="17"/>
              </w:rPr>
              <w:t>0.041</w:t>
            </w:r>
            <w:r w:rsidRPr="007A504A">
              <w:rPr>
                <w:rFonts w:cs="Times New Roman"/>
                <w:color w:val="000000" w:themeColor="text1"/>
                <w:sz w:val="17"/>
              </w:rPr>
              <w:br/>
              <w:t>(0.070)</w:t>
            </w:r>
          </w:p>
        </w:tc>
        <w:tc>
          <w:tcPr>
            <w:tcW w:w="1424" w:type="dxa"/>
          </w:tcPr>
          <w:p w14:paraId="6E129363" w14:textId="77777777" w:rsidR="00BD179B" w:rsidRPr="007A504A" w:rsidRDefault="00000000">
            <w:pPr>
              <w:jc w:val="center"/>
              <w:rPr>
                <w:rFonts w:cs="Times New Roman"/>
                <w:color w:val="000000" w:themeColor="text1"/>
              </w:rPr>
            </w:pPr>
            <w:r w:rsidRPr="007A504A">
              <w:rPr>
                <w:rFonts w:cs="Times New Roman"/>
                <w:color w:val="000000" w:themeColor="text1"/>
                <w:sz w:val="17"/>
              </w:rPr>
              <w:t>0.381**</w:t>
            </w:r>
            <w:r w:rsidRPr="007A504A">
              <w:rPr>
                <w:rFonts w:cs="Times New Roman"/>
                <w:color w:val="000000" w:themeColor="text1"/>
                <w:sz w:val="17"/>
              </w:rPr>
              <w:br/>
              <w:t>(0.156)</w:t>
            </w:r>
          </w:p>
        </w:tc>
        <w:tc>
          <w:tcPr>
            <w:tcW w:w="1403" w:type="dxa"/>
          </w:tcPr>
          <w:p w14:paraId="59AD3419" w14:textId="77777777" w:rsidR="00BD179B" w:rsidRPr="007A504A" w:rsidRDefault="00000000">
            <w:pPr>
              <w:jc w:val="center"/>
              <w:rPr>
                <w:rFonts w:cs="Times New Roman"/>
                <w:color w:val="000000" w:themeColor="text1"/>
              </w:rPr>
            </w:pPr>
            <w:r w:rsidRPr="007A504A">
              <w:rPr>
                <w:rFonts w:cs="Times New Roman"/>
                <w:color w:val="000000" w:themeColor="text1"/>
                <w:sz w:val="17"/>
              </w:rPr>
              <w:t>0.482**</w:t>
            </w:r>
            <w:r w:rsidRPr="007A504A">
              <w:rPr>
                <w:rFonts w:cs="Times New Roman"/>
                <w:color w:val="000000" w:themeColor="text1"/>
                <w:sz w:val="17"/>
              </w:rPr>
              <w:br/>
              <w:t>(0.197)</w:t>
            </w:r>
          </w:p>
        </w:tc>
        <w:tc>
          <w:tcPr>
            <w:tcW w:w="1411" w:type="dxa"/>
          </w:tcPr>
          <w:p w14:paraId="64B49C17" w14:textId="77777777" w:rsidR="00BD179B" w:rsidRPr="007A504A" w:rsidRDefault="00000000">
            <w:pPr>
              <w:jc w:val="center"/>
              <w:rPr>
                <w:rFonts w:cs="Times New Roman"/>
                <w:color w:val="000000" w:themeColor="text1"/>
              </w:rPr>
            </w:pPr>
            <w:r w:rsidRPr="007A504A">
              <w:rPr>
                <w:rFonts w:cs="Times New Roman"/>
                <w:color w:val="000000" w:themeColor="text1"/>
                <w:sz w:val="17"/>
              </w:rPr>
              <w:t>0.408**</w:t>
            </w:r>
            <w:r w:rsidRPr="007A504A">
              <w:rPr>
                <w:rFonts w:cs="Times New Roman"/>
                <w:color w:val="000000" w:themeColor="text1"/>
                <w:sz w:val="17"/>
              </w:rPr>
              <w:br/>
              <w:t>(0.167)</w:t>
            </w:r>
          </w:p>
        </w:tc>
      </w:tr>
      <w:tr w:rsidR="00B87706" w:rsidRPr="007A504A" w14:paraId="5CA28D8A" w14:textId="77777777" w:rsidTr="00EB4264">
        <w:tc>
          <w:tcPr>
            <w:tcW w:w="1568" w:type="dxa"/>
          </w:tcPr>
          <w:p w14:paraId="2A44F0B0" w14:textId="77777777" w:rsidR="00BD179B" w:rsidRPr="007A504A" w:rsidRDefault="00000000">
            <w:pPr>
              <w:rPr>
                <w:rFonts w:cs="Times New Roman"/>
                <w:color w:val="000000" w:themeColor="text1"/>
              </w:rPr>
            </w:pPr>
            <w:r w:rsidRPr="007A504A">
              <w:rPr>
                <w:rFonts w:cs="Times New Roman"/>
                <w:color w:val="000000" w:themeColor="text1"/>
                <w:sz w:val="17"/>
              </w:rPr>
              <w:t>Education: Postgraduate</w:t>
            </w:r>
          </w:p>
        </w:tc>
        <w:tc>
          <w:tcPr>
            <w:tcW w:w="1424" w:type="dxa"/>
          </w:tcPr>
          <w:p w14:paraId="31D260A3" w14:textId="77777777" w:rsidR="00BD179B" w:rsidRPr="007A504A" w:rsidRDefault="00000000">
            <w:pPr>
              <w:jc w:val="center"/>
              <w:rPr>
                <w:rFonts w:cs="Times New Roman"/>
                <w:color w:val="000000" w:themeColor="text1"/>
              </w:rPr>
            </w:pPr>
            <w:r w:rsidRPr="007A504A">
              <w:rPr>
                <w:rFonts w:cs="Times New Roman"/>
                <w:color w:val="000000" w:themeColor="text1"/>
                <w:sz w:val="17"/>
              </w:rPr>
              <w:t>-0.097</w:t>
            </w:r>
            <w:r w:rsidRPr="007A504A">
              <w:rPr>
                <w:rFonts w:cs="Times New Roman"/>
                <w:color w:val="000000" w:themeColor="text1"/>
                <w:sz w:val="17"/>
              </w:rPr>
              <w:br/>
              <w:t>(0.104)</w:t>
            </w:r>
          </w:p>
        </w:tc>
        <w:tc>
          <w:tcPr>
            <w:tcW w:w="1400" w:type="dxa"/>
          </w:tcPr>
          <w:p w14:paraId="6ED218BD" w14:textId="77777777" w:rsidR="00BD179B" w:rsidRPr="007A504A" w:rsidRDefault="00000000">
            <w:pPr>
              <w:jc w:val="center"/>
              <w:rPr>
                <w:rFonts w:cs="Times New Roman"/>
                <w:color w:val="000000" w:themeColor="text1"/>
              </w:rPr>
            </w:pPr>
            <w:r w:rsidRPr="007A504A">
              <w:rPr>
                <w:rFonts w:cs="Times New Roman"/>
                <w:color w:val="000000" w:themeColor="text1"/>
                <w:sz w:val="17"/>
              </w:rPr>
              <w:t>-0.186</w:t>
            </w:r>
            <w:r w:rsidRPr="007A504A">
              <w:rPr>
                <w:rFonts w:cs="Times New Roman"/>
                <w:color w:val="000000" w:themeColor="text1"/>
                <w:sz w:val="17"/>
              </w:rPr>
              <w:br/>
              <w:t>(0.117)</w:t>
            </w:r>
          </w:p>
        </w:tc>
        <w:tc>
          <w:tcPr>
            <w:tcW w:w="1424" w:type="dxa"/>
          </w:tcPr>
          <w:p w14:paraId="0D0C0E76" w14:textId="77777777" w:rsidR="00BD179B" w:rsidRPr="007A504A" w:rsidRDefault="00000000">
            <w:pPr>
              <w:jc w:val="center"/>
              <w:rPr>
                <w:rFonts w:cs="Times New Roman"/>
                <w:color w:val="000000" w:themeColor="text1"/>
              </w:rPr>
            </w:pPr>
            <w:r w:rsidRPr="007A504A">
              <w:rPr>
                <w:rFonts w:cs="Times New Roman"/>
                <w:color w:val="000000" w:themeColor="text1"/>
                <w:sz w:val="17"/>
              </w:rPr>
              <w:t>0.232</w:t>
            </w:r>
            <w:r w:rsidRPr="007A504A">
              <w:rPr>
                <w:rFonts w:cs="Times New Roman"/>
                <w:color w:val="000000" w:themeColor="text1"/>
                <w:sz w:val="17"/>
              </w:rPr>
              <w:br/>
              <w:t>(0.338)</w:t>
            </w:r>
          </w:p>
        </w:tc>
        <w:tc>
          <w:tcPr>
            <w:tcW w:w="1403" w:type="dxa"/>
          </w:tcPr>
          <w:p w14:paraId="22938BD4" w14:textId="77777777" w:rsidR="00BD179B" w:rsidRPr="007A504A" w:rsidRDefault="00000000">
            <w:pPr>
              <w:jc w:val="center"/>
              <w:rPr>
                <w:rFonts w:cs="Times New Roman"/>
                <w:color w:val="000000" w:themeColor="text1"/>
              </w:rPr>
            </w:pPr>
            <w:r w:rsidRPr="007A504A">
              <w:rPr>
                <w:rFonts w:cs="Times New Roman"/>
                <w:color w:val="000000" w:themeColor="text1"/>
                <w:sz w:val="17"/>
              </w:rPr>
              <w:t>0.192</w:t>
            </w:r>
            <w:r w:rsidRPr="007A504A">
              <w:rPr>
                <w:rFonts w:cs="Times New Roman"/>
                <w:color w:val="000000" w:themeColor="text1"/>
                <w:sz w:val="17"/>
              </w:rPr>
              <w:br/>
              <w:t>(0.412)</w:t>
            </w:r>
          </w:p>
        </w:tc>
        <w:tc>
          <w:tcPr>
            <w:tcW w:w="1411" w:type="dxa"/>
          </w:tcPr>
          <w:p w14:paraId="1167F805" w14:textId="77777777" w:rsidR="00BD179B" w:rsidRPr="007A504A" w:rsidRDefault="00000000">
            <w:pPr>
              <w:jc w:val="center"/>
              <w:rPr>
                <w:rFonts w:cs="Times New Roman"/>
                <w:color w:val="000000" w:themeColor="text1"/>
              </w:rPr>
            </w:pPr>
            <w:r w:rsidRPr="007A504A">
              <w:rPr>
                <w:rFonts w:cs="Times New Roman"/>
                <w:color w:val="000000" w:themeColor="text1"/>
                <w:sz w:val="17"/>
              </w:rPr>
              <w:t>0.277</w:t>
            </w:r>
            <w:r w:rsidRPr="007A504A">
              <w:rPr>
                <w:rFonts w:cs="Times New Roman"/>
                <w:color w:val="000000" w:themeColor="text1"/>
                <w:sz w:val="17"/>
              </w:rPr>
              <w:br/>
              <w:t>(0.374)</w:t>
            </w:r>
          </w:p>
        </w:tc>
      </w:tr>
      <w:tr w:rsidR="00B87706" w:rsidRPr="007A504A" w14:paraId="10980341" w14:textId="77777777" w:rsidTr="00EB4264">
        <w:tc>
          <w:tcPr>
            <w:tcW w:w="1568" w:type="dxa"/>
          </w:tcPr>
          <w:p w14:paraId="631CCA09" w14:textId="77777777" w:rsidR="00BD179B" w:rsidRPr="007A504A" w:rsidRDefault="00000000">
            <w:pPr>
              <w:rPr>
                <w:rFonts w:cs="Times New Roman"/>
                <w:color w:val="000000" w:themeColor="text1"/>
              </w:rPr>
            </w:pPr>
            <w:proofErr w:type="gramStart"/>
            <w:r w:rsidRPr="007A504A">
              <w:rPr>
                <w:rFonts w:cs="Times New Roman"/>
                <w:color w:val="000000" w:themeColor="text1"/>
                <w:sz w:val="17"/>
              </w:rPr>
              <w:t>Log(</w:t>
            </w:r>
            <w:proofErr w:type="gramEnd"/>
            <w:r w:rsidRPr="007A504A">
              <w:rPr>
                <w:rFonts w:cs="Times New Roman"/>
                <w:color w:val="000000" w:themeColor="text1"/>
                <w:sz w:val="17"/>
              </w:rPr>
              <w:t>Household Income)</w:t>
            </w:r>
          </w:p>
        </w:tc>
        <w:tc>
          <w:tcPr>
            <w:tcW w:w="1424" w:type="dxa"/>
          </w:tcPr>
          <w:p w14:paraId="627FB27B"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0" w:type="dxa"/>
          </w:tcPr>
          <w:p w14:paraId="57EEF226" w14:textId="77777777" w:rsidR="00BD179B" w:rsidRPr="007A504A" w:rsidRDefault="00000000">
            <w:pPr>
              <w:jc w:val="center"/>
              <w:rPr>
                <w:rFonts w:cs="Times New Roman"/>
                <w:color w:val="000000" w:themeColor="text1"/>
              </w:rPr>
            </w:pPr>
            <w:r w:rsidRPr="007A504A">
              <w:rPr>
                <w:rFonts w:cs="Times New Roman"/>
                <w:color w:val="000000" w:themeColor="text1"/>
                <w:sz w:val="17"/>
              </w:rPr>
              <w:t>0.069</w:t>
            </w:r>
            <w:r w:rsidRPr="007A504A">
              <w:rPr>
                <w:rFonts w:cs="Times New Roman"/>
                <w:color w:val="000000" w:themeColor="text1"/>
                <w:sz w:val="17"/>
              </w:rPr>
              <w:br/>
              <w:t>(0.036)</w:t>
            </w:r>
          </w:p>
        </w:tc>
        <w:tc>
          <w:tcPr>
            <w:tcW w:w="1424" w:type="dxa"/>
          </w:tcPr>
          <w:p w14:paraId="04CC7101" w14:textId="77777777" w:rsidR="00BD179B" w:rsidRPr="007A504A" w:rsidRDefault="00000000">
            <w:pPr>
              <w:jc w:val="center"/>
              <w:rPr>
                <w:rFonts w:cs="Times New Roman"/>
                <w:color w:val="000000" w:themeColor="text1"/>
              </w:rPr>
            </w:pPr>
            <w:r w:rsidRPr="007A504A">
              <w:rPr>
                <w:rFonts w:cs="Times New Roman"/>
                <w:color w:val="000000" w:themeColor="text1"/>
                <w:sz w:val="17"/>
              </w:rPr>
              <w:t>0.296***</w:t>
            </w:r>
            <w:r w:rsidRPr="007A504A">
              <w:rPr>
                <w:rFonts w:cs="Times New Roman"/>
                <w:color w:val="000000" w:themeColor="text1"/>
                <w:sz w:val="17"/>
              </w:rPr>
              <w:br/>
              <w:t>(0.077)</w:t>
            </w:r>
          </w:p>
        </w:tc>
        <w:tc>
          <w:tcPr>
            <w:tcW w:w="1403" w:type="dxa"/>
          </w:tcPr>
          <w:p w14:paraId="3217D4A2" w14:textId="77777777" w:rsidR="00BD179B" w:rsidRPr="007A504A" w:rsidRDefault="00000000">
            <w:pPr>
              <w:jc w:val="center"/>
              <w:rPr>
                <w:rFonts w:cs="Times New Roman"/>
                <w:color w:val="000000" w:themeColor="text1"/>
              </w:rPr>
            </w:pPr>
            <w:r w:rsidRPr="007A504A">
              <w:rPr>
                <w:rFonts w:cs="Times New Roman"/>
                <w:color w:val="000000" w:themeColor="text1"/>
                <w:sz w:val="17"/>
              </w:rPr>
              <w:t>0.258**</w:t>
            </w:r>
            <w:r w:rsidRPr="007A504A">
              <w:rPr>
                <w:rFonts w:cs="Times New Roman"/>
                <w:color w:val="000000" w:themeColor="text1"/>
                <w:sz w:val="17"/>
              </w:rPr>
              <w:br/>
              <w:t>(0.104)</w:t>
            </w:r>
          </w:p>
        </w:tc>
        <w:tc>
          <w:tcPr>
            <w:tcW w:w="1411" w:type="dxa"/>
          </w:tcPr>
          <w:p w14:paraId="57451734" w14:textId="77777777" w:rsidR="00BD179B" w:rsidRPr="007A504A" w:rsidRDefault="00000000">
            <w:pPr>
              <w:jc w:val="center"/>
              <w:rPr>
                <w:rFonts w:cs="Times New Roman"/>
                <w:color w:val="000000" w:themeColor="text1"/>
              </w:rPr>
            </w:pPr>
            <w:r w:rsidRPr="007A504A">
              <w:rPr>
                <w:rFonts w:cs="Times New Roman"/>
                <w:color w:val="000000" w:themeColor="text1"/>
                <w:sz w:val="17"/>
              </w:rPr>
              <w:t>0.291***</w:t>
            </w:r>
            <w:r w:rsidRPr="007A504A">
              <w:rPr>
                <w:rFonts w:cs="Times New Roman"/>
                <w:color w:val="000000" w:themeColor="text1"/>
                <w:sz w:val="17"/>
              </w:rPr>
              <w:br/>
              <w:t>(0.079)</w:t>
            </w:r>
          </w:p>
        </w:tc>
      </w:tr>
      <w:tr w:rsidR="00B87706" w:rsidRPr="007A504A" w14:paraId="36B39C22" w14:textId="77777777" w:rsidTr="00EB4264">
        <w:tc>
          <w:tcPr>
            <w:tcW w:w="1568" w:type="dxa"/>
          </w:tcPr>
          <w:p w14:paraId="32C19487" w14:textId="77777777" w:rsidR="00BD179B" w:rsidRPr="007A504A" w:rsidRDefault="00000000">
            <w:pPr>
              <w:rPr>
                <w:rFonts w:cs="Times New Roman"/>
                <w:color w:val="000000" w:themeColor="text1"/>
              </w:rPr>
            </w:pPr>
            <w:r w:rsidRPr="007A504A">
              <w:rPr>
                <w:rFonts w:cs="Times New Roman"/>
                <w:color w:val="000000" w:themeColor="text1"/>
                <w:sz w:val="17"/>
              </w:rPr>
              <w:t>Household Size</w:t>
            </w:r>
          </w:p>
        </w:tc>
        <w:tc>
          <w:tcPr>
            <w:tcW w:w="1424" w:type="dxa"/>
          </w:tcPr>
          <w:p w14:paraId="476BD68F" w14:textId="77777777" w:rsidR="00BD179B" w:rsidRPr="007A504A" w:rsidRDefault="00000000">
            <w:pPr>
              <w:jc w:val="center"/>
              <w:rPr>
                <w:rFonts w:cs="Times New Roman"/>
                <w:color w:val="000000" w:themeColor="text1"/>
              </w:rPr>
            </w:pPr>
            <w:r w:rsidRPr="007A504A">
              <w:rPr>
                <w:rFonts w:cs="Times New Roman"/>
                <w:color w:val="000000" w:themeColor="text1"/>
                <w:sz w:val="17"/>
              </w:rPr>
              <w:t>-0.074***</w:t>
            </w:r>
            <w:r w:rsidRPr="007A504A">
              <w:rPr>
                <w:rFonts w:cs="Times New Roman"/>
                <w:color w:val="000000" w:themeColor="text1"/>
                <w:sz w:val="17"/>
              </w:rPr>
              <w:br/>
              <w:t>(0.023)</w:t>
            </w:r>
          </w:p>
        </w:tc>
        <w:tc>
          <w:tcPr>
            <w:tcW w:w="1400" w:type="dxa"/>
          </w:tcPr>
          <w:p w14:paraId="0F130BC9" w14:textId="77777777" w:rsidR="00BD179B" w:rsidRPr="007A504A" w:rsidRDefault="00000000">
            <w:pPr>
              <w:jc w:val="center"/>
              <w:rPr>
                <w:rFonts w:cs="Times New Roman"/>
                <w:color w:val="000000" w:themeColor="text1"/>
              </w:rPr>
            </w:pPr>
            <w:r w:rsidRPr="007A504A">
              <w:rPr>
                <w:rFonts w:cs="Times New Roman"/>
                <w:color w:val="000000" w:themeColor="text1"/>
                <w:sz w:val="17"/>
              </w:rPr>
              <w:t>-0.058***</w:t>
            </w:r>
            <w:r w:rsidRPr="007A504A">
              <w:rPr>
                <w:rFonts w:cs="Times New Roman"/>
                <w:color w:val="000000" w:themeColor="text1"/>
                <w:sz w:val="17"/>
              </w:rPr>
              <w:br/>
              <w:t>(0.023)</w:t>
            </w:r>
          </w:p>
        </w:tc>
        <w:tc>
          <w:tcPr>
            <w:tcW w:w="1424" w:type="dxa"/>
          </w:tcPr>
          <w:p w14:paraId="68B7DDB5"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3" w:type="dxa"/>
          </w:tcPr>
          <w:p w14:paraId="70C151BA" w14:textId="77777777" w:rsidR="00BD179B" w:rsidRPr="007A504A" w:rsidRDefault="00000000">
            <w:pPr>
              <w:jc w:val="center"/>
              <w:rPr>
                <w:rFonts w:cs="Times New Roman"/>
                <w:color w:val="000000" w:themeColor="text1"/>
              </w:rPr>
            </w:pPr>
            <w:r w:rsidRPr="007A504A">
              <w:rPr>
                <w:rFonts w:cs="Times New Roman"/>
                <w:color w:val="000000" w:themeColor="text1"/>
                <w:sz w:val="17"/>
              </w:rPr>
              <w:t>0.031</w:t>
            </w:r>
            <w:r w:rsidRPr="007A504A">
              <w:rPr>
                <w:rFonts w:cs="Times New Roman"/>
                <w:color w:val="000000" w:themeColor="text1"/>
                <w:sz w:val="17"/>
              </w:rPr>
              <w:br/>
              <w:t>(0.065)</w:t>
            </w:r>
          </w:p>
        </w:tc>
        <w:tc>
          <w:tcPr>
            <w:tcW w:w="1411" w:type="dxa"/>
          </w:tcPr>
          <w:p w14:paraId="436938C4" w14:textId="77777777" w:rsidR="00BD179B" w:rsidRPr="007A504A" w:rsidRDefault="00000000">
            <w:pPr>
              <w:jc w:val="center"/>
              <w:rPr>
                <w:rFonts w:cs="Times New Roman"/>
                <w:color w:val="000000" w:themeColor="text1"/>
              </w:rPr>
            </w:pPr>
            <w:r w:rsidRPr="007A504A">
              <w:rPr>
                <w:rFonts w:cs="Times New Roman"/>
                <w:color w:val="000000" w:themeColor="text1"/>
                <w:sz w:val="17"/>
              </w:rPr>
              <w:t>0.035</w:t>
            </w:r>
            <w:r w:rsidRPr="007A504A">
              <w:rPr>
                <w:rFonts w:cs="Times New Roman"/>
                <w:color w:val="000000" w:themeColor="text1"/>
                <w:sz w:val="17"/>
              </w:rPr>
              <w:br/>
              <w:t>(0.055)</w:t>
            </w:r>
          </w:p>
        </w:tc>
      </w:tr>
      <w:tr w:rsidR="00B87706" w:rsidRPr="007A504A" w14:paraId="6DFD70ED" w14:textId="77777777" w:rsidTr="00EB4264">
        <w:tc>
          <w:tcPr>
            <w:tcW w:w="1568" w:type="dxa"/>
          </w:tcPr>
          <w:p w14:paraId="23799188" w14:textId="77777777" w:rsidR="00BD179B" w:rsidRPr="007A504A" w:rsidRDefault="00000000">
            <w:pPr>
              <w:rPr>
                <w:rFonts w:cs="Times New Roman"/>
                <w:color w:val="000000" w:themeColor="text1"/>
              </w:rPr>
            </w:pPr>
            <w:proofErr w:type="spellStart"/>
            <w:r w:rsidRPr="007A504A">
              <w:rPr>
                <w:rFonts w:cs="Times New Roman"/>
                <w:color w:val="000000" w:themeColor="text1"/>
                <w:sz w:val="17"/>
              </w:rPr>
              <w:t>LT_Type</w:t>
            </w:r>
            <w:proofErr w:type="spellEnd"/>
            <w:r w:rsidRPr="007A504A">
              <w:rPr>
                <w:rFonts w:cs="Times New Roman"/>
                <w:color w:val="000000" w:themeColor="text1"/>
                <w:sz w:val="17"/>
              </w:rPr>
              <w:t>: Title (vs Deed)</w:t>
            </w:r>
          </w:p>
        </w:tc>
        <w:tc>
          <w:tcPr>
            <w:tcW w:w="1424" w:type="dxa"/>
          </w:tcPr>
          <w:p w14:paraId="09D0C555" w14:textId="77777777" w:rsidR="00BD179B" w:rsidRPr="007A504A" w:rsidRDefault="00000000">
            <w:pPr>
              <w:jc w:val="center"/>
              <w:rPr>
                <w:rFonts w:cs="Times New Roman"/>
                <w:color w:val="000000" w:themeColor="text1"/>
              </w:rPr>
            </w:pPr>
            <w:r w:rsidRPr="007A504A">
              <w:rPr>
                <w:rFonts w:cs="Times New Roman"/>
                <w:color w:val="000000" w:themeColor="text1"/>
                <w:sz w:val="17"/>
              </w:rPr>
              <w:t>0.055</w:t>
            </w:r>
            <w:r w:rsidRPr="007A504A">
              <w:rPr>
                <w:rFonts w:cs="Times New Roman"/>
                <w:color w:val="000000" w:themeColor="text1"/>
                <w:sz w:val="17"/>
              </w:rPr>
              <w:br/>
              <w:t>(0.047)</w:t>
            </w:r>
          </w:p>
        </w:tc>
        <w:tc>
          <w:tcPr>
            <w:tcW w:w="1400" w:type="dxa"/>
          </w:tcPr>
          <w:p w14:paraId="292F06D3" w14:textId="77777777" w:rsidR="00BD179B" w:rsidRPr="007A504A" w:rsidRDefault="00000000">
            <w:pPr>
              <w:jc w:val="center"/>
              <w:rPr>
                <w:rFonts w:cs="Times New Roman"/>
                <w:color w:val="000000" w:themeColor="text1"/>
              </w:rPr>
            </w:pPr>
            <w:r w:rsidRPr="007A504A">
              <w:rPr>
                <w:rFonts w:cs="Times New Roman"/>
                <w:color w:val="000000" w:themeColor="text1"/>
                <w:sz w:val="17"/>
              </w:rPr>
              <w:t>0.043</w:t>
            </w:r>
            <w:r w:rsidRPr="007A504A">
              <w:rPr>
                <w:rFonts w:cs="Times New Roman"/>
                <w:color w:val="000000" w:themeColor="text1"/>
                <w:sz w:val="17"/>
              </w:rPr>
              <w:br/>
              <w:t>(0.045)</w:t>
            </w:r>
          </w:p>
        </w:tc>
        <w:tc>
          <w:tcPr>
            <w:tcW w:w="1424" w:type="dxa"/>
          </w:tcPr>
          <w:p w14:paraId="0C25A84B"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3" w:type="dxa"/>
          </w:tcPr>
          <w:p w14:paraId="1BB5FE58" w14:textId="77777777" w:rsidR="00BD179B" w:rsidRPr="007A504A" w:rsidRDefault="00000000">
            <w:pPr>
              <w:jc w:val="center"/>
              <w:rPr>
                <w:rFonts w:cs="Times New Roman"/>
                <w:color w:val="000000" w:themeColor="text1"/>
              </w:rPr>
            </w:pPr>
            <w:r w:rsidRPr="007A504A">
              <w:rPr>
                <w:rFonts w:cs="Times New Roman"/>
                <w:color w:val="000000" w:themeColor="text1"/>
                <w:sz w:val="17"/>
              </w:rPr>
              <w:t>0.063</w:t>
            </w:r>
            <w:r w:rsidRPr="007A504A">
              <w:rPr>
                <w:rFonts w:cs="Times New Roman"/>
                <w:color w:val="000000" w:themeColor="text1"/>
                <w:sz w:val="17"/>
              </w:rPr>
              <w:br/>
              <w:t>(0.126)</w:t>
            </w:r>
          </w:p>
        </w:tc>
        <w:tc>
          <w:tcPr>
            <w:tcW w:w="1411" w:type="dxa"/>
          </w:tcPr>
          <w:p w14:paraId="2FEB392E" w14:textId="77777777" w:rsidR="00BD179B" w:rsidRPr="007A504A" w:rsidRDefault="00000000">
            <w:pPr>
              <w:jc w:val="center"/>
              <w:rPr>
                <w:rFonts w:cs="Times New Roman"/>
                <w:color w:val="000000" w:themeColor="text1"/>
              </w:rPr>
            </w:pPr>
            <w:r w:rsidRPr="007A504A">
              <w:rPr>
                <w:rFonts w:cs="Times New Roman"/>
                <w:color w:val="000000" w:themeColor="text1"/>
                <w:sz w:val="17"/>
              </w:rPr>
              <w:t>0.067</w:t>
            </w:r>
            <w:r w:rsidRPr="007A504A">
              <w:rPr>
                <w:rFonts w:cs="Times New Roman"/>
                <w:color w:val="000000" w:themeColor="text1"/>
                <w:sz w:val="17"/>
              </w:rPr>
              <w:br/>
              <w:t>(0.125)</w:t>
            </w:r>
          </w:p>
        </w:tc>
      </w:tr>
      <w:tr w:rsidR="00B87706" w:rsidRPr="007A504A" w14:paraId="7724C991" w14:textId="77777777" w:rsidTr="00EB4264">
        <w:tc>
          <w:tcPr>
            <w:tcW w:w="1568" w:type="dxa"/>
          </w:tcPr>
          <w:p w14:paraId="2EE21E6C" w14:textId="77777777" w:rsidR="00BD179B" w:rsidRPr="007A504A" w:rsidRDefault="00000000">
            <w:pPr>
              <w:rPr>
                <w:rFonts w:cs="Times New Roman"/>
                <w:color w:val="000000" w:themeColor="text1"/>
              </w:rPr>
            </w:pPr>
            <w:proofErr w:type="spellStart"/>
            <w:r w:rsidRPr="007A504A">
              <w:rPr>
                <w:rFonts w:cs="Times New Roman"/>
                <w:color w:val="000000" w:themeColor="text1"/>
                <w:sz w:val="17"/>
              </w:rPr>
              <w:t>LT_Type</w:t>
            </w:r>
            <w:proofErr w:type="spellEnd"/>
            <w:r w:rsidRPr="007A504A">
              <w:rPr>
                <w:rFonts w:cs="Times New Roman"/>
                <w:color w:val="000000" w:themeColor="text1"/>
                <w:sz w:val="17"/>
              </w:rPr>
              <w:t>: Other (vs Deed)</w:t>
            </w:r>
          </w:p>
        </w:tc>
        <w:tc>
          <w:tcPr>
            <w:tcW w:w="1424" w:type="dxa"/>
          </w:tcPr>
          <w:p w14:paraId="33B5E57C" w14:textId="77777777" w:rsidR="00BD179B" w:rsidRPr="007A504A" w:rsidRDefault="00000000">
            <w:pPr>
              <w:jc w:val="center"/>
              <w:rPr>
                <w:rFonts w:cs="Times New Roman"/>
                <w:color w:val="000000" w:themeColor="text1"/>
              </w:rPr>
            </w:pPr>
            <w:r w:rsidRPr="007A504A">
              <w:rPr>
                <w:rFonts w:cs="Times New Roman"/>
                <w:color w:val="000000" w:themeColor="text1"/>
                <w:sz w:val="17"/>
              </w:rPr>
              <w:t>0.345***</w:t>
            </w:r>
            <w:r w:rsidRPr="007A504A">
              <w:rPr>
                <w:rFonts w:cs="Times New Roman"/>
                <w:color w:val="000000" w:themeColor="text1"/>
                <w:sz w:val="17"/>
              </w:rPr>
              <w:br/>
              <w:t>(0.116)</w:t>
            </w:r>
          </w:p>
        </w:tc>
        <w:tc>
          <w:tcPr>
            <w:tcW w:w="1400" w:type="dxa"/>
          </w:tcPr>
          <w:p w14:paraId="64318E20" w14:textId="77777777" w:rsidR="00BD179B" w:rsidRPr="007A504A" w:rsidRDefault="00000000">
            <w:pPr>
              <w:jc w:val="center"/>
              <w:rPr>
                <w:rFonts w:cs="Times New Roman"/>
                <w:color w:val="000000" w:themeColor="text1"/>
              </w:rPr>
            </w:pPr>
            <w:r w:rsidRPr="007A504A">
              <w:rPr>
                <w:rFonts w:cs="Times New Roman"/>
                <w:color w:val="000000" w:themeColor="text1"/>
                <w:sz w:val="17"/>
              </w:rPr>
              <w:t>0.321***</w:t>
            </w:r>
            <w:r w:rsidRPr="007A504A">
              <w:rPr>
                <w:rFonts w:cs="Times New Roman"/>
                <w:color w:val="000000" w:themeColor="text1"/>
                <w:sz w:val="17"/>
              </w:rPr>
              <w:br/>
              <w:t>(0.109)</w:t>
            </w:r>
          </w:p>
        </w:tc>
        <w:tc>
          <w:tcPr>
            <w:tcW w:w="1424" w:type="dxa"/>
          </w:tcPr>
          <w:p w14:paraId="5C2657C9"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3" w:type="dxa"/>
          </w:tcPr>
          <w:p w14:paraId="4602A504" w14:textId="77777777" w:rsidR="00BD179B" w:rsidRPr="007A504A" w:rsidRDefault="00000000">
            <w:pPr>
              <w:jc w:val="center"/>
              <w:rPr>
                <w:rFonts w:cs="Times New Roman"/>
                <w:color w:val="000000" w:themeColor="text1"/>
              </w:rPr>
            </w:pPr>
            <w:r w:rsidRPr="007A504A">
              <w:rPr>
                <w:rFonts w:cs="Times New Roman"/>
                <w:color w:val="000000" w:themeColor="text1"/>
                <w:sz w:val="17"/>
              </w:rPr>
              <w:t>0.042</w:t>
            </w:r>
            <w:r w:rsidRPr="007A504A">
              <w:rPr>
                <w:rFonts w:cs="Times New Roman"/>
                <w:color w:val="000000" w:themeColor="text1"/>
                <w:sz w:val="17"/>
              </w:rPr>
              <w:br/>
              <w:t>(0.200)</w:t>
            </w:r>
          </w:p>
        </w:tc>
        <w:tc>
          <w:tcPr>
            <w:tcW w:w="1411" w:type="dxa"/>
          </w:tcPr>
          <w:p w14:paraId="6E8172FA" w14:textId="77777777" w:rsidR="00BD179B" w:rsidRPr="007A504A" w:rsidRDefault="00000000">
            <w:pPr>
              <w:jc w:val="center"/>
              <w:rPr>
                <w:rFonts w:cs="Times New Roman"/>
                <w:color w:val="000000" w:themeColor="text1"/>
              </w:rPr>
            </w:pPr>
            <w:r w:rsidRPr="007A504A">
              <w:rPr>
                <w:rFonts w:cs="Times New Roman"/>
                <w:color w:val="000000" w:themeColor="text1"/>
                <w:sz w:val="17"/>
              </w:rPr>
              <w:t>-0.008</w:t>
            </w:r>
            <w:r w:rsidRPr="007A504A">
              <w:rPr>
                <w:rFonts w:cs="Times New Roman"/>
                <w:color w:val="000000" w:themeColor="text1"/>
                <w:sz w:val="17"/>
              </w:rPr>
              <w:br/>
              <w:t>(0.186)</w:t>
            </w:r>
          </w:p>
        </w:tc>
      </w:tr>
      <w:tr w:rsidR="00B87706" w:rsidRPr="007A504A" w14:paraId="72CCD32E" w14:textId="77777777" w:rsidTr="00EB4264">
        <w:tc>
          <w:tcPr>
            <w:tcW w:w="1568" w:type="dxa"/>
          </w:tcPr>
          <w:p w14:paraId="5955BD7B" w14:textId="77777777" w:rsidR="00BD179B" w:rsidRPr="007A504A" w:rsidRDefault="00000000">
            <w:pPr>
              <w:rPr>
                <w:rFonts w:cs="Times New Roman"/>
                <w:color w:val="000000" w:themeColor="text1"/>
              </w:rPr>
            </w:pPr>
            <w:r w:rsidRPr="007A504A">
              <w:rPr>
                <w:rFonts w:cs="Times New Roman"/>
                <w:color w:val="000000" w:themeColor="text1"/>
                <w:sz w:val="17"/>
              </w:rPr>
              <w:t>Benefit perception index</w:t>
            </w:r>
          </w:p>
        </w:tc>
        <w:tc>
          <w:tcPr>
            <w:tcW w:w="1424" w:type="dxa"/>
          </w:tcPr>
          <w:p w14:paraId="4952F0A0" w14:textId="77777777" w:rsidR="00BD179B" w:rsidRPr="007A504A" w:rsidRDefault="00000000">
            <w:pPr>
              <w:jc w:val="center"/>
              <w:rPr>
                <w:rFonts w:cs="Times New Roman"/>
                <w:color w:val="000000" w:themeColor="text1"/>
              </w:rPr>
            </w:pPr>
            <w:r w:rsidRPr="007A504A">
              <w:rPr>
                <w:rFonts w:cs="Times New Roman"/>
                <w:color w:val="000000" w:themeColor="text1"/>
                <w:sz w:val="17"/>
              </w:rPr>
              <w:t>0.077***</w:t>
            </w:r>
            <w:r w:rsidRPr="007A504A">
              <w:rPr>
                <w:rFonts w:cs="Times New Roman"/>
                <w:color w:val="000000" w:themeColor="text1"/>
                <w:sz w:val="17"/>
              </w:rPr>
              <w:br/>
              <w:t>(0.023)</w:t>
            </w:r>
          </w:p>
        </w:tc>
        <w:tc>
          <w:tcPr>
            <w:tcW w:w="1400" w:type="dxa"/>
          </w:tcPr>
          <w:p w14:paraId="0DE5F4E8" w14:textId="77777777" w:rsidR="00BD179B" w:rsidRPr="007A504A" w:rsidRDefault="00000000">
            <w:pPr>
              <w:jc w:val="center"/>
              <w:rPr>
                <w:rFonts w:cs="Times New Roman"/>
                <w:color w:val="000000" w:themeColor="text1"/>
              </w:rPr>
            </w:pPr>
            <w:r w:rsidRPr="007A504A">
              <w:rPr>
                <w:rFonts w:cs="Times New Roman"/>
                <w:color w:val="000000" w:themeColor="text1"/>
                <w:sz w:val="17"/>
              </w:rPr>
              <w:t>0.063**</w:t>
            </w:r>
            <w:r w:rsidRPr="007A504A">
              <w:rPr>
                <w:rFonts w:cs="Times New Roman"/>
                <w:color w:val="000000" w:themeColor="text1"/>
                <w:sz w:val="17"/>
              </w:rPr>
              <w:br/>
              <w:t>(0.025)</w:t>
            </w:r>
          </w:p>
        </w:tc>
        <w:tc>
          <w:tcPr>
            <w:tcW w:w="1424" w:type="dxa"/>
          </w:tcPr>
          <w:p w14:paraId="49F12666" w14:textId="77777777" w:rsidR="00BD179B" w:rsidRPr="007A504A" w:rsidRDefault="00000000">
            <w:pPr>
              <w:jc w:val="center"/>
              <w:rPr>
                <w:rFonts w:cs="Times New Roman"/>
                <w:color w:val="000000" w:themeColor="text1"/>
              </w:rPr>
            </w:pPr>
            <w:r w:rsidRPr="007A504A">
              <w:rPr>
                <w:rFonts w:cs="Times New Roman"/>
                <w:color w:val="000000" w:themeColor="text1"/>
                <w:sz w:val="17"/>
              </w:rPr>
              <w:t>0.173**</w:t>
            </w:r>
            <w:r w:rsidRPr="007A504A">
              <w:rPr>
                <w:rFonts w:cs="Times New Roman"/>
                <w:color w:val="000000" w:themeColor="text1"/>
                <w:sz w:val="17"/>
              </w:rPr>
              <w:br/>
              <w:t>(0.080)</w:t>
            </w:r>
          </w:p>
        </w:tc>
        <w:tc>
          <w:tcPr>
            <w:tcW w:w="1403" w:type="dxa"/>
          </w:tcPr>
          <w:p w14:paraId="435AE0C9" w14:textId="77777777" w:rsidR="00BD179B" w:rsidRPr="007A504A" w:rsidRDefault="00000000">
            <w:pPr>
              <w:jc w:val="center"/>
              <w:rPr>
                <w:rFonts w:cs="Times New Roman"/>
                <w:color w:val="000000" w:themeColor="text1"/>
              </w:rPr>
            </w:pPr>
            <w:r w:rsidRPr="007A504A">
              <w:rPr>
                <w:rFonts w:cs="Times New Roman"/>
                <w:color w:val="000000" w:themeColor="text1"/>
                <w:sz w:val="17"/>
              </w:rPr>
              <w:t>0.192**</w:t>
            </w:r>
            <w:r w:rsidRPr="007A504A">
              <w:rPr>
                <w:rFonts w:cs="Times New Roman"/>
                <w:color w:val="000000" w:themeColor="text1"/>
                <w:sz w:val="17"/>
              </w:rPr>
              <w:br/>
              <w:t>(0.094)</w:t>
            </w:r>
          </w:p>
        </w:tc>
        <w:tc>
          <w:tcPr>
            <w:tcW w:w="1411" w:type="dxa"/>
          </w:tcPr>
          <w:p w14:paraId="106E4EAC" w14:textId="77777777" w:rsidR="00BD179B" w:rsidRPr="007A504A" w:rsidRDefault="00000000">
            <w:pPr>
              <w:jc w:val="center"/>
              <w:rPr>
                <w:rFonts w:cs="Times New Roman"/>
                <w:color w:val="000000" w:themeColor="text1"/>
              </w:rPr>
            </w:pPr>
            <w:r w:rsidRPr="007A504A">
              <w:rPr>
                <w:rFonts w:cs="Times New Roman"/>
                <w:color w:val="000000" w:themeColor="text1"/>
                <w:sz w:val="17"/>
              </w:rPr>
              <w:t>0.125</w:t>
            </w:r>
            <w:r w:rsidRPr="007A504A">
              <w:rPr>
                <w:rFonts w:cs="Times New Roman"/>
                <w:color w:val="000000" w:themeColor="text1"/>
                <w:sz w:val="17"/>
              </w:rPr>
              <w:br/>
              <w:t>(0.477)</w:t>
            </w:r>
          </w:p>
        </w:tc>
      </w:tr>
      <w:tr w:rsidR="00B87706" w:rsidRPr="007A504A" w14:paraId="3DF27530" w14:textId="77777777" w:rsidTr="00EB4264">
        <w:tc>
          <w:tcPr>
            <w:tcW w:w="1568" w:type="dxa"/>
          </w:tcPr>
          <w:p w14:paraId="36CE7C7B" w14:textId="256BA7BB" w:rsidR="00BD179B" w:rsidRPr="007A504A" w:rsidRDefault="00000000">
            <w:pPr>
              <w:rPr>
                <w:rFonts w:cs="Times New Roman"/>
                <w:color w:val="000000" w:themeColor="text1"/>
              </w:rPr>
            </w:pPr>
            <w:r w:rsidRPr="007A504A">
              <w:rPr>
                <w:rFonts w:cs="Times New Roman"/>
                <w:color w:val="000000" w:themeColor="text1"/>
                <w:sz w:val="17"/>
              </w:rPr>
              <w:t>TRANSPARENCY</w:t>
            </w:r>
          </w:p>
        </w:tc>
        <w:tc>
          <w:tcPr>
            <w:tcW w:w="1424" w:type="dxa"/>
          </w:tcPr>
          <w:p w14:paraId="2A8A3C66"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0" w:type="dxa"/>
          </w:tcPr>
          <w:p w14:paraId="143BD3FF" w14:textId="77777777" w:rsidR="00BD179B" w:rsidRPr="007A504A" w:rsidRDefault="00000000">
            <w:pPr>
              <w:jc w:val="center"/>
              <w:rPr>
                <w:rFonts w:cs="Times New Roman"/>
                <w:color w:val="000000" w:themeColor="text1"/>
              </w:rPr>
            </w:pPr>
            <w:r w:rsidRPr="007A504A">
              <w:rPr>
                <w:rFonts w:cs="Times New Roman"/>
                <w:color w:val="000000" w:themeColor="text1"/>
                <w:sz w:val="17"/>
              </w:rPr>
              <w:t>0.021</w:t>
            </w:r>
            <w:r w:rsidRPr="007A504A">
              <w:rPr>
                <w:rFonts w:cs="Times New Roman"/>
                <w:color w:val="000000" w:themeColor="text1"/>
                <w:sz w:val="17"/>
              </w:rPr>
              <w:br/>
              <w:t>(0.027)</w:t>
            </w:r>
          </w:p>
        </w:tc>
        <w:tc>
          <w:tcPr>
            <w:tcW w:w="1424" w:type="dxa"/>
          </w:tcPr>
          <w:p w14:paraId="5640A74A" w14:textId="77777777" w:rsidR="00BD179B" w:rsidRPr="007A504A" w:rsidRDefault="00000000">
            <w:pPr>
              <w:jc w:val="center"/>
              <w:rPr>
                <w:rFonts w:cs="Times New Roman"/>
                <w:color w:val="000000" w:themeColor="text1"/>
              </w:rPr>
            </w:pPr>
            <w:r w:rsidRPr="007A504A">
              <w:rPr>
                <w:rFonts w:cs="Times New Roman"/>
                <w:color w:val="000000" w:themeColor="text1"/>
                <w:sz w:val="17"/>
              </w:rPr>
              <w:t>0.204***</w:t>
            </w:r>
            <w:r w:rsidRPr="007A504A">
              <w:rPr>
                <w:rFonts w:cs="Times New Roman"/>
                <w:color w:val="000000" w:themeColor="text1"/>
                <w:sz w:val="17"/>
              </w:rPr>
              <w:br/>
              <w:t>(0.069)</w:t>
            </w:r>
          </w:p>
        </w:tc>
        <w:tc>
          <w:tcPr>
            <w:tcW w:w="1403" w:type="dxa"/>
          </w:tcPr>
          <w:p w14:paraId="095EB0EE" w14:textId="77777777" w:rsidR="00BD179B" w:rsidRPr="007A504A" w:rsidRDefault="00000000">
            <w:pPr>
              <w:jc w:val="center"/>
              <w:rPr>
                <w:rFonts w:cs="Times New Roman"/>
                <w:color w:val="000000" w:themeColor="text1"/>
              </w:rPr>
            </w:pPr>
            <w:r w:rsidRPr="007A504A">
              <w:rPr>
                <w:rFonts w:cs="Times New Roman"/>
                <w:color w:val="000000" w:themeColor="text1"/>
                <w:sz w:val="17"/>
              </w:rPr>
              <w:t>0.217***</w:t>
            </w:r>
            <w:r w:rsidRPr="007A504A">
              <w:rPr>
                <w:rFonts w:cs="Times New Roman"/>
                <w:color w:val="000000" w:themeColor="text1"/>
                <w:sz w:val="17"/>
              </w:rPr>
              <w:br/>
              <w:t>(0.070)</w:t>
            </w:r>
          </w:p>
        </w:tc>
        <w:tc>
          <w:tcPr>
            <w:tcW w:w="1411" w:type="dxa"/>
          </w:tcPr>
          <w:p w14:paraId="10B65548" w14:textId="77777777" w:rsidR="00BD179B" w:rsidRPr="007A504A" w:rsidRDefault="00000000">
            <w:pPr>
              <w:jc w:val="center"/>
              <w:rPr>
                <w:rFonts w:cs="Times New Roman"/>
                <w:color w:val="000000" w:themeColor="text1"/>
              </w:rPr>
            </w:pPr>
            <w:r w:rsidRPr="007A504A">
              <w:rPr>
                <w:rFonts w:cs="Times New Roman"/>
                <w:color w:val="000000" w:themeColor="text1"/>
                <w:sz w:val="17"/>
              </w:rPr>
              <w:t>0.319*</w:t>
            </w:r>
            <w:r w:rsidRPr="007A504A">
              <w:rPr>
                <w:rFonts w:cs="Times New Roman"/>
                <w:color w:val="000000" w:themeColor="text1"/>
                <w:sz w:val="17"/>
              </w:rPr>
              <w:br/>
              <w:t>(0.191)</w:t>
            </w:r>
          </w:p>
        </w:tc>
      </w:tr>
      <w:tr w:rsidR="00B87706" w:rsidRPr="007A504A" w14:paraId="3E74408D" w14:textId="77777777" w:rsidTr="00EB4264">
        <w:tc>
          <w:tcPr>
            <w:tcW w:w="1568" w:type="dxa"/>
          </w:tcPr>
          <w:p w14:paraId="19867799" w14:textId="77777777" w:rsidR="00BD179B" w:rsidRPr="007A504A" w:rsidRDefault="00000000">
            <w:pPr>
              <w:rPr>
                <w:rFonts w:cs="Times New Roman"/>
                <w:color w:val="000000" w:themeColor="text1"/>
              </w:rPr>
            </w:pPr>
            <w:r w:rsidRPr="007A504A">
              <w:rPr>
                <w:rFonts w:cs="Times New Roman"/>
                <w:color w:val="000000" w:themeColor="text1"/>
                <w:sz w:val="17"/>
              </w:rPr>
              <w:t>Gender (1=female)</w:t>
            </w:r>
          </w:p>
        </w:tc>
        <w:tc>
          <w:tcPr>
            <w:tcW w:w="1424" w:type="dxa"/>
          </w:tcPr>
          <w:p w14:paraId="56A6F528"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0" w:type="dxa"/>
          </w:tcPr>
          <w:p w14:paraId="5E17F1CC" w14:textId="77777777" w:rsidR="00BD179B" w:rsidRPr="007A504A" w:rsidRDefault="00000000">
            <w:pPr>
              <w:jc w:val="center"/>
              <w:rPr>
                <w:rFonts w:cs="Times New Roman"/>
                <w:color w:val="000000" w:themeColor="text1"/>
              </w:rPr>
            </w:pPr>
            <w:r w:rsidRPr="007A504A">
              <w:rPr>
                <w:rFonts w:cs="Times New Roman"/>
                <w:color w:val="000000" w:themeColor="text1"/>
                <w:sz w:val="17"/>
              </w:rPr>
              <w:t>-0.096</w:t>
            </w:r>
            <w:r w:rsidRPr="007A504A">
              <w:rPr>
                <w:rFonts w:cs="Times New Roman"/>
                <w:color w:val="000000" w:themeColor="text1"/>
                <w:sz w:val="17"/>
              </w:rPr>
              <w:br/>
              <w:t>(0.059)</w:t>
            </w:r>
          </w:p>
        </w:tc>
        <w:tc>
          <w:tcPr>
            <w:tcW w:w="1424" w:type="dxa"/>
          </w:tcPr>
          <w:p w14:paraId="57A3F906"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3" w:type="dxa"/>
          </w:tcPr>
          <w:p w14:paraId="489533D2" w14:textId="77777777" w:rsidR="00BD179B" w:rsidRPr="007A504A" w:rsidRDefault="00000000">
            <w:pPr>
              <w:jc w:val="center"/>
              <w:rPr>
                <w:rFonts w:cs="Times New Roman"/>
                <w:color w:val="000000" w:themeColor="text1"/>
              </w:rPr>
            </w:pPr>
            <w:r w:rsidRPr="007A504A">
              <w:rPr>
                <w:rFonts w:cs="Times New Roman"/>
                <w:color w:val="000000" w:themeColor="text1"/>
                <w:sz w:val="17"/>
              </w:rPr>
              <w:t>-0.277</w:t>
            </w:r>
            <w:r w:rsidRPr="007A504A">
              <w:rPr>
                <w:rFonts w:cs="Times New Roman"/>
                <w:color w:val="000000" w:themeColor="text1"/>
                <w:sz w:val="17"/>
              </w:rPr>
              <w:br/>
              <w:t>(0.227)</w:t>
            </w:r>
          </w:p>
        </w:tc>
        <w:tc>
          <w:tcPr>
            <w:tcW w:w="1411" w:type="dxa"/>
          </w:tcPr>
          <w:p w14:paraId="1EF1D48F"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r>
      <w:tr w:rsidR="00B87706" w:rsidRPr="007A504A" w14:paraId="20AE6896" w14:textId="77777777" w:rsidTr="00EB4264">
        <w:tc>
          <w:tcPr>
            <w:tcW w:w="1568" w:type="dxa"/>
          </w:tcPr>
          <w:p w14:paraId="0CDD2975" w14:textId="77777777" w:rsidR="00BD179B" w:rsidRPr="007A504A" w:rsidRDefault="00000000">
            <w:pPr>
              <w:rPr>
                <w:rFonts w:cs="Times New Roman"/>
                <w:color w:val="000000" w:themeColor="text1"/>
              </w:rPr>
            </w:pPr>
            <w:r w:rsidRPr="007A504A">
              <w:rPr>
                <w:rFonts w:cs="Times New Roman"/>
                <w:color w:val="000000" w:themeColor="text1"/>
                <w:sz w:val="17"/>
              </w:rPr>
              <w:t>No. Lots Owned</w:t>
            </w:r>
          </w:p>
        </w:tc>
        <w:tc>
          <w:tcPr>
            <w:tcW w:w="1424" w:type="dxa"/>
          </w:tcPr>
          <w:p w14:paraId="1B8C24E1"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0" w:type="dxa"/>
          </w:tcPr>
          <w:p w14:paraId="6A6F8821" w14:textId="77777777" w:rsidR="00BD179B" w:rsidRPr="007A504A" w:rsidRDefault="00000000">
            <w:pPr>
              <w:jc w:val="center"/>
              <w:rPr>
                <w:rFonts w:cs="Times New Roman"/>
                <w:color w:val="000000" w:themeColor="text1"/>
              </w:rPr>
            </w:pPr>
            <w:r w:rsidRPr="007A504A">
              <w:rPr>
                <w:rFonts w:cs="Times New Roman"/>
                <w:color w:val="000000" w:themeColor="text1"/>
                <w:sz w:val="17"/>
              </w:rPr>
              <w:t>0.042</w:t>
            </w:r>
            <w:r w:rsidRPr="007A504A">
              <w:rPr>
                <w:rFonts w:cs="Times New Roman"/>
                <w:color w:val="000000" w:themeColor="text1"/>
                <w:sz w:val="17"/>
              </w:rPr>
              <w:br/>
              <w:t>(0.026)</w:t>
            </w:r>
          </w:p>
        </w:tc>
        <w:tc>
          <w:tcPr>
            <w:tcW w:w="1424" w:type="dxa"/>
          </w:tcPr>
          <w:p w14:paraId="53C64343"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3" w:type="dxa"/>
          </w:tcPr>
          <w:p w14:paraId="780F430B" w14:textId="77777777" w:rsidR="00BD179B" w:rsidRPr="007A504A" w:rsidRDefault="00000000">
            <w:pPr>
              <w:jc w:val="center"/>
              <w:rPr>
                <w:rFonts w:cs="Times New Roman"/>
                <w:color w:val="000000" w:themeColor="text1"/>
              </w:rPr>
            </w:pPr>
            <w:r w:rsidRPr="007A504A">
              <w:rPr>
                <w:rFonts w:cs="Times New Roman"/>
                <w:color w:val="000000" w:themeColor="text1"/>
                <w:sz w:val="17"/>
              </w:rPr>
              <w:t>0.060</w:t>
            </w:r>
            <w:r w:rsidRPr="007A504A">
              <w:rPr>
                <w:rFonts w:cs="Times New Roman"/>
                <w:color w:val="000000" w:themeColor="text1"/>
                <w:sz w:val="17"/>
              </w:rPr>
              <w:br/>
              <w:t>(0.078)</w:t>
            </w:r>
          </w:p>
        </w:tc>
        <w:tc>
          <w:tcPr>
            <w:tcW w:w="1411" w:type="dxa"/>
          </w:tcPr>
          <w:p w14:paraId="7C8BF7CD"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r>
      <w:tr w:rsidR="00B87706" w:rsidRPr="007A504A" w14:paraId="7F76D547" w14:textId="77777777" w:rsidTr="00EB4264">
        <w:tc>
          <w:tcPr>
            <w:tcW w:w="1568" w:type="dxa"/>
          </w:tcPr>
          <w:p w14:paraId="5DEF18BC" w14:textId="77777777" w:rsidR="00BD179B" w:rsidRPr="007A504A" w:rsidRDefault="00000000">
            <w:pPr>
              <w:rPr>
                <w:rFonts w:cs="Times New Roman"/>
                <w:color w:val="000000" w:themeColor="text1"/>
              </w:rPr>
            </w:pPr>
            <w:r w:rsidRPr="007A504A">
              <w:rPr>
                <w:rFonts w:cs="Times New Roman"/>
                <w:color w:val="000000" w:themeColor="text1"/>
                <w:sz w:val="17"/>
              </w:rPr>
              <w:t>Plot Size</w:t>
            </w:r>
          </w:p>
        </w:tc>
        <w:tc>
          <w:tcPr>
            <w:tcW w:w="1424" w:type="dxa"/>
          </w:tcPr>
          <w:p w14:paraId="3894C0C2"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0" w:type="dxa"/>
          </w:tcPr>
          <w:p w14:paraId="3DB3B1DC" w14:textId="77777777" w:rsidR="00BD179B" w:rsidRPr="007A504A" w:rsidRDefault="00000000">
            <w:pPr>
              <w:jc w:val="center"/>
              <w:rPr>
                <w:rFonts w:cs="Times New Roman"/>
                <w:color w:val="000000" w:themeColor="text1"/>
              </w:rPr>
            </w:pPr>
            <w:r w:rsidRPr="007A504A">
              <w:rPr>
                <w:rFonts w:cs="Times New Roman"/>
                <w:color w:val="000000" w:themeColor="text1"/>
                <w:sz w:val="17"/>
              </w:rPr>
              <w:t>0.001</w:t>
            </w:r>
            <w:r w:rsidRPr="007A504A">
              <w:rPr>
                <w:rFonts w:cs="Times New Roman"/>
                <w:color w:val="000000" w:themeColor="text1"/>
                <w:sz w:val="17"/>
              </w:rPr>
              <w:br/>
              <w:t>(0.002)</w:t>
            </w:r>
          </w:p>
        </w:tc>
        <w:tc>
          <w:tcPr>
            <w:tcW w:w="1424" w:type="dxa"/>
          </w:tcPr>
          <w:p w14:paraId="31BB2787"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3" w:type="dxa"/>
          </w:tcPr>
          <w:p w14:paraId="73E84161" w14:textId="77777777" w:rsidR="00BD179B" w:rsidRPr="007A504A" w:rsidRDefault="00000000">
            <w:pPr>
              <w:jc w:val="center"/>
              <w:rPr>
                <w:rFonts w:cs="Times New Roman"/>
                <w:color w:val="000000" w:themeColor="text1"/>
              </w:rPr>
            </w:pPr>
            <w:r w:rsidRPr="007A504A">
              <w:rPr>
                <w:rFonts w:cs="Times New Roman"/>
                <w:color w:val="000000" w:themeColor="text1"/>
                <w:sz w:val="17"/>
              </w:rPr>
              <w:t>-0.006</w:t>
            </w:r>
            <w:r w:rsidRPr="007A504A">
              <w:rPr>
                <w:rFonts w:cs="Times New Roman"/>
                <w:color w:val="000000" w:themeColor="text1"/>
                <w:sz w:val="17"/>
              </w:rPr>
              <w:br/>
              <w:t>(0.003)</w:t>
            </w:r>
          </w:p>
        </w:tc>
        <w:tc>
          <w:tcPr>
            <w:tcW w:w="1411" w:type="dxa"/>
          </w:tcPr>
          <w:p w14:paraId="30211030"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r>
      <w:tr w:rsidR="00B87706" w:rsidRPr="007A504A" w14:paraId="1AC19AB3" w14:textId="77777777" w:rsidTr="00EB4264">
        <w:tc>
          <w:tcPr>
            <w:tcW w:w="1568" w:type="dxa"/>
          </w:tcPr>
          <w:p w14:paraId="0CE10ED0" w14:textId="77777777" w:rsidR="00BD179B" w:rsidRPr="007A504A" w:rsidRDefault="00000000">
            <w:pPr>
              <w:rPr>
                <w:rFonts w:cs="Times New Roman"/>
                <w:color w:val="000000" w:themeColor="text1"/>
              </w:rPr>
            </w:pPr>
            <w:proofErr w:type="gramStart"/>
            <w:r w:rsidRPr="007A504A">
              <w:rPr>
                <w:rFonts w:cs="Times New Roman"/>
                <w:color w:val="000000" w:themeColor="text1"/>
                <w:sz w:val="17"/>
              </w:rPr>
              <w:t>Log(</w:t>
            </w:r>
            <w:proofErr w:type="gramEnd"/>
            <w:r w:rsidRPr="007A504A">
              <w:rPr>
                <w:rFonts w:cs="Times New Roman"/>
                <w:color w:val="000000" w:themeColor="text1"/>
                <w:sz w:val="17"/>
              </w:rPr>
              <w:t>Land Value)</w:t>
            </w:r>
          </w:p>
        </w:tc>
        <w:tc>
          <w:tcPr>
            <w:tcW w:w="1424" w:type="dxa"/>
          </w:tcPr>
          <w:p w14:paraId="31020B85"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0" w:type="dxa"/>
          </w:tcPr>
          <w:p w14:paraId="3680AB82" w14:textId="77777777" w:rsidR="00BD179B" w:rsidRPr="007A504A" w:rsidRDefault="00000000">
            <w:pPr>
              <w:jc w:val="center"/>
              <w:rPr>
                <w:rFonts w:cs="Times New Roman"/>
                <w:color w:val="000000" w:themeColor="text1"/>
              </w:rPr>
            </w:pPr>
            <w:r w:rsidRPr="007A504A">
              <w:rPr>
                <w:rFonts w:cs="Times New Roman"/>
                <w:color w:val="000000" w:themeColor="text1"/>
                <w:sz w:val="17"/>
              </w:rPr>
              <w:t>-0.014</w:t>
            </w:r>
            <w:r w:rsidRPr="007A504A">
              <w:rPr>
                <w:rFonts w:cs="Times New Roman"/>
                <w:color w:val="000000" w:themeColor="text1"/>
                <w:sz w:val="17"/>
              </w:rPr>
              <w:br/>
              <w:t>(0.045)</w:t>
            </w:r>
          </w:p>
        </w:tc>
        <w:tc>
          <w:tcPr>
            <w:tcW w:w="1424" w:type="dxa"/>
          </w:tcPr>
          <w:p w14:paraId="01406AEE"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3" w:type="dxa"/>
          </w:tcPr>
          <w:p w14:paraId="1F52D1A1" w14:textId="77777777" w:rsidR="00BD179B" w:rsidRPr="007A504A" w:rsidRDefault="00000000">
            <w:pPr>
              <w:jc w:val="center"/>
              <w:rPr>
                <w:rFonts w:cs="Times New Roman"/>
                <w:color w:val="000000" w:themeColor="text1"/>
              </w:rPr>
            </w:pPr>
            <w:r w:rsidRPr="007A504A">
              <w:rPr>
                <w:rFonts w:cs="Times New Roman"/>
                <w:color w:val="000000" w:themeColor="text1"/>
                <w:sz w:val="17"/>
              </w:rPr>
              <w:t>0.008</w:t>
            </w:r>
            <w:r w:rsidRPr="007A504A">
              <w:rPr>
                <w:rFonts w:cs="Times New Roman"/>
                <w:color w:val="000000" w:themeColor="text1"/>
                <w:sz w:val="17"/>
              </w:rPr>
              <w:br/>
              <w:t>(0.113)</w:t>
            </w:r>
          </w:p>
        </w:tc>
        <w:tc>
          <w:tcPr>
            <w:tcW w:w="1411" w:type="dxa"/>
          </w:tcPr>
          <w:p w14:paraId="4740C490"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r>
      <w:tr w:rsidR="00B87706" w:rsidRPr="007A504A" w14:paraId="753A6DAD" w14:textId="77777777" w:rsidTr="00EB4264">
        <w:tc>
          <w:tcPr>
            <w:tcW w:w="1568" w:type="dxa"/>
          </w:tcPr>
          <w:p w14:paraId="105880AC" w14:textId="77777777" w:rsidR="00BD179B" w:rsidRPr="007A504A" w:rsidRDefault="00000000">
            <w:pPr>
              <w:rPr>
                <w:rFonts w:cs="Times New Roman"/>
                <w:color w:val="000000" w:themeColor="text1"/>
              </w:rPr>
            </w:pPr>
            <w:r w:rsidRPr="007A504A">
              <w:rPr>
                <w:rFonts w:cs="Times New Roman"/>
                <w:color w:val="000000" w:themeColor="text1"/>
                <w:sz w:val="17"/>
              </w:rPr>
              <w:t>Land Use (residential)</w:t>
            </w:r>
          </w:p>
        </w:tc>
        <w:tc>
          <w:tcPr>
            <w:tcW w:w="1424" w:type="dxa"/>
          </w:tcPr>
          <w:p w14:paraId="2E4D1071"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0" w:type="dxa"/>
          </w:tcPr>
          <w:p w14:paraId="5D7C7D3D" w14:textId="77777777" w:rsidR="00BD179B" w:rsidRPr="007A504A" w:rsidRDefault="00000000">
            <w:pPr>
              <w:jc w:val="center"/>
              <w:rPr>
                <w:rFonts w:cs="Times New Roman"/>
                <w:color w:val="000000" w:themeColor="text1"/>
              </w:rPr>
            </w:pPr>
            <w:r w:rsidRPr="007A504A">
              <w:rPr>
                <w:rFonts w:cs="Times New Roman"/>
                <w:color w:val="000000" w:themeColor="text1"/>
                <w:sz w:val="17"/>
              </w:rPr>
              <w:t>0.034</w:t>
            </w:r>
            <w:r w:rsidRPr="007A504A">
              <w:rPr>
                <w:rFonts w:cs="Times New Roman"/>
                <w:color w:val="000000" w:themeColor="text1"/>
                <w:sz w:val="17"/>
              </w:rPr>
              <w:br/>
              <w:t>(0.065)</w:t>
            </w:r>
          </w:p>
        </w:tc>
        <w:tc>
          <w:tcPr>
            <w:tcW w:w="1424" w:type="dxa"/>
          </w:tcPr>
          <w:p w14:paraId="0BDD843A"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3" w:type="dxa"/>
          </w:tcPr>
          <w:p w14:paraId="4C264A3C" w14:textId="77777777" w:rsidR="00BD179B" w:rsidRPr="007A504A" w:rsidRDefault="00000000">
            <w:pPr>
              <w:jc w:val="center"/>
              <w:rPr>
                <w:rFonts w:cs="Times New Roman"/>
                <w:color w:val="000000" w:themeColor="text1"/>
              </w:rPr>
            </w:pPr>
            <w:r w:rsidRPr="007A504A">
              <w:rPr>
                <w:rFonts w:cs="Times New Roman"/>
                <w:color w:val="000000" w:themeColor="text1"/>
                <w:sz w:val="17"/>
              </w:rPr>
              <w:t>-0.114</w:t>
            </w:r>
            <w:r w:rsidRPr="007A504A">
              <w:rPr>
                <w:rFonts w:cs="Times New Roman"/>
                <w:color w:val="000000" w:themeColor="text1"/>
                <w:sz w:val="17"/>
              </w:rPr>
              <w:br/>
              <w:t>(0.197)</w:t>
            </w:r>
          </w:p>
        </w:tc>
        <w:tc>
          <w:tcPr>
            <w:tcW w:w="1411" w:type="dxa"/>
          </w:tcPr>
          <w:p w14:paraId="73FABD3B"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r>
      <w:tr w:rsidR="00B87706" w:rsidRPr="007A504A" w14:paraId="0200E574" w14:textId="77777777" w:rsidTr="00EB4264">
        <w:tc>
          <w:tcPr>
            <w:tcW w:w="1568" w:type="dxa"/>
          </w:tcPr>
          <w:p w14:paraId="5D8E7FC1" w14:textId="77777777" w:rsidR="00BD179B" w:rsidRPr="007A504A" w:rsidRDefault="00000000">
            <w:pPr>
              <w:rPr>
                <w:rFonts w:cs="Times New Roman"/>
                <w:color w:val="000000" w:themeColor="text1"/>
              </w:rPr>
            </w:pPr>
            <w:r w:rsidRPr="007A504A">
              <w:rPr>
                <w:rFonts w:cs="Times New Roman"/>
                <w:color w:val="000000" w:themeColor="text1"/>
                <w:sz w:val="17"/>
              </w:rPr>
              <w:lastRenderedPageBreak/>
              <w:t>Risk perception</w:t>
            </w:r>
          </w:p>
        </w:tc>
        <w:tc>
          <w:tcPr>
            <w:tcW w:w="1424" w:type="dxa"/>
          </w:tcPr>
          <w:p w14:paraId="3EC7FD55"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0" w:type="dxa"/>
          </w:tcPr>
          <w:p w14:paraId="194E8723" w14:textId="77777777" w:rsidR="00BD179B" w:rsidRPr="007A504A" w:rsidRDefault="00000000">
            <w:pPr>
              <w:jc w:val="center"/>
              <w:rPr>
                <w:rFonts w:cs="Times New Roman"/>
                <w:color w:val="000000" w:themeColor="text1"/>
              </w:rPr>
            </w:pPr>
            <w:r w:rsidRPr="007A504A">
              <w:rPr>
                <w:rFonts w:cs="Times New Roman"/>
                <w:color w:val="000000" w:themeColor="text1"/>
                <w:sz w:val="17"/>
              </w:rPr>
              <w:t>-0.010</w:t>
            </w:r>
            <w:r w:rsidRPr="007A504A">
              <w:rPr>
                <w:rFonts w:cs="Times New Roman"/>
                <w:color w:val="000000" w:themeColor="text1"/>
                <w:sz w:val="17"/>
              </w:rPr>
              <w:br/>
              <w:t>(0.017)</w:t>
            </w:r>
          </w:p>
        </w:tc>
        <w:tc>
          <w:tcPr>
            <w:tcW w:w="1424" w:type="dxa"/>
          </w:tcPr>
          <w:p w14:paraId="74A31AB6"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3" w:type="dxa"/>
          </w:tcPr>
          <w:p w14:paraId="30449F85" w14:textId="77777777" w:rsidR="00BD179B" w:rsidRPr="007A504A" w:rsidRDefault="00000000">
            <w:pPr>
              <w:jc w:val="center"/>
              <w:rPr>
                <w:rFonts w:cs="Times New Roman"/>
                <w:color w:val="000000" w:themeColor="text1"/>
              </w:rPr>
            </w:pPr>
            <w:r w:rsidRPr="007A504A">
              <w:rPr>
                <w:rFonts w:cs="Times New Roman"/>
                <w:color w:val="000000" w:themeColor="text1"/>
                <w:sz w:val="17"/>
              </w:rPr>
              <w:t>-0.030</w:t>
            </w:r>
            <w:r w:rsidRPr="007A504A">
              <w:rPr>
                <w:rFonts w:cs="Times New Roman"/>
                <w:color w:val="000000" w:themeColor="text1"/>
                <w:sz w:val="17"/>
              </w:rPr>
              <w:br/>
              <w:t>(0.042)</w:t>
            </w:r>
          </w:p>
        </w:tc>
        <w:tc>
          <w:tcPr>
            <w:tcW w:w="1411" w:type="dxa"/>
          </w:tcPr>
          <w:p w14:paraId="53A87E44"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r>
      <w:tr w:rsidR="00B87706" w:rsidRPr="007A504A" w14:paraId="1B338982" w14:textId="77777777" w:rsidTr="00EB4264">
        <w:tc>
          <w:tcPr>
            <w:tcW w:w="1568" w:type="dxa"/>
          </w:tcPr>
          <w:p w14:paraId="776F3215" w14:textId="77777777" w:rsidR="00BD179B" w:rsidRPr="007A504A" w:rsidRDefault="00000000">
            <w:pPr>
              <w:rPr>
                <w:rFonts w:cs="Times New Roman"/>
                <w:color w:val="000000" w:themeColor="text1"/>
              </w:rPr>
            </w:pPr>
            <w:r w:rsidRPr="007A504A">
              <w:rPr>
                <w:rFonts w:cs="Times New Roman"/>
                <w:color w:val="000000" w:themeColor="text1"/>
                <w:sz w:val="17"/>
              </w:rPr>
              <w:t>Social influence</w:t>
            </w:r>
          </w:p>
        </w:tc>
        <w:tc>
          <w:tcPr>
            <w:tcW w:w="1424" w:type="dxa"/>
          </w:tcPr>
          <w:p w14:paraId="7FE15081"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0" w:type="dxa"/>
          </w:tcPr>
          <w:p w14:paraId="01DA65F8" w14:textId="77777777" w:rsidR="00BD179B" w:rsidRPr="007A504A" w:rsidRDefault="00000000">
            <w:pPr>
              <w:jc w:val="center"/>
              <w:rPr>
                <w:rFonts w:cs="Times New Roman"/>
                <w:color w:val="000000" w:themeColor="text1"/>
              </w:rPr>
            </w:pPr>
            <w:r w:rsidRPr="007A504A">
              <w:rPr>
                <w:rFonts w:cs="Times New Roman"/>
                <w:color w:val="000000" w:themeColor="text1"/>
                <w:sz w:val="17"/>
              </w:rPr>
              <w:t>-0.013</w:t>
            </w:r>
            <w:r w:rsidRPr="007A504A">
              <w:rPr>
                <w:rFonts w:cs="Times New Roman"/>
                <w:color w:val="000000" w:themeColor="text1"/>
                <w:sz w:val="17"/>
              </w:rPr>
              <w:br/>
              <w:t>(0.028)</w:t>
            </w:r>
          </w:p>
        </w:tc>
        <w:tc>
          <w:tcPr>
            <w:tcW w:w="1424" w:type="dxa"/>
          </w:tcPr>
          <w:p w14:paraId="32868D5F"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c>
          <w:tcPr>
            <w:tcW w:w="1403" w:type="dxa"/>
          </w:tcPr>
          <w:p w14:paraId="6EEA4AC8" w14:textId="77777777" w:rsidR="00BD179B" w:rsidRPr="007A504A" w:rsidRDefault="00000000">
            <w:pPr>
              <w:jc w:val="center"/>
              <w:rPr>
                <w:rFonts w:cs="Times New Roman"/>
                <w:color w:val="000000" w:themeColor="text1"/>
              </w:rPr>
            </w:pPr>
            <w:r w:rsidRPr="007A504A">
              <w:rPr>
                <w:rFonts w:cs="Times New Roman"/>
                <w:color w:val="000000" w:themeColor="text1"/>
                <w:sz w:val="17"/>
              </w:rPr>
              <w:t>0.005</w:t>
            </w:r>
            <w:r w:rsidRPr="007A504A">
              <w:rPr>
                <w:rFonts w:cs="Times New Roman"/>
                <w:color w:val="000000" w:themeColor="text1"/>
                <w:sz w:val="17"/>
              </w:rPr>
              <w:br/>
              <w:t>(0.067)</w:t>
            </w:r>
          </w:p>
        </w:tc>
        <w:tc>
          <w:tcPr>
            <w:tcW w:w="1411" w:type="dxa"/>
          </w:tcPr>
          <w:p w14:paraId="2D43C043" w14:textId="77777777" w:rsidR="00BD179B" w:rsidRPr="007A504A" w:rsidRDefault="00000000">
            <w:pPr>
              <w:jc w:val="center"/>
              <w:rPr>
                <w:rFonts w:cs="Times New Roman"/>
                <w:color w:val="000000" w:themeColor="text1"/>
              </w:rPr>
            </w:pPr>
            <w:r w:rsidRPr="007A504A">
              <w:rPr>
                <w:rFonts w:cs="Times New Roman"/>
                <w:color w:val="000000" w:themeColor="text1"/>
                <w:sz w:val="17"/>
              </w:rPr>
              <w:t>—</w:t>
            </w:r>
          </w:p>
        </w:tc>
      </w:tr>
      <w:tr w:rsidR="00B87706" w:rsidRPr="007A504A" w14:paraId="180A5E8F" w14:textId="77777777" w:rsidTr="00EB4264">
        <w:tc>
          <w:tcPr>
            <w:tcW w:w="1568" w:type="dxa"/>
          </w:tcPr>
          <w:p w14:paraId="232EF86D" w14:textId="77777777" w:rsidR="00BD179B" w:rsidRPr="007A504A" w:rsidRDefault="00000000">
            <w:pPr>
              <w:rPr>
                <w:rFonts w:cs="Times New Roman"/>
                <w:color w:val="000000" w:themeColor="text1"/>
              </w:rPr>
            </w:pPr>
            <w:r w:rsidRPr="007A504A">
              <w:rPr>
                <w:rFonts w:cs="Times New Roman"/>
                <w:b/>
                <w:color w:val="000000" w:themeColor="text1"/>
                <w:sz w:val="17"/>
              </w:rPr>
              <w:t>Constant</w:t>
            </w:r>
          </w:p>
        </w:tc>
        <w:tc>
          <w:tcPr>
            <w:tcW w:w="1424" w:type="dxa"/>
          </w:tcPr>
          <w:p w14:paraId="5BFD29EA" w14:textId="77777777" w:rsidR="00BD179B" w:rsidRPr="007A504A" w:rsidRDefault="00000000">
            <w:pPr>
              <w:jc w:val="center"/>
              <w:rPr>
                <w:rFonts w:cs="Times New Roman"/>
                <w:color w:val="000000" w:themeColor="text1"/>
              </w:rPr>
            </w:pPr>
            <w:r w:rsidRPr="007A504A">
              <w:rPr>
                <w:rFonts w:cs="Times New Roman"/>
                <w:b/>
                <w:color w:val="000000" w:themeColor="text1"/>
                <w:sz w:val="17"/>
              </w:rPr>
              <w:t>—</w:t>
            </w:r>
          </w:p>
        </w:tc>
        <w:tc>
          <w:tcPr>
            <w:tcW w:w="1400" w:type="dxa"/>
          </w:tcPr>
          <w:p w14:paraId="1A3DD851" w14:textId="77777777" w:rsidR="00BD179B" w:rsidRPr="007A504A" w:rsidRDefault="00000000">
            <w:pPr>
              <w:jc w:val="center"/>
              <w:rPr>
                <w:rFonts w:cs="Times New Roman"/>
                <w:color w:val="000000" w:themeColor="text1"/>
              </w:rPr>
            </w:pPr>
            <w:r w:rsidRPr="007A504A">
              <w:rPr>
                <w:rFonts w:cs="Times New Roman"/>
                <w:b/>
                <w:color w:val="000000" w:themeColor="text1"/>
                <w:sz w:val="17"/>
              </w:rPr>
              <w:t>—</w:t>
            </w:r>
          </w:p>
        </w:tc>
        <w:tc>
          <w:tcPr>
            <w:tcW w:w="1424" w:type="dxa"/>
          </w:tcPr>
          <w:p w14:paraId="51A05AE4" w14:textId="77777777" w:rsidR="00BD179B" w:rsidRPr="007A504A" w:rsidRDefault="00000000">
            <w:pPr>
              <w:jc w:val="center"/>
              <w:rPr>
                <w:rFonts w:cs="Times New Roman"/>
                <w:color w:val="000000" w:themeColor="text1"/>
              </w:rPr>
            </w:pPr>
            <w:r w:rsidRPr="007A504A">
              <w:rPr>
                <w:rFonts w:cs="Times New Roman"/>
                <w:b/>
                <w:color w:val="000000" w:themeColor="text1"/>
                <w:sz w:val="17"/>
              </w:rPr>
              <w:t>4.654***</w:t>
            </w:r>
            <w:r w:rsidRPr="007A504A">
              <w:rPr>
                <w:rFonts w:cs="Times New Roman"/>
                <w:b/>
                <w:color w:val="000000" w:themeColor="text1"/>
                <w:sz w:val="17"/>
              </w:rPr>
              <w:br/>
              <w:t>(1.060)</w:t>
            </w:r>
          </w:p>
        </w:tc>
        <w:tc>
          <w:tcPr>
            <w:tcW w:w="1403" w:type="dxa"/>
          </w:tcPr>
          <w:p w14:paraId="0FCBB0E7" w14:textId="77777777" w:rsidR="00BD179B" w:rsidRPr="007A504A" w:rsidRDefault="00000000">
            <w:pPr>
              <w:jc w:val="center"/>
              <w:rPr>
                <w:rFonts w:cs="Times New Roman"/>
                <w:color w:val="000000" w:themeColor="text1"/>
              </w:rPr>
            </w:pPr>
            <w:r w:rsidRPr="007A504A">
              <w:rPr>
                <w:rFonts w:cs="Times New Roman"/>
                <w:b/>
                <w:color w:val="000000" w:themeColor="text1"/>
                <w:sz w:val="17"/>
              </w:rPr>
              <w:t>6.429***</w:t>
            </w:r>
            <w:r w:rsidRPr="007A504A">
              <w:rPr>
                <w:rFonts w:cs="Times New Roman"/>
                <w:b/>
                <w:color w:val="000000" w:themeColor="text1"/>
                <w:sz w:val="17"/>
              </w:rPr>
              <w:br/>
              <w:t>(1.807)</w:t>
            </w:r>
          </w:p>
        </w:tc>
        <w:tc>
          <w:tcPr>
            <w:tcW w:w="1411" w:type="dxa"/>
          </w:tcPr>
          <w:p w14:paraId="144E39C1" w14:textId="77777777" w:rsidR="00BD179B" w:rsidRPr="007A504A" w:rsidRDefault="00000000">
            <w:pPr>
              <w:jc w:val="center"/>
              <w:rPr>
                <w:rFonts w:cs="Times New Roman"/>
                <w:color w:val="000000" w:themeColor="text1"/>
              </w:rPr>
            </w:pPr>
            <w:r w:rsidRPr="007A504A">
              <w:rPr>
                <w:rFonts w:cs="Times New Roman"/>
                <w:b/>
                <w:color w:val="000000" w:themeColor="text1"/>
                <w:sz w:val="17"/>
              </w:rPr>
              <w:t>4.418*</w:t>
            </w:r>
            <w:r w:rsidRPr="007A504A">
              <w:rPr>
                <w:rFonts w:cs="Times New Roman"/>
                <w:b/>
                <w:color w:val="000000" w:themeColor="text1"/>
                <w:sz w:val="17"/>
              </w:rPr>
              <w:br/>
              <w:t>(2.655)</w:t>
            </w:r>
          </w:p>
        </w:tc>
      </w:tr>
      <w:tr w:rsidR="00B87706" w:rsidRPr="007A504A" w14:paraId="7C888D90" w14:textId="77777777" w:rsidTr="00EB4264">
        <w:tc>
          <w:tcPr>
            <w:tcW w:w="1568" w:type="dxa"/>
          </w:tcPr>
          <w:p w14:paraId="60DA4553" w14:textId="77777777" w:rsidR="00BD179B" w:rsidRPr="007A504A" w:rsidRDefault="00000000">
            <w:pPr>
              <w:rPr>
                <w:rFonts w:cs="Times New Roman"/>
                <w:color w:val="000000" w:themeColor="text1"/>
              </w:rPr>
            </w:pPr>
            <w:r w:rsidRPr="007A504A">
              <w:rPr>
                <w:rFonts w:cs="Times New Roman"/>
                <w:b/>
                <w:color w:val="000000" w:themeColor="text1"/>
                <w:sz w:val="17"/>
              </w:rPr>
              <w:t>Observations</w:t>
            </w:r>
          </w:p>
        </w:tc>
        <w:tc>
          <w:tcPr>
            <w:tcW w:w="1424" w:type="dxa"/>
          </w:tcPr>
          <w:p w14:paraId="30A275E4" w14:textId="77777777" w:rsidR="00BD179B" w:rsidRPr="007A504A" w:rsidRDefault="00000000">
            <w:pPr>
              <w:jc w:val="center"/>
              <w:rPr>
                <w:rFonts w:cs="Times New Roman"/>
                <w:color w:val="000000" w:themeColor="text1"/>
              </w:rPr>
            </w:pPr>
            <w:r w:rsidRPr="007A504A">
              <w:rPr>
                <w:rFonts w:cs="Times New Roman"/>
                <w:b/>
                <w:color w:val="000000" w:themeColor="text1"/>
                <w:sz w:val="17"/>
              </w:rPr>
              <w:t>252</w:t>
            </w:r>
          </w:p>
        </w:tc>
        <w:tc>
          <w:tcPr>
            <w:tcW w:w="1400" w:type="dxa"/>
          </w:tcPr>
          <w:p w14:paraId="63918584" w14:textId="77777777" w:rsidR="00BD179B" w:rsidRPr="007A504A" w:rsidRDefault="00000000">
            <w:pPr>
              <w:jc w:val="center"/>
              <w:rPr>
                <w:rFonts w:cs="Times New Roman"/>
                <w:color w:val="000000" w:themeColor="text1"/>
              </w:rPr>
            </w:pPr>
            <w:r w:rsidRPr="007A504A">
              <w:rPr>
                <w:rFonts w:cs="Times New Roman"/>
                <w:b/>
                <w:color w:val="000000" w:themeColor="text1"/>
                <w:sz w:val="17"/>
              </w:rPr>
              <w:t>252</w:t>
            </w:r>
          </w:p>
        </w:tc>
        <w:tc>
          <w:tcPr>
            <w:tcW w:w="1424" w:type="dxa"/>
          </w:tcPr>
          <w:p w14:paraId="60BC030D" w14:textId="77777777" w:rsidR="00BD179B" w:rsidRPr="007A504A" w:rsidRDefault="00000000">
            <w:pPr>
              <w:jc w:val="center"/>
              <w:rPr>
                <w:rFonts w:cs="Times New Roman"/>
                <w:color w:val="000000" w:themeColor="text1"/>
              </w:rPr>
            </w:pPr>
            <w:r w:rsidRPr="007A504A">
              <w:rPr>
                <w:rFonts w:cs="Times New Roman"/>
                <w:b/>
                <w:color w:val="000000" w:themeColor="text1"/>
                <w:sz w:val="17"/>
              </w:rPr>
              <w:t>205</w:t>
            </w:r>
          </w:p>
        </w:tc>
        <w:tc>
          <w:tcPr>
            <w:tcW w:w="1403" w:type="dxa"/>
          </w:tcPr>
          <w:p w14:paraId="27CDEB5B" w14:textId="77777777" w:rsidR="00BD179B" w:rsidRPr="007A504A" w:rsidRDefault="00000000">
            <w:pPr>
              <w:jc w:val="center"/>
              <w:rPr>
                <w:rFonts w:cs="Times New Roman"/>
                <w:color w:val="000000" w:themeColor="text1"/>
              </w:rPr>
            </w:pPr>
            <w:r w:rsidRPr="007A504A">
              <w:rPr>
                <w:rFonts w:cs="Times New Roman"/>
                <w:b/>
                <w:color w:val="000000" w:themeColor="text1"/>
                <w:sz w:val="17"/>
              </w:rPr>
              <w:t>205</w:t>
            </w:r>
          </w:p>
        </w:tc>
        <w:tc>
          <w:tcPr>
            <w:tcW w:w="1411" w:type="dxa"/>
          </w:tcPr>
          <w:p w14:paraId="21CACF89" w14:textId="77777777" w:rsidR="00BD179B" w:rsidRPr="007A504A" w:rsidRDefault="00000000">
            <w:pPr>
              <w:jc w:val="center"/>
              <w:rPr>
                <w:rFonts w:cs="Times New Roman"/>
                <w:color w:val="000000" w:themeColor="text1"/>
              </w:rPr>
            </w:pPr>
            <w:r w:rsidRPr="007A504A">
              <w:rPr>
                <w:rFonts w:cs="Times New Roman"/>
                <w:b/>
                <w:color w:val="000000" w:themeColor="text1"/>
                <w:sz w:val="17"/>
              </w:rPr>
              <w:t>205</w:t>
            </w:r>
          </w:p>
        </w:tc>
      </w:tr>
      <w:tr w:rsidR="00B87706" w:rsidRPr="007A504A" w14:paraId="713F0381" w14:textId="77777777" w:rsidTr="00EB4264">
        <w:tc>
          <w:tcPr>
            <w:tcW w:w="1568" w:type="dxa"/>
          </w:tcPr>
          <w:p w14:paraId="1DABC281" w14:textId="77777777" w:rsidR="00BD179B" w:rsidRPr="007A504A" w:rsidRDefault="00000000">
            <w:pPr>
              <w:rPr>
                <w:rFonts w:cs="Times New Roman"/>
                <w:color w:val="000000" w:themeColor="text1"/>
              </w:rPr>
            </w:pPr>
            <w:r w:rsidRPr="007A504A">
              <w:rPr>
                <w:rFonts w:cs="Times New Roman"/>
                <w:b/>
                <w:color w:val="000000" w:themeColor="text1"/>
                <w:sz w:val="17"/>
              </w:rPr>
              <w:t>Pseudo R² / R²</w:t>
            </w:r>
          </w:p>
        </w:tc>
        <w:tc>
          <w:tcPr>
            <w:tcW w:w="1424" w:type="dxa"/>
          </w:tcPr>
          <w:p w14:paraId="615185A2" w14:textId="77777777" w:rsidR="00BD179B" w:rsidRPr="007A504A" w:rsidRDefault="00000000">
            <w:pPr>
              <w:jc w:val="center"/>
              <w:rPr>
                <w:rFonts w:cs="Times New Roman"/>
                <w:color w:val="000000" w:themeColor="text1"/>
              </w:rPr>
            </w:pPr>
            <w:r w:rsidRPr="007A504A">
              <w:rPr>
                <w:rFonts w:cs="Times New Roman"/>
                <w:b/>
                <w:color w:val="000000" w:themeColor="text1"/>
                <w:sz w:val="17"/>
              </w:rPr>
              <w:t>0.138</w:t>
            </w:r>
          </w:p>
        </w:tc>
        <w:tc>
          <w:tcPr>
            <w:tcW w:w="1400" w:type="dxa"/>
          </w:tcPr>
          <w:p w14:paraId="0F808F97" w14:textId="77777777" w:rsidR="00BD179B" w:rsidRPr="007A504A" w:rsidRDefault="00000000">
            <w:pPr>
              <w:jc w:val="center"/>
              <w:rPr>
                <w:rFonts w:cs="Times New Roman"/>
                <w:color w:val="000000" w:themeColor="text1"/>
              </w:rPr>
            </w:pPr>
            <w:r w:rsidRPr="007A504A">
              <w:rPr>
                <w:rFonts w:cs="Times New Roman"/>
                <w:b/>
                <w:color w:val="000000" w:themeColor="text1"/>
                <w:sz w:val="17"/>
              </w:rPr>
              <w:t>0.184</w:t>
            </w:r>
          </w:p>
        </w:tc>
        <w:tc>
          <w:tcPr>
            <w:tcW w:w="1424" w:type="dxa"/>
          </w:tcPr>
          <w:p w14:paraId="5211515F" w14:textId="77777777" w:rsidR="00BD179B" w:rsidRPr="007A504A" w:rsidRDefault="00000000">
            <w:pPr>
              <w:jc w:val="center"/>
              <w:rPr>
                <w:rFonts w:cs="Times New Roman"/>
                <w:color w:val="000000" w:themeColor="text1"/>
              </w:rPr>
            </w:pPr>
            <w:r w:rsidRPr="007A504A">
              <w:rPr>
                <w:rFonts w:cs="Times New Roman"/>
                <w:b/>
                <w:color w:val="000000" w:themeColor="text1"/>
                <w:sz w:val="17"/>
              </w:rPr>
              <w:t>0.176</w:t>
            </w:r>
          </w:p>
        </w:tc>
        <w:tc>
          <w:tcPr>
            <w:tcW w:w="1403" w:type="dxa"/>
          </w:tcPr>
          <w:p w14:paraId="7D6B8838" w14:textId="77777777" w:rsidR="00BD179B" w:rsidRPr="007A504A" w:rsidRDefault="00000000">
            <w:pPr>
              <w:jc w:val="center"/>
              <w:rPr>
                <w:rFonts w:cs="Times New Roman"/>
                <w:color w:val="000000" w:themeColor="text1"/>
              </w:rPr>
            </w:pPr>
            <w:r w:rsidRPr="007A504A">
              <w:rPr>
                <w:rFonts w:cs="Times New Roman"/>
                <w:b/>
                <w:color w:val="000000" w:themeColor="text1"/>
                <w:sz w:val="17"/>
              </w:rPr>
              <w:t>0.205</w:t>
            </w:r>
          </w:p>
        </w:tc>
        <w:tc>
          <w:tcPr>
            <w:tcW w:w="1411" w:type="dxa"/>
          </w:tcPr>
          <w:p w14:paraId="2155BCF7" w14:textId="77777777" w:rsidR="00BD179B" w:rsidRPr="007A504A" w:rsidRDefault="00000000">
            <w:pPr>
              <w:jc w:val="center"/>
              <w:rPr>
                <w:rFonts w:cs="Times New Roman"/>
                <w:color w:val="000000" w:themeColor="text1"/>
              </w:rPr>
            </w:pPr>
            <w:r w:rsidRPr="007A504A">
              <w:rPr>
                <w:rFonts w:cs="Times New Roman"/>
                <w:b/>
                <w:color w:val="000000" w:themeColor="text1"/>
                <w:sz w:val="17"/>
              </w:rPr>
              <w:t>0.160</w:t>
            </w:r>
          </w:p>
        </w:tc>
      </w:tr>
      <w:tr w:rsidR="00B87706" w:rsidRPr="007A504A" w14:paraId="5F830F8E" w14:textId="77777777" w:rsidTr="00EB4264">
        <w:tc>
          <w:tcPr>
            <w:tcW w:w="1568" w:type="dxa"/>
          </w:tcPr>
          <w:p w14:paraId="19765969" w14:textId="77777777" w:rsidR="00BD179B" w:rsidRPr="007A504A" w:rsidRDefault="00000000">
            <w:pPr>
              <w:rPr>
                <w:rFonts w:cs="Times New Roman"/>
                <w:color w:val="000000" w:themeColor="text1"/>
              </w:rPr>
            </w:pPr>
            <w:r w:rsidRPr="007A504A">
              <w:rPr>
                <w:rFonts w:cs="Times New Roman"/>
                <w:b/>
                <w:color w:val="000000" w:themeColor="text1"/>
                <w:sz w:val="17"/>
              </w:rPr>
              <w:t>Adj. R²</w:t>
            </w:r>
          </w:p>
        </w:tc>
        <w:tc>
          <w:tcPr>
            <w:tcW w:w="1424" w:type="dxa"/>
          </w:tcPr>
          <w:p w14:paraId="6C50DA32" w14:textId="77777777" w:rsidR="00BD179B" w:rsidRPr="007A504A" w:rsidRDefault="00000000">
            <w:pPr>
              <w:jc w:val="center"/>
              <w:rPr>
                <w:rFonts w:cs="Times New Roman"/>
                <w:color w:val="000000" w:themeColor="text1"/>
              </w:rPr>
            </w:pPr>
            <w:r w:rsidRPr="007A504A">
              <w:rPr>
                <w:rFonts w:cs="Times New Roman"/>
                <w:b/>
                <w:color w:val="000000" w:themeColor="text1"/>
                <w:sz w:val="17"/>
              </w:rPr>
              <w:t>—</w:t>
            </w:r>
          </w:p>
        </w:tc>
        <w:tc>
          <w:tcPr>
            <w:tcW w:w="1400" w:type="dxa"/>
          </w:tcPr>
          <w:p w14:paraId="74CFB42F" w14:textId="77777777" w:rsidR="00BD179B" w:rsidRPr="007A504A" w:rsidRDefault="00000000">
            <w:pPr>
              <w:jc w:val="center"/>
              <w:rPr>
                <w:rFonts w:cs="Times New Roman"/>
                <w:color w:val="000000" w:themeColor="text1"/>
              </w:rPr>
            </w:pPr>
            <w:r w:rsidRPr="007A504A">
              <w:rPr>
                <w:rFonts w:cs="Times New Roman"/>
                <w:b/>
                <w:color w:val="000000" w:themeColor="text1"/>
                <w:sz w:val="17"/>
              </w:rPr>
              <w:t>—</w:t>
            </w:r>
          </w:p>
        </w:tc>
        <w:tc>
          <w:tcPr>
            <w:tcW w:w="1424" w:type="dxa"/>
          </w:tcPr>
          <w:p w14:paraId="5F40715F" w14:textId="77777777" w:rsidR="00BD179B" w:rsidRPr="007A504A" w:rsidRDefault="00000000">
            <w:pPr>
              <w:jc w:val="center"/>
              <w:rPr>
                <w:rFonts w:cs="Times New Roman"/>
                <w:color w:val="000000" w:themeColor="text1"/>
              </w:rPr>
            </w:pPr>
            <w:r w:rsidRPr="007A504A">
              <w:rPr>
                <w:rFonts w:cs="Times New Roman"/>
                <w:b/>
                <w:color w:val="000000" w:themeColor="text1"/>
                <w:sz w:val="17"/>
              </w:rPr>
              <w:t>0.155</w:t>
            </w:r>
          </w:p>
        </w:tc>
        <w:tc>
          <w:tcPr>
            <w:tcW w:w="1403" w:type="dxa"/>
          </w:tcPr>
          <w:p w14:paraId="464A44EB" w14:textId="77777777" w:rsidR="00BD179B" w:rsidRPr="007A504A" w:rsidRDefault="00000000">
            <w:pPr>
              <w:jc w:val="center"/>
              <w:rPr>
                <w:rFonts w:cs="Times New Roman"/>
                <w:color w:val="000000" w:themeColor="text1"/>
              </w:rPr>
            </w:pPr>
            <w:r w:rsidRPr="007A504A">
              <w:rPr>
                <w:rFonts w:cs="Times New Roman"/>
                <w:b/>
                <w:color w:val="000000" w:themeColor="text1"/>
                <w:sz w:val="17"/>
              </w:rPr>
              <w:t>0.138</w:t>
            </w:r>
          </w:p>
        </w:tc>
        <w:tc>
          <w:tcPr>
            <w:tcW w:w="1411" w:type="dxa"/>
          </w:tcPr>
          <w:p w14:paraId="2A42CB6E" w14:textId="77777777" w:rsidR="00BD179B" w:rsidRPr="007A504A" w:rsidRDefault="00000000">
            <w:pPr>
              <w:jc w:val="center"/>
              <w:rPr>
                <w:rFonts w:cs="Times New Roman"/>
                <w:color w:val="000000" w:themeColor="text1"/>
              </w:rPr>
            </w:pPr>
            <w:r w:rsidRPr="007A504A">
              <w:rPr>
                <w:rFonts w:cs="Times New Roman"/>
                <w:b/>
                <w:color w:val="000000" w:themeColor="text1"/>
                <w:sz w:val="17"/>
              </w:rPr>
              <w:t>0.126</w:t>
            </w:r>
          </w:p>
        </w:tc>
      </w:tr>
      <w:tr w:rsidR="00B87706" w:rsidRPr="007A504A" w14:paraId="4D31E70D" w14:textId="77777777" w:rsidTr="00EB4264">
        <w:tc>
          <w:tcPr>
            <w:tcW w:w="1568" w:type="dxa"/>
          </w:tcPr>
          <w:p w14:paraId="41F89733" w14:textId="77777777" w:rsidR="00BD179B" w:rsidRPr="007A504A" w:rsidRDefault="00000000">
            <w:pPr>
              <w:rPr>
                <w:rFonts w:cs="Times New Roman"/>
                <w:color w:val="000000" w:themeColor="text1"/>
              </w:rPr>
            </w:pPr>
            <w:r w:rsidRPr="007A504A">
              <w:rPr>
                <w:rFonts w:cs="Times New Roman"/>
                <w:b/>
                <w:color w:val="000000" w:themeColor="text1"/>
                <w:sz w:val="17"/>
              </w:rPr>
              <w:t>Log-likelihood</w:t>
            </w:r>
          </w:p>
        </w:tc>
        <w:tc>
          <w:tcPr>
            <w:tcW w:w="1424" w:type="dxa"/>
          </w:tcPr>
          <w:p w14:paraId="78CD467B" w14:textId="77777777" w:rsidR="00BD179B" w:rsidRPr="007A504A" w:rsidRDefault="00000000">
            <w:pPr>
              <w:jc w:val="center"/>
              <w:rPr>
                <w:rFonts w:cs="Times New Roman"/>
                <w:color w:val="000000" w:themeColor="text1"/>
              </w:rPr>
            </w:pPr>
            <w:r w:rsidRPr="007A504A">
              <w:rPr>
                <w:rFonts w:cs="Times New Roman"/>
                <w:b/>
                <w:color w:val="000000" w:themeColor="text1"/>
                <w:sz w:val="17"/>
              </w:rPr>
              <w:t>-104.5</w:t>
            </w:r>
          </w:p>
        </w:tc>
        <w:tc>
          <w:tcPr>
            <w:tcW w:w="1400" w:type="dxa"/>
          </w:tcPr>
          <w:p w14:paraId="7615DD68" w14:textId="77777777" w:rsidR="00BD179B" w:rsidRPr="007A504A" w:rsidRDefault="00000000">
            <w:pPr>
              <w:jc w:val="center"/>
              <w:rPr>
                <w:rFonts w:cs="Times New Roman"/>
                <w:color w:val="000000" w:themeColor="text1"/>
              </w:rPr>
            </w:pPr>
            <w:r w:rsidRPr="007A504A">
              <w:rPr>
                <w:rFonts w:cs="Times New Roman"/>
                <w:b/>
                <w:color w:val="000000" w:themeColor="text1"/>
                <w:sz w:val="17"/>
              </w:rPr>
              <w:t>-99.0</w:t>
            </w:r>
          </w:p>
        </w:tc>
        <w:tc>
          <w:tcPr>
            <w:tcW w:w="1424" w:type="dxa"/>
          </w:tcPr>
          <w:p w14:paraId="3FDBE162" w14:textId="77777777" w:rsidR="00BD179B" w:rsidRPr="007A504A" w:rsidRDefault="00000000">
            <w:pPr>
              <w:jc w:val="center"/>
              <w:rPr>
                <w:rFonts w:cs="Times New Roman"/>
                <w:color w:val="000000" w:themeColor="text1"/>
              </w:rPr>
            </w:pPr>
            <w:r w:rsidRPr="007A504A">
              <w:rPr>
                <w:rFonts w:cs="Times New Roman"/>
                <w:b/>
                <w:color w:val="000000" w:themeColor="text1"/>
                <w:sz w:val="17"/>
              </w:rPr>
              <w:t>—</w:t>
            </w:r>
          </w:p>
        </w:tc>
        <w:tc>
          <w:tcPr>
            <w:tcW w:w="1403" w:type="dxa"/>
          </w:tcPr>
          <w:p w14:paraId="71623727" w14:textId="77777777" w:rsidR="00BD179B" w:rsidRPr="007A504A" w:rsidRDefault="00000000">
            <w:pPr>
              <w:jc w:val="center"/>
              <w:rPr>
                <w:rFonts w:cs="Times New Roman"/>
                <w:color w:val="000000" w:themeColor="text1"/>
              </w:rPr>
            </w:pPr>
            <w:r w:rsidRPr="007A504A">
              <w:rPr>
                <w:rFonts w:cs="Times New Roman"/>
                <w:b/>
                <w:color w:val="000000" w:themeColor="text1"/>
                <w:sz w:val="17"/>
              </w:rPr>
              <w:t>—</w:t>
            </w:r>
          </w:p>
        </w:tc>
        <w:tc>
          <w:tcPr>
            <w:tcW w:w="1411" w:type="dxa"/>
          </w:tcPr>
          <w:p w14:paraId="5FEAC91A" w14:textId="77777777" w:rsidR="00BD179B" w:rsidRPr="007A504A" w:rsidRDefault="00000000">
            <w:pPr>
              <w:jc w:val="center"/>
              <w:rPr>
                <w:rFonts w:cs="Times New Roman"/>
                <w:color w:val="000000" w:themeColor="text1"/>
              </w:rPr>
            </w:pPr>
            <w:r w:rsidRPr="007A504A">
              <w:rPr>
                <w:rFonts w:cs="Times New Roman"/>
                <w:b/>
                <w:color w:val="000000" w:themeColor="text1"/>
                <w:sz w:val="17"/>
              </w:rPr>
              <w:t>—</w:t>
            </w:r>
          </w:p>
        </w:tc>
      </w:tr>
    </w:tbl>
    <w:p w14:paraId="34B65087" w14:textId="77777777" w:rsidR="00BD179B" w:rsidRPr="007A504A" w:rsidRDefault="00000000">
      <w:pPr>
        <w:spacing w:before="80" w:after="80"/>
        <w:rPr>
          <w:rFonts w:cs="Times New Roman"/>
          <w:color w:val="000000" w:themeColor="text1"/>
        </w:rPr>
      </w:pPr>
      <w:r w:rsidRPr="007A504A">
        <w:rPr>
          <w:rFonts w:cs="Times New Roman"/>
          <w:color w:val="000000" w:themeColor="text1"/>
          <w:sz w:val="22"/>
        </w:rPr>
        <w:t>Source: Survey data, 2026</w:t>
      </w:r>
    </w:p>
    <w:p w14:paraId="0ACA4A80" w14:textId="1474CA0A" w:rsidR="00BD179B" w:rsidRPr="007A504A" w:rsidRDefault="00000000" w:rsidP="00B87706">
      <w:pPr>
        <w:jc w:val="both"/>
        <w:rPr>
          <w:rFonts w:cs="Times New Roman"/>
          <w:color w:val="000000" w:themeColor="text1"/>
        </w:rPr>
      </w:pPr>
      <w:r w:rsidRPr="007A504A">
        <w:rPr>
          <w:rFonts w:cs="Times New Roman"/>
          <w:color w:val="000000" w:themeColor="text1"/>
          <w:sz w:val="17"/>
        </w:rPr>
        <w:t xml:space="preserve">Notes: HC3 heteroskedasticity-robust standard errors in parentheses. Stage 1 reports average marginal effects (AME) from probit. Stage 2 dependent variable: </w:t>
      </w:r>
      <w:proofErr w:type="gramStart"/>
      <w:r w:rsidRPr="007A504A">
        <w:rPr>
          <w:rFonts w:cs="Times New Roman"/>
          <w:color w:val="000000" w:themeColor="text1"/>
          <w:sz w:val="17"/>
        </w:rPr>
        <w:t>ln(</w:t>
      </w:r>
      <w:proofErr w:type="spellStart"/>
      <w:proofErr w:type="gramEnd"/>
      <w:r w:rsidRPr="007A504A">
        <w:rPr>
          <w:rFonts w:cs="Times New Roman"/>
          <w:color w:val="000000" w:themeColor="text1"/>
          <w:sz w:val="17"/>
        </w:rPr>
        <w:t>WTP_Amount</w:t>
      </w:r>
      <w:proofErr w:type="spellEnd"/>
      <w:r w:rsidRPr="007A504A">
        <w:rPr>
          <w:rFonts w:cs="Times New Roman"/>
          <w:color w:val="000000" w:themeColor="text1"/>
          <w:sz w:val="17"/>
        </w:rPr>
        <w:t>); estimation restricted to positive WTP observations (N=205). Parsimonious Stage 1 model selected by LR test (chi</w:t>
      </w:r>
      <w:proofErr w:type="gramStart"/>
      <w:r w:rsidRPr="007A504A">
        <w:rPr>
          <w:rFonts w:cs="Times New Roman"/>
          <w:color w:val="000000" w:themeColor="text1"/>
          <w:sz w:val="17"/>
        </w:rPr>
        <w:t>²(9)=</w:t>
      </w:r>
      <w:proofErr w:type="gramEnd"/>
      <w:r w:rsidRPr="007A504A">
        <w:rPr>
          <w:rFonts w:cs="Times New Roman"/>
          <w:color w:val="000000" w:themeColor="text1"/>
          <w:sz w:val="17"/>
        </w:rPr>
        <w:t>11.05, p=0.272). Parsimonious Stage 2 model selected by LR test (chi</w:t>
      </w:r>
      <w:proofErr w:type="gramStart"/>
      <w:r w:rsidRPr="007A504A">
        <w:rPr>
          <w:rFonts w:cs="Times New Roman"/>
          <w:color w:val="000000" w:themeColor="text1"/>
          <w:sz w:val="17"/>
        </w:rPr>
        <w:t>²(11)=</w:t>
      </w:r>
      <w:proofErr w:type="gramEnd"/>
      <w:r w:rsidRPr="007A504A">
        <w:rPr>
          <w:rFonts w:cs="Times New Roman"/>
          <w:color w:val="000000" w:themeColor="text1"/>
          <w:sz w:val="17"/>
        </w:rPr>
        <w:t>7.46, p=0.761) and AIC (465.1 vs 479.6 for extended). Wu-Hausman endogeneity test: chi</w:t>
      </w:r>
      <w:proofErr w:type="gramStart"/>
      <w:r w:rsidRPr="007A504A">
        <w:rPr>
          <w:rFonts w:cs="Times New Roman"/>
          <w:color w:val="000000" w:themeColor="text1"/>
          <w:sz w:val="17"/>
        </w:rPr>
        <w:t>²(2)=</w:t>
      </w:r>
      <w:proofErr w:type="gramEnd"/>
      <w:r w:rsidRPr="007A504A">
        <w:rPr>
          <w:rFonts w:cs="Times New Roman"/>
          <w:color w:val="000000" w:themeColor="text1"/>
          <w:sz w:val="17"/>
        </w:rPr>
        <w:t>0.147, p=0.863; OLS is the consistent and preferred Stage 2 estimator. 2SLS instruments (col. 6): leave-one-out local authority mean benefit perception and transparency; first-stage F (</w:t>
      </w:r>
      <w:proofErr w:type="spellStart"/>
      <w:r w:rsidRPr="007A504A">
        <w:rPr>
          <w:rFonts w:cs="Times New Roman"/>
          <w:color w:val="000000" w:themeColor="text1"/>
          <w:sz w:val="17"/>
        </w:rPr>
        <w:t>benefit_indx</w:t>
      </w:r>
      <w:proofErr w:type="spellEnd"/>
      <w:r w:rsidRPr="007A504A">
        <w:rPr>
          <w:rFonts w:cs="Times New Roman"/>
          <w:color w:val="000000" w:themeColor="text1"/>
          <w:sz w:val="17"/>
        </w:rPr>
        <w:t>): 1.78; first-stage F (TRANSPARENCY): 9.30. *** p&lt;</w:t>
      </w:r>
      <w:proofErr w:type="gramStart"/>
      <w:r w:rsidRPr="007A504A">
        <w:rPr>
          <w:rFonts w:cs="Times New Roman"/>
          <w:color w:val="000000" w:themeColor="text1"/>
          <w:sz w:val="17"/>
        </w:rPr>
        <w:t>0.01  *</w:t>
      </w:r>
      <w:proofErr w:type="gramEnd"/>
      <w:r w:rsidRPr="007A504A">
        <w:rPr>
          <w:rFonts w:cs="Times New Roman"/>
          <w:color w:val="000000" w:themeColor="text1"/>
          <w:sz w:val="17"/>
        </w:rPr>
        <w:t>* p&lt;</w:t>
      </w:r>
      <w:proofErr w:type="gramStart"/>
      <w:r w:rsidRPr="007A504A">
        <w:rPr>
          <w:rFonts w:cs="Times New Roman"/>
          <w:color w:val="000000" w:themeColor="text1"/>
          <w:sz w:val="17"/>
        </w:rPr>
        <w:t>0.05  *</w:t>
      </w:r>
      <w:proofErr w:type="gramEnd"/>
      <w:r w:rsidRPr="007A504A">
        <w:rPr>
          <w:rFonts w:cs="Times New Roman"/>
          <w:color w:val="000000" w:themeColor="text1"/>
          <w:sz w:val="17"/>
        </w:rPr>
        <w:t xml:space="preserve"> p&lt;0.10</w:t>
      </w:r>
    </w:p>
    <w:p w14:paraId="0D98DA02" w14:textId="67CEE532" w:rsidR="00BD179B" w:rsidRPr="007A504A" w:rsidRDefault="007777D1">
      <w:pPr>
        <w:pStyle w:val="Heading3"/>
        <w:spacing w:after="80"/>
        <w:rPr>
          <w:rFonts w:ascii="Times New Roman" w:hAnsi="Times New Roman" w:cs="Times New Roman"/>
          <w:color w:val="000000" w:themeColor="text1"/>
        </w:rPr>
      </w:pPr>
      <w:r w:rsidRPr="007A504A">
        <w:rPr>
          <w:rFonts w:ascii="Times New Roman" w:hAnsi="Times New Roman" w:cs="Times New Roman"/>
          <w:color w:val="000000" w:themeColor="text1"/>
        </w:rPr>
        <w:t>4.3.1 Household</w:t>
      </w:r>
      <w:r w:rsidR="004A350A" w:rsidRPr="004A350A">
        <w:rPr>
          <w:rFonts w:ascii="Times New Roman" w:hAnsi="Times New Roman" w:cs="Times New Roman"/>
          <w:color w:val="000000" w:themeColor="text1"/>
        </w:rPr>
        <w:t xml:space="preserve"> Demographics</w:t>
      </w:r>
    </w:p>
    <w:p w14:paraId="75F4B64D" w14:textId="03B26269" w:rsidR="000A4C42" w:rsidRPr="000A4C42" w:rsidRDefault="000A4C42" w:rsidP="000A4C42">
      <w:pPr>
        <w:jc w:val="both"/>
      </w:pPr>
      <w:r w:rsidRPr="000A4C42">
        <w:t>Household demographic characteristics influence both stages of the willingness-to-pay process, although the effects vary across demographic variables.</w:t>
      </w:r>
    </w:p>
    <w:p w14:paraId="298A51A1" w14:textId="6D760F8A" w:rsidR="000A4C42" w:rsidRPr="000A4C42" w:rsidRDefault="000A4C42" w:rsidP="000A4C42">
      <w:pPr>
        <w:jc w:val="both"/>
      </w:pPr>
      <w:r w:rsidRPr="000A4C42">
        <w:t>In the participation stage, household size emerges as a significant determinant of willingness to pay. The average marginal effect indicates that each additional household member reduces the probability of willingness to pay by approximately 7.4 percentage points (AME = −0.074, p = 0.001). This finding suggests that larger households may anticipate greater ownership complexities, co-ownership disputes, and difficulties associated with complying with the one title–one parcel principle under formal land administration systems. Consequently, larger households appear less willing to engage with the title registration process. However, household size does not significantly influence the amount households are willing to pay once they decide to participate.</w:t>
      </w:r>
    </w:p>
    <w:p w14:paraId="1DE2C083" w14:textId="653F0037" w:rsidR="000A4C42" w:rsidRPr="000A4C42" w:rsidRDefault="000A4C42" w:rsidP="000A4C42">
      <w:pPr>
        <w:jc w:val="both"/>
      </w:pPr>
      <w:r w:rsidRPr="000A4C42">
        <w:t>Educational attainment does not significantly affect the participation decision but plays an important role in determining payment intensity. Households headed by individuals possessing a bachelor's degree are willing to pay approximately 46.4% more than households with education up to the G.C.E. Ordinary Level, equivalent to around Rs. 10,400 at the mean positive WTP of Rs. 22,490. This result suggests that higher educational attainment enhances legal awareness, institutional literacy, and understanding of the long-term benefits associated with secure land tenure, thereby increasing the value attached to title registration.</w:t>
      </w:r>
    </w:p>
    <w:p w14:paraId="61829B5B" w14:textId="663E32A0" w:rsidR="000A4C42" w:rsidRPr="000A4C42" w:rsidRDefault="000A4C42" w:rsidP="000A4C42">
      <w:pPr>
        <w:jc w:val="both"/>
      </w:pPr>
      <w:r w:rsidRPr="000A4C42">
        <w:t xml:space="preserve">Similarly, household income significantly influences the amount households are willing to pay conditional on participation. A one-unit increase in log household income is associated with a 34.5% increase in conditional WTP (β = 0.296, p &lt; 0.001), equivalent to approximately Rs. 7,757 at the sample mean. Income does not significantly affect the participation decision, indicating that affordability considerations influence the magnitude </w:t>
      </w:r>
      <w:r w:rsidRPr="000A4C42">
        <w:lastRenderedPageBreak/>
        <w:t>of payment rather than the initial decision to engage with title registration. This finding is consistent with evidence from Tanzania and Uganda, where middle- and higher-income households demonstrate substantially higher willingness to pay for land registration services than lower-income households (Kasirye, 2019; Manara &amp; Regan, 2025).</w:t>
      </w:r>
    </w:p>
    <w:p w14:paraId="7BF67B18" w14:textId="5CEBF669" w:rsidR="00BD179B" w:rsidRPr="007A504A" w:rsidRDefault="000A4C42" w:rsidP="000A4C42">
      <w:pPr>
        <w:jc w:val="both"/>
      </w:pPr>
      <w:r w:rsidRPr="000A4C42">
        <w:t>Overall, the findings provide partial support for Hypothesis H1. Household size significantly influences participation, while educational attainment and household income significantly influence payment intensity.</w:t>
      </w:r>
      <w:r w:rsidR="00000000" w:rsidRPr="007A504A">
        <w:t>4.3.</w:t>
      </w:r>
      <w:r w:rsidRPr="007A504A">
        <w:t>2 Perceptual</w:t>
      </w:r>
      <w:r w:rsidR="007777D1" w:rsidRPr="007777D1">
        <w:t xml:space="preserve"> and Social Factors</w:t>
      </w:r>
    </w:p>
    <w:p w14:paraId="39DD3A49" w14:textId="77777777" w:rsidR="00BD179B" w:rsidRPr="007A504A" w:rsidRDefault="00000000" w:rsidP="000A4C42">
      <w:pPr>
        <w:jc w:val="both"/>
      </w:pPr>
      <w:r w:rsidRPr="007A504A">
        <w:rPr>
          <w:sz w:val="22"/>
        </w:rPr>
        <w:t>Household income is the most influential determinant of the amount households are willing to pay for title registration (Stage 2: β = 0.296, p &lt; 0.001). A one-unit increase in log-income is associated with a 34.5% increase in conditional WTP, equivalent to approximately Rs. 7,757 at the mean. Income does not significantly affect the participation decision, suggesting that affordability constraints primarily affect payment magnitude rather than the binary decision to engage with the registration process. This pattern is consistent with findings from Tanzania and Uganda, where middle- and higher-income households demonstrate substantially higher WTP compared to lower-income groups (Kasirye, 2019; Manara &amp; Regan, 2025).</w:t>
      </w:r>
    </w:p>
    <w:p w14:paraId="7711D204" w14:textId="664C5A98" w:rsidR="00BD179B" w:rsidRPr="007A504A" w:rsidRDefault="000A4C42">
      <w:pPr>
        <w:pStyle w:val="Heading3"/>
        <w:spacing w:after="80"/>
        <w:rPr>
          <w:rFonts w:ascii="Times New Roman" w:hAnsi="Times New Roman" w:cs="Times New Roman"/>
          <w:color w:val="000000" w:themeColor="text1"/>
        </w:rPr>
      </w:pPr>
      <w:r w:rsidRPr="007A504A">
        <w:rPr>
          <w:rFonts w:ascii="Times New Roman" w:hAnsi="Times New Roman" w:cs="Times New Roman"/>
          <w:color w:val="000000" w:themeColor="text1"/>
        </w:rPr>
        <w:t>4.3.</w:t>
      </w:r>
      <w:r>
        <w:rPr>
          <w:rFonts w:ascii="Times New Roman" w:hAnsi="Times New Roman" w:cs="Times New Roman"/>
          <w:color w:val="000000" w:themeColor="text1"/>
        </w:rPr>
        <w:t>2</w:t>
      </w:r>
      <w:r w:rsidRPr="007A504A">
        <w:rPr>
          <w:rFonts w:ascii="Times New Roman" w:hAnsi="Times New Roman" w:cs="Times New Roman"/>
          <w:color w:val="000000" w:themeColor="text1"/>
        </w:rPr>
        <w:t xml:space="preserve"> </w:t>
      </w:r>
      <w:r>
        <w:rPr>
          <w:rFonts w:ascii="Times New Roman" w:hAnsi="Times New Roman" w:cs="Times New Roman"/>
          <w:color w:val="000000" w:themeColor="text1"/>
        </w:rPr>
        <w:t>Property Characteristics</w:t>
      </w:r>
    </w:p>
    <w:p w14:paraId="519610CD" w14:textId="00F80D5D" w:rsidR="000A4C42" w:rsidRPr="000A4C42" w:rsidRDefault="000A4C42" w:rsidP="000A4C42">
      <w:pPr>
        <w:jc w:val="both"/>
      </w:pPr>
      <w:r w:rsidRPr="000A4C42">
        <w:t>Property characteristics generally exert a limited influence on willingness to pay, with land certification status representing the only significant determinant identified in the analysis.</w:t>
      </w:r>
    </w:p>
    <w:p w14:paraId="3C82EE7B" w14:textId="472551B2" w:rsidR="000A4C42" w:rsidRPr="000A4C42" w:rsidRDefault="000A4C42" w:rsidP="000A4C42">
      <w:pPr>
        <w:jc w:val="both"/>
      </w:pPr>
      <w:r w:rsidRPr="000A4C42">
        <w:t>Among the tenure-related variables, households possessing land certification classified as “other” (including state permits and leasehold arrangements) demonstrate a substantially higher probability of willingness to pay compared with deed holders (AME = +0.345, p = 0.003). This finding suggests that households with less secure or less widely recognised forms of tenure perceive greater benefits from obtaining a formally registered title and therefore exhibit stronger demand for title registration. In contrast, title holders do not differ significantly from deed holders in their participation decisions (AME = +0.055, p = 0.239), implying that households already possessing relatively formal documentation perceive limited additional benefits from title conversion.</w:t>
      </w:r>
    </w:p>
    <w:p w14:paraId="59BC4053" w14:textId="7DBBFA3F" w:rsidR="000A4C42" w:rsidRPr="000A4C42" w:rsidRDefault="000A4C42" w:rsidP="000A4C42">
      <w:pPr>
        <w:jc w:val="both"/>
      </w:pPr>
      <w:r w:rsidRPr="000A4C42">
        <w:t>The influence of land certification status is confined to the participation stage, as no significant effect is observed on the amount households are willing to pay once they decide to participate. This finding contrasts with evidence from Uganda, where willingness to pay was generally higher among households operating under freehold and Mailo tenure systems compared with customary tenure arrangements (Kasirye, 2019).</w:t>
      </w:r>
    </w:p>
    <w:p w14:paraId="6443C713" w14:textId="2F7C2D5C" w:rsidR="000A4C42" w:rsidRPr="000A4C42" w:rsidRDefault="000A4C42" w:rsidP="000A4C42">
      <w:pPr>
        <w:jc w:val="both"/>
      </w:pPr>
      <w:r w:rsidRPr="000A4C42">
        <w:t xml:space="preserve">Other property characteristics, including land value, plot size, number of lots owned, and land use type, do not exhibit statistically significant effects in either hurdle of the model after controlling for demographic and perceptual factors. The absence of significant effects suggests that physical land attributes are less influential than tenure-related considerations and household perceptions in shaping demand for title registration. Furthermore, owners </w:t>
      </w:r>
      <w:r w:rsidRPr="000A4C42">
        <w:lastRenderedPageBreak/>
        <w:t>of larger parcels may face more complex ownership histories and higher perceived registration costs, potentially offsetting the expected benefits of formalisation.</w:t>
      </w:r>
    </w:p>
    <w:p w14:paraId="71552082" w14:textId="77777777" w:rsidR="000A4C42" w:rsidRDefault="000A4C42" w:rsidP="000A4C42">
      <w:pPr>
        <w:jc w:val="both"/>
        <w:rPr>
          <w:b/>
          <w:bCs/>
        </w:rPr>
      </w:pPr>
      <w:r w:rsidRPr="000A4C42">
        <w:t>Therefore, Hypothesis H2 receives only limited support, as land title type significantly influences participation while other property characteristics do not significantly affect either stage of willingness to pay.</w:t>
      </w:r>
    </w:p>
    <w:p w14:paraId="4C5E37E3" w14:textId="23F671DE" w:rsidR="00BD179B" w:rsidRPr="007A504A" w:rsidRDefault="000A4C42" w:rsidP="000A4C42">
      <w:pPr>
        <w:pStyle w:val="Heading3"/>
        <w:spacing w:after="80"/>
        <w:rPr>
          <w:rFonts w:ascii="Times New Roman" w:hAnsi="Times New Roman" w:cs="Times New Roman"/>
          <w:color w:val="000000" w:themeColor="text1"/>
        </w:rPr>
      </w:pPr>
      <w:r w:rsidRPr="007A504A">
        <w:rPr>
          <w:rFonts w:ascii="Times New Roman" w:hAnsi="Times New Roman" w:cs="Times New Roman"/>
          <w:color w:val="000000" w:themeColor="text1"/>
        </w:rPr>
        <w:t xml:space="preserve">4.3.4 </w:t>
      </w:r>
      <w:r w:rsidRPr="000A4C42">
        <w:rPr>
          <w:rFonts w:ascii="Times New Roman" w:hAnsi="Times New Roman" w:cs="Times New Roman"/>
          <w:color w:val="000000" w:themeColor="text1"/>
        </w:rPr>
        <w:t>Perceptual and Social Factors</w:t>
      </w:r>
    </w:p>
    <w:p w14:paraId="094193B5" w14:textId="77777777" w:rsidR="000A4C42" w:rsidRPr="000A4C42" w:rsidRDefault="000A4C42" w:rsidP="000A4C42">
      <w:pPr>
        <w:spacing w:before="80" w:after="80"/>
        <w:jc w:val="both"/>
        <w:rPr>
          <w:rFonts w:cs="Times New Roman"/>
          <w:color w:val="000000" w:themeColor="text1"/>
          <w:sz w:val="22"/>
        </w:rPr>
      </w:pPr>
      <w:r w:rsidRPr="000A4C42">
        <w:rPr>
          <w:rFonts w:cs="Times New Roman"/>
          <w:color w:val="000000" w:themeColor="text1"/>
          <w:sz w:val="22"/>
        </w:rPr>
        <w:t>Perceptual and social factors exhibit the strongest and most consistent influence on willingness to pay for land title registration, particularly through perceived benefits and perceived transparency.</w:t>
      </w:r>
    </w:p>
    <w:p w14:paraId="33CC4120" w14:textId="77777777" w:rsidR="000A4C42" w:rsidRPr="000A4C42" w:rsidRDefault="000A4C42" w:rsidP="000A4C42">
      <w:pPr>
        <w:spacing w:before="80" w:after="80"/>
        <w:jc w:val="both"/>
        <w:rPr>
          <w:rFonts w:cs="Times New Roman"/>
          <w:color w:val="000000" w:themeColor="text1"/>
          <w:sz w:val="22"/>
        </w:rPr>
      </w:pPr>
    </w:p>
    <w:p w14:paraId="3DEB2F35" w14:textId="77777777" w:rsidR="000A4C42" w:rsidRPr="000A4C42" w:rsidRDefault="000A4C42" w:rsidP="000A4C42">
      <w:pPr>
        <w:spacing w:before="80" w:after="80"/>
        <w:jc w:val="both"/>
        <w:rPr>
          <w:rFonts w:cs="Times New Roman"/>
          <w:color w:val="000000" w:themeColor="text1"/>
          <w:sz w:val="22"/>
        </w:rPr>
      </w:pPr>
      <w:r w:rsidRPr="000A4C42">
        <w:rPr>
          <w:rFonts w:cs="Times New Roman"/>
          <w:color w:val="000000" w:themeColor="text1"/>
          <w:sz w:val="22"/>
        </w:rPr>
        <w:t>Perceived benefits significantly influence both the participation and payment intensity stages. In Stage 1, a one-standard-deviation increase in the perceived benefits index increases the probability of willingness to pay by approximately 7.7 percentage points (AME = 0.077, p = 0.001). In Stage 2, the same increase results in an 18.8% increase in conditional WTP (β = 0.173, p = 0.032), equivalent to approximately Rs. 4,237 at the sample mean. These findings indicate that households recognising the legal protection, tenure security, dispute reduction, and transaction advantages associated with title registration are both more likely to participate and willing to pay higher amounts. The results reinforce the central role of perceived benefits in shaping demand for formal land titling and are consistent with international evidence demonstrating that perceived tenure security gains are fundamental to the success of land registration reforms.</w:t>
      </w:r>
    </w:p>
    <w:p w14:paraId="027EE225" w14:textId="77777777" w:rsidR="000A4C42" w:rsidRPr="000A4C42" w:rsidRDefault="000A4C42" w:rsidP="000A4C42">
      <w:pPr>
        <w:spacing w:before="80" w:after="80"/>
        <w:jc w:val="both"/>
        <w:rPr>
          <w:rFonts w:cs="Times New Roman"/>
          <w:color w:val="000000" w:themeColor="text1"/>
          <w:sz w:val="22"/>
        </w:rPr>
      </w:pPr>
    </w:p>
    <w:p w14:paraId="58B64968" w14:textId="77777777" w:rsidR="000A4C42" w:rsidRPr="000A4C42" w:rsidRDefault="000A4C42" w:rsidP="000A4C42">
      <w:pPr>
        <w:spacing w:before="80" w:after="80"/>
        <w:jc w:val="both"/>
        <w:rPr>
          <w:rFonts w:cs="Times New Roman"/>
          <w:color w:val="000000" w:themeColor="text1"/>
          <w:sz w:val="22"/>
        </w:rPr>
      </w:pPr>
      <w:r w:rsidRPr="000A4C42">
        <w:rPr>
          <w:rFonts w:cs="Times New Roman"/>
          <w:color w:val="000000" w:themeColor="text1"/>
          <w:sz w:val="22"/>
        </w:rPr>
        <w:t>Perceived transparency also emerges as an important determinant, although its influence is concentrated in the second hurdle. A one-standard-deviation increase in the transparency index increases conditional willingness to pay by approximately 22.6% (β = 0.204, p = 0.003), equivalent to around Rs. 5,079 at the mean positive WTP. This finding suggests that households are willing to commit greater financial resources when the registration process is perceived as transparent, predictable, and procedurally fair. The result highlights procedural transparency as a potentially important policy lever for improving participation outcomes and cost recovery within title registration programmes. Similar findings have been reported by Manara and Regan (2025), who observed that willingness to pay declines substantially when households perceive institutional arrangements as insufficient to deliver expected tenure security benefits.</w:t>
      </w:r>
    </w:p>
    <w:p w14:paraId="642AFBD0" w14:textId="77777777" w:rsidR="000A4C42" w:rsidRPr="000A4C42" w:rsidRDefault="000A4C42" w:rsidP="000A4C42">
      <w:pPr>
        <w:spacing w:before="80" w:after="80"/>
        <w:jc w:val="both"/>
        <w:rPr>
          <w:rFonts w:cs="Times New Roman"/>
          <w:color w:val="000000" w:themeColor="text1"/>
          <w:sz w:val="22"/>
        </w:rPr>
      </w:pPr>
    </w:p>
    <w:p w14:paraId="600B5405" w14:textId="77777777" w:rsidR="000A4C42" w:rsidRPr="000A4C42" w:rsidRDefault="000A4C42" w:rsidP="000A4C42">
      <w:pPr>
        <w:spacing w:before="80" w:after="80"/>
        <w:jc w:val="both"/>
        <w:rPr>
          <w:rFonts w:cs="Times New Roman"/>
          <w:color w:val="000000" w:themeColor="text1"/>
          <w:sz w:val="22"/>
        </w:rPr>
      </w:pPr>
      <w:r w:rsidRPr="000A4C42">
        <w:rPr>
          <w:rFonts w:cs="Times New Roman"/>
          <w:color w:val="000000" w:themeColor="text1"/>
          <w:sz w:val="22"/>
        </w:rPr>
        <w:t>In contrast, perceived risk and social influence do not demonstrate statistically significant effects in either stage of the model. The absence of significant effects may indicate limited variation in risk perceptions among respondents or reflect the possibility that social pressures play a relatively minor role compared with perceived economic and legal benefits associated with title registration.</w:t>
      </w:r>
    </w:p>
    <w:p w14:paraId="2DA32E84" w14:textId="77777777" w:rsidR="000A4C42" w:rsidRPr="000A4C42" w:rsidRDefault="000A4C42" w:rsidP="000A4C42">
      <w:pPr>
        <w:spacing w:before="80" w:after="80"/>
        <w:jc w:val="both"/>
        <w:rPr>
          <w:rFonts w:cs="Times New Roman"/>
          <w:color w:val="000000" w:themeColor="text1"/>
          <w:sz w:val="22"/>
        </w:rPr>
      </w:pPr>
    </w:p>
    <w:p w14:paraId="6E958D21" w14:textId="6C06EF2D" w:rsidR="000A4C42" w:rsidRDefault="000A4C42" w:rsidP="00B87706">
      <w:pPr>
        <w:spacing w:before="80" w:after="80"/>
        <w:jc w:val="both"/>
        <w:rPr>
          <w:rFonts w:cs="Times New Roman"/>
          <w:color w:val="000000" w:themeColor="text1"/>
          <w:sz w:val="22"/>
        </w:rPr>
      </w:pPr>
      <w:r w:rsidRPr="000A4C42">
        <w:rPr>
          <w:rFonts w:cs="Times New Roman"/>
          <w:color w:val="000000" w:themeColor="text1"/>
          <w:sz w:val="22"/>
        </w:rPr>
        <w:t>Overall, the findings provide partial support for Hypothesis H3. Perceived benefits significantly influence both participation and payment intensity, while perceived transparency significantly influences payment intensity. However, perceived risk and social influence do not significantly affect willingness to pay.</w:t>
      </w:r>
    </w:p>
    <w:p w14:paraId="72FE6077" w14:textId="77777777" w:rsidR="00BD179B" w:rsidRPr="007A504A" w:rsidRDefault="00000000">
      <w:pPr>
        <w:pStyle w:val="Heading1"/>
        <w:spacing w:before="280" w:after="80"/>
        <w:rPr>
          <w:rFonts w:ascii="Times New Roman" w:hAnsi="Times New Roman" w:cs="Times New Roman"/>
          <w:color w:val="000000" w:themeColor="text1"/>
        </w:rPr>
      </w:pPr>
      <w:r w:rsidRPr="007A504A">
        <w:rPr>
          <w:rFonts w:ascii="Times New Roman" w:hAnsi="Times New Roman" w:cs="Times New Roman"/>
          <w:color w:val="000000" w:themeColor="text1"/>
        </w:rPr>
        <w:lastRenderedPageBreak/>
        <w:t>5. Policy Implications</w:t>
      </w:r>
    </w:p>
    <w:p w14:paraId="23C79BC6" w14:textId="77777777" w:rsidR="00BD179B" w:rsidRPr="007A504A" w:rsidRDefault="00000000" w:rsidP="00B87706">
      <w:pPr>
        <w:spacing w:before="80" w:after="80"/>
        <w:jc w:val="both"/>
        <w:rPr>
          <w:rFonts w:cs="Times New Roman"/>
          <w:color w:val="000000" w:themeColor="text1"/>
        </w:rPr>
      </w:pPr>
      <w:r w:rsidRPr="007A504A">
        <w:rPr>
          <w:rFonts w:cs="Times New Roman"/>
          <w:color w:val="000000" w:themeColor="text1"/>
          <w:sz w:val="22"/>
        </w:rPr>
        <w:t>Based on the factors influencing willingness to pay for title registration, this study highlights that financially sustainable and socially inclusive land titling reform requires a calibrated and multi-dimensional policy approach rather than a uniform administrative strategy.</w:t>
      </w:r>
    </w:p>
    <w:p w14:paraId="3BAFB167" w14:textId="2870D577" w:rsidR="00BD179B" w:rsidRPr="007A504A" w:rsidRDefault="00000000" w:rsidP="00B87706">
      <w:pPr>
        <w:spacing w:before="80" w:after="80"/>
        <w:jc w:val="both"/>
        <w:rPr>
          <w:rFonts w:cs="Times New Roman"/>
          <w:color w:val="000000" w:themeColor="text1"/>
        </w:rPr>
      </w:pPr>
      <w:r w:rsidRPr="007A504A">
        <w:rPr>
          <w:rFonts w:cs="Times New Roman"/>
          <w:color w:val="000000" w:themeColor="text1"/>
          <w:sz w:val="22"/>
        </w:rPr>
        <w:t>First, pricing policy must be aligned with observed demand sensitivity. The empirical demand schedule reveals near-perfect price inelasticity in the cost-benchmark range (arc elasticity ε ≈ −0.034 between Rs. 7,000 and Rs. 15,000), indicating that registration fees can be set at the average service delivery cost (Rs. 7,000–9,000) without measurable demand loss. Fees could potentially be raised to Rs. 15,000 while maintaining approximately 70% participation. However, the demand cliff between Rs. 15,000 and Rs. 20,000</w:t>
      </w:r>
      <w:r w:rsidR="00933DAB" w:rsidRPr="007A504A">
        <w:rPr>
          <w:rFonts w:cs="Times New Roman"/>
          <w:color w:val="000000" w:themeColor="text1"/>
          <w:sz w:val="22"/>
        </w:rPr>
        <w:t xml:space="preserve">, </w:t>
      </w:r>
      <w:r w:rsidRPr="007A504A">
        <w:rPr>
          <w:rFonts w:cs="Times New Roman"/>
          <w:color w:val="000000" w:themeColor="text1"/>
          <w:sz w:val="22"/>
        </w:rPr>
        <w:t>where participation collapses by 44 percentage points — establishes Rs. 15,000 as a critical pricing ceiling. A full-cost or above-cost pricing strategy would likely undermine programme objectives.</w:t>
      </w:r>
    </w:p>
    <w:p w14:paraId="5E359847" w14:textId="77777777" w:rsidR="00BD179B" w:rsidRPr="007A504A" w:rsidRDefault="00000000" w:rsidP="00B87706">
      <w:pPr>
        <w:spacing w:before="80" w:after="80"/>
        <w:jc w:val="both"/>
        <w:rPr>
          <w:rFonts w:cs="Times New Roman"/>
          <w:color w:val="000000" w:themeColor="text1"/>
        </w:rPr>
      </w:pPr>
      <w:r w:rsidRPr="007A504A">
        <w:rPr>
          <w:rFonts w:cs="Times New Roman"/>
          <w:color w:val="000000" w:themeColor="text1"/>
          <w:sz w:val="22"/>
        </w:rPr>
        <w:t>Second, equity considerations require targeted subsidy mechanisms. Since income significantly influences the amount households are willing to pay but does not affect the participation decision, progressive or income-sensitive pricing structures can be introduced without discouraging entry into the system. Targeted subsidies for lower-income households would enhance inclusiveness while allowing middle- and higher-income groups to contribute proportionally more toward service delivery costs.</w:t>
      </w:r>
    </w:p>
    <w:p w14:paraId="491FD028" w14:textId="77777777" w:rsidR="00BD179B" w:rsidRPr="007A504A" w:rsidRDefault="00000000" w:rsidP="00B87706">
      <w:pPr>
        <w:spacing w:before="80" w:after="80"/>
        <w:jc w:val="both"/>
        <w:rPr>
          <w:rFonts w:cs="Times New Roman"/>
          <w:color w:val="000000" w:themeColor="text1"/>
        </w:rPr>
      </w:pPr>
      <w:r w:rsidRPr="007A504A">
        <w:rPr>
          <w:rFonts w:cs="Times New Roman"/>
          <w:color w:val="000000" w:themeColor="text1"/>
          <w:sz w:val="22"/>
        </w:rPr>
        <w:t>Third, strengthening benefit communication is critical to expanding demand. Perceived benefits significantly influence both participation and valuation, underscoring that households respond to their understanding of tenure security gains as much as to price signals. Public awareness campaigns should clearly articulate the long-term advantages of title registration — including dispute prevention, enhanced legal certainty, improved transferability, and intergenerational asset protection.</w:t>
      </w:r>
    </w:p>
    <w:p w14:paraId="64816BBD" w14:textId="77777777" w:rsidR="00BD179B" w:rsidRPr="007A504A" w:rsidRDefault="00000000" w:rsidP="00B87706">
      <w:pPr>
        <w:spacing w:before="80" w:after="80"/>
        <w:jc w:val="both"/>
        <w:rPr>
          <w:rFonts w:cs="Times New Roman"/>
          <w:color w:val="000000" w:themeColor="text1"/>
        </w:rPr>
      </w:pPr>
      <w:r w:rsidRPr="007A504A">
        <w:rPr>
          <w:rFonts w:cs="Times New Roman"/>
          <w:color w:val="000000" w:themeColor="text1"/>
          <w:sz w:val="22"/>
        </w:rPr>
        <w:t>Fourth, improving procedural transparency represents a key institutional lever. Transparency significantly increases the monetary value households attach to title registration once they decide to participate. Clear guidelines, predictable timelines, digital application tracking, and strengthened accountability mechanisms can reduce uncertainty and administrative risk, thereby enhancing institutional trust and households' willingness to contribute financially.</w:t>
      </w:r>
    </w:p>
    <w:p w14:paraId="540F305D" w14:textId="77777777" w:rsidR="00BD179B" w:rsidRPr="007A504A" w:rsidRDefault="00000000" w:rsidP="00B87706">
      <w:pPr>
        <w:spacing w:before="80" w:after="80"/>
        <w:jc w:val="both"/>
        <w:rPr>
          <w:rFonts w:cs="Times New Roman"/>
          <w:color w:val="000000" w:themeColor="text1"/>
        </w:rPr>
      </w:pPr>
      <w:r w:rsidRPr="007A504A">
        <w:rPr>
          <w:rFonts w:cs="Times New Roman"/>
          <w:color w:val="000000" w:themeColor="text1"/>
          <w:sz w:val="22"/>
        </w:rPr>
        <w:t>Finally, addressing structural barriers at the household level is essential for broadening participation. Larger households and those facing co-ownership, inheritance fragmentation, or informal subdivision arrangements encounter institutional complexities that discourage entry into formal registration. Simplifying procedures for shared ownership, clarifying subdivision regulations, and providing technical assistance for regularisation can reduce these entry constraints.</w:t>
      </w:r>
    </w:p>
    <w:p w14:paraId="65BF3F8B" w14:textId="77777777" w:rsidR="00BD179B" w:rsidRPr="007A504A" w:rsidRDefault="00000000">
      <w:pPr>
        <w:pStyle w:val="Heading1"/>
        <w:spacing w:before="280" w:after="80"/>
        <w:rPr>
          <w:rFonts w:ascii="Times New Roman" w:hAnsi="Times New Roman" w:cs="Times New Roman"/>
          <w:color w:val="000000" w:themeColor="text1"/>
        </w:rPr>
      </w:pPr>
      <w:r w:rsidRPr="007A504A">
        <w:rPr>
          <w:rFonts w:ascii="Times New Roman" w:hAnsi="Times New Roman" w:cs="Times New Roman"/>
          <w:color w:val="000000" w:themeColor="text1"/>
        </w:rPr>
        <w:t>6. Conclusion</w:t>
      </w:r>
    </w:p>
    <w:p w14:paraId="74F59694" w14:textId="77777777" w:rsidR="00BD179B" w:rsidRPr="007A504A" w:rsidRDefault="00000000" w:rsidP="00B87706">
      <w:pPr>
        <w:spacing w:before="80" w:after="80"/>
        <w:jc w:val="both"/>
        <w:rPr>
          <w:rFonts w:cs="Times New Roman"/>
          <w:color w:val="000000" w:themeColor="text1"/>
        </w:rPr>
      </w:pPr>
      <w:r w:rsidRPr="007A504A">
        <w:rPr>
          <w:rFonts w:cs="Times New Roman"/>
          <w:color w:val="000000" w:themeColor="text1"/>
          <w:sz w:val="22"/>
        </w:rPr>
        <w:t>This study examined the determinants of households' willingness to pay (WTP) for land title registration under Sri Lanka's Bim Saviya programme, with explicit attention to the distinction between the decision to participate and the valuation of registration services. Using a two-stage hurdle framework on survey data from 252 households in Colombo District, the analysis demonstrates that demand for formal land registration is driven less by physical land attributes and more by households' institutional perceptions, income, education, and tenure documentation status.</w:t>
      </w:r>
    </w:p>
    <w:p w14:paraId="0C9E98DD" w14:textId="77777777" w:rsidR="00BD179B" w:rsidRPr="007A504A" w:rsidRDefault="00000000" w:rsidP="00B87706">
      <w:pPr>
        <w:spacing w:before="80" w:after="80"/>
        <w:jc w:val="both"/>
        <w:rPr>
          <w:rFonts w:cs="Times New Roman"/>
          <w:color w:val="000000" w:themeColor="text1"/>
        </w:rPr>
      </w:pPr>
      <w:r w:rsidRPr="007A504A">
        <w:rPr>
          <w:rFonts w:cs="Times New Roman"/>
          <w:color w:val="000000" w:themeColor="text1"/>
          <w:sz w:val="22"/>
        </w:rPr>
        <w:lastRenderedPageBreak/>
        <w:t>The empirical demand schedule reveals a near-perfectly inelastic pricing range between Rs. 7,000 and Rs. 15,000 (arc elasticity ε ≈ −0.034), with a sharp demand cliff beyond this threshold. This finding has direct practical implications: fees set at the level of service delivery costs (Rs. 7,000–9,000) would not significantly reduce uptake, making partial cost recovery financially viable without undermining programme objectives. The critical pricing boundary is Rs. 15,000–20,000, where participation falls by 44 percentage points.</w:t>
      </w:r>
    </w:p>
    <w:p w14:paraId="3B5B1BBF" w14:textId="77471515" w:rsidR="00BD179B" w:rsidRPr="007A504A" w:rsidRDefault="00000000" w:rsidP="00B87706">
      <w:pPr>
        <w:spacing w:before="80" w:after="80"/>
        <w:jc w:val="both"/>
        <w:rPr>
          <w:rFonts w:cs="Times New Roman"/>
          <w:color w:val="000000" w:themeColor="text1"/>
        </w:rPr>
      </w:pPr>
      <w:r w:rsidRPr="007A504A">
        <w:rPr>
          <w:rFonts w:cs="Times New Roman"/>
          <w:color w:val="000000" w:themeColor="text1"/>
          <w:sz w:val="22"/>
        </w:rPr>
        <w:t>The econometric results confirm a sequential decision-making structure. Household size and perceived tenure insecurity (proxied by non-deed tenure status) primarily govern the participation decision, while income, bachelor's-level education, benefit perception, and procedural transparency shape the conditional payment amount. The finding that transparency of the registration process raises conditional WTP by approximately 22.6% per standard deviation</w:t>
      </w:r>
      <w:r w:rsidR="00B87706" w:rsidRPr="007A504A">
        <w:rPr>
          <w:rFonts w:cs="Times New Roman"/>
          <w:color w:val="000000" w:themeColor="text1"/>
          <w:sz w:val="22"/>
        </w:rPr>
        <w:t xml:space="preserve">, </w:t>
      </w:r>
      <w:r w:rsidRPr="007A504A">
        <w:rPr>
          <w:rFonts w:cs="Times New Roman"/>
          <w:color w:val="000000" w:themeColor="text1"/>
          <w:sz w:val="22"/>
        </w:rPr>
        <w:t>equivalent to Rs. 5,079 at the mean</w:t>
      </w:r>
      <w:r w:rsidR="00B87706" w:rsidRPr="007A504A">
        <w:rPr>
          <w:rFonts w:cs="Times New Roman"/>
          <w:color w:val="000000" w:themeColor="text1"/>
          <w:sz w:val="22"/>
        </w:rPr>
        <w:t>,</w:t>
      </w:r>
      <w:r w:rsidRPr="007A504A">
        <w:rPr>
          <w:rFonts w:cs="Times New Roman"/>
          <w:color w:val="000000" w:themeColor="text1"/>
          <w:sz w:val="22"/>
        </w:rPr>
        <w:t xml:space="preserve"> underscores that procedural quality is not merely an administrative concern but a direct determinant of financial engagement with land administration systems.</w:t>
      </w:r>
    </w:p>
    <w:p w14:paraId="3144307A" w14:textId="77777777" w:rsidR="00BD179B" w:rsidRPr="007A504A" w:rsidRDefault="00000000" w:rsidP="00B87706">
      <w:pPr>
        <w:spacing w:before="80" w:after="80"/>
        <w:jc w:val="both"/>
        <w:rPr>
          <w:rFonts w:cs="Times New Roman"/>
          <w:color w:val="000000" w:themeColor="text1"/>
        </w:rPr>
      </w:pPr>
      <w:r w:rsidRPr="007A504A">
        <w:rPr>
          <w:rFonts w:cs="Times New Roman"/>
          <w:color w:val="000000" w:themeColor="text1"/>
          <w:sz w:val="22"/>
        </w:rPr>
        <w:t>The study contributes to the land governance literature by showing that reducing direct registration costs alone is insufficient to generate sustained demand for land titling. Perceived legal certainty, dispute reduction, and procedural transparency emerge as central drivers of WTP, highlighting that land titling programmes function not merely as administrative interventions but as trust-dependent institutional reforms.</w:t>
      </w:r>
    </w:p>
    <w:p w14:paraId="200473BE" w14:textId="7922AEDB" w:rsidR="00BD179B" w:rsidRPr="007A504A" w:rsidRDefault="00933DAB" w:rsidP="00B87706">
      <w:pPr>
        <w:spacing w:before="80" w:after="80"/>
        <w:jc w:val="both"/>
        <w:rPr>
          <w:rFonts w:cs="Times New Roman"/>
          <w:color w:val="000000" w:themeColor="text1"/>
        </w:rPr>
      </w:pPr>
      <w:r w:rsidRPr="007A504A">
        <w:rPr>
          <w:rFonts w:cs="Times New Roman"/>
          <w:color w:val="000000" w:themeColor="text1"/>
          <w:sz w:val="22"/>
        </w:rPr>
        <w:t xml:space="preserve">Several limitations constrain the generalisability of these findings. The purposive sampling strategy focused on households with prior awareness of the programme; although the sample reflects diverse socio-economic characteristics within selected areas of the Colombo District where Bimsaviya is currently implemented, the results are best interpreted as representative of an informed urban landowning population rather than all households in the district. The stated-preference approach captures hypothetical willingness to pay (WTP), which may differ from actual behaviour due to hypothetical bias. Furthermore, the cross-sectional nature of the study restricts causal inference. Although the Wu–Hausman test (p = 0.863) supports the consistency of OLS estimates, it does not </w:t>
      </w:r>
      <w:proofErr w:type="gramStart"/>
      <w:r w:rsidRPr="007A504A">
        <w:rPr>
          <w:rFonts w:cs="Times New Roman"/>
          <w:color w:val="000000" w:themeColor="text1"/>
          <w:sz w:val="22"/>
        </w:rPr>
        <w:t>entirely eliminate</w:t>
      </w:r>
      <w:proofErr w:type="gramEnd"/>
      <w:r w:rsidRPr="007A504A">
        <w:rPr>
          <w:rFonts w:cs="Times New Roman"/>
          <w:color w:val="000000" w:themeColor="text1"/>
          <w:sz w:val="22"/>
        </w:rPr>
        <w:t xml:space="preserve"> the possibility of reverse causality between perceptions and valuation outcomes. In addition, composite perceptual indices derived from self-reported Likert-scale responses may be affected by common method variance.</w:t>
      </w:r>
    </w:p>
    <w:p w14:paraId="65D8F512" w14:textId="77777777" w:rsidR="00BD179B" w:rsidRPr="007A504A" w:rsidRDefault="00000000" w:rsidP="00B87706">
      <w:pPr>
        <w:spacing w:before="80" w:after="80"/>
        <w:jc w:val="both"/>
        <w:rPr>
          <w:rFonts w:cs="Times New Roman"/>
          <w:color w:val="000000" w:themeColor="text1"/>
        </w:rPr>
      </w:pPr>
      <w:r w:rsidRPr="007A504A">
        <w:rPr>
          <w:rFonts w:cs="Times New Roman"/>
          <w:color w:val="000000" w:themeColor="text1"/>
          <w:sz w:val="22"/>
        </w:rPr>
        <w:t>Future research should adopt longitudinal designs to assess how willingness to pay evolves as households gain experience with title registration and as institutional performance improves. Combining stated preference data with observed registration behaviour would allow for stronger inference about actual demand. Qualitative and mixed-methods approaches could further elaborate how local administrative practices, dispute histories, and social norms shape perceptions of formalisation. Expanding the geographic scope of analysis would facilitate comparative insights across urban, peri-urban, and rural contexts.</w:t>
      </w:r>
    </w:p>
    <w:p w14:paraId="4F3EA475" w14:textId="77777777" w:rsidR="00BD179B" w:rsidRPr="007A504A" w:rsidRDefault="00000000">
      <w:pPr>
        <w:pStyle w:val="Heading1"/>
        <w:spacing w:before="280" w:after="80"/>
        <w:rPr>
          <w:rFonts w:ascii="Times New Roman" w:hAnsi="Times New Roman" w:cs="Times New Roman"/>
          <w:color w:val="000000" w:themeColor="text1"/>
        </w:rPr>
      </w:pPr>
      <w:r w:rsidRPr="007A504A">
        <w:rPr>
          <w:rFonts w:ascii="Times New Roman" w:hAnsi="Times New Roman" w:cs="Times New Roman"/>
          <w:color w:val="000000" w:themeColor="text1"/>
        </w:rPr>
        <w:t>Acknowledgements</w:t>
      </w:r>
    </w:p>
    <w:p w14:paraId="3137EC14" w14:textId="77777777" w:rsidR="00BD179B" w:rsidRPr="007A504A" w:rsidRDefault="00000000" w:rsidP="000A6C42">
      <w:pPr>
        <w:spacing w:before="80" w:after="80"/>
        <w:jc w:val="both"/>
        <w:rPr>
          <w:rFonts w:cs="Times New Roman"/>
          <w:color w:val="000000" w:themeColor="text1"/>
        </w:rPr>
      </w:pPr>
      <w:r w:rsidRPr="007A504A">
        <w:rPr>
          <w:rFonts w:cs="Times New Roman"/>
          <w:color w:val="000000" w:themeColor="text1"/>
          <w:sz w:val="22"/>
        </w:rPr>
        <w:t>Centre for Real Estate Studies (CRES), Department of Estate Management and Valuation, University of Sri Jayewardenepura.</w:t>
      </w:r>
    </w:p>
    <w:p w14:paraId="4968915C" w14:textId="77777777" w:rsidR="00BD179B" w:rsidRPr="007A504A" w:rsidRDefault="00000000">
      <w:pPr>
        <w:pStyle w:val="Heading1"/>
        <w:spacing w:before="280" w:after="80"/>
        <w:rPr>
          <w:rFonts w:ascii="Times New Roman" w:hAnsi="Times New Roman" w:cs="Times New Roman"/>
          <w:color w:val="000000" w:themeColor="text1"/>
        </w:rPr>
      </w:pPr>
      <w:r w:rsidRPr="007A504A">
        <w:rPr>
          <w:rFonts w:ascii="Times New Roman" w:hAnsi="Times New Roman" w:cs="Times New Roman"/>
          <w:color w:val="000000" w:themeColor="text1"/>
        </w:rPr>
        <w:lastRenderedPageBreak/>
        <w:t>References</w:t>
      </w:r>
    </w:p>
    <w:p w14:paraId="4B9D44F2"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Agbo, I., </w:t>
      </w:r>
      <w:proofErr w:type="spellStart"/>
      <w:r w:rsidRPr="007A504A">
        <w:rPr>
          <w:rFonts w:cs="Times New Roman"/>
          <w:color w:val="000000" w:themeColor="text1"/>
          <w:sz w:val="22"/>
        </w:rPr>
        <w:t>Onajole</w:t>
      </w:r>
      <w:proofErr w:type="spellEnd"/>
      <w:r w:rsidRPr="007A504A">
        <w:rPr>
          <w:rFonts w:cs="Times New Roman"/>
          <w:color w:val="000000" w:themeColor="text1"/>
          <w:sz w:val="22"/>
        </w:rPr>
        <w:t xml:space="preserve">, A., </w:t>
      </w:r>
      <w:proofErr w:type="spellStart"/>
      <w:r w:rsidRPr="007A504A">
        <w:rPr>
          <w:rFonts w:cs="Times New Roman"/>
          <w:color w:val="000000" w:themeColor="text1"/>
          <w:sz w:val="22"/>
        </w:rPr>
        <w:t>Ogunnowo</w:t>
      </w:r>
      <w:proofErr w:type="spellEnd"/>
      <w:r w:rsidRPr="007A504A">
        <w:rPr>
          <w:rFonts w:cs="Times New Roman"/>
          <w:color w:val="000000" w:themeColor="text1"/>
          <w:sz w:val="22"/>
        </w:rPr>
        <w:t xml:space="preserve">, B., &amp; </w:t>
      </w:r>
      <w:proofErr w:type="spellStart"/>
      <w:r w:rsidRPr="007A504A">
        <w:rPr>
          <w:rFonts w:cs="Times New Roman"/>
          <w:color w:val="000000" w:themeColor="text1"/>
          <w:sz w:val="22"/>
        </w:rPr>
        <w:t>Emechebe</w:t>
      </w:r>
      <w:proofErr w:type="spellEnd"/>
      <w:r w:rsidRPr="007A504A">
        <w:rPr>
          <w:rFonts w:cs="Times New Roman"/>
          <w:color w:val="000000" w:themeColor="text1"/>
          <w:sz w:val="22"/>
        </w:rPr>
        <w:t>, A. (2019). Community based health insurance as a viable option for health financing: An assessment of household willingness to pay in Lagos, Nigeria. Journal of Public Health and Epidemiology, 11(2), 49–57.</w:t>
      </w:r>
    </w:p>
    <w:p w14:paraId="6B6ADF8A"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Ali, D. A., Collin, M., Deininger, K., </w:t>
      </w:r>
      <w:proofErr w:type="spellStart"/>
      <w:r w:rsidRPr="007A504A">
        <w:rPr>
          <w:rFonts w:cs="Times New Roman"/>
          <w:color w:val="000000" w:themeColor="text1"/>
          <w:sz w:val="22"/>
        </w:rPr>
        <w:t>Dercon</w:t>
      </w:r>
      <w:proofErr w:type="spellEnd"/>
      <w:r w:rsidRPr="007A504A">
        <w:rPr>
          <w:rFonts w:cs="Times New Roman"/>
          <w:color w:val="000000" w:themeColor="text1"/>
          <w:sz w:val="22"/>
        </w:rPr>
        <w:t xml:space="preserve">, S., Sandefur, J., &amp; Zeitlin, A. (2014). The Price of Empowerment: Experimental Evidence on Land Titling in Tanzania (Working Paper No. 369). </w:t>
      </w:r>
      <w:proofErr w:type="spellStart"/>
      <w:r w:rsidRPr="007A504A">
        <w:rPr>
          <w:rFonts w:cs="Times New Roman"/>
          <w:color w:val="000000" w:themeColor="text1"/>
          <w:sz w:val="22"/>
        </w:rPr>
        <w:t>Center</w:t>
      </w:r>
      <w:proofErr w:type="spellEnd"/>
      <w:r w:rsidRPr="007A504A">
        <w:rPr>
          <w:rFonts w:cs="Times New Roman"/>
          <w:color w:val="000000" w:themeColor="text1"/>
          <w:sz w:val="22"/>
        </w:rPr>
        <w:t xml:space="preserve"> for Global Development.</w:t>
      </w:r>
    </w:p>
    <w:p w14:paraId="7E0E92FC"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Ali, D. A., &amp; Deininger, K. (2022). Institutional determinants of large land-based investments' performance in Zambia: Does title enhance productivity and structural transformation? World Development, 157, 105932.</w:t>
      </w:r>
    </w:p>
    <w:p w14:paraId="1029D672"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Ali, D. A., Deininger, K., </w:t>
      </w:r>
      <w:proofErr w:type="spellStart"/>
      <w:r w:rsidRPr="007A504A">
        <w:rPr>
          <w:rFonts w:cs="Times New Roman"/>
          <w:color w:val="000000" w:themeColor="text1"/>
          <w:sz w:val="22"/>
        </w:rPr>
        <w:t>Mahofa</w:t>
      </w:r>
      <w:proofErr w:type="spellEnd"/>
      <w:r w:rsidRPr="007A504A">
        <w:rPr>
          <w:rFonts w:cs="Times New Roman"/>
          <w:color w:val="000000" w:themeColor="text1"/>
          <w:sz w:val="22"/>
        </w:rPr>
        <w:t xml:space="preserve">, G., &amp; </w:t>
      </w:r>
      <w:proofErr w:type="spellStart"/>
      <w:r w:rsidRPr="007A504A">
        <w:rPr>
          <w:rFonts w:cs="Times New Roman"/>
          <w:color w:val="000000" w:themeColor="text1"/>
          <w:sz w:val="22"/>
        </w:rPr>
        <w:t>Nyakulama</w:t>
      </w:r>
      <w:proofErr w:type="spellEnd"/>
      <w:r w:rsidRPr="007A504A">
        <w:rPr>
          <w:rFonts w:cs="Times New Roman"/>
          <w:color w:val="000000" w:themeColor="text1"/>
          <w:sz w:val="22"/>
        </w:rPr>
        <w:t>, R. (2021). Sustaining land registration benefits by addressing the challenges of reversion to informality in Rwanda. Land Use Policy, 110, 104317.</w:t>
      </w:r>
    </w:p>
    <w:p w14:paraId="3014817F"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Ali, D., Deininger, K., Goldstein, M., &amp; Ferrara, E. L. (2015). Empowering Women through Land Tenure Regularization: Evidence from the Impact Evaluation of the National Program in Rwanda. Development Research Group, World Bank.</w:t>
      </w:r>
    </w:p>
    <w:p w14:paraId="1DB8B3D0"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Bezu, S., &amp; Holden, S. (2013). Unbundling Land Administrative Reform: Demand for Second Stage Land Certification in Ethiopia (Working Paper No. 03/13). Norwegian University of Life Sciences.</w:t>
      </w:r>
    </w:p>
    <w:p w14:paraId="51D701C3"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Blackman, A., Dissanayake, S., Cruz, A. M., Corral, L., &amp; </w:t>
      </w:r>
      <w:proofErr w:type="spellStart"/>
      <w:r w:rsidRPr="007A504A">
        <w:rPr>
          <w:rFonts w:cs="Times New Roman"/>
          <w:color w:val="000000" w:themeColor="text1"/>
          <w:sz w:val="22"/>
        </w:rPr>
        <w:t>Schling</w:t>
      </w:r>
      <w:proofErr w:type="spellEnd"/>
      <w:r w:rsidRPr="007A504A">
        <w:rPr>
          <w:rFonts w:cs="Times New Roman"/>
          <w:color w:val="000000" w:themeColor="text1"/>
          <w:sz w:val="22"/>
        </w:rPr>
        <w:t>, M. (2022). Benefits of titling indigenous communities in the Peruvian Amazon: A stated preference approach (IDB Working Paper No. 1411).</w:t>
      </w:r>
    </w:p>
    <w:p w14:paraId="406B6F74"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Byamugisha, F. F. K. (1999). The Effects of Land Registration on Financial Development and Economic Growth (Policy Research Working Paper No. 2240). The World Bank.</w:t>
      </w:r>
    </w:p>
    <w:p w14:paraId="749F9845"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Byamugisha, F. F. K. (2021). Experiences and Development Impacts of Securing Land Rights at Scale in Developing Countries: Case Studies of China and Vietnam. Land, 10(2), 176.</w:t>
      </w:r>
    </w:p>
    <w:p w14:paraId="29A174D2"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Byamugisha, F. F. K., &amp; </w:t>
      </w:r>
      <w:proofErr w:type="spellStart"/>
      <w:r w:rsidRPr="007A504A">
        <w:rPr>
          <w:rFonts w:cs="Times New Roman"/>
          <w:color w:val="000000" w:themeColor="text1"/>
          <w:sz w:val="22"/>
        </w:rPr>
        <w:t>Dubosse</w:t>
      </w:r>
      <w:proofErr w:type="spellEnd"/>
      <w:r w:rsidRPr="007A504A">
        <w:rPr>
          <w:rFonts w:cs="Times New Roman"/>
          <w:color w:val="000000" w:themeColor="text1"/>
          <w:sz w:val="22"/>
        </w:rPr>
        <w:t>, N. (2023). The Investment Case for Land Tenure Security in Sub-Saharan Africa: A Cost–Benefit Analysis. Journal of Benefit-Cost Analysis, 14(S1), 272–300.</w:t>
      </w:r>
    </w:p>
    <w:p w14:paraId="320B698B"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Deininger, K., &amp; Feder, G. (2009). Land Registration, Governance, and Development: Evidence and Implications for Policy. The World Bank Research Observer, 24(2), 233–266.</w:t>
      </w:r>
    </w:p>
    <w:p w14:paraId="7ADCB762"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Department of Census and Statistics. (2019). Household Income and Expenditure Survey. Department of Census and Statistics.</w:t>
      </w:r>
    </w:p>
    <w:p w14:paraId="00742C28"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Department of Census and Statistics. (2021). Estimated Population, Area and Population Density by District and Divisional Secretariat Division. Department of Census and Statistics.</w:t>
      </w:r>
    </w:p>
    <w:p w14:paraId="03CEB042"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Di Falco, S., Laurent-Lucchetti, J., Veronesi, M., &amp; </w:t>
      </w:r>
      <w:proofErr w:type="spellStart"/>
      <w:r w:rsidRPr="007A504A">
        <w:rPr>
          <w:rFonts w:cs="Times New Roman"/>
          <w:color w:val="000000" w:themeColor="text1"/>
          <w:sz w:val="22"/>
        </w:rPr>
        <w:t>Kohlin</w:t>
      </w:r>
      <w:proofErr w:type="spellEnd"/>
      <w:r w:rsidRPr="007A504A">
        <w:rPr>
          <w:rFonts w:cs="Times New Roman"/>
          <w:color w:val="000000" w:themeColor="text1"/>
          <w:sz w:val="22"/>
        </w:rPr>
        <w:t>, G. (2020). Property Rights, Land Disputes and Water Scarcity: Empirical Evidence from Ethiopia. American Journal of Agricultural Economics, 102(1), 54–71.</w:t>
      </w:r>
    </w:p>
    <w:p w14:paraId="2B4C9085" w14:textId="77777777" w:rsidR="00BD179B" w:rsidRPr="007A504A" w:rsidRDefault="00000000" w:rsidP="00933DAB">
      <w:pPr>
        <w:spacing w:before="40" w:after="40"/>
        <w:ind w:left="720" w:hanging="720"/>
        <w:jc w:val="both"/>
        <w:rPr>
          <w:rFonts w:cs="Times New Roman"/>
          <w:color w:val="000000" w:themeColor="text1"/>
          <w:sz w:val="22"/>
        </w:rPr>
      </w:pPr>
      <w:proofErr w:type="spellStart"/>
      <w:r w:rsidRPr="007A504A">
        <w:rPr>
          <w:rFonts w:cs="Times New Roman"/>
          <w:color w:val="000000" w:themeColor="text1"/>
          <w:sz w:val="22"/>
        </w:rPr>
        <w:t>Divithure</w:t>
      </w:r>
      <w:proofErr w:type="spellEnd"/>
      <w:r w:rsidRPr="007A504A">
        <w:rPr>
          <w:rFonts w:cs="Times New Roman"/>
          <w:color w:val="000000" w:themeColor="text1"/>
          <w:sz w:val="22"/>
        </w:rPr>
        <w:t>, H., &amp; Tang, C. (2013). Cadastral system migration from deeds registration to titles registration: Case study of Sri Lanka. Survey Review, 45(330), 220–228.</w:t>
      </w:r>
    </w:p>
    <w:p w14:paraId="33511AA9" w14:textId="77777777" w:rsidR="00BD179B" w:rsidRPr="007A504A" w:rsidRDefault="00000000" w:rsidP="00933DAB">
      <w:pPr>
        <w:spacing w:before="40" w:after="40"/>
        <w:ind w:left="720" w:hanging="720"/>
        <w:jc w:val="both"/>
        <w:rPr>
          <w:rFonts w:cs="Times New Roman"/>
          <w:color w:val="000000" w:themeColor="text1"/>
          <w:sz w:val="22"/>
        </w:rPr>
      </w:pPr>
      <w:proofErr w:type="spellStart"/>
      <w:r w:rsidRPr="007A504A">
        <w:rPr>
          <w:rFonts w:cs="Times New Roman"/>
          <w:color w:val="000000" w:themeColor="text1"/>
          <w:sz w:val="22"/>
        </w:rPr>
        <w:lastRenderedPageBreak/>
        <w:t>Ezebilo</w:t>
      </w:r>
      <w:proofErr w:type="spellEnd"/>
      <w:r w:rsidRPr="007A504A">
        <w:rPr>
          <w:rFonts w:cs="Times New Roman"/>
          <w:color w:val="000000" w:themeColor="text1"/>
          <w:sz w:val="22"/>
        </w:rPr>
        <w:t>, E. E. (2013). Willingness to pay for improved residential waste management in a developing country. International Journal of Environmental Science and Technology, 10(3), 413–422.</w:t>
      </w:r>
    </w:p>
    <w:p w14:paraId="4978A5DD"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Feder, G., &amp; Nishio, A. (1999). The benefits of land registration and titling: Economic and social perspectives. Land Use Policy, 15(1), 25–43.</w:t>
      </w:r>
    </w:p>
    <w:p w14:paraId="347FF706"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Feder, G., Onchan, T., </w:t>
      </w:r>
      <w:proofErr w:type="spellStart"/>
      <w:r w:rsidRPr="007A504A">
        <w:rPr>
          <w:rFonts w:cs="Times New Roman"/>
          <w:color w:val="000000" w:themeColor="text1"/>
          <w:sz w:val="22"/>
        </w:rPr>
        <w:t>Hongladarom</w:t>
      </w:r>
      <w:proofErr w:type="spellEnd"/>
      <w:r w:rsidRPr="007A504A">
        <w:rPr>
          <w:rFonts w:cs="Times New Roman"/>
          <w:color w:val="000000" w:themeColor="text1"/>
          <w:sz w:val="22"/>
        </w:rPr>
        <w:t xml:space="preserve">, C., &amp; </w:t>
      </w:r>
      <w:proofErr w:type="spellStart"/>
      <w:r w:rsidRPr="007A504A">
        <w:rPr>
          <w:rFonts w:cs="Times New Roman"/>
          <w:color w:val="000000" w:themeColor="text1"/>
          <w:sz w:val="22"/>
        </w:rPr>
        <w:t>Chalamwong</w:t>
      </w:r>
      <w:proofErr w:type="spellEnd"/>
      <w:r w:rsidRPr="007A504A">
        <w:rPr>
          <w:rFonts w:cs="Times New Roman"/>
          <w:color w:val="000000" w:themeColor="text1"/>
          <w:sz w:val="22"/>
        </w:rPr>
        <w:t>, Y. (1988). Land policies and farm productivity in Thailand. World Bank.</w:t>
      </w:r>
    </w:p>
    <w:p w14:paraId="2C347A59"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Flower, B. C. R. (2018). Does informal tenure result in land inequality? A critique of tenure formalisation reforms in Cambodia. Land Use Policy, 77, 240–248.</w:t>
      </w:r>
    </w:p>
    <w:p w14:paraId="744661A6"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Fu, H., Peng, Y., Zheng, L., Liu, Q., Zhou, L., Zhang, Y., Kong, R., &amp; Turvey, C. G. (2022). Heterogeneous choice in WTP and WTA for renting land use rights in rural </w:t>
      </w:r>
      <w:proofErr w:type="spellStart"/>
      <w:r w:rsidRPr="007A504A">
        <w:rPr>
          <w:rFonts w:cs="Times New Roman"/>
          <w:color w:val="000000" w:themeColor="text1"/>
          <w:sz w:val="22"/>
        </w:rPr>
        <w:t>china</w:t>
      </w:r>
      <w:proofErr w:type="spellEnd"/>
      <w:r w:rsidRPr="007A504A">
        <w:rPr>
          <w:rFonts w:cs="Times New Roman"/>
          <w:color w:val="000000" w:themeColor="text1"/>
          <w:sz w:val="22"/>
        </w:rPr>
        <w:t>: Choice experiments from the field. Land Use Policy, 119, 106123.</w:t>
      </w:r>
    </w:p>
    <w:p w14:paraId="4B1D1BC9" w14:textId="77777777" w:rsidR="00BD179B" w:rsidRPr="007A504A" w:rsidRDefault="00000000" w:rsidP="00933DAB">
      <w:pPr>
        <w:spacing w:before="40" w:after="40"/>
        <w:ind w:left="720" w:hanging="720"/>
        <w:jc w:val="both"/>
        <w:rPr>
          <w:rFonts w:cs="Times New Roman"/>
          <w:color w:val="000000" w:themeColor="text1"/>
          <w:sz w:val="22"/>
        </w:rPr>
      </w:pPr>
      <w:proofErr w:type="spellStart"/>
      <w:r w:rsidRPr="007A504A">
        <w:rPr>
          <w:rFonts w:cs="Times New Roman"/>
          <w:color w:val="000000" w:themeColor="text1"/>
          <w:sz w:val="22"/>
        </w:rPr>
        <w:t>Gunatilake</w:t>
      </w:r>
      <w:proofErr w:type="spellEnd"/>
      <w:r w:rsidRPr="007A504A">
        <w:rPr>
          <w:rFonts w:cs="Times New Roman"/>
          <w:color w:val="000000" w:themeColor="text1"/>
          <w:sz w:val="22"/>
        </w:rPr>
        <w:t xml:space="preserve">, H., Yang, J.-C., </w:t>
      </w:r>
      <w:proofErr w:type="spellStart"/>
      <w:r w:rsidRPr="007A504A">
        <w:rPr>
          <w:rFonts w:cs="Times New Roman"/>
          <w:color w:val="000000" w:themeColor="text1"/>
          <w:sz w:val="22"/>
        </w:rPr>
        <w:t>Pattanayak</w:t>
      </w:r>
      <w:proofErr w:type="spellEnd"/>
      <w:r w:rsidRPr="007A504A">
        <w:rPr>
          <w:rFonts w:cs="Times New Roman"/>
          <w:color w:val="000000" w:themeColor="text1"/>
          <w:sz w:val="22"/>
        </w:rPr>
        <w:t>, S., &amp; Kyeong, A. C. (2007). Good practices for Estimating Reliable Willingness-to-pay Values in the Water Supply and Sanitation Sector (ERD Technical Note No. 23). Asian Development Bank.</w:t>
      </w:r>
    </w:p>
    <w:p w14:paraId="36BFB8E0"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Ji, X., Wang, Y., Yang, L., Li, C., &amp; Chen, L. (2025). The impact of cropland transfer on rural household income in China: The moderating effects of education. Land Use Policy, 148, 107399.</w:t>
      </w:r>
    </w:p>
    <w:p w14:paraId="74242E75"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Julius, M., Charles, N., &amp; </w:t>
      </w:r>
      <w:proofErr w:type="spellStart"/>
      <w:r w:rsidRPr="007A504A">
        <w:rPr>
          <w:rFonts w:cs="Times New Roman"/>
          <w:color w:val="000000" w:themeColor="text1"/>
          <w:sz w:val="22"/>
        </w:rPr>
        <w:t>Mufandaedza</w:t>
      </w:r>
      <w:proofErr w:type="spellEnd"/>
      <w:r w:rsidRPr="007A504A">
        <w:rPr>
          <w:rFonts w:cs="Times New Roman"/>
          <w:color w:val="000000" w:themeColor="text1"/>
          <w:sz w:val="22"/>
        </w:rPr>
        <w:t xml:space="preserve">, S. (2017). Determinants of willingness to pay for solid waste management in Gweru city, Zimbabwe. Alanya Akademik </w:t>
      </w:r>
      <w:proofErr w:type="spellStart"/>
      <w:r w:rsidRPr="007A504A">
        <w:rPr>
          <w:rFonts w:cs="Times New Roman"/>
          <w:color w:val="000000" w:themeColor="text1"/>
          <w:sz w:val="22"/>
        </w:rPr>
        <w:t>Bakış</w:t>
      </w:r>
      <w:proofErr w:type="spellEnd"/>
      <w:r w:rsidRPr="007A504A">
        <w:rPr>
          <w:rFonts w:cs="Times New Roman"/>
          <w:color w:val="000000" w:themeColor="text1"/>
          <w:sz w:val="22"/>
        </w:rPr>
        <w:t>, 1(3), 15–21.</w:t>
      </w:r>
    </w:p>
    <w:p w14:paraId="2B172A7A"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Kasirye, I. (2019). Cost as a barrier to land tenure security for poor agricultural households: Willingness to pay for land certification in Uganda. Economic Policy Research Centre.</w:t>
      </w:r>
    </w:p>
    <w:p w14:paraId="32C55A6B"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Keerthika, S. (2025). The Impact of Male Dominance on Women's Role in the Division of Labour During and Post-Conflict in Tamil Society. Sri Lanka Journal of Social Work, 8(2), 59–84.</w:t>
      </w:r>
    </w:p>
    <w:p w14:paraId="582A9B61"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Kim, S., Kwon, S. A., Lee, J. E., Ahn, B.-C., Lee, J. H., An, C., Kitagawa, K., Kim, D., &amp; Wang, J. (2020). </w:t>
      </w:r>
      <w:proofErr w:type="spellStart"/>
      <w:r w:rsidRPr="007A504A">
        <w:rPr>
          <w:rFonts w:cs="Times New Roman"/>
          <w:color w:val="000000" w:themeColor="text1"/>
          <w:sz w:val="22"/>
        </w:rPr>
        <w:t>Analyzing</w:t>
      </w:r>
      <w:proofErr w:type="spellEnd"/>
      <w:r w:rsidRPr="007A504A">
        <w:rPr>
          <w:rFonts w:cs="Times New Roman"/>
          <w:color w:val="000000" w:themeColor="text1"/>
          <w:sz w:val="22"/>
        </w:rPr>
        <w:t xml:space="preserve"> the Role of Resource Factors in Citizens' Intention to Pay for and Participate in Disaster Management. Sustainability, 12(8), 3377.</w:t>
      </w:r>
    </w:p>
    <w:p w14:paraId="7597B047" w14:textId="77777777" w:rsidR="00BD179B" w:rsidRPr="007A504A" w:rsidRDefault="00000000" w:rsidP="00933DAB">
      <w:pPr>
        <w:spacing w:before="40" w:after="40"/>
        <w:ind w:left="720" w:hanging="720"/>
        <w:jc w:val="both"/>
        <w:rPr>
          <w:rFonts w:cs="Times New Roman"/>
          <w:color w:val="000000" w:themeColor="text1"/>
          <w:sz w:val="22"/>
        </w:rPr>
      </w:pPr>
      <w:proofErr w:type="spellStart"/>
      <w:r w:rsidRPr="007A504A">
        <w:rPr>
          <w:rFonts w:cs="Times New Roman"/>
          <w:color w:val="000000" w:themeColor="text1"/>
          <w:sz w:val="22"/>
        </w:rPr>
        <w:t>Lankalaw</w:t>
      </w:r>
      <w:proofErr w:type="spellEnd"/>
      <w:r w:rsidRPr="007A504A">
        <w:rPr>
          <w:rFonts w:cs="Times New Roman"/>
          <w:color w:val="000000" w:themeColor="text1"/>
          <w:sz w:val="22"/>
        </w:rPr>
        <w:t>. (2024, December 30). Registration of Title: Resolving Land Ownership Challenges in Sri Lanka. Lanka Law.</w:t>
      </w:r>
    </w:p>
    <w:p w14:paraId="57527E0A"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Linde-Rahr, M. (2008). Willingness to Pay for Forest Property Rights and the Value of Increased Property Rights Security. Environmental and Resource Economics, 41(4), 465–478.</w:t>
      </w:r>
    </w:p>
    <w:p w14:paraId="12BA355B"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Maddala, G. S. (1983). Limited-Dependent and Qualitative Variables in Econometrics. Cambridge University Press.</w:t>
      </w:r>
    </w:p>
    <w:p w14:paraId="0C9D90DF"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Manara, M. (2025). Institutional transition: Social cohesion and demand for land titles in urban Tanzania. World Development, 185, 106799.</w:t>
      </w:r>
    </w:p>
    <w:p w14:paraId="13CB5FF4"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Manara, M., &amp; Regan, T. (2024). Unbundling tenure security and demand for property rights: Evidence from urban Tanzania. Urban Studies, 61(11), 2080–2098.</w:t>
      </w:r>
    </w:p>
    <w:p w14:paraId="7C2CDC2B"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Manara, M., &amp; Regan, T. (2025). Ask a Local: Improving the Public Pricing of Land Titles in Urban Tanzania. Review of Economics and Statistics, 107(1), 188–203.</w:t>
      </w:r>
    </w:p>
    <w:p w14:paraId="6007573A"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Mbudzya, J. J., Gido, E. O., &amp; Owuor, G. (2022). Effect of land tenure security on agricultural productivity among small scale farmers in Kenya: A conditional mixed processes analysis. Cogent Food &amp; Agriculture, 8(1), 2139805.</w:t>
      </w:r>
    </w:p>
    <w:p w14:paraId="14AA44C8"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lastRenderedPageBreak/>
        <w:t>McDermott, M., Myers, M., &amp; Augustinus, C. (2018). Valuation of Unregistered Land (Policy Guide HS/051/18E). UN-Habitat.</w:t>
      </w:r>
    </w:p>
    <w:p w14:paraId="631D7808"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Miceli, T. J., Sirmans, C. F., &amp; </w:t>
      </w:r>
      <w:proofErr w:type="spellStart"/>
      <w:r w:rsidRPr="007A504A">
        <w:rPr>
          <w:rFonts w:cs="Times New Roman"/>
          <w:color w:val="000000" w:themeColor="text1"/>
          <w:sz w:val="22"/>
        </w:rPr>
        <w:t>Kieyah</w:t>
      </w:r>
      <w:proofErr w:type="spellEnd"/>
      <w:r w:rsidRPr="007A504A">
        <w:rPr>
          <w:rFonts w:cs="Times New Roman"/>
          <w:color w:val="000000" w:themeColor="text1"/>
          <w:sz w:val="22"/>
        </w:rPr>
        <w:t>, J. (2001). The Demand for Land Title Registration: Theory with Evidence from Kenya. American Law and Economics Review, 3(2), 275–287.</w:t>
      </w:r>
    </w:p>
    <w:p w14:paraId="7C92C0C4"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National Audit Office. (2022). Annual Report of the Auditor General 2022. Auditor General's Department.</w:t>
      </w:r>
    </w:p>
    <w:p w14:paraId="24FA14B1"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National Audit Office. (2024). Auditor General Annual Report. National Audit Office.</w:t>
      </w:r>
    </w:p>
    <w:p w14:paraId="28F89CF3"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Nkansah, E., </w:t>
      </w:r>
      <w:proofErr w:type="spellStart"/>
      <w:r w:rsidRPr="007A504A">
        <w:rPr>
          <w:rFonts w:cs="Times New Roman"/>
          <w:color w:val="000000" w:themeColor="text1"/>
          <w:sz w:val="22"/>
        </w:rPr>
        <w:t>Dafor</w:t>
      </w:r>
      <w:proofErr w:type="spellEnd"/>
      <w:r w:rsidRPr="007A504A">
        <w:rPr>
          <w:rFonts w:cs="Times New Roman"/>
          <w:color w:val="000000" w:themeColor="text1"/>
          <w:sz w:val="22"/>
        </w:rPr>
        <w:t>, N. K., &amp; Essel-</w:t>
      </w:r>
      <w:proofErr w:type="spellStart"/>
      <w:r w:rsidRPr="007A504A">
        <w:rPr>
          <w:rFonts w:cs="Times New Roman"/>
          <w:color w:val="000000" w:themeColor="text1"/>
          <w:sz w:val="22"/>
        </w:rPr>
        <w:t>Gaisey</w:t>
      </w:r>
      <w:proofErr w:type="spellEnd"/>
      <w:r w:rsidRPr="007A504A">
        <w:rPr>
          <w:rFonts w:cs="Times New Roman"/>
          <w:color w:val="000000" w:themeColor="text1"/>
          <w:sz w:val="22"/>
        </w:rPr>
        <w:t>, F. (2015). Willingness to pay for improved solid waste disposal in Tema Metropolis. UDS International Journal of Development, 2(1).</w:t>
      </w:r>
    </w:p>
    <w:p w14:paraId="64A9D72A" w14:textId="77777777" w:rsidR="00BD179B" w:rsidRPr="007A504A" w:rsidRDefault="00000000" w:rsidP="00933DAB">
      <w:pPr>
        <w:spacing w:before="40" w:after="40"/>
        <w:ind w:left="720" w:hanging="720"/>
        <w:jc w:val="both"/>
        <w:rPr>
          <w:rFonts w:cs="Times New Roman"/>
          <w:color w:val="000000" w:themeColor="text1"/>
          <w:sz w:val="22"/>
        </w:rPr>
      </w:pPr>
      <w:proofErr w:type="spellStart"/>
      <w:r w:rsidRPr="007A504A">
        <w:rPr>
          <w:rFonts w:cs="Times New Roman"/>
          <w:color w:val="000000" w:themeColor="text1"/>
          <w:sz w:val="22"/>
        </w:rPr>
        <w:t>Panman</w:t>
      </w:r>
      <w:proofErr w:type="spellEnd"/>
      <w:r w:rsidRPr="007A504A">
        <w:rPr>
          <w:rFonts w:cs="Times New Roman"/>
          <w:color w:val="000000" w:themeColor="text1"/>
          <w:sz w:val="22"/>
        </w:rPr>
        <w:t>, A., &amp; Gracia, N. L. (2022). Titling and beyond: Evidence from Dar es Salaam, Tanzania. Land Use Policy, 117, 105905.</w:t>
      </w:r>
    </w:p>
    <w:p w14:paraId="62B04BA2"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Pindyck, R. S., &amp; Rubinfeld, D. L. (1976). Econometric Models and Economic Forecasts. McGraw-Hill.</w:t>
      </w:r>
    </w:p>
    <w:p w14:paraId="20527CD7"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Registrar General's Department. (2025). Title Registration. https://www.rgd.gov.lk</w:t>
      </w:r>
    </w:p>
    <w:p w14:paraId="178C08AB"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Sarpong, C. K., Dinye, R. D., </w:t>
      </w:r>
      <w:proofErr w:type="spellStart"/>
      <w:r w:rsidRPr="007A504A">
        <w:rPr>
          <w:rFonts w:cs="Times New Roman"/>
          <w:color w:val="000000" w:themeColor="text1"/>
          <w:sz w:val="22"/>
        </w:rPr>
        <w:t>Kanpiim</w:t>
      </w:r>
      <w:proofErr w:type="spellEnd"/>
      <w:r w:rsidRPr="007A504A">
        <w:rPr>
          <w:rFonts w:cs="Times New Roman"/>
          <w:color w:val="000000" w:themeColor="text1"/>
          <w:sz w:val="22"/>
        </w:rPr>
        <w:t>, C., &amp; Yeboah, M. O. (2025). Assessing the Effects of Land Registration on Tenure Security in Kumasi, Ghana. Archives of Current Research International, 25(8), 226–241.</w:t>
      </w:r>
    </w:p>
    <w:p w14:paraId="72354350"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Schmidt, S., &amp; </w:t>
      </w:r>
      <w:proofErr w:type="spellStart"/>
      <w:r w:rsidRPr="007A504A">
        <w:rPr>
          <w:rFonts w:cs="Times New Roman"/>
          <w:color w:val="000000" w:themeColor="text1"/>
          <w:sz w:val="22"/>
        </w:rPr>
        <w:t>Zakayo</w:t>
      </w:r>
      <w:proofErr w:type="spellEnd"/>
      <w:r w:rsidRPr="007A504A">
        <w:rPr>
          <w:rFonts w:cs="Times New Roman"/>
          <w:color w:val="000000" w:themeColor="text1"/>
          <w:sz w:val="22"/>
        </w:rPr>
        <w:t>, E. (2018). Land formalization and local leadership in Moshi, Tanzania. Habitat International, 74, 18–26.</w:t>
      </w:r>
    </w:p>
    <w:p w14:paraId="006440F0"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Schreiber, L. (2017). Securing Land Rights: Making Land Titling Work in Rwanda, 2012–2017. Woodrow Wilson School of Public and International Affairs.</w:t>
      </w:r>
    </w:p>
    <w:p w14:paraId="211BE7D1" w14:textId="77777777" w:rsidR="00BD179B" w:rsidRPr="007A504A" w:rsidRDefault="00000000" w:rsidP="00933DAB">
      <w:pPr>
        <w:spacing w:before="40" w:after="40"/>
        <w:ind w:left="720" w:hanging="720"/>
        <w:jc w:val="both"/>
        <w:rPr>
          <w:rFonts w:cs="Times New Roman"/>
          <w:color w:val="000000" w:themeColor="text1"/>
          <w:sz w:val="22"/>
        </w:rPr>
      </w:pPr>
      <w:proofErr w:type="spellStart"/>
      <w:r w:rsidRPr="007A504A">
        <w:rPr>
          <w:rFonts w:cs="Times New Roman"/>
          <w:color w:val="000000" w:themeColor="text1"/>
          <w:sz w:val="22"/>
        </w:rPr>
        <w:t>Sigelman</w:t>
      </w:r>
      <w:proofErr w:type="spellEnd"/>
      <w:r w:rsidRPr="007A504A">
        <w:rPr>
          <w:rFonts w:cs="Times New Roman"/>
          <w:color w:val="000000" w:themeColor="text1"/>
          <w:sz w:val="22"/>
        </w:rPr>
        <w:t xml:space="preserve">, L., &amp; Zeng, L. (1999). </w:t>
      </w:r>
      <w:proofErr w:type="spellStart"/>
      <w:r w:rsidRPr="007A504A">
        <w:rPr>
          <w:rFonts w:cs="Times New Roman"/>
          <w:color w:val="000000" w:themeColor="text1"/>
          <w:sz w:val="22"/>
        </w:rPr>
        <w:t>Analyzing</w:t>
      </w:r>
      <w:proofErr w:type="spellEnd"/>
      <w:r w:rsidRPr="007A504A">
        <w:rPr>
          <w:rFonts w:cs="Times New Roman"/>
          <w:color w:val="000000" w:themeColor="text1"/>
          <w:sz w:val="22"/>
        </w:rPr>
        <w:t xml:space="preserve"> Censored and Sample-Selected Data with Tobit and </w:t>
      </w:r>
      <w:proofErr w:type="spellStart"/>
      <w:r w:rsidRPr="007A504A">
        <w:rPr>
          <w:rFonts w:cs="Times New Roman"/>
          <w:color w:val="000000" w:themeColor="text1"/>
          <w:sz w:val="22"/>
        </w:rPr>
        <w:t>Heckit</w:t>
      </w:r>
      <w:proofErr w:type="spellEnd"/>
      <w:r w:rsidRPr="007A504A">
        <w:rPr>
          <w:rFonts w:cs="Times New Roman"/>
          <w:color w:val="000000" w:themeColor="text1"/>
          <w:sz w:val="22"/>
        </w:rPr>
        <w:t xml:space="preserve"> Models. Political Analysis, 8(2), 167–182.</w:t>
      </w:r>
    </w:p>
    <w:p w14:paraId="46991258"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Sri Lanka Study Circle. (2022, October 23). Bim Saviya Title Registration Act: Why has SL wasted over $50 m? The Morning.</w:t>
      </w:r>
    </w:p>
    <w:p w14:paraId="7961A4E3"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Subedi, G. (2016). Land Administration and Its Impact on Economic Development (PhD Thesis, Unpublished).</w:t>
      </w:r>
    </w:p>
    <w:p w14:paraId="31FFA063"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Subramanian, A., &amp; Kumar, P. (2024). Property rights, factor allocation and household welfare: Experimental evidence from a land titling program in India. Journal of Development Economics, 167, 103238.</w:t>
      </w:r>
    </w:p>
    <w:p w14:paraId="36B8BCA0"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Sugathadasa, N. B., &amp; Hemachandra, D. (2025). Review of Bim Saviya Title Registration in Sri Lanka: Progress and Challenges. Proceedings of the 14th Sri Lanka Economic Research Conference (SLERC 2025), XIV, 149–156.</w:t>
      </w:r>
    </w:p>
    <w:p w14:paraId="6829049D"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Tobin, J. (1958). Estimation of Relationships for Limited Dependent Variables. </w:t>
      </w:r>
      <w:proofErr w:type="spellStart"/>
      <w:r w:rsidRPr="007A504A">
        <w:rPr>
          <w:rFonts w:cs="Times New Roman"/>
          <w:color w:val="000000" w:themeColor="text1"/>
          <w:sz w:val="22"/>
        </w:rPr>
        <w:t>Econometrica</w:t>
      </w:r>
      <w:proofErr w:type="spellEnd"/>
      <w:r w:rsidRPr="007A504A">
        <w:rPr>
          <w:rFonts w:cs="Times New Roman"/>
          <w:color w:val="000000" w:themeColor="text1"/>
          <w:sz w:val="22"/>
        </w:rPr>
        <w:t>, 26(1), 24–36.</w:t>
      </w:r>
    </w:p>
    <w:p w14:paraId="08A2E79C"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Trang, P. T. T., Toan, D. Q., &amp; Hanh, N. T. X. (2017). Estimating Household Willingness to Pay for Improved Solid Waste Management: A Case Study of Thu Dau Mot City, Binh Duong. MATEC Web of Conferences, 95, 18004.</w:t>
      </w:r>
    </w:p>
    <w:p w14:paraId="6C9C06B7"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 xml:space="preserve">Umar, B. B., Kapembwa, J., Kaluma, K., </w:t>
      </w:r>
      <w:proofErr w:type="spellStart"/>
      <w:r w:rsidRPr="007A504A">
        <w:rPr>
          <w:rFonts w:cs="Times New Roman"/>
          <w:color w:val="000000" w:themeColor="text1"/>
          <w:sz w:val="22"/>
        </w:rPr>
        <w:t>Siloka</w:t>
      </w:r>
      <w:proofErr w:type="spellEnd"/>
      <w:r w:rsidRPr="007A504A">
        <w:rPr>
          <w:rFonts w:cs="Times New Roman"/>
          <w:color w:val="000000" w:themeColor="text1"/>
          <w:sz w:val="22"/>
        </w:rPr>
        <w:t>, L., &amp; Mukwena, D. (2023). Legalizing illegalities? Land titling and land tenure security in informal settlements. Frontiers in Sustainable Cities, 5, 922419.</w:t>
      </w:r>
    </w:p>
    <w:p w14:paraId="38BA796A" w14:textId="77777777" w:rsidR="00BD179B" w:rsidRPr="007A504A" w:rsidRDefault="00000000" w:rsidP="00933DAB">
      <w:pPr>
        <w:spacing w:before="40" w:after="40"/>
        <w:ind w:left="720" w:hanging="720"/>
        <w:jc w:val="both"/>
        <w:rPr>
          <w:rFonts w:cs="Times New Roman"/>
          <w:color w:val="000000" w:themeColor="text1"/>
          <w:sz w:val="22"/>
        </w:rPr>
      </w:pPr>
      <w:proofErr w:type="spellStart"/>
      <w:r w:rsidRPr="007A504A">
        <w:rPr>
          <w:rFonts w:cs="Times New Roman"/>
          <w:color w:val="000000" w:themeColor="text1"/>
          <w:sz w:val="22"/>
        </w:rPr>
        <w:lastRenderedPageBreak/>
        <w:t>Waduge</w:t>
      </w:r>
      <w:proofErr w:type="spellEnd"/>
      <w:r w:rsidRPr="007A504A">
        <w:rPr>
          <w:rFonts w:cs="Times New Roman"/>
          <w:color w:val="000000" w:themeColor="text1"/>
          <w:sz w:val="22"/>
        </w:rPr>
        <w:t xml:space="preserve">, S. (2022). Why has SL wasted over $50 </w:t>
      </w:r>
      <w:proofErr w:type="spellStart"/>
      <w:r w:rsidRPr="007A504A">
        <w:rPr>
          <w:rFonts w:cs="Times New Roman"/>
          <w:color w:val="000000" w:themeColor="text1"/>
          <w:sz w:val="22"/>
        </w:rPr>
        <w:t>mn</w:t>
      </w:r>
      <w:proofErr w:type="spellEnd"/>
      <w:r w:rsidRPr="007A504A">
        <w:rPr>
          <w:rFonts w:cs="Times New Roman"/>
          <w:color w:val="000000" w:themeColor="text1"/>
          <w:sz w:val="22"/>
        </w:rPr>
        <w:t xml:space="preserve"> on 'Bim Saviya' Title Registration Act? </w:t>
      </w:r>
      <w:proofErr w:type="spellStart"/>
      <w:r w:rsidRPr="007A504A">
        <w:rPr>
          <w:rFonts w:cs="Times New Roman"/>
          <w:color w:val="000000" w:themeColor="text1"/>
          <w:sz w:val="22"/>
        </w:rPr>
        <w:t>LankaWeb</w:t>
      </w:r>
      <w:proofErr w:type="spellEnd"/>
      <w:r w:rsidRPr="007A504A">
        <w:rPr>
          <w:rFonts w:cs="Times New Roman"/>
          <w:color w:val="000000" w:themeColor="text1"/>
          <w:sz w:val="22"/>
        </w:rPr>
        <w:t>.</w:t>
      </w:r>
    </w:p>
    <w:p w14:paraId="64D0B6BD" w14:textId="77777777" w:rsidR="00BD179B" w:rsidRPr="007A504A" w:rsidRDefault="00000000" w:rsidP="00933DAB">
      <w:pPr>
        <w:spacing w:before="40" w:after="40"/>
        <w:ind w:left="720" w:hanging="720"/>
        <w:jc w:val="both"/>
        <w:rPr>
          <w:rFonts w:cs="Times New Roman"/>
          <w:color w:val="000000" w:themeColor="text1"/>
          <w:sz w:val="22"/>
        </w:rPr>
      </w:pPr>
      <w:proofErr w:type="spellStart"/>
      <w:r w:rsidRPr="007A504A">
        <w:rPr>
          <w:rFonts w:cs="Times New Roman"/>
          <w:color w:val="000000" w:themeColor="text1"/>
          <w:sz w:val="22"/>
        </w:rPr>
        <w:t>Wickramaarachchi</w:t>
      </w:r>
      <w:proofErr w:type="spellEnd"/>
      <w:r w:rsidRPr="007A504A">
        <w:rPr>
          <w:rFonts w:cs="Times New Roman"/>
          <w:color w:val="000000" w:themeColor="text1"/>
          <w:sz w:val="22"/>
        </w:rPr>
        <w:t xml:space="preserve">, N. C., &amp; </w:t>
      </w:r>
      <w:proofErr w:type="spellStart"/>
      <w:r w:rsidRPr="007A504A">
        <w:rPr>
          <w:rFonts w:cs="Times New Roman"/>
          <w:color w:val="000000" w:themeColor="text1"/>
          <w:sz w:val="22"/>
        </w:rPr>
        <w:t>Namasinghe</w:t>
      </w:r>
      <w:proofErr w:type="spellEnd"/>
      <w:r w:rsidRPr="007A504A">
        <w:rPr>
          <w:rFonts w:cs="Times New Roman"/>
          <w:color w:val="000000" w:themeColor="text1"/>
          <w:sz w:val="22"/>
        </w:rPr>
        <w:t>, K. W. (2022). Influential Factors on the Effectiveness of Land Title Registration Program in Sri Lanka: Professional's Perspective. Proceedings of International Conference on Business Management, 18.</w:t>
      </w:r>
    </w:p>
    <w:p w14:paraId="35FF6BB1" w14:textId="77777777" w:rsidR="00BD179B" w:rsidRPr="007A504A" w:rsidRDefault="00000000" w:rsidP="00933DAB">
      <w:pPr>
        <w:spacing w:before="40" w:after="40"/>
        <w:ind w:left="720" w:hanging="720"/>
        <w:jc w:val="both"/>
        <w:rPr>
          <w:rFonts w:cs="Times New Roman"/>
          <w:color w:val="000000" w:themeColor="text1"/>
          <w:sz w:val="22"/>
        </w:rPr>
      </w:pPr>
      <w:proofErr w:type="spellStart"/>
      <w:r w:rsidRPr="007A504A">
        <w:rPr>
          <w:rFonts w:cs="Times New Roman"/>
          <w:color w:val="000000" w:themeColor="text1"/>
          <w:sz w:val="22"/>
        </w:rPr>
        <w:t>Wickramaarachchi</w:t>
      </w:r>
      <w:proofErr w:type="spellEnd"/>
      <w:r w:rsidRPr="007A504A">
        <w:rPr>
          <w:rFonts w:cs="Times New Roman"/>
          <w:color w:val="000000" w:themeColor="text1"/>
          <w:sz w:val="22"/>
        </w:rPr>
        <w:t>, N. C., Sewwandi, S., &amp; Thilini, K. A. M. (2021). Landowners' perceptions towards the success of land title registration in Sri Lanka. Bhumi, The Planning Research Journal, 8(1), 3.</w:t>
      </w:r>
    </w:p>
    <w:p w14:paraId="22D348E2"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World Bank. (2017). Improving Quality of Land Administration in Sri Lanka (Report No. 127686).</w:t>
      </w:r>
    </w:p>
    <w:p w14:paraId="1E9FC8F1"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World Population Review. (2025). Colombo Population 2025. World Population Review.</w:t>
      </w:r>
    </w:p>
    <w:p w14:paraId="72EC79EC"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Zevenbergen, J., &amp; Western, V. G. (2023). Land tenure security as the holy grail — do mapping and registration bring what is often assumed? FIG Working Week 2023.</w:t>
      </w:r>
    </w:p>
    <w:p w14:paraId="750E51A9" w14:textId="77777777" w:rsidR="00BD179B" w:rsidRPr="007A504A"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Zhou, N., Cheng, W., &amp; Zhang, L. (2022). Land rights and investment incentives: Evidence from China's Latest Rural Land Titling Program. Land Use Policy, 117, 106126.</w:t>
      </w:r>
    </w:p>
    <w:p w14:paraId="415FB535" w14:textId="77777777" w:rsidR="00BD179B" w:rsidRPr="00933DAB" w:rsidRDefault="00000000" w:rsidP="00933DAB">
      <w:pPr>
        <w:spacing w:before="40" w:after="40"/>
        <w:ind w:left="720" w:hanging="720"/>
        <w:jc w:val="both"/>
        <w:rPr>
          <w:rFonts w:cs="Times New Roman"/>
          <w:color w:val="000000" w:themeColor="text1"/>
          <w:sz w:val="22"/>
        </w:rPr>
      </w:pPr>
      <w:r w:rsidRPr="007A504A">
        <w:rPr>
          <w:rFonts w:cs="Times New Roman"/>
          <w:color w:val="000000" w:themeColor="text1"/>
          <w:sz w:val="22"/>
        </w:rPr>
        <w:t>Zhu, W., Paudel, K. P., &amp; Luo, B. (2021). The influence of land titling on the disparity between willingness to accept and willingness to pay values. Journal of Environmental Planning and Management, 64(5), 930–953.</w:t>
      </w:r>
    </w:p>
    <w:sectPr w:rsidR="00BD179B" w:rsidRPr="00933DA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5B76E99"/>
    <w:multiLevelType w:val="multilevel"/>
    <w:tmpl w:val="92625F6A"/>
    <w:lvl w:ilvl="0">
      <w:start w:val="1"/>
      <w:numFmt w:val="decimal"/>
      <w:lvlText w:val="%1."/>
      <w:lvlJc w:val="left"/>
      <w:pPr>
        <w:ind w:left="108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38516C5"/>
    <w:multiLevelType w:val="multilevel"/>
    <w:tmpl w:val="E3086630"/>
    <w:lvl w:ilvl="0">
      <w:start w:val="1"/>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29625889">
    <w:abstractNumId w:val="8"/>
  </w:num>
  <w:num w:numId="2" w16cid:durableId="1133519499">
    <w:abstractNumId w:val="6"/>
  </w:num>
  <w:num w:numId="3" w16cid:durableId="1640726386">
    <w:abstractNumId w:val="5"/>
  </w:num>
  <w:num w:numId="4" w16cid:durableId="1594781373">
    <w:abstractNumId w:val="4"/>
  </w:num>
  <w:num w:numId="5" w16cid:durableId="2076856524">
    <w:abstractNumId w:val="7"/>
  </w:num>
  <w:num w:numId="6" w16cid:durableId="605115689">
    <w:abstractNumId w:val="3"/>
  </w:num>
  <w:num w:numId="7" w16cid:durableId="1849295534">
    <w:abstractNumId w:val="2"/>
  </w:num>
  <w:num w:numId="8" w16cid:durableId="2064407736">
    <w:abstractNumId w:val="1"/>
  </w:num>
  <w:num w:numId="9" w16cid:durableId="1801608031">
    <w:abstractNumId w:val="0"/>
  </w:num>
  <w:num w:numId="10" w16cid:durableId="841116803">
    <w:abstractNumId w:val="10"/>
  </w:num>
  <w:num w:numId="11" w16cid:durableId="1027413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4C42"/>
    <w:rsid w:val="000A6C42"/>
    <w:rsid w:val="0015074B"/>
    <w:rsid w:val="00277662"/>
    <w:rsid w:val="0029639D"/>
    <w:rsid w:val="00326F90"/>
    <w:rsid w:val="003811FB"/>
    <w:rsid w:val="00420BE5"/>
    <w:rsid w:val="004A350A"/>
    <w:rsid w:val="005E47A2"/>
    <w:rsid w:val="00753348"/>
    <w:rsid w:val="007777D1"/>
    <w:rsid w:val="007A504A"/>
    <w:rsid w:val="00933DAB"/>
    <w:rsid w:val="009E1BC5"/>
    <w:rsid w:val="009E7CE2"/>
    <w:rsid w:val="00AA1D8D"/>
    <w:rsid w:val="00AD72F1"/>
    <w:rsid w:val="00AE2ED2"/>
    <w:rsid w:val="00AE55E0"/>
    <w:rsid w:val="00B47730"/>
    <w:rsid w:val="00B87706"/>
    <w:rsid w:val="00BA25E7"/>
    <w:rsid w:val="00BD179B"/>
    <w:rsid w:val="00CB0664"/>
    <w:rsid w:val="00E068AE"/>
    <w:rsid w:val="00EB4264"/>
    <w:rsid w:val="00ED264C"/>
    <w:rsid w:val="00FB4FF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E1F80B"/>
  <w14:defaultImageDpi w14:val="300"/>
  <w15:docId w15:val="{2FCD5888-9286-438A-AF89-361AB466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2">
    <w:name w:val="Plain Table 2"/>
    <w:basedOn w:val="TableNormal"/>
    <w:uiPriority w:val="42"/>
    <w:rsid w:val="000A6C4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24</Pages>
  <Words>9636</Words>
  <Characters>54931</Characters>
  <Application>Microsoft Office Word</Application>
  <DocSecurity>0</DocSecurity>
  <Lines>457</Lines>
  <Paragraphs>128</Paragraphs>
  <ScaleCrop>false</ScaleCrop>
  <Company/>
  <LinksUpToDate>false</LinksUpToDate>
  <CharactersWithSpaces>64439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Mr. N B Sugathadasa</cp:lastModifiedBy>
  <cp:revision>4</cp:revision>
  <dcterms:created xsi:type="dcterms:W3CDTF">2026-06-20T18:14:00Z</dcterms:created>
  <dcterms:modified xsi:type="dcterms:W3CDTF">2026-06-20T18:44:00Z</dcterms:modified>
</cp:coreProperties>
</file>