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648A1" w14:textId="77777777" w:rsidR="007C2EA3" w:rsidRPr="00D5287C" w:rsidRDefault="007C2EA3" w:rsidP="00E9050B">
      <w:pPr>
        <w:pStyle w:val="NoSpacing"/>
        <w:rPr>
          <w:sz w:val="36"/>
          <w:szCs w:val="36"/>
        </w:rPr>
      </w:pPr>
    </w:p>
    <w:p w14:paraId="3DE31081" w14:textId="294B222E" w:rsidR="00F61DA9" w:rsidRDefault="009714C5" w:rsidP="00050ECA">
      <w:pPr>
        <w:spacing w:after="0"/>
        <w:jc w:val="center"/>
        <w:rPr>
          <w:b/>
          <w:bCs/>
          <w:sz w:val="36"/>
          <w:szCs w:val="36"/>
        </w:rPr>
      </w:pPr>
      <w:r w:rsidRPr="009714C5">
        <w:rPr>
          <w:b/>
          <w:bCs/>
          <w:sz w:val="36"/>
          <w:szCs w:val="36"/>
        </w:rPr>
        <w:t>Technology Strategy Towards Sustainable Manufacturing Performance: A Conceptual Framework of the Mediating Role of Leadership Style</w:t>
      </w:r>
    </w:p>
    <w:p w14:paraId="49E124A9" w14:textId="77777777" w:rsidR="009714C5" w:rsidRPr="00F61DA9" w:rsidRDefault="009714C5" w:rsidP="00050ECA">
      <w:pPr>
        <w:spacing w:after="0"/>
        <w:jc w:val="center"/>
        <w:rPr>
          <w:b/>
          <w:bCs/>
          <w:color w:val="000000"/>
          <w:sz w:val="24"/>
          <w:szCs w:val="24"/>
        </w:rPr>
      </w:pPr>
    </w:p>
    <w:p w14:paraId="255CC839" w14:textId="77777777" w:rsidR="006D0EE6" w:rsidRPr="00D5287C" w:rsidRDefault="00324D1B" w:rsidP="006D0EE6">
      <w:pPr>
        <w:spacing w:after="0"/>
        <w:jc w:val="center"/>
        <w:rPr>
          <w:b/>
          <w:bCs/>
          <w:sz w:val="36"/>
          <w:szCs w:val="36"/>
        </w:rPr>
      </w:pPr>
      <w:r w:rsidRPr="00D5287C">
        <w:rPr>
          <w:b/>
          <w:bCs/>
          <w:sz w:val="36"/>
          <w:szCs w:val="36"/>
        </w:rPr>
        <w:t xml:space="preserve"/>
      </w:r>
      <w:proofErr w:type="gramStart"/>
      <w:r w:rsidRPr="00D5287C">
        <w:rPr>
          <w:b/>
          <w:bCs/>
          <w:sz w:val="36"/>
          <w:szCs w:val="36"/>
        </w:rPr>
        <w:t/>
      </w:r>
      <w:proofErr w:type="gramEnd"/>
      <w:r w:rsidRPr="00D5287C">
        <w:rPr>
          <w:b/>
          <w:bCs/>
          <w:sz w:val="36"/>
          <w:szCs w:val="36"/>
        </w:rPr>
        <w:t/>
      </w:r>
      <w:r w:rsidR="006D0EE6" w:rsidRPr="00D5287C">
        <w:rPr>
          <w:b/>
          <w:bCs/>
          <w:sz w:val="36"/>
          <w:szCs w:val="36"/>
        </w:rPr>
        <w:t xml:space="preserve"/>
      </w:r>
      <w:proofErr w:type="spellStart"/>
      <w:r w:rsidR="006D0EE6" w:rsidRPr="00D5287C">
        <w:rPr>
          <w:b/>
          <w:bCs/>
          <w:sz w:val="36"/>
          <w:szCs w:val="36"/>
        </w:rPr>
        <w:t/>
      </w:r>
      <w:proofErr w:type="spellEnd"/>
      <w:r w:rsidR="006D0EE6" w:rsidRPr="00D5287C">
        <w:rPr>
          <w:b/>
          <w:bCs/>
          <w:sz w:val="36"/>
          <w:szCs w:val="36"/>
        </w:rPr>
        <w:t xml:space="preserve"/>
      </w:r>
    </w:p>
    <w:p w14:paraId="2148755F" w14:textId="4AEDBC6D" w:rsidR="00050ECA" w:rsidRPr="00D5287C" w:rsidRDefault="00050ECA" w:rsidP="00D5287C">
      <w:pPr>
        <w:spacing w:after="0"/>
        <w:rPr>
          <w:b/>
          <w:bCs/>
          <w:sz w:val="36"/>
          <w:szCs w:val="36"/>
        </w:rPr>
      </w:pPr>
    </w:p>
    <w:p w14:paraId="5F8F2203" w14:textId="73AA8B20" w:rsidR="00050ECA" w:rsidRPr="00D5287C" w:rsidRDefault="001E0406" w:rsidP="00CC7364">
      <w:pPr>
        <w:spacing w:after="0"/>
        <w:jc w:val="center"/>
        <w:rPr>
          <w:b/>
          <w:bCs/>
          <w:sz w:val="36"/>
          <w:szCs w:val="36"/>
        </w:rPr>
      </w:pPr>
      <w:r w:rsidRPr="00D5287C">
        <w:rPr>
          <w:b/>
          <w:bCs/>
          <w:position w:val="4"/>
          <w:sz w:val="36"/>
          <w:szCs w:val="36"/>
          <w:vertAlign w:val="superscript"/>
        </w:rPr>
        <w:t/>
      </w:r>
      <w:r w:rsidR="006D0EE6" w:rsidRPr="00D5287C">
        <w:rPr>
          <w:b/>
          <w:bCs/>
          <w:position w:val="4"/>
          <w:sz w:val="36"/>
          <w:szCs w:val="36"/>
          <w:vertAlign w:val="superscript"/>
        </w:rPr>
        <w:t/>
      </w:r>
      <w:r w:rsidRPr="00D5287C">
        <w:rPr>
          <w:b/>
          <w:bCs/>
          <w:position w:val="4"/>
          <w:sz w:val="36"/>
          <w:szCs w:val="36"/>
          <w:vertAlign w:val="superscript"/>
        </w:rPr>
        <w:t xml:space="preserve"/>
      </w:r>
      <w:r w:rsidR="00324D1B" w:rsidRPr="00D5287C">
        <w:rPr>
          <w:b/>
          <w:bCs/>
          <w:sz w:val="36"/>
          <w:szCs w:val="36"/>
        </w:rPr>
        <w:t xml:space="preserve"/>
      </w:r>
      <w:r w:rsidR="00C00DC5" w:rsidRPr="00D5287C">
        <w:rPr>
          <w:b/>
          <w:bCs/>
          <w:sz w:val="36"/>
          <w:szCs w:val="36"/>
        </w:rPr>
        <w:t xml:space="preserve"/>
      </w:r>
      <w:proofErr w:type="spellStart"/>
      <w:r w:rsidR="00C00DC5" w:rsidRPr="00D5287C">
        <w:rPr>
          <w:b/>
          <w:bCs/>
          <w:sz w:val="36"/>
          <w:szCs w:val="36"/>
        </w:rPr>
        <w:t/>
      </w:r>
      <w:proofErr w:type="spellEnd"/>
      <w:r w:rsidR="00C00DC5" w:rsidRPr="00D5287C">
        <w:rPr>
          <w:b/>
          <w:bCs/>
          <w:sz w:val="36"/>
          <w:szCs w:val="36"/>
        </w:rPr>
        <w:t xml:space="preserve"/>
      </w:r>
      <w:proofErr w:type="spellStart"/>
      <w:r w:rsidR="00C00DC5" w:rsidRPr="00D5287C">
        <w:rPr>
          <w:b/>
          <w:bCs/>
          <w:sz w:val="36"/>
          <w:szCs w:val="36"/>
        </w:rPr>
        <w:t/>
      </w:r>
      <w:proofErr w:type="spellEnd"/>
      <w:r w:rsidR="00C00DC5" w:rsidRPr="00D5287C">
        <w:rPr>
          <w:b/>
          <w:bCs/>
          <w:sz w:val="36"/>
          <w:szCs w:val="36"/>
        </w:rPr>
        <w:t xml:space="preserve"/>
      </w:r>
      <w:r w:rsidR="00452D14" w:rsidRPr="00D5287C">
        <w:rPr>
          <w:b/>
          <w:bCs/>
          <w:sz w:val="36"/>
          <w:szCs w:val="36"/>
        </w:rPr>
        <w:t/>
      </w:r>
      <w:r w:rsidR="00C00DC5" w:rsidRPr="00D5287C">
        <w:rPr>
          <w:b/>
          <w:bCs/>
          <w:sz w:val="36"/>
          <w:szCs w:val="36"/>
        </w:rPr>
        <w:t xml:space="preserve"/>
      </w:r>
      <w:r w:rsidR="00452D14" w:rsidRPr="00D5287C">
        <w:rPr>
          <w:b/>
          <w:bCs/>
          <w:sz w:val="36"/>
          <w:szCs w:val="36"/>
        </w:rPr>
        <w:t/>
      </w:r>
      <w:r w:rsidR="00C00DC5" w:rsidRPr="00D5287C">
        <w:rPr>
          <w:b/>
          <w:bCs/>
          <w:sz w:val="36"/>
          <w:szCs w:val="36"/>
        </w:rPr>
        <w:t/>
      </w:r>
    </w:p>
    <w:p w14:paraId="6C8494ED" w14:textId="77777777" w:rsidR="00452D14" w:rsidRPr="00D5287C" w:rsidRDefault="00452D14" w:rsidP="00CC7364">
      <w:pPr>
        <w:spacing w:after="0"/>
        <w:jc w:val="center"/>
        <w:rPr>
          <w:b/>
          <w:bCs/>
          <w:sz w:val="36"/>
          <w:szCs w:val="36"/>
        </w:rPr>
      </w:pPr>
    </w:p>
    <w:p w14:paraId="4C104694" w14:textId="4B693973" w:rsidR="00452D14" w:rsidRPr="00452D14" w:rsidRDefault="00B855BC" w:rsidP="00CC7364">
      <w:pPr>
        <w:spacing w:after="0"/>
        <w:jc w:val="center"/>
        <w:rPr>
          <w:b/>
          <w:bCs/>
          <w:sz w:val="24"/>
          <w:szCs w:val="24"/>
        </w:rPr>
      </w:pPr>
      <w:r w:rsidRPr="00D5287C">
        <w:rPr>
          <w:b/>
          <w:bCs/>
          <w:sz w:val="36"/>
          <w:szCs w:val="36"/>
          <w:vertAlign w:val="superscript"/>
        </w:rPr>
        <w:t/>
      </w:r>
      <w:r w:rsidR="00452D14" w:rsidRPr="00D5287C">
        <w:rPr>
          <w:b/>
          <w:bCs/>
          <w:sz w:val="36"/>
          <w:szCs w:val="36"/>
        </w:rPr>
        <w:t xml:space="preserve"/>
      </w:r>
      <w:proofErr w:type="spellStart"/>
      <w:r w:rsidR="00452D14" w:rsidRPr="00D5287C">
        <w:rPr>
          <w:b/>
          <w:bCs/>
          <w:sz w:val="36"/>
          <w:szCs w:val="36"/>
        </w:rPr>
        <w:t/>
      </w:r>
      <w:proofErr w:type="spellEnd"/>
      <w:r w:rsidR="00452D14" w:rsidRPr="00D5287C">
        <w:rPr>
          <w:b/>
          <w:bCs/>
          <w:sz w:val="36"/>
          <w:szCs w:val="36"/>
        </w:rPr>
        <w:t/>
      </w:r>
      <w:r w:rsidR="00452D14" w:rsidRPr="00452D14">
        <w:rPr>
          <w:b/>
          <w:bCs/>
          <w:sz w:val="24"/>
          <w:szCs w:val="24"/>
        </w:rPr>
        <w:br/>
      </w:r>
    </w:p>
    <w:p w14:paraId="7A02478B" w14:textId="77777777" w:rsidR="00050ECA" w:rsidRPr="00F61DA9" w:rsidRDefault="00050ECA" w:rsidP="00050ECA">
      <w:pPr>
        <w:spacing w:after="0"/>
        <w:jc w:val="center"/>
        <w:rPr>
          <w:sz w:val="24"/>
          <w:szCs w:val="24"/>
        </w:rPr>
      </w:pPr>
    </w:p>
    <w:p w14:paraId="509FFDDF" w14:textId="39156096" w:rsidR="00050ECA" w:rsidRDefault="00050ECA" w:rsidP="00050ECA">
      <w:pPr>
        <w:pStyle w:val="NormalWeb"/>
        <w:snapToGrid w:val="0"/>
        <w:spacing w:before="0" w:beforeAutospacing="0" w:after="0" w:afterAutospacing="0"/>
        <w:ind w:left="567" w:right="655"/>
        <w:jc w:val="center"/>
        <w:textAlignment w:val="top"/>
        <w:rPr>
          <w:iCs/>
        </w:rPr>
      </w:pPr>
      <w:r w:rsidRPr="009714C5">
        <w:rPr>
          <w:iCs/>
          <w:sz w:val="36"/>
          <w:szCs w:val="36"/>
        </w:rPr>
        <w:t xml:space="preserve"/>
      </w:r>
      <w:r w:rsidR="00317DB2" w:rsidRPr="009714C5">
        <w:rPr>
          <w:iCs/>
          <w:sz w:val="36"/>
          <w:szCs w:val="36"/>
        </w:rPr>
        <w:t/>
      </w:r>
      <w:r w:rsidRPr="009714C5">
        <w:rPr>
          <w:iCs/>
          <w:sz w:val="36"/>
          <w:szCs w:val="36"/>
          <w:vertAlign w:val="superscript"/>
        </w:rPr>
        <w:t/>
      </w:r>
      <w:r w:rsidRPr="009714C5">
        <w:rPr>
          <w:iCs/>
          <w:sz w:val="36"/>
          <w:szCs w:val="36"/>
        </w:rPr>
        <w:t xml:space="preserve"/>
      </w:r>
      <w:r w:rsidR="001A76E2" w:rsidRPr="009714C5">
        <w:rPr>
          <w:iCs/>
          <w:sz w:val="36"/>
          <w:szCs w:val="36"/>
        </w:rPr>
        <w:t/>
      </w:r>
      <w:r w:rsidR="00F61DA9" w:rsidRPr="009714C5">
        <w:rPr>
          <w:iCs/>
          <w:sz w:val="36"/>
          <w:szCs w:val="36"/>
        </w:rPr>
        <w:t xml:space="preserve"/>
      </w:r>
      <w:r w:rsidRPr="009714C5">
        <w:rPr>
          <w:iCs/>
          <w:sz w:val="36"/>
          <w:szCs w:val="36"/>
        </w:rPr>
        <w:t/>
      </w:r>
      <w:r w:rsidR="00F61DA9" w:rsidRPr="009714C5">
        <w:rPr>
          <w:iCs/>
          <w:sz w:val="36"/>
          <w:szCs w:val="36"/>
        </w:rPr>
        <w:t/>
      </w:r>
      <w:r w:rsidRPr="009714C5">
        <w:rPr>
          <w:iCs/>
          <w:sz w:val="36"/>
          <w:szCs w:val="36"/>
        </w:rPr>
        <w:t xml:space="preserve"/>
      </w:r>
      <w:proofErr w:type="gramStart"/>
      <w:r w:rsidRPr="009714C5">
        <w:rPr>
          <w:iCs/>
          <w:sz w:val="36"/>
          <w:szCs w:val="36"/>
        </w:rPr>
        <w:t/>
      </w:r>
      <w:proofErr w:type="gramEnd"/>
      <w:r w:rsidR="00F61DA9" w:rsidRPr="009714C5">
        <w:rPr>
          <w:iCs/>
          <w:sz w:val="36"/>
          <w:szCs w:val="36"/>
        </w:rPr>
        <w:t/>
      </w:r>
      <w:r w:rsidRPr="009714C5">
        <w:rPr>
          <w:iCs/>
          <w:sz w:val="36"/>
          <w:szCs w:val="36"/>
        </w:rPr>
        <w:t xml:space="preserve"/>
      </w:r>
      <w:r w:rsidR="00F61DA9" w:rsidRPr="009714C5">
        <w:rPr>
          <w:iCs/>
          <w:sz w:val="36"/>
          <w:szCs w:val="36"/>
        </w:rPr>
        <w:t/>
      </w:r>
    </w:p>
    <w:p w14:paraId="6996818C" w14:textId="77777777" w:rsidR="00452D14" w:rsidRDefault="00452D14" w:rsidP="00050ECA">
      <w:pPr>
        <w:pStyle w:val="NormalWeb"/>
        <w:snapToGrid w:val="0"/>
        <w:spacing w:before="0" w:beforeAutospacing="0" w:after="0" w:afterAutospacing="0"/>
        <w:ind w:left="567" w:right="655"/>
        <w:jc w:val="center"/>
        <w:textAlignment w:val="top"/>
        <w:rPr>
          <w:iCs/>
        </w:rPr>
      </w:pPr>
    </w:p>
    <w:p w14:paraId="6E32B260" w14:textId="6C2C452A" w:rsidR="00050ECA" w:rsidRPr="00452D14" w:rsidRDefault="00452D14" w:rsidP="00452D14">
      <w:pPr>
        <w:pStyle w:val="NormalWeb"/>
        <w:snapToGrid w:val="0"/>
        <w:spacing w:before="0" w:beforeAutospacing="0" w:after="0" w:afterAutospacing="0"/>
        <w:ind w:left="567" w:right="655"/>
        <w:jc w:val="center"/>
        <w:textAlignment w:val="top"/>
        <w:rPr>
          <w:iCs/>
          <w:u w:val="single"/>
        </w:rPr>
      </w:pPr>
      <w:r w:rsidRPr="00452D14">
        <w:rPr>
          <w:iCs/>
          <w:u w:val="single"/>
        </w:rPr>
        <w:t/>
      </w:r>
    </w:p>
    <w:p w14:paraId="3E9A93B2" w14:textId="77777777" w:rsidR="001E0406" w:rsidRPr="00F61DA9" w:rsidRDefault="001E0406" w:rsidP="00B65AC7">
      <w:pPr>
        <w:spacing w:after="0"/>
        <w:rPr>
          <w:szCs w:val="20"/>
        </w:rPr>
      </w:pPr>
    </w:p>
    <w:p w14:paraId="0FE8C77E" w14:textId="1F44F576" w:rsidR="00050ECA" w:rsidRPr="00F61DA9" w:rsidRDefault="001E0406" w:rsidP="001C600D">
      <w:pPr>
        <w:pStyle w:val="IEEEAbstract"/>
        <w:spacing w:after="0" w:line="240" w:lineRule="auto"/>
        <w:ind w:firstLine="0"/>
        <w:jc w:val="center"/>
        <w:rPr>
          <w:rFonts w:ascii="Times New Roman" w:hAnsi="Times New Roman"/>
          <w:sz w:val="24"/>
          <w:szCs w:val="24"/>
        </w:rPr>
      </w:pPr>
      <w:r w:rsidRPr="00F61DA9">
        <w:rPr>
          <w:rFonts w:ascii="Times New Roman" w:hAnsi="Times New Roman"/>
          <w:sz w:val="24"/>
          <w:szCs w:val="24"/>
        </w:rPr>
        <w:t>ABSTRACT</w:t>
      </w:r>
    </w:p>
    <w:p w14:paraId="3BCE54F2" w14:textId="030BDED2" w:rsidR="001C600D" w:rsidRDefault="001C600D" w:rsidP="00050ECA">
      <w:pPr>
        <w:spacing w:after="0"/>
        <w:ind w:left="540" w:right="746"/>
        <w:rPr>
          <w:bCs/>
          <w:sz w:val="24"/>
          <w:szCs w:val="24"/>
        </w:rPr>
      </w:pPr>
      <w:r w:rsidRPr="001C600D">
        <w:rPr>
          <w:bCs/>
          <w:sz w:val="24"/>
          <w:szCs w:val="24"/>
        </w:rPr>
        <w:t xml:space="preserve">The rapid advancement of Industry 4.0 technologies has transformed manufacturing operations and created new opportunities for </w:t>
      </w:r>
      <w:proofErr w:type="spellStart"/>
      <w:r w:rsidRPr="001C600D">
        <w:rPr>
          <w:bCs/>
          <w:sz w:val="24"/>
          <w:szCs w:val="24"/>
        </w:rPr>
        <w:t>organisations</w:t>
      </w:r>
      <w:proofErr w:type="spellEnd"/>
      <w:r w:rsidRPr="001C600D">
        <w:rPr>
          <w:bCs/>
          <w:sz w:val="24"/>
          <w:szCs w:val="24"/>
        </w:rPr>
        <w:t xml:space="preserve"> to achieve sustainable manufacturing performance. However, many manufacturing firms continue to experience difficulties in translating technology strategy into meaningful economic, environmental, and social outcomes, highlighting the need for a more integrated understanding of the mechanisms underlying this relationship. This conceptual paper aims to develop a comprehensive framework that explains how multidimensional technology strategy influences sustainable manufacturing performance through the mediating role of leadership style. The framework is developed through a systematic literature review of peer-reviewed SCOPUS-indexed journal articles published between 2014 and 2025. Relevant studies were identified, screened, and </w:t>
      </w:r>
      <w:proofErr w:type="spellStart"/>
      <w:r w:rsidRPr="001C600D">
        <w:rPr>
          <w:bCs/>
          <w:sz w:val="24"/>
          <w:szCs w:val="24"/>
        </w:rPr>
        <w:t>synthesised</w:t>
      </w:r>
      <w:proofErr w:type="spellEnd"/>
      <w:r w:rsidRPr="001C600D">
        <w:rPr>
          <w:bCs/>
          <w:sz w:val="24"/>
          <w:szCs w:val="24"/>
        </w:rPr>
        <w:t xml:space="preserve"> using a narrative approach, with the Resource-Based View (RBV), the Technology–</w:t>
      </w:r>
      <w:proofErr w:type="spellStart"/>
      <w:r w:rsidRPr="001C600D">
        <w:rPr>
          <w:bCs/>
          <w:sz w:val="24"/>
          <w:szCs w:val="24"/>
        </w:rPr>
        <w:t>Organisation</w:t>
      </w:r>
      <w:proofErr w:type="spellEnd"/>
      <w:r w:rsidRPr="001C600D">
        <w:rPr>
          <w:bCs/>
          <w:sz w:val="24"/>
          <w:szCs w:val="24"/>
        </w:rPr>
        <w:t xml:space="preserve">–Environment (TOE) framework, and leadership theory providing the theoretical foundation for interpreting the relationships among the constructs. The review identifies eight key dimensions of technology strategy, namely pioneer–follower posture, technological investments, intensity of product upgrades, product and process technologies, manufacturing system and process design technologies, process innovations, digital manufacturing technologies, and </w:t>
      </w:r>
      <w:proofErr w:type="spellStart"/>
      <w:r w:rsidRPr="001C600D">
        <w:rPr>
          <w:bCs/>
          <w:sz w:val="24"/>
          <w:szCs w:val="24"/>
        </w:rPr>
        <w:t>microfactories</w:t>
      </w:r>
      <w:proofErr w:type="spellEnd"/>
      <w:r w:rsidRPr="001C600D">
        <w:rPr>
          <w:bCs/>
          <w:sz w:val="24"/>
          <w:szCs w:val="24"/>
        </w:rPr>
        <w:t xml:space="preserve">, as important strategic capabilities for improving sustainable manufacturing performance. The literature further suggests that transformational and digital leadership strengthen this relationship by facilitating the alignment of technological capabilities with </w:t>
      </w:r>
      <w:proofErr w:type="spellStart"/>
      <w:r w:rsidRPr="001C600D">
        <w:rPr>
          <w:bCs/>
          <w:sz w:val="24"/>
          <w:szCs w:val="24"/>
        </w:rPr>
        <w:t>organisational</w:t>
      </w:r>
      <w:proofErr w:type="spellEnd"/>
      <w:r w:rsidRPr="001C600D">
        <w:rPr>
          <w:bCs/>
          <w:sz w:val="24"/>
          <w:szCs w:val="24"/>
        </w:rPr>
        <w:t xml:space="preserve"> objectives and sustainability initiatives. The proposed framework integrates previously fragmented perspectives into a coherent model, offering a clearer explanation of how technology strategy can contribute to sustainable manufacturing performance. It provides a theoretical basis for future empirical validation and offers practical insights for manufacturing </w:t>
      </w:r>
      <w:proofErr w:type="spellStart"/>
      <w:r w:rsidRPr="001C600D">
        <w:rPr>
          <w:bCs/>
          <w:sz w:val="24"/>
          <w:szCs w:val="24"/>
        </w:rPr>
        <w:t>organisations</w:t>
      </w:r>
      <w:proofErr w:type="spellEnd"/>
      <w:r w:rsidRPr="001C600D">
        <w:rPr>
          <w:bCs/>
          <w:sz w:val="24"/>
          <w:szCs w:val="24"/>
        </w:rPr>
        <w:t xml:space="preserve"> and policymakers seeking to strengthen sustainability through effective technology strategies and leadership in the era of Industry 4.0.</w:t>
      </w:r>
    </w:p>
    <w:p w14:paraId="1C7B7C69" w14:textId="77777777" w:rsidR="001C600D" w:rsidRPr="001C600D" w:rsidRDefault="001C600D" w:rsidP="00050ECA">
      <w:pPr>
        <w:spacing w:after="0"/>
        <w:ind w:left="540" w:right="746"/>
        <w:rPr>
          <w:sz w:val="24"/>
          <w:szCs w:val="24"/>
          <w:lang w:val="en-GB"/>
        </w:rPr>
      </w:pPr>
    </w:p>
    <w:p w14:paraId="22B9BF54" w14:textId="4D8514EC" w:rsidR="00D5287C" w:rsidRDefault="001E0406" w:rsidP="0083376B">
      <w:pPr>
        <w:ind w:left="540" w:right="746"/>
        <w:rPr>
          <w:bCs/>
          <w:iCs/>
          <w:sz w:val="24"/>
          <w:szCs w:val="24"/>
          <w:lang w:val="ms-MY"/>
        </w:rPr>
      </w:pPr>
      <w:r w:rsidRPr="00F61DA9">
        <w:rPr>
          <w:b/>
          <w:iCs/>
          <w:sz w:val="24"/>
          <w:szCs w:val="24"/>
          <w:lang w:val="ms-MY"/>
        </w:rPr>
        <w:t>Keywords:</w:t>
      </w:r>
      <w:r w:rsidRPr="00F61DA9">
        <w:rPr>
          <w:bCs/>
          <w:i/>
          <w:sz w:val="24"/>
          <w:szCs w:val="24"/>
          <w:lang w:val="ms-MY"/>
        </w:rPr>
        <w:t xml:space="preserve"> </w:t>
      </w:r>
      <w:r w:rsidR="00324D1B" w:rsidRPr="00F61DA9">
        <w:rPr>
          <w:bCs/>
          <w:iCs/>
          <w:sz w:val="24"/>
          <w:szCs w:val="24"/>
        </w:rPr>
        <w:t>Technology Strategy, Sustainable Manufacturing, Leadership Style</w:t>
      </w:r>
    </w:p>
    <w:p w14:paraId="2F7B8C45" w14:textId="77777777" w:rsidR="0083376B" w:rsidRPr="0083376B" w:rsidRDefault="0083376B" w:rsidP="0083376B">
      <w:pPr>
        <w:ind w:right="746"/>
        <w:rPr>
          <w:bCs/>
          <w:iCs/>
          <w:sz w:val="24"/>
          <w:szCs w:val="24"/>
          <w:lang w:val="ms-MY"/>
        </w:rPr>
      </w:pPr>
    </w:p>
    <w:p w14:paraId="32DEC3D2" w14:textId="77777777" w:rsidR="001E0406" w:rsidRPr="00D5287C" w:rsidRDefault="001E0406" w:rsidP="001E0406">
      <w:pPr>
        <w:pStyle w:val="Heading1"/>
        <w:numPr>
          <w:ilvl w:val="0"/>
          <w:numId w:val="4"/>
        </w:numPr>
        <w:spacing w:before="0" w:after="0"/>
        <w:rPr>
          <w:b w:val="0"/>
          <w:sz w:val="28"/>
        </w:rPr>
      </w:pPr>
      <w:r w:rsidRPr="00D5287C">
        <w:rPr>
          <w:sz w:val="28"/>
        </w:rPr>
        <w:t xml:space="preserve"> INTRODUCTION </w:t>
      </w:r>
    </w:p>
    <w:p w14:paraId="270B1FFD" w14:textId="77777777" w:rsidR="001E0406" w:rsidRPr="00F61DA9" w:rsidRDefault="001E0406" w:rsidP="001E0406">
      <w:pPr>
        <w:spacing w:after="0"/>
        <w:rPr>
          <w:sz w:val="24"/>
          <w:szCs w:val="24"/>
          <w:lang w:val="en-GB"/>
        </w:rPr>
      </w:pPr>
    </w:p>
    <w:p w14:paraId="4E38DBB1" w14:textId="77777777" w:rsidR="00324D1B" w:rsidRPr="00D5287C" w:rsidRDefault="00324D1B" w:rsidP="001C600D">
      <w:pPr>
        <w:spacing w:after="240"/>
        <w:rPr>
          <w:sz w:val="24"/>
          <w:szCs w:val="24"/>
        </w:rPr>
      </w:pPr>
      <w:r w:rsidRPr="00D5287C">
        <w:rPr>
          <w:sz w:val="24"/>
          <w:szCs w:val="24"/>
        </w:rPr>
        <w:t>The emergence of Industry 4.0 has fundamentally transformed global manufacturing systems through advanced technologies such as artificial intelligence, big data analytics, cyber-physical systems, robotics, cloud computing, and the Internet of Things (Vial, 2019; Xu et al., 2018). These technologies enhance productivity, automation, and real-time decision-making capabilities, thereby reshaping manufacturing competitiveness.</w:t>
      </w:r>
    </w:p>
    <w:p w14:paraId="7650F5E1" w14:textId="77777777" w:rsidR="00324D1B" w:rsidRPr="00D5287C" w:rsidRDefault="00324D1B" w:rsidP="001C600D">
      <w:pPr>
        <w:spacing w:after="240"/>
        <w:rPr>
          <w:sz w:val="24"/>
          <w:szCs w:val="24"/>
        </w:rPr>
      </w:pPr>
      <w:r w:rsidRPr="00D5287C">
        <w:rPr>
          <w:sz w:val="24"/>
          <w:szCs w:val="24"/>
        </w:rPr>
        <w:t xml:space="preserve">Despite these advancements, the translation of Industry 4.0 adoption into sustainable manufacturing performance remains inconsistent, particularly in emerging economies such as Malaysia (Müller et al., 2018). Many firms adopt technologies in a fragmented manner without strategic alignment, leading to inefficiencies and </w:t>
      </w:r>
      <w:proofErr w:type="spellStart"/>
      <w:r w:rsidRPr="00D5287C">
        <w:rPr>
          <w:sz w:val="24"/>
          <w:szCs w:val="24"/>
        </w:rPr>
        <w:t>underutilisation</w:t>
      </w:r>
      <w:proofErr w:type="spellEnd"/>
      <w:r w:rsidRPr="00D5287C">
        <w:rPr>
          <w:sz w:val="24"/>
          <w:szCs w:val="24"/>
        </w:rPr>
        <w:t xml:space="preserve"> of digital capabilities.</w:t>
      </w:r>
    </w:p>
    <w:p w14:paraId="16551221" w14:textId="1AF5BE1D" w:rsidR="001E0406" w:rsidRPr="00D5287C" w:rsidRDefault="00324D1B" w:rsidP="001C600D">
      <w:pPr>
        <w:spacing w:after="240"/>
        <w:rPr>
          <w:sz w:val="24"/>
          <w:szCs w:val="24"/>
        </w:rPr>
      </w:pPr>
      <w:r w:rsidRPr="00D5287C">
        <w:rPr>
          <w:sz w:val="24"/>
          <w:szCs w:val="24"/>
        </w:rPr>
        <w:t>Sustainable manufacturing performance requires integration of economic, environmental, and social dimensions (Elkington, 1997). However, existing literature has largely examined technology adoption, leadership, and sustainability separately, resulting in fragmented understanding. Therefore, this study proposes an Integrated Technology Strategy Framework that links multidimensional technology strategy to sustainability outcomes through leadership mediation.</w:t>
      </w:r>
    </w:p>
    <w:p w14:paraId="2C48C605" w14:textId="77777777" w:rsidR="00324D1B" w:rsidRPr="00D5287C" w:rsidRDefault="00324D1B" w:rsidP="00D5287C">
      <w:pPr>
        <w:spacing w:after="240"/>
        <w:rPr>
          <w:sz w:val="24"/>
          <w:szCs w:val="24"/>
        </w:rPr>
      </w:pPr>
    </w:p>
    <w:p w14:paraId="58A5275F" w14:textId="25B0B931" w:rsidR="001E0406" w:rsidRPr="00D5287C" w:rsidRDefault="001E0406" w:rsidP="00D5287C">
      <w:pPr>
        <w:pStyle w:val="Heading2"/>
        <w:numPr>
          <w:ilvl w:val="0"/>
          <w:numId w:val="4"/>
        </w:numPr>
        <w:spacing w:before="0" w:after="240"/>
        <w:rPr>
          <w:rFonts w:ascii="Times New Roman" w:eastAsia="Times New Roman" w:hAnsi="Times New Roman" w:cs="Times New Roman"/>
          <w:b w:val="0"/>
          <w:color w:val="auto"/>
          <w:sz w:val="28"/>
          <w:szCs w:val="28"/>
        </w:rPr>
      </w:pPr>
      <w:r w:rsidRPr="00D5287C">
        <w:rPr>
          <w:rFonts w:ascii="Times New Roman" w:eastAsia="Times New Roman" w:hAnsi="Times New Roman" w:cs="Times New Roman"/>
          <w:color w:val="auto"/>
          <w:sz w:val="28"/>
          <w:szCs w:val="28"/>
        </w:rPr>
        <w:t>RESEARCH OBJECTIVE</w:t>
      </w:r>
      <w:r w:rsidR="00DF0CCC" w:rsidRPr="00D5287C">
        <w:rPr>
          <w:rFonts w:ascii="Times New Roman" w:eastAsia="Times New Roman" w:hAnsi="Times New Roman" w:cs="Times New Roman"/>
          <w:color w:val="auto"/>
          <w:sz w:val="28"/>
          <w:szCs w:val="28"/>
        </w:rPr>
        <w:t>S</w:t>
      </w:r>
    </w:p>
    <w:p w14:paraId="52E447DE" w14:textId="77777777" w:rsidR="001E0406" w:rsidRPr="00D5287C" w:rsidRDefault="001E0406" w:rsidP="00D5287C">
      <w:pPr>
        <w:spacing w:after="240"/>
        <w:rPr>
          <w:sz w:val="24"/>
          <w:szCs w:val="24"/>
        </w:rPr>
      </w:pPr>
    </w:p>
    <w:p w14:paraId="1A9A2A22" w14:textId="4C8C992F" w:rsidR="001E0406" w:rsidRPr="00D5287C" w:rsidRDefault="00324D1B" w:rsidP="00D5287C">
      <w:pPr>
        <w:spacing w:after="240"/>
        <w:rPr>
          <w:color w:val="000000"/>
          <w:sz w:val="24"/>
          <w:szCs w:val="24"/>
          <w:lang w:val="en-MY" w:eastAsia="en-MY"/>
        </w:rPr>
      </w:pPr>
      <w:r w:rsidRPr="00D5287C">
        <w:rPr>
          <w:color w:val="000000"/>
          <w:sz w:val="24"/>
          <w:szCs w:val="24"/>
          <w:lang w:val="en-MY" w:eastAsia="en-MY"/>
        </w:rPr>
        <w:t>The objectives of this conceptual paper are to develop an integrated framework linking technology strategy to sustainable manufacturing performance, to examine the role of leadership style in influencing the relationship between technology strategy and sustainability outcomes, and to investigate the mediating effect of leadership style in translating technology strategy into sustainable manufacturing performance within Industry 4.0 contexts.</w:t>
      </w:r>
    </w:p>
    <w:p w14:paraId="7CFEA8E2" w14:textId="77777777" w:rsidR="00324D1B" w:rsidRPr="00D5287C" w:rsidRDefault="00324D1B" w:rsidP="00D5287C">
      <w:pPr>
        <w:spacing w:after="240"/>
        <w:rPr>
          <w:sz w:val="24"/>
          <w:szCs w:val="24"/>
          <w:lang w:val="en-GB"/>
        </w:rPr>
      </w:pPr>
    </w:p>
    <w:p w14:paraId="274F213C" w14:textId="77777777" w:rsidR="001E0406" w:rsidRPr="00D5287C" w:rsidRDefault="001E0406" w:rsidP="00D5287C">
      <w:pPr>
        <w:pStyle w:val="Heading2"/>
        <w:numPr>
          <w:ilvl w:val="0"/>
          <w:numId w:val="4"/>
        </w:numPr>
        <w:spacing w:before="0" w:after="240"/>
        <w:rPr>
          <w:rFonts w:ascii="Times New Roman" w:eastAsia="Times New Roman" w:hAnsi="Times New Roman" w:cs="Times New Roman"/>
          <w:color w:val="auto"/>
          <w:sz w:val="28"/>
          <w:szCs w:val="28"/>
        </w:rPr>
      </w:pPr>
      <w:r w:rsidRPr="00D5287C">
        <w:rPr>
          <w:rFonts w:ascii="Times New Roman" w:eastAsia="Times New Roman" w:hAnsi="Times New Roman" w:cs="Times New Roman"/>
          <w:color w:val="auto"/>
          <w:sz w:val="28"/>
          <w:szCs w:val="28"/>
        </w:rPr>
        <w:t xml:space="preserve">LITERATURE REVIEW </w:t>
      </w:r>
    </w:p>
    <w:p w14:paraId="21BACE32" w14:textId="77777777" w:rsidR="001E0406" w:rsidRPr="00D5287C" w:rsidRDefault="001E0406" w:rsidP="00D5287C">
      <w:pPr>
        <w:spacing w:after="240"/>
        <w:rPr>
          <w:sz w:val="24"/>
          <w:szCs w:val="24"/>
          <w:lang w:val="en-GB"/>
        </w:rPr>
      </w:pPr>
    </w:p>
    <w:p w14:paraId="65D34650" w14:textId="77777777" w:rsidR="00324D1B" w:rsidRPr="00D5287C" w:rsidRDefault="00324D1B" w:rsidP="00D5287C">
      <w:pPr>
        <w:spacing w:after="240"/>
        <w:rPr>
          <w:sz w:val="24"/>
          <w:szCs w:val="24"/>
        </w:rPr>
      </w:pPr>
      <w:r w:rsidRPr="00D5287C">
        <w:rPr>
          <w:sz w:val="24"/>
          <w:szCs w:val="24"/>
        </w:rPr>
        <w:t xml:space="preserve">The Resource-Based View (RBV) posits that firms achieve sustained competitive advantage through the development and deployment of resources that are valuable, rare, inimitable, and non-substitutable (Barney, 1991). Within the manufacturing context, technological capability is increasingly </w:t>
      </w:r>
      <w:proofErr w:type="spellStart"/>
      <w:r w:rsidRPr="00D5287C">
        <w:rPr>
          <w:sz w:val="24"/>
          <w:szCs w:val="24"/>
        </w:rPr>
        <w:t>recognised</w:t>
      </w:r>
      <w:proofErr w:type="spellEnd"/>
      <w:r w:rsidRPr="00D5287C">
        <w:rPr>
          <w:sz w:val="24"/>
          <w:szCs w:val="24"/>
        </w:rPr>
        <w:t xml:space="preserve"> as a critical strategic resource that enables firms to enhance productivity, innovation, and operational efficiency. However, technological resources alone are insufficient unless they are effectively combined with </w:t>
      </w:r>
      <w:proofErr w:type="spellStart"/>
      <w:r w:rsidRPr="00D5287C">
        <w:rPr>
          <w:sz w:val="24"/>
          <w:szCs w:val="24"/>
        </w:rPr>
        <w:t>organisational</w:t>
      </w:r>
      <w:proofErr w:type="spellEnd"/>
      <w:r w:rsidRPr="00D5287C">
        <w:rPr>
          <w:sz w:val="24"/>
          <w:szCs w:val="24"/>
        </w:rPr>
        <w:t xml:space="preserve"> capabilities and leadership competencies. Leadership, in particular, plays a central role in ensuring that technological resources are strategically aligned with </w:t>
      </w:r>
      <w:proofErr w:type="spellStart"/>
      <w:r w:rsidRPr="00D5287C">
        <w:rPr>
          <w:sz w:val="24"/>
          <w:szCs w:val="24"/>
        </w:rPr>
        <w:t>organisational</w:t>
      </w:r>
      <w:proofErr w:type="spellEnd"/>
      <w:r w:rsidRPr="00D5287C">
        <w:rPr>
          <w:sz w:val="24"/>
          <w:szCs w:val="24"/>
        </w:rPr>
        <w:t xml:space="preserve"> objectives and sustainability goals. In this sense, both technological capability and leadership are considered key drivers of superior firm performance, especially in environments </w:t>
      </w:r>
      <w:proofErr w:type="spellStart"/>
      <w:r w:rsidRPr="00D5287C">
        <w:rPr>
          <w:sz w:val="24"/>
          <w:szCs w:val="24"/>
        </w:rPr>
        <w:t>characterised</w:t>
      </w:r>
      <w:proofErr w:type="spellEnd"/>
      <w:r w:rsidRPr="00D5287C">
        <w:rPr>
          <w:sz w:val="24"/>
          <w:szCs w:val="24"/>
        </w:rPr>
        <w:t xml:space="preserve"> by rapid technological change such as Industry 4.0.</w:t>
      </w:r>
    </w:p>
    <w:p w14:paraId="7CA195FF" w14:textId="77777777" w:rsidR="00324D1B" w:rsidRPr="00D5287C" w:rsidRDefault="00324D1B" w:rsidP="00D5287C">
      <w:pPr>
        <w:spacing w:after="240"/>
        <w:rPr>
          <w:sz w:val="24"/>
          <w:szCs w:val="24"/>
        </w:rPr>
      </w:pPr>
    </w:p>
    <w:p w14:paraId="753D692A" w14:textId="77777777" w:rsidR="00324D1B" w:rsidRPr="00D5287C" w:rsidRDefault="00324D1B" w:rsidP="00D5287C">
      <w:pPr>
        <w:spacing w:after="240"/>
        <w:rPr>
          <w:sz w:val="24"/>
          <w:szCs w:val="24"/>
        </w:rPr>
      </w:pPr>
      <w:r w:rsidRPr="00D5287C">
        <w:rPr>
          <w:sz w:val="24"/>
          <w:szCs w:val="24"/>
        </w:rPr>
        <w:t>The Technology–</w:t>
      </w:r>
      <w:proofErr w:type="spellStart"/>
      <w:r w:rsidRPr="00D5287C">
        <w:rPr>
          <w:sz w:val="24"/>
          <w:szCs w:val="24"/>
        </w:rPr>
        <w:t>Organisation</w:t>
      </w:r>
      <w:proofErr w:type="spellEnd"/>
      <w:r w:rsidRPr="00D5287C">
        <w:rPr>
          <w:sz w:val="24"/>
          <w:szCs w:val="24"/>
        </w:rPr>
        <w:t xml:space="preserve">–Environment (TOE) framework provides a complementary perspective by explaining technology adoption through three contextual dimensions, namely technological readiness, </w:t>
      </w:r>
      <w:proofErr w:type="spellStart"/>
      <w:r w:rsidRPr="00D5287C">
        <w:rPr>
          <w:sz w:val="24"/>
          <w:szCs w:val="24"/>
        </w:rPr>
        <w:t>organisational</w:t>
      </w:r>
      <w:proofErr w:type="spellEnd"/>
      <w:r w:rsidRPr="00D5287C">
        <w:rPr>
          <w:sz w:val="24"/>
          <w:szCs w:val="24"/>
        </w:rPr>
        <w:t xml:space="preserve"> capability, and environmental pressure (</w:t>
      </w:r>
      <w:proofErr w:type="spellStart"/>
      <w:r w:rsidRPr="00D5287C">
        <w:rPr>
          <w:sz w:val="24"/>
          <w:szCs w:val="24"/>
        </w:rPr>
        <w:t>Tornatzky</w:t>
      </w:r>
      <w:proofErr w:type="spellEnd"/>
      <w:r w:rsidRPr="00D5287C">
        <w:rPr>
          <w:sz w:val="24"/>
          <w:szCs w:val="24"/>
        </w:rPr>
        <w:t xml:space="preserve"> &amp; Fleischer, 1990). Technological readiness refers to the availability and compatibility of advanced technologies within the firm, while </w:t>
      </w:r>
      <w:proofErr w:type="spellStart"/>
      <w:r w:rsidRPr="00D5287C">
        <w:rPr>
          <w:sz w:val="24"/>
          <w:szCs w:val="24"/>
        </w:rPr>
        <w:t>organisational</w:t>
      </w:r>
      <w:proofErr w:type="spellEnd"/>
      <w:r w:rsidRPr="00D5287C">
        <w:rPr>
          <w:sz w:val="24"/>
          <w:szCs w:val="24"/>
        </w:rPr>
        <w:t xml:space="preserve"> capability reflects internal resources, managerial support, and structural readiness to adopt innovation. Environmental pressure, on the other hand, includes competitive forces, regulatory requirements, and market </w:t>
      </w:r>
      <w:r w:rsidRPr="00D5287C">
        <w:rPr>
          <w:sz w:val="24"/>
          <w:szCs w:val="24"/>
        </w:rPr>
        <w:lastRenderedPageBreak/>
        <w:t xml:space="preserve">dynamics that encourage firms to adopt advanced technologies. In Industry 4.0 research, TOE has been widely used to explain why firms adopt digital technologies and how </w:t>
      </w:r>
      <w:proofErr w:type="spellStart"/>
      <w:r w:rsidRPr="00D5287C">
        <w:rPr>
          <w:sz w:val="24"/>
          <w:szCs w:val="24"/>
        </w:rPr>
        <w:t>organisational</w:t>
      </w:r>
      <w:proofErr w:type="spellEnd"/>
      <w:r w:rsidRPr="00D5287C">
        <w:rPr>
          <w:sz w:val="24"/>
          <w:szCs w:val="24"/>
        </w:rPr>
        <w:t xml:space="preserve"> and environmental contexts influence adoption </w:t>
      </w:r>
      <w:proofErr w:type="spellStart"/>
      <w:r w:rsidRPr="00D5287C">
        <w:rPr>
          <w:sz w:val="24"/>
          <w:szCs w:val="24"/>
        </w:rPr>
        <w:t>behaviour</w:t>
      </w:r>
      <w:proofErr w:type="spellEnd"/>
      <w:r w:rsidRPr="00D5287C">
        <w:rPr>
          <w:sz w:val="24"/>
          <w:szCs w:val="24"/>
        </w:rPr>
        <w:t xml:space="preserve"> (Luthra et al., 2016). Nevertheless, TOE primarily focuses on adoption determinants and does not fully explain how technology adoption translates into long-term sustainability outcomes.</w:t>
      </w:r>
    </w:p>
    <w:p w14:paraId="47049A47" w14:textId="77777777" w:rsidR="00324D1B" w:rsidRPr="00D5287C" w:rsidRDefault="00324D1B" w:rsidP="00D5287C">
      <w:pPr>
        <w:spacing w:after="240"/>
        <w:rPr>
          <w:sz w:val="24"/>
          <w:szCs w:val="24"/>
        </w:rPr>
      </w:pPr>
    </w:p>
    <w:p w14:paraId="4FF864FF" w14:textId="77777777" w:rsidR="00324D1B" w:rsidRPr="00D5287C" w:rsidRDefault="00324D1B" w:rsidP="00D5287C">
      <w:pPr>
        <w:spacing w:after="240"/>
        <w:rPr>
          <w:sz w:val="24"/>
          <w:szCs w:val="24"/>
        </w:rPr>
      </w:pPr>
      <w:r w:rsidRPr="00D5287C">
        <w:rPr>
          <w:sz w:val="24"/>
          <w:szCs w:val="24"/>
        </w:rPr>
        <w:t xml:space="preserve">Leadership theory further extends this understanding by </w:t>
      </w:r>
      <w:proofErr w:type="spellStart"/>
      <w:r w:rsidRPr="00D5287C">
        <w:rPr>
          <w:sz w:val="24"/>
          <w:szCs w:val="24"/>
        </w:rPr>
        <w:t>emphasising</w:t>
      </w:r>
      <w:proofErr w:type="spellEnd"/>
      <w:r w:rsidRPr="00D5287C">
        <w:rPr>
          <w:sz w:val="24"/>
          <w:szCs w:val="24"/>
        </w:rPr>
        <w:t xml:space="preserve"> the role of leaders in driving </w:t>
      </w:r>
      <w:proofErr w:type="spellStart"/>
      <w:r w:rsidRPr="00D5287C">
        <w:rPr>
          <w:sz w:val="24"/>
          <w:szCs w:val="24"/>
        </w:rPr>
        <w:t>organisational</w:t>
      </w:r>
      <w:proofErr w:type="spellEnd"/>
      <w:r w:rsidRPr="00D5287C">
        <w:rPr>
          <w:sz w:val="24"/>
          <w:szCs w:val="24"/>
        </w:rPr>
        <w:t xml:space="preserve"> transformation and innovation. Transformational leadership is particularly important in dynamic technological environments as it fosters vision sharing, employee motivation, and change readiness. Digital leadership, on the other hand, focuses on leveraging digital technologies to enhance strategic decision-making, operational efficiency, and </w:t>
      </w:r>
      <w:proofErr w:type="spellStart"/>
      <w:r w:rsidRPr="00D5287C">
        <w:rPr>
          <w:sz w:val="24"/>
          <w:szCs w:val="24"/>
        </w:rPr>
        <w:t>organisational</w:t>
      </w:r>
      <w:proofErr w:type="spellEnd"/>
      <w:r w:rsidRPr="00D5287C">
        <w:rPr>
          <w:sz w:val="24"/>
          <w:szCs w:val="24"/>
        </w:rPr>
        <w:t xml:space="preserve"> agility. In the context of Industry 4.0, leadership ensures that technological investments are not implemented in isolation but are embedded within broader </w:t>
      </w:r>
      <w:proofErr w:type="spellStart"/>
      <w:r w:rsidRPr="00D5287C">
        <w:rPr>
          <w:sz w:val="24"/>
          <w:szCs w:val="24"/>
        </w:rPr>
        <w:t>organisational</w:t>
      </w:r>
      <w:proofErr w:type="spellEnd"/>
      <w:r w:rsidRPr="00D5287C">
        <w:rPr>
          <w:sz w:val="24"/>
          <w:szCs w:val="24"/>
        </w:rPr>
        <w:t xml:space="preserve"> strategies. As highlighted by Vial (2019), effective leadership is essential in bridging the gap between digital transformation initiatives and </w:t>
      </w:r>
      <w:proofErr w:type="spellStart"/>
      <w:r w:rsidRPr="00D5287C">
        <w:rPr>
          <w:sz w:val="24"/>
          <w:szCs w:val="24"/>
        </w:rPr>
        <w:t>organisational</w:t>
      </w:r>
      <w:proofErr w:type="spellEnd"/>
      <w:r w:rsidRPr="00D5287C">
        <w:rPr>
          <w:sz w:val="24"/>
          <w:szCs w:val="24"/>
        </w:rPr>
        <w:t xml:space="preserve"> performance outcomes.</w:t>
      </w:r>
    </w:p>
    <w:p w14:paraId="232A546C" w14:textId="77777777" w:rsidR="00324D1B" w:rsidRPr="00D5287C" w:rsidRDefault="00324D1B" w:rsidP="00D5287C">
      <w:pPr>
        <w:spacing w:after="240"/>
        <w:rPr>
          <w:sz w:val="24"/>
          <w:szCs w:val="24"/>
        </w:rPr>
      </w:pPr>
    </w:p>
    <w:p w14:paraId="0747647B" w14:textId="77777777" w:rsidR="00324D1B" w:rsidRPr="00D5287C" w:rsidRDefault="00324D1B" w:rsidP="00D5287C">
      <w:pPr>
        <w:spacing w:after="240"/>
        <w:rPr>
          <w:sz w:val="24"/>
          <w:szCs w:val="24"/>
        </w:rPr>
      </w:pPr>
      <w:r w:rsidRPr="00D5287C">
        <w:rPr>
          <w:sz w:val="24"/>
          <w:szCs w:val="24"/>
        </w:rPr>
        <w:t xml:space="preserve">Technology strategy in manufacturing is a multidimensional construct that significantly influences sustainability performance. One important dimension is pioneer–follower strategic posture, where pioneer firms adopt emerging technologies early to gain first-mover advantages, while follower firms adopt a more cautious approach by learning from early adopters. Pioneer strategies are associated with higher innovation potential but also greater risk exposure, whereas follower strategies tend to reduce uncertainty but may limit innovation speed (Frank et al., 2019). Another key dimension is technological investment, which refers to the allocation of financial and </w:t>
      </w:r>
      <w:proofErr w:type="spellStart"/>
      <w:r w:rsidRPr="00D5287C">
        <w:rPr>
          <w:sz w:val="24"/>
          <w:szCs w:val="24"/>
        </w:rPr>
        <w:t>organisational</w:t>
      </w:r>
      <w:proofErr w:type="spellEnd"/>
      <w:r w:rsidRPr="00D5287C">
        <w:rPr>
          <w:sz w:val="24"/>
          <w:szCs w:val="24"/>
        </w:rPr>
        <w:t xml:space="preserve"> resources toward advanced manufacturing technologies. Such investments enhance operational efficiency, reduce production waste, and improve environmental performance, thereby contributing directly to sustainability outcomes (Bai &amp; Sarkis, 2020).</w:t>
      </w:r>
    </w:p>
    <w:p w14:paraId="55FEF1BE" w14:textId="77777777" w:rsidR="000A729E" w:rsidRPr="00D5287C" w:rsidRDefault="000A729E" w:rsidP="00D5287C">
      <w:pPr>
        <w:spacing w:after="240"/>
        <w:rPr>
          <w:sz w:val="24"/>
          <w:szCs w:val="24"/>
        </w:rPr>
      </w:pPr>
    </w:p>
    <w:p w14:paraId="58E66DFE" w14:textId="77777777" w:rsidR="00324D1B" w:rsidRPr="00D5287C" w:rsidRDefault="00324D1B" w:rsidP="00D5287C">
      <w:pPr>
        <w:spacing w:after="240"/>
        <w:rPr>
          <w:sz w:val="24"/>
          <w:szCs w:val="24"/>
        </w:rPr>
      </w:pPr>
      <w:r w:rsidRPr="00D5287C">
        <w:rPr>
          <w:sz w:val="24"/>
          <w:szCs w:val="24"/>
        </w:rPr>
        <w:t xml:space="preserve">The intensity of product upgrades represents the frequency and extent of improvements made to existing products, reflecting a firm’s innovation capability and responsiveness to market demands. Higher upgrade intensity improves product lifecycle efficiency and reduces environmental impact by ensuring continuous improvement and replacement of outdated designs (Nunes et al., 2020). Similarly, product and process technologies contribute to improved manufacturing performance by enhancing production precision, reducing defect rates, and </w:t>
      </w:r>
      <w:proofErr w:type="spellStart"/>
      <w:r w:rsidRPr="00D5287C">
        <w:rPr>
          <w:sz w:val="24"/>
          <w:szCs w:val="24"/>
        </w:rPr>
        <w:t>minimising</w:t>
      </w:r>
      <w:proofErr w:type="spellEnd"/>
      <w:r w:rsidRPr="00D5287C">
        <w:rPr>
          <w:sz w:val="24"/>
          <w:szCs w:val="24"/>
        </w:rPr>
        <w:t xml:space="preserve"> resource consumption, which ultimately leads to lower emissions and higher efficiency (Stock &amp; Seliger, 2016).</w:t>
      </w:r>
    </w:p>
    <w:p w14:paraId="65E19957" w14:textId="77777777" w:rsidR="00324D1B" w:rsidRPr="00D5287C" w:rsidRDefault="00324D1B" w:rsidP="00D5287C">
      <w:pPr>
        <w:spacing w:after="240"/>
        <w:rPr>
          <w:sz w:val="24"/>
          <w:szCs w:val="24"/>
        </w:rPr>
      </w:pPr>
    </w:p>
    <w:p w14:paraId="1B1682AA" w14:textId="77777777" w:rsidR="00324D1B" w:rsidRPr="00D5287C" w:rsidRDefault="00324D1B" w:rsidP="00D5287C">
      <w:pPr>
        <w:spacing w:after="240"/>
        <w:rPr>
          <w:sz w:val="24"/>
          <w:szCs w:val="24"/>
        </w:rPr>
      </w:pPr>
      <w:r w:rsidRPr="00D5287C">
        <w:rPr>
          <w:sz w:val="24"/>
          <w:szCs w:val="24"/>
        </w:rPr>
        <w:t xml:space="preserve">Manufacturing system and process design technologies further enhance operational flexibility and resource </w:t>
      </w:r>
      <w:proofErr w:type="spellStart"/>
      <w:r w:rsidRPr="00D5287C">
        <w:rPr>
          <w:sz w:val="24"/>
          <w:szCs w:val="24"/>
        </w:rPr>
        <w:t>optimisation</w:t>
      </w:r>
      <w:proofErr w:type="spellEnd"/>
      <w:r w:rsidRPr="00D5287C">
        <w:rPr>
          <w:sz w:val="24"/>
          <w:szCs w:val="24"/>
        </w:rPr>
        <w:t>. These systems, including flexible manufacturing systems and integrated production designs, allow firms to adapt quickly to changing market demands while maintaining efficiency. Process innovations, on the other hand, enable firms to adopt cleaner production methods, reduce waste generation, and improve overall operational sustainability (Dubey et al., 2019). These innovations are particularly important in supporting long-term environmental sustainability goals.</w:t>
      </w:r>
    </w:p>
    <w:p w14:paraId="7EB21A8E" w14:textId="77777777" w:rsidR="00324D1B" w:rsidRPr="00D5287C" w:rsidRDefault="00324D1B" w:rsidP="00D5287C">
      <w:pPr>
        <w:spacing w:after="240"/>
        <w:rPr>
          <w:sz w:val="24"/>
          <w:szCs w:val="24"/>
        </w:rPr>
      </w:pPr>
    </w:p>
    <w:p w14:paraId="499F81FC" w14:textId="77777777" w:rsidR="00324D1B" w:rsidRPr="00D5287C" w:rsidRDefault="00324D1B" w:rsidP="00D5287C">
      <w:pPr>
        <w:spacing w:after="240"/>
        <w:rPr>
          <w:sz w:val="24"/>
          <w:szCs w:val="24"/>
        </w:rPr>
      </w:pPr>
      <w:r w:rsidRPr="00D5287C">
        <w:rPr>
          <w:sz w:val="24"/>
          <w:szCs w:val="24"/>
        </w:rPr>
        <w:t xml:space="preserve">Digital manufacturing technologies such as the Internet of Things (IoT), artificial intelligence (AI), and big data analytics have become central components of modern manufacturing systems. These technologies enable real-time data collection, predictive analytics, and intelligent decision-making, thereby improving operational efficiency and sustainability performance (Wang et al., 2016). In addition, </w:t>
      </w:r>
      <w:proofErr w:type="spellStart"/>
      <w:r w:rsidRPr="00D5287C">
        <w:rPr>
          <w:sz w:val="24"/>
          <w:szCs w:val="24"/>
        </w:rPr>
        <w:t>microfactories</w:t>
      </w:r>
      <w:proofErr w:type="spellEnd"/>
      <w:r w:rsidRPr="00D5287C">
        <w:rPr>
          <w:sz w:val="24"/>
          <w:szCs w:val="24"/>
        </w:rPr>
        <w:t xml:space="preserve"> represent a new paradigm of </w:t>
      </w:r>
      <w:proofErr w:type="spellStart"/>
      <w:r w:rsidRPr="00D5287C">
        <w:rPr>
          <w:sz w:val="24"/>
          <w:szCs w:val="24"/>
        </w:rPr>
        <w:t>decentralised</w:t>
      </w:r>
      <w:proofErr w:type="spellEnd"/>
      <w:r w:rsidRPr="00D5287C">
        <w:rPr>
          <w:sz w:val="24"/>
          <w:szCs w:val="24"/>
        </w:rPr>
        <w:t xml:space="preserve"> and flexible manufacturing systems that reduce transportation requirements, energy </w:t>
      </w:r>
      <w:r w:rsidRPr="00D5287C">
        <w:rPr>
          <w:sz w:val="24"/>
          <w:szCs w:val="24"/>
        </w:rPr>
        <w:lastRenderedPageBreak/>
        <w:t xml:space="preserve">consumption, and environmental impact. By enabling </w:t>
      </w:r>
      <w:proofErr w:type="spellStart"/>
      <w:r w:rsidRPr="00D5287C">
        <w:rPr>
          <w:sz w:val="24"/>
          <w:szCs w:val="24"/>
        </w:rPr>
        <w:t>localised</w:t>
      </w:r>
      <w:proofErr w:type="spellEnd"/>
      <w:r w:rsidRPr="00D5287C">
        <w:rPr>
          <w:sz w:val="24"/>
          <w:szCs w:val="24"/>
        </w:rPr>
        <w:t xml:space="preserve"> production, </w:t>
      </w:r>
      <w:proofErr w:type="spellStart"/>
      <w:r w:rsidRPr="00D5287C">
        <w:rPr>
          <w:sz w:val="24"/>
          <w:szCs w:val="24"/>
        </w:rPr>
        <w:t>microfactories</w:t>
      </w:r>
      <w:proofErr w:type="spellEnd"/>
      <w:r w:rsidRPr="00D5287C">
        <w:rPr>
          <w:sz w:val="24"/>
          <w:szCs w:val="24"/>
        </w:rPr>
        <w:t xml:space="preserve"> support more sustainable and resilient manufacturing ecosystems (Javaid et al., 2022).</w:t>
      </w:r>
    </w:p>
    <w:p w14:paraId="6B819CEC" w14:textId="77777777" w:rsidR="00324D1B" w:rsidRPr="00D5287C" w:rsidRDefault="00324D1B" w:rsidP="00D5287C">
      <w:pPr>
        <w:spacing w:after="240"/>
        <w:rPr>
          <w:sz w:val="24"/>
          <w:szCs w:val="24"/>
        </w:rPr>
      </w:pPr>
    </w:p>
    <w:p w14:paraId="3FA8C959" w14:textId="48B02C59" w:rsidR="001E0406" w:rsidRPr="00D5287C" w:rsidRDefault="00324D1B" w:rsidP="00D5287C">
      <w:pPr>
        <w:spacing w:after="240"/>
        <w:rPr>
          <w:sz w:val="24"/>
          <w:szCs w:val="24"/>
        </w:rPr>
      </w:pPr>
      <w:r w:rsidRPr="00D5287C">
        <w:rPr>
          <w:sz w:val="24"/>
          <w:szCs w:val="24"/>
        </w:rPr>
        <w:t xml:space="preserve">Finally, sustainable manufacturing performance is </w:t>
      </w:r>
      <w:proofErr w:type="spellStart"/>
      <w:r w:rsidRPr="00D5287C">
        <w:rPr>
          <w:sz w:val="24"/>
          <w:szCs w:val="24"/>
        </w:rPr>
        <w:t>conceptualised</w:t>
      </w:r>
      <w:proofErr w:type="spellEnd"/>
      <w:r w:rsidRPr="00D5287C">
        <w:rPr>
          <w:sz w:val="24"/>
          <w:szCs w:val="24"/>
        </w:rPr>
        <w:t xml:space="preserve"> based on the triple bottom line framework, which includes economic, environmental, and social dimensions (Elkington, 1997). Economic performance refers to profitability, productivity, and cost efficiency, while environmental performance focuses on resource efficiency, emissions reduction, and waste </w:t>
      </w:r>
      <w:proofErr w:type="spellStart"/>
      <w:r w:rsidRPr="00D5287C">
        <w:rPr>
          <w:sz w:val="24"/>
          <w:szCs w:val="24"/>
        </w:rPr>
        <w:t>minimisation</w:t>
      </w:r>
      <w:proofErr w:type="spellEnd"/>
      <w:r w:rsidRPr="00D5287C">
        <w:rPr>
          <w:sz w:val="24"/>
          <w:szCs w:val="24"/>
        </w:rPr>
        <w:t xml:space="preserve">. Social performance includes employee well-being, workplace safety, and broader societal impact. The integration of these three dimensions reflects the holistic nature of sustainability in modern manufacturing systems, where firms are expected to achieve financial success while simultaneously </w:t>
      </w:r>
      <w:proofErr w:type="spellStart"/>
      <w:r w:rsidRPr="00D5287C">
        <w:rPr>
          <w:sz w:val="24"/>
          <w:szCs w:val="24"/>
        </w:rPr>
        <w:t>minimising</w:t>
      </w:r>
      <w:proofErr w:type="spellEnd"/>
      <w:r w:rsidRPr="00D5287C">
        <w:rPr>
          <w:sz w:val="24"/>
          <w:szCs w:val="24"/>
        </w:rPr>
        <w:t xml:space="preserve"> environmental harm and contributing positively to society.</w:t>
      </w:r>
    </w:p>
    <w:p w14:paraId="17271085" w14:textId="77777777" w:rsidR="001E0406" w:rsidRPr="00D5287C" w:rsidRDefault="001E0406" w:rsidP="00D5287C">
      <w:pPr>
        <w:pStyle w:val="TFReferencesSection"/>
        <w:spacing w:after="240" w:line="240" w:lineRule="auto"/>
        <w:ind w:left="0" w:firstLine="0"/>
        <w:rPr>
          <w:rFonts w:ascii="Times New Roman" w:hAnsi="Times New Roman"/>
          <w:sz w:val="22"/>
          <w:lang w:val="en-GB"/>
        </w:rPr>
      </w:pPr>
    </w:p>
    <w:p w14:paraId="50B16A39" w14:textId="4DD5CA3A" w:rsidR="001E0406" w:rsidRPr="00D5287C" w:rsidRDefault="00737A86" w:rsidP="00D5287C">
      <w:pPr>
        <w:pStyle w:val="Heading2"/>
        <w:numPr>
          <w:ilvl w:val="0"/>
          <w:numId w:val="4"/>
        </w:numPr>
        <w:spacing w:before="0" w:after="240"/>
        <w:rPr>
          <w:rFonts w:ascii="Times New Roman" w:eastAsia="Times New Roman" w:hAnsi="Times New Roman" w:cs="Times New Roman"/>
          <w:color w:val="auto"/>
          <w:sz w:val="28"/>
          <w:szCs w:val="28"/>
        </w:rPr>
      </w:pPr>
      <w:r w:rsidRPr="00D5287C">
        <w:rPr>
          <w:rFonts w:ascii="Times New Roman" w:eastAsia="Times New Roman" w:hAnsi="Times New Roman" w:cs="Times New Roman"/>
          <w:color w:val="auto"/>
          <w:sz w:val="28"/>
          <w:szCs w:val="28"/>
        </w:rPr>
        <w:t xml:space="preserve">RESEARCH </w:t>
      </w:r>
      <w:r w:rsidR="001E0406" w:rsidRPr="00D5287C">
        <w:rPr>
          <w:rFonts w:ascii="Times New Roman" w:eastAsia="Times New Roman" w:hAnsi="Times New Roman" w:cs="Times New Roman"/>
          <w:color w:val="auto"/>
          <w:sz w:val="28"/>
          <w:szCs w:val="28"/>
        </w:rPr>
        <w:t>METHOD</w:t>
      </w:r>
      <w:r w:rsidRPr="00D5287C">
        <w:rPr>
          <w:rFonts w:ascii="Times New Roman" w:eastAsia="Times New Roman" w:hAnsi="Times New Roman" w:cs="Times New Roman"/>
          <w:color w:val="auto"/>
          <w:sz w:val="28"/>
          <w:szCs w:val="28"/>
        </w:rPr>
        <w:t>OLOGY</w:t>
      </w:r>
      <w:r w:rsidR="001E0406" w:rsidRPr="00D5287C">
        <w:rPr>
          <w:rFonts w:ascii="Times New Roman" w:eastAsia="Times New Roman" w:hAnsi="Times New Roman" w:cs="Times New Roman"/>
          <w:color w:val="auto"/>
          <w:sz w:val="28"/>
          <w:szCs w:val="28"/>
        </w:rPr>
        <w:t xml:space="preserve"> </w:t>
      </w:r>
    </w:p>
    <w:p w14:paraId="4144F77B" w14:textId="77777777" w:rsidR="001E0406" w:rsidRPr="00D5287C" w:rsidRDefault="001E0406" w:rsidP="00D5287C">
      <w:pPr>
        <w:spacing w:after="240"/>
        <w:rPr>
          <w:sz w:val="22"/>
          <w:lang w:val="en-GB"/>
        </w:rPr>
      </w:pPr>
    </w:p>
    <w:p w14:paraId="79C0BFA5" w14:textId="77777777" w:rsidR="00324D1B" w:rsidRPr="00D5287C" w:rsidRDefault="00324D1B" w:rsidP="00D5287C">
      <w:pPr>
        <w:spacing w:after="240"/>
        <w:rPr>
          <w:sz w:val="24"/>
          <w:szCs w:val="24"/>
        </w:rPr>
      </w:pPr>
      <w:r w:rsidRPr="00D5287C">
        <w:rPr>
          <w:sz w:val="24"/>
          <w:szCs w:val="24"/>
        </w:rPr>
        <w:t xml:space="preserve">This study adopts a systematic literature review (SLR) approach to develop an integrated conceptual framework linking technology strategy, leadership style, and sustainable manufacturing performance. The review was conducted using SCOPUS-indexed journal articles to ensure the inclusion of high-quality and peer-reviewed academic sources. The search strategy </w:t>
      </w:r>
      <w:proofErr w:type="spellStart"/>
      <w:r w:rsidRPr="00D5287C">
        <w:rPr>
          <w:sz w:val="24"/>
          <w:szCs w:val="24"/>
        </w:rPr>
        <w:t>utilised</w:t>
      </w:r>
      <w:proofErr w:type="spellEnd"/>
      <w:r w:rsidRPr="00D5287C">
        <w:rPr>
          <w:sz w:val="24"/>
          <w:szCs w:val="24"/>
        </w:rPr>
        <w:t xml:space="preserve"> keywords such as “Industry 4.0”, “technology strategy”, “digital manufacturing”, “sustainable manufacturing”, and “leadership style”, covering publications between 2014 and 2025.</w:t>
      </w:r>
    </w:p>
    <w:p w14:paraId="72851486" w14:textId="77777777" w:rsidR="00324D1B" w:rsidRPr="00D5287C" w:rsidRDefault="00324D1B" w:rsidP="00D5287C">
      <w:pPr>
        <w:spacing w:after="240"/>
        <w:rPr>
          <w:sz w:val="24"/>
          <w:szCs w:val="24"/>
        </w:rPr>
      </w:pPr>
      <w:r w:rsidRPr="00D5287C">
        <w:rPr>
          <w:sz w:val="24"/>
          <w:szCs w:val="24"/>
        </w:rPr>
        <w:t>The selection of studies followed predefined inclusion and exclusion criteria. Only peer-reviewed journal articles focusing on manufacturing, digital transformation, sustainability, and leadership were included, while non-academic sources, duplicated studies, and irrelevant sectors were excluded. After screening, relevant articles were selected for detailed analysis.</w:t>
      </w:r>
    </w:p>
    <w:p w14:paraId="767154FC" w14:textId="77777777" w:rsidR="00324D1B" w:rsidRPr="00D5287C" w:rsidRDefault="00324D1B" w:rsidP="00D5287C">
      <w:pPr>
        <w:spacing w:after="240"/>
        <w:rPr>
          <w:sz w:val="24"/>
          <w:szCs w:val="24"/>
        </w:rPr>
      </w:pPr>
      <w:r w:rsidRPr="00D5287C">
        <w:rPr>
          <w:sz w:val="24"/>
          <w:szCs w:val="24"/>
        </w:rPr>
        <w:t xml:space="preserve">A systematic synthesis approach was then applied to </w:t>
      </w:r>
      <w:proofErr w:type="spellStart"/>
      <w:r w:rsidRPr="00D5287C">
        <w:rPr>
          <w:sz w:val="24"/>
          <w:szCs w:val="24"/>
        </w:rPr>
        <w:t>analyse</w:t>
      </w:r>
      <w:proofErr w:type="spellEnd"/>
      <w:r w:rsidRPr="00D5287C">
        <w:rPr>
          <w:sz w:val="24"/>
          <w:szCs w:val="24"/>
        </w:rPr>
        <w:t xml:space="preserve"> the literature. Instead of statistical or qualitative coding techniques, this study employed narrative synthesis to identify and compare key findings across studies. The analysis focused on extracting recurring concepts, patterns, and relationships related to technology strategy dimensions, leadership roles, and sustainable manufacturing outcomes. Through cross-study comparison, the key constructs were grouped into conceptual categories representing different dimensions of technology strategy and sustainability performance.</w:t>
      </w:r>
    </w:p>
    <w:p w14:paraId="76EF5127" w14:textId="5F1C2A5A" w:rsidR="000C0680" w:rsidRPr="00D5287C" w:rsidRDefault="00324D1B" w:rsidP="00D5287C">
      <w:pPr>
        <w:spacing w:after="240"/>
        <w:rPr>
          <w:sz w:val="24"/>
          <w:szCs w:val="24"/>
        </w:rPr>
      </w:pPr>
      <w:r w:rsidRPr="00D5287C">
        <w:rPr>
          <w:sz w:val="24"/>
          <w:szCs w:val="24"/>
        </w:rPr>
        <w:t>The synthesis process was guided by established theoretical frameworks, namely the Resource-Based View (RBV), Technology–</w:t>
      </w:r>
      <w:proofErr w:type="spellStart"/>
      <w:r w:rsidRPr="00D5287C">
        <w:rPr>
          <w:sz w:val="24"/>
          <w:szCs w:val="24"/>
        </w:rPr>
        <w:t>Organisation</w:t>
      </w:r>
      <w:proofErr w:type="spellEnd"/>
      <w:r w:rsidRPr="00D5287C">
        <w:rPr>
          <w:sz w:val="24"/>
          <w:szCs w:val="24"/>
        </w:rPr>
        <w:t>–Environment (TOE) framework, and leadership theory. These theories provided a structured lens for interpreting the literature and developing an integrated conceptual framework. The outcome of this process is a theoretically grounded model explaining how technology strategy influences sustainable manufacturing performance through the mediating role of leadership style.</w:t>
      </w:r>
    </w:p>
    <w:p w14:paraId="0BC06817" w14:textId="2288B960" w:rsidR="001E0406" w:rsidRPr="00D5287C" w:rsidRDefault="001E0406" w:rsidP="00D5287C">
      <w:pPr>
        <w:pStyle w:val="NormalWeb"/>
        <w:spacing w:before="0" w:beforeAutospacing="0" w:after="240" w:afterAutospacing="0"/>
        <w:ind w:left="426" w:firstLine="630"/>
        <w:jc w:val="center"/>
        <w:rPr>
          <w:color w:val="000000"/>
          <w:sz w:val="22"/>
          <w:szCs w:val="22"/>
        </w:rPr>
      </w:pPr>
    </w:p>
    <w:p w14:paraId="05EFCEB3" w14:textId="4B2722E4" w:rsidR="001E0406" w:rsidRPr="00D5287C" w:rsidRDefault="00737A86" w:rsidP="00D5287C">
      <w:pPr>
        <w:pStyle w:val="Heading2"/>
        <w:numPr>
          <w:ilvl w:val="0"/>
          <w:numId w:val="4"/>
        </w:numPr>
        <w:spacing w:before="0" w:after="240"/>
        <w:rPr>
          <w:rFonts w:ascii="Times New Roman" w:eastAsia="Times New Roman" w:hAnsi="Times New Roman" w:cs="Times New Roman"/>
          <w:color w:val="auto"/>
          <w:sz w:val="28"/>
          <w:szCs w:val="28"/>
        </w:rPr>
      </w:pPr>
      <w:r w:rsidRPr="00D5287C">
        <w:rPr>
          <w:rFonts w:ascii="Times New Roman" w:eastAsia="Times New Roman" w:hAnsi="Times New Roman" w:cs="Times New Roman"/>
          <w:color w:val="auto"/>
          <w:sz w:val="28"/>
          <w:szCs w:val="28"/>
        </w:rPr>
        <w:t xml:space="preserve">RESEARCH </w:t>
      </w:r>
      <w:r w:rsidR="001E0406" w:rsidRPr="00D5287C">
        <w:rPr>
          <w:rFonts w:ascii="Times New Roman" w:eastAsia="Times New Roman" w:hAnsi="Times New Roman" w:cs="Times New Roman"/>
          <w:color w:val="auto"/>
          <w:sz w:val="28"/>
          <w:szCs w:val="28"/>
        </w:rPr>
        <w:t xml:space="preserve">FINDINGS </w:t>
      </w:r>
    </w:p>
    <w:p w14:paraId="5BD95D67" w14:textId="77777777" w:rsidR="001E0406" w:rsidRPr="00D5287C" w:rsidRDefault="001E0406" w:rsidP="00D5287C">
      <w:pPr>
        <w:pStyle w:val="ListParagraph"/>
        <w:spacing w:after="240"/>
        <w:ind w:left="1620"/>
        <w:contextualSpacing w:val="0"/>
      </w:pPr>
    </w:p>
    <w:p w14:paraId="3ACB4732" w14:textId="77777777" w:rsidR="00324D1B" w:rsidRPr="00D5287C" w:rsidRDefault="00324D1B" w:rsidP="00D5287C">
      <w:pPr>
        <w:spacing w:after="240"/>
        <w:rPr>
          <w:sz w:val="24"/>
          <w:szCs w:val="24"/>
        </w:rPr>
      </w:pPr>
      <w:r w:rsidRPr="00D5287C">
        <w:rPr>
          <w:sz w:val="24"/>
          <w:szCs w:val="24"/>
        </w:rPr>
        <w:t xml:space="preserve">The synthesis of the literature indicates that technology strategy is a multidimensional construct that plays a significant role in shaping sustainable manufacturing performance. Across the reviewed studies, various dimensions of technology strategy, including technological investments, digital manufacturing systems, and process innovations, are consistently associated with improvements in operational efficiency and sustainability </w:t>
      </w:r>
      <w:r w:rsidRPr="00D5287C">
        <w:rPr>
          <w:sz w:val="24"/>
          <w:szCs w:val="24"/>
        </w:rPr>
        <w:lastRenderedPageBreak/>
        <w:t xml:space="preserve">outcomes (Bai &amp; Sarkis, 2020; </w:t>
      </w:r>
      <w:proofErr w:type="spellStart"/>
      <w:r w:rsidRPr="00D5287C">
        <w:rPr>
          <w:sz w:val="24"/>
          <w:szCs w:val="24"/>
        </w:rPr>
        <w:t>Ghobakhloo</w:t>
      </w:r>
      <w:proofErr w:type="spellEnd"/>
      <w:r w:rsidRPr="00D5287C">
        <w:rPr>
          <w:sz w:val="24"/>
          <w:szCs w:val="24"/>
        </w:rPr>
        <w:t xml:space="preserve">, 2020). However, the strength of these relationships varies across </w:t>
      </w:r>
      <w:proofErr w:type="spellStart"/>
      <w:r w:rsidRPr="00D5287C">
        <w:rPr>
          <w:sz w:val="24"/>
          <w:szCs w:val="24"/>
        </w:rPr>
        <w:t>organisational</w:t>
      </w:r>
      <w:proofErr w:type="spellEnd"/>
      <w:r w:rsidRPr="00D5287C">
        <w:rPr>
          <w:sz w:val="24"/>
          <w:szCs w:val="24"/>
        </w:rPr>
        <w:t xml:space="preserve"> contexts, particularly depending on levels of technological readiness and managerial capability.</w:t>
      </w:r>
    </w:p>
    <w:p w14:paraId="50E5DBD6" w14:textId="77777777" w:rsidR="00324D1B" w:rsidRPr="00D5287C" w:rsidRDefault="00324D1B" w:rsidP="00D5287C">
      <w:pPr>
        <w:spacing w:after="240"/>
        <w:rPr>
          <w:sz w:val="24"/>
          <w:szCs w:val="24"/>
        </w:rPr>
      </w:pPr>
    </w:p>
    <w:p w14:paraId="23771B5D" w14:textId="77777777" w:rsidR="00324D1B" w:rsidRPr="00D5287C" w:rsidRDefault="00324D1B" w:rsidP="00D5287C">
      <w:pPr>
        <w:spacing w:after="240"/>
        <w:rPr>
          <w:sz w:val="24"/>
          <w:szCs w:val="24"/>
        </w:rPr>
      </w:pPr>
      <w:r w:rsidRPr="00D5287C">
        <w:rPr>
          <w:sz w:val="24"/>
          <w:szCs w:val="24"/>
        </w:rPr>
        <w:t xml:space="preserve">The comparative analysis of studies further suggests that certain dimensions of technology strategy, particularly digital manufacturing technologies and </w:t>
      </w:r>
      <w:proofErr w:type="spellStart"/>
      <w:r w:rsidRPr="00D5287C">
        <w:rPr>
          <w:sz w:val="24"/>
          <w:szCs w:val="24"/>
        </w:rPr>
        <w:t>microfactory</w:t>
      </w:r>
      <w:proofErr w:type="spellEnd"/>
      <w:r w:rsidRPr="00D5287C">
        <w:rPr>
          <w:sz w:val="24"/>
          <w:szCs w:val="24"/>
        </w:rPr>
        <w:t xml:space="preserve"> systems, are more strongly associated with environmental sustainability outcomes. These technologies enable real-time monitoring, </w:t>
      </w:r>
      <w:proofErr w:type="spellStart"/>
      <w:r w:rsidRPr="00D5287C">
        <w:rPr>
          <w:sz w:val="24"/>
          <w:szCs w:val="24"/>
        </w:rPr>
        <w:t>decentralised</w:t>
      </w:r>
      <w:proofErr w:type="spellEnd"/>
      <w:r w:rsidRPr="00D5287C">
        <w:rPr>
          <w:sz w:val="24"/>
          <w:szCs w:val="24"/>
        </w:rPr>
        <w:t xml:space="preserve"> production, and resource </w:t>
      </w:r>
      <w:proofErr w:type="spellStart"/>
      <w:r w:rsidRPr="00D5287C">
        <w:rPr>
          <w:sz w:val="24"/>
          <w:szCs w:val="24"/>
        </w:rPr>
        <w:t>optimisation</w:t>
      </w:r>
      <w:proofErr w:type="spellEnd"/>
      <w:r w:rsidRPr="00D5287C">
        <w:rPr>
          <w:sz w:val="24"/>
          <w:szCs w:val="24"/>
        </w:rPr>
        <w:t xml:space="preserve">, which collectively contribute to reduced environmental impact and improved operational efficiency (Javaid et al., 2022). Nevertheless, the literature also indicates that the effectiveness of these technologies is contingent upon </w:t>
      </w:r>
      <w:proofErr w:type="spellStart"/>
      <w:r w:rsidRPr="00D5287C">
        <w:rPr>
          <w:sz w:val="24"/>
          <w:szCs w:val="24"/>
        </w:rPr>
        <w:t>organisational</w:t>
      </w:r>
      <w:proofErr w:type="spellEnd"/>
      <w:r w:rsidRPr="00D5287C">
        <w:rPr>
          <w:sz w:val="24"/>
          <w:szCs w:val="24"/>
        </w:rPr>
        <w:t xml:space="preserve"> support and strategic alignment.</w:t>
      </w:r>
    </w:p>
    <w:p w14:paraId="24A7F0E6" w14:textId="77777777" w:rsidR="00324D1B" w:rsidRPr="00D5287C" w:rsidRDefault="00324D1B" w:rsidP="00D5287C">
      <w:pPr>
        <w:spacing w:after="240"/>
        <w:rPr>
          <w:sz w:val="24"/>
          <w:szCs w:val="24"/>
        </w:rPr>
      </w:pPr>
    </w:p>
    <w:p w14:paraId="2B617C3A" w14:textId="77777777" w:rsidR="00324D1B" w:rsidRPr="00D5287C" w:rsidRDefault="00324D1B" w:rsidP="00D5287C">
      <w:pPr>
        <w:spacing w:after="240"/>
        <w:rPr>
          <w:sz w:val="24"/>
          <w:szCs w:val="24"/>
        </w:rPr>
      </w:pPr>
      <w:r w:rsidRPr="00D5287C">
        <w:rPr>
          <w:sz w:val="24"/>
          <w:szCs w:val="24"/>
        </w:rPr>
        <w:t xml:space="preserve">In addition, leadership style emerges across the literature as a critical </w:t>
      </w:r>
      <w:proofErr w:type="spellStart"/>
      <w:r w:rsidRPr="00D5287C">
        <w:rPr>
          <w:sz w:val="24"/>
          <w:szCs w:val="24"/>
        </w:rPr>
        <w:t>organisational</w:t>
      </w:r>
      <w:proofErr w:type="spellEnd"/>
      <w:r w:rsidRPr="00D5287C">
        <w:rPr>
          <w:sz w:val="24"/>
          <w:szCs w:val="24"/>
        </w:rPr>
        <w:t xml:space="preserve"> factor influencing the successful implementation of technology strategy. Transformational leadership is consistently associated with fostering innovation culture, employee engagement, and </w:t>
      </w:r>
      <w:proofErr w:type="spellStart"/>
      <w:r w:rsidRPr="00D5287C">
        <w:rPr>
          <w:sz w:val="24"/>
          <w:szCs w:val="24"/>
        </w:rPr>
        <w:t>organisational</w:t>
      </w:r>
      <w:proofErr w:type="spellEnd"/>
      <w:r w:rsidRPr="00D5287C">
        <w:rPr>
          <w:sz w:val="24"/>
          <w:szCs w:val="24"/>
        </w:rPr>
        <w:t xml:space="preserve"> adaptability, while digital leadership supports the integration and </w:t>
      </w:r>
      <w:proofErr w:type="spellStart"/>
      <w:r w:rsidRPr="00D5287C">
        <w:rPr>
          <w:sz w:val="24"/>
          <w:szCs w:val="24"/>
        </w:rPr>
        <w:t>utilisation</w:t>
      </w:r>
      <w:proofErr w:type="spellEnd"/>
      <w:r w:rsidRPr="00D5287C">
        <w:rPr>
          <w:sz w:val="24"/>
          <w:szCs w:val="24"/>
        </w:rPr>
        <w:t xml:space="preserve"> of Industry 4.0 technologies within manufacturing systems (Vial, 2019). These leadership capabilities are repeatedly highlighted as essential enablers of digital transformation.</w:t>
      </w:r>
    </w:p>
    <w:p w14:paraId="4E3C879A" w14:textId="77777777" w:rsidR="00324D1B" w:rsidRPr="00D5287C" w:rsidRDefault="00324D1B" w:rsidP="00D5287C">
      <w:pPr>
        <w:spacing w:after="240"/>
        <w:rPr>
          <w:sz w:val="24"/>
          <w:szCs w:val="24"/>
        </w:rPr>
      </w:pPr>
    </w:p>
    <w:p w14:paraId="55E794CF" w14:textId="77777777" w:rsidR="00324D1B" w:rsidRPr="00D5287C" w:rsidRDefault="00324D1B" w:rsidP="00D5287C">
      <w:pPr>
        <w:spacing w:after="240"/>
        <w:rPr>
          <w:sz w:val="24"/>
          <w:szCs w:val="24"/>
        </w:rPr>
      </w:pPr>
      <w:r w:rsidRPr="00D5287C">
        <w:rPr>
          <w:sz w:val="24"/>
          <w:szCs w:val="24"/>
        </w:rPr>
        <w:t xml:space="preserve">Based on the synthesis, leadership style is conceptually proposed to mediate the relationship between technology strategy and sustainable manufacturing performance. This is because leadership facilitates alignment between technological capabilities and </w:t>
      </w:r>
      <w:proofErr w:type="spellStart"/>
      <w:r w:rsidRPr="00D5287C">
        <w:rPr>
          <w:sz w:val="24"/>
          <w:szCs w:val="24"/>
        </w:rPr>
        <w:t>organisational</w:t>
      </w:r>
      <w:proofErr w:type="spellEnd"/>
      <w:r w:rsidRPr="00D5287C">
        <w:rPr>
          <w:sz w:val="24"/>
          <w:szCs w:val="24"/>
        </w:rPr>
        <w:t xml:space="preserve"> objectives, ensuring that technological investments are effectively translated into sustainability outcomes. Without appropriate leadership support, the potential benefits of technology adoption may remain </w:t>
      </w:r>
      <w:proofErr w:type="spellStart"/>
      <w:r w:rsidRPr="00D5287C">
        <w:rPr>
          <w:sz w:val="24"/>
          <w:szCs w:val="24"/>
        </w:rPr>
        <w:t>underutilised</w:t>
      </w:r>
      <w:proofErr w:type="spellEnd"/>
      <w:r w:rsidRPr="00D5287C">
        <w:rPr>
          <w:sz w:val="24"/>
          <w:szCs w:val="24"/>
        </w:rPr>
        <w:t>.</w:t>
      </w:r>
    </w:p>
    <w:p w14:paraId="58D4928B" w14:textId="77777777" w:rsidR="00324D1B" w:rsidRPr="00D5287C" w:rsidRDefault="00324D1B" w:rsidP="00D5287C">
      <w:pPr>
        <w:spacing w:after="240"/>
        <w:rPr>
          <w:sz w:val="24"/>
          <w:szCs w:val="24"/>
        </w:rPr>
      </w:pPr>
    </w:p>
    <w:p w14:paraId="3044BDF0" w14:textId="77777777" w:rsidR="00324D1B" w:rsidRPr="00D5287C" w:rsidRDefault="00324D1B" w:rsidP="00D5287C">
      <w:pPr>
        <w:spacing w:after="240"/>
        <w:rPr>
          <w:sz w:val="24"/>
          <w:szCs w:val="24"/>
        </w:rPr>
      </w:pPr>
      <w:r w:rsidRPr="00D5287C">
        <w:rPr>
          <w:sz w:val="24"/>
          <w:szCs w:val="24"/>
        </w:rPr>
        <w:t>Overall, the findings from the systematic literature synthesis support the development of an integrated conceptual framework in which technology strategy influences sustainable manufacturing performance both directly and indirectly through leadership style as a mediating mechanism.</w:t>
      </w:r>
    </w:p>
    <w:p w14:paraId="55B4337F" w14:textId="77777777" w:rsidR="001E0406" w:rsidRPr="00D5287C" w:rsidRDefault="001E0406" w:rsidP="00D5287C">
      <w:pPr>
        <w:spacing w:after="240"/>
        <w:rPr>
          <w:sz w:val="24"/>
          <w:szCs w:val="24"/>
        </w:rPr>
      </w:pPr>
    </w:p>
    <w:p w14:paraId="7D286620" w14:textId="7D26FCB2" w:rsidR="001E0406" w:rsidRPr="00D5287C" w:rsidRDefault="001E0406" w:rsidP="00D5287C">
      <w:pPr>
        <w:pStyle w:val="Heading2"/>
        <w:numPr>
          <w:ilvl w:val="0"/>
          <w:numId w:val="4"/>
        </w:numPr>
        <w:spacing w:before="0" w:after="240"/>
        <w:rPr>
          <w:rFonts w:ascii="Times New Roman" w:hAnsi="Times New Roman" w:cs="Times New Roman"/>
          <w:szCs w:val="22"/>
        </w:rPr>
      </w:pPr>
      <w:r w:rsidRPr="00D5287C">
        <w:rPr>
          <w:rFonts w:ascii="Times New Roman" w:eastAsia="Times New Roman" w:hAnsi="Times New Roman" w:cs="Times New Roman"/>
          <w:color w:val="auto"/>
          <w:sz w:val="28"/>
          <w:szCs w:val="28"/>
        </w:rPr>
        <w:t xml:space="preserve">CONCLUSION </w:t>
      </w:r>
    </w:p>
    <w:p w14:paraId="11E2D569" w14:textId="77777777" w:rsidR="001E0406" w:rsidRPr="00D5287C" w:rsidRDefault="001E0406" w:rsidP="00D5287C">
      <w:pPr>
        <w:spacing w:after="240"/>
        <w:rPr>
          <w:lang w:val="en-GB"/>
        </w:rPr>
      </w:pPr>
    </w:p>
    <w:p w14:paraId="2328E709" w14:textId="77777777" w:rsidR="00F61DA9" w:rsidRPr="00D5287C" w:rsidRDefault="00F61DA9" w:rsidP="00D5287C">
      <w:pPr>
        <w:spacing w:after="240"/>
        <w:rPr>
          <w:sz w:val="24"/>
          <w:szCs w:val="24"/>
        </w:rPr>
      </w:pPr>
      <w:r w:rsidRPr="00D5287C">
        <w:rPr>
          <w:sz w:val="24"/>
          <w:szCs w:val="24"/>
        </w:rPr>
        <w:t xml:space="preserve">This conceptual paper develops an integrated framework linking technology strategy, leadership style, and sustainable manufacturing performance within the context of Industry 4.0. The study demonstrates that technology strategy alone is insufficient to achieve sustainable manufacturing outcomes, as its effectiveness depends on the presence of appropriate leadership capabilities. Leadership is therefore </w:t>
      </w:r>
      <w:proofErr w:type="spellStart"/>
      <w:r w:rsidRPr="00D5287C">
        <w:rPr>
          <w:sz w:val="24"/>
          <w:szCs w:val="24"/>
        </w:rPr>
        <w:t>conceptualised</w:t>
      </w:r>
      <w:proofErr w:type="spellEnd"/>
      <w:r w:rsidRPr="00D5287C">
        <w:rPr>
          <w:sz w:val="24"/>
          <w:szCs w:val="24"/>
        </w:rPr>
        <w:t xml:space="preserve"> as a critical mechanism that enables the alignment of technological initiatives with </w:t>
      </w:r>
      <w:proofErr w:type="spellStart"/>
      <w:r w:rsidRPr="00D5287C">
        <w:rPr>
          <w:sz w:val="24"/>
          <w:szCs w:val="24"/>
        </w:rPr>
        <w:t>organisational</w:t>
      </w:r>
      <w:proofErr w:type="spellEnd"/>
      <w:r w:rsidRPr="00D5287C">
        <w:rPr>
          <w:sz w:val="24"/>
          <w:szCs w:val="24"/>
        </w:rPr>
        <w:t xml:space="preserve"> strategies and sustainability objectives.</w:t>
      </w:r>
    </w:p>
    <w:p w14:paraId="4A655132" w14:textId="77777777" w:rsidR="00F61DA9" w:rsidRPr="00D5287C" w:rsidRDefault="00F61DA9" w:rsidP="00D5287C">
      <w:pPr>
        <w:spacing w:after="240"/>
        <w:rPr>
          <w:sz w:val="24"/>
          <w:szCs w:val="24"/>
        </w:rPr>
      </w:pPr>
    </w:p>
    <w:p w14:paraId="7333F74B" w14:textId="77777777" w:rsidR="00F61DA9" w:rsidRPr="00D5287C" w:rsidRDefault="00F61DA9" w:rsidP="00D5287C">
      <w:pPr>
        <w:spacing w:after="240"/>
        <w:rPr>
          <w:sz w:val="24"/>
          <w:szCs w:val="24"/>
        </w:rPr>
      </w:pPr>
      <w:r w:rsidRPr="00D5287C">
        <w:rPr>
          <w:sz w:val="24"/>
          <w:szCs w:val="24"/>
        </w:rPr>
        <w:t>By integrating the Resource-Based View (RBV), Technology–</w:t>
      </w:r>
      <w:proofErr w:type="spellStart"/>
      <w:r w:rsidRPr="00D5287C">
        <w:rPr>
          <w:sz w:val="24"/>
          <w:szCs w:val="24"/>
        </w:rPr>
        <w:t>Organisation</w:t>
      </w:r>
      <w:proofErr w:type="spellEnd"/>
      <w:r w:rsidRPr="00D5287C">
        <w:rPr>
          <w:sz w:val="24"/>
          <w:szCs w:val="24"/>
        </w:rPr>
        <w:t xml:space="preserve">–Environment (TOE) framework, and leadership theory, this study contributes to a more holistic understanding of how technological and </w:t>
      </w:r>
      <w:proofErr w:type="spellStart"/>
      <w:r w:rsidRPr="00D5287C">
        <w:rPr>
          <w:sz w:val="24"/>
          <w:szCs w:val="24"/>
        </w:rPr>
        <w:t>organisational</w:t>
      </w:r>
      <w:proofErr w:type="spellEnd"/>
      <w:r w:rsidRPr="00D5287C">
        <w:rPr>
          <w:sz w:val="24"/>
          <w:szCs w:val="24"/>
        </w:rPr>
        <w:t xml:space="preserve"> factors jointly influence sustainability performance. The proposed framework addresses the fragmentation in existing literature by consolidating multiple dimensions of technology strategy into a unified model with leadership as a mediating construct.</w:t>
      </w:r>
    </w:p>
    <w:p w14:paraId="2BA2ECD6" w14:textId="77777777" w:rsidR="00F61DA9" w:rsidRPr="00D5287C" w:rsidRDefault="00F61DA9" w:rsidP="00D5287C">
      <w:pPr>
        <w:spacing w:after="240"/>
        <w:rPr>
          <w:sz w:val="24"/>
          <w:szCs w:val="24"/>
        </w:rPr>
      </w:pPr>
      <w:r w:rsidRPr="00D5287C">
        <w:rPr>
          <w:sz w:val="24"/>
          <w:szCs w:val="24"/>
        </w:rPr>
        <w:lastRenderedPageBreak/>
        <w:t>From a practical perspective, the study provides guidance for manufacturing firms in leveraging Industry 4.0 technologies to achieve balanced economic, environmental, and social outcomes. The framework also offers strategic insights for policymakers in supporting digital transformation initiatives that promote sustainable industrial development. Future research is recommended to empirically validate the proposed relationships using quantitative methods such as structural equation modelling (SEM) to test the robustness of the conceptual framework.</w:t>
      </w:r>
    </w:p>
    <w:p w14:paraId="1AB4B0C8" w14:textId="77777777" w:rsidR="001E0406" w:rsidRPr="00D5287C" w:rsidRDefault="001E0406" w:rsidP="00D5287C">
      <w:pPr>
        <w:spacing w:after="240"/>
        <w:rPr>
          <w:b/>
          <w:sz w:val="22"/>
          <w:lang w:val="en-GB"/>
        </w:rPr>
      </w:pPr>
    </w:p>
    <w:p w14:paraId="20EEA0C8" w14:textId="77777777" w:rsidR="001E0406" w:rsidRPr="00D5287C" w:rsidRDefault="001E0406" w:rsidP="00D5287C">
      <w:pPr>
        <w:pStyle w:val="Heading2"/>
        <w:numPr>
          <w:ilvl w:val="0"/>
          <w:numId w:val="4"/>
        </w:numPr>
        <w:spacing w:before="0" w:after="240"/>
        <w:rPr>
          <w:rFonts w:ascii="Times New Roman" w:eastAsia="Times New Roman" w:hAnsi="Times New Roman" w:cs="Times New Roman"/>
          <w:color w:val="auto"/>
          <w:sz w:val="28"/>
          <w:szCs w:val="28"/>
        </w:rPr>
      </w:pPr>
      <w:r w:rsidRPr="00D5287C">
        <w:rPr>
          <w:rFonts w:ascii="Times New Roman" w:eastAsia="Times New Roman" w:hAnsi="Times New Roman" w:cs="Times New Roman"/>
          <w:color w:val="auto"/>
          <w:sz w:val="28"/>
          <w:szCs w:val="28"/>
        </w:rPr>
        <w:t xml:space="preserve">ACKNOWLEDGEMENTS </w:t>
      </w:r>
    </w:p>
    <w:p w14:paraId="7D9ACE00" w14:textId="77777777" w:rsidR="001E0406" w:rsidRPr="00D5287C" w:rsidRDefault="001E0406" w:rsidP="00D5287C">
      <w:pPr>
        <w:spacing w:after="240"/>
        <w:rPr>
          <w:b/>
          <w:sz w:val="22"/>
          <w:lang w:val="en-GB"/>
        </w:rPr>
      </w:pPr>
    </w:p>
    <w:p w14:paraId="1E97E97B" w14:textId="77777777" w:rsidR="00F61DA9" w:rsidRPr="00D5287C" w:rsidRDefault="00F61DA9" w:rsidP="00D5287C">
      <w:pPr>
        <w:spacing w:after="240"/>
        <w:rPr>
          <w:sz w:val="24"/>
          <w:szCs w:val="24"/>
        </w:rPr>
      </w:pPr>
      <w:r w:rsidRPr="00D5287C">
        <w:rPr>
          <w:sz w:val="24"/>
          <w:szCs w:val="24"/>
        </w:rPr>
        <w:t>The authors acknowledge Universiti Malaysia Perlis (</w:t>
      </w:r>
      <w:proofErr w:type="spellStart"/>
      <w:r w:rsidRPr="00D5287C">
        <w:rPr>
          <w:sz w:val="24"/>
          <w:szCs w:val="24"/>
        </w:rPr>
        <w:t>UniMAP</w:t>
      </w:r>
      <w:proofErr w:type="spellEnd"/>
      <w:r w:rsidRPr="00D5287C">
        <w:rPr>
          <w:sz w:val="24"/>
          <w:szCs w:val="24"/>
        </w:rPr>
        <w:t>) for academic support and research facilities. Appreciation is extended to all researchers whose works contributed to the development of this conceptual framework.</w:t>
      </w:r>
    </w:p>
    <w:p w14:paraId="50DC4449" w14:textId="77777777" w:rsidR="001A76E2" w:rsidRPr="001E0406" w:rsidRDefault="001A76E2" w:rsidP="001E0406">
      <w:pPr>
        <w:spacing w:after="0"/>
        <w:rPr>
          <w:rFonts w:ascii="Cambria" w:hAnsi="Cambria"/>
          <w:b/>
          <w:sz w:val="22"/>
          <w:lang w:val="en-GB"/>
        </w:rPr>
      </w:pPr>
    </w:p>
    <w:p w14:paraId="642A7D34" w14:textId="77777777" w:rsidR="001E0406" w:rsidRPr="001E0406" w:rsidRDefault="001E0406" w:rsidP="001E0406">
      <w:pPr>
        <w:spacing w:after="0"/>
        <w:rPr>
          <w:rFonts w:ascii="Cambria" w:hAnsi="Cambria"/>
          <w:b/>
          <w:sz w:val="22"/>
          <w:lang w:val="en-GB"/>
        </w:rPr>
      </w:pPr>
    </w:p>
    <w:p w14:paraId="4D1216B8" w14:textId="77777777" w:rsidR="001E0406" w:rsidRPr="00D5287C" w:rsidRDefault="001E0406" w:rsidP="00D5287C">
      <w:pPr>
        <w:pStyle w:val="Heading2"/>
        <w:spacing w:before="0" w:after="240"/>
        <w:rPr>
          <w:rFonts w:ascii="Times New Roman" w:eastAsia="Times New Roman" w:hAnsi="Times New Roman" w:cs="Times New Roman"/>
          <w:color w:val="auto"/>
          <w:sz w:val="28"/>
          <w:szCs w:val="28"/>
        </w:rPr>
      </w:pPr>
      <w:r w:rsidRPr="00D5287C">
        <w:rPr>
          <w:rFonts w:ascii="Times New Roman" w:eastAsia="Times New Roman" w:hAnsi="Times New Roman" w:cs="Times New Roman"/>
          <w:color w:val="auto"/>
          <w:sz w:val="28"/>
          <w:szCs w:val="28"/>
        </w:rPr>
        <w:t xml:space="preserve">REFERENCES </w:t>
      </w:r>
    </w:p>
    <w:p w14:paraId="49FE8116" w14:textId="77777777" w:rsidR="001E0406" w:rsidRPr="00F61DA9" w:rsidRDefault="001E0406" w:rsidP="001E0406">
      <w:pPr>
        <w:spacing w:after="0"/>
        <w:rPr>
          <w:b/>
          <w:sz w:val="24"/>
          <w:szCs w:val="24"/>
          <w:lang w:val="en-GB"/>
        </w:rPr>
      </w:pPr>
    </w:p>
    <w:p w14:paraId="2FA488EE" w14:textId="77777777" w:rsidR="00F61DA9" w:rsidRPr="00F61DA9" w:rsidRDefault="00F61DA9" w:rsidP="00F61DA9">
      <w:pPr>
        <w:pStyle w:val="NormalWeb"/>
        <w:spacing w:before="0" w:beforeAutospacing="0" w:after="0" w:afterAutospacing="0"/>
        <w:ind w:left="360" w:hanging="360"/>
        <w:jc w:val="both"/>
        <w:rPr>
          <w:color w:val="000000"/>
        </w:rPr>
      </w:pPr>
      <w:r w:rsidRPr="00F61DA9">
        <w:rPr>
          <w:color w:val="000000"/>
        </w:rPr>
        <w:t xml:space="preserve">Barney, J. (1991). Firm resources and sustained competitive advantage. Journal of Management, 17(1), 99–120. </w:t>
      </w:r>
      <w:hyperlink r:id="rId8" w:tgtFrame="_new" w:history="1">
        <w:r w:rsidRPr="00F61DA9">
          <w:rPr>
            <w:color w:val="000000"/>
          </w:rPr>
          <w:t>https://doi.org/10.1177/014920639101700108</w:t>
        </w:r>
      </w:hyperlink>
    </w:p>
    <w:p w14:paraId="5625EE3F" w14:textId="77777777" w:rsidR="00F61DA9" w:rsidRPr="00F61DA9" w:rsidRDefault="00F61DA9" w:rsidP="00F61DA9">
      <w:pPr>
        <w:pStyle w:val="NormalWeb"/>
        <w:spacing w:before="0" w:beforeAutospacing="0" w:after="0" w:afterAutospacing="0"/>
        <w:ind w:left="360" w:hanging="360"/>
        <w:jc w:val="both"/>
        <w:rPr>
          <w:color w:val="000000"/>
        </w:rPr>
      </w:pPr>
      <w:r w:rsidRPr="00F61DA9">
        <w:rPr>
          <w:color w:val="000000"/>
        </w:rPr>
        <w:t xml:space="preserve">Bai, C., &amp; Sarkis, J. (2020). A supply chain transparency and sustainability technology appraisal model. International Journal of Production Research, 58(7), 2141–2162. </w:t>
      </w:r>
      <w:hyperlink r:id="rId9" w:tgtFrame="_new" w:history="1">
        <w:r w:rsidRPr="00F61DA9">
          <w:rPr>
            <w:color w:val="000000"/>
          </w:rPr>
          <w:t>https://doi.org/10.1080/00207543.2019.1660829</w:t>
        </w:r>
      </w:hyperlink>
    </w:p>
    <w:p w14:paraId="0831D449" w14:textId="77777777" w:rsidR="00F61DA9" w:rsidRPr="00F61DA9" w:rsidRDefault="00F61DA9" w:rsidP="00F61DA9">
      <w:pPr>
        <w:pStyle w:val="NormalWeb"/>
        <w:spacing w:before="0" w:beforeAutospacing="0" w:after="0" w:afterAutospacing="0"/>
        <w:ind w:left="360" w:hanging="360"/>
        <w:jc w:val="both"/>
        <w:rPr>
          <w:color w:val="000000"/>
        </w:rPr>
      </w:pPr>
      <w:r w:rsidRPr="00F61DA9">
        <w:rPr>
          <w:color w:val="000000"/>
        </w:rPr>
        <w:t xml:space="preserve">Chatterjee, S., Rana, N. P., Tamilmani, K., &amp; Sharma, A. (2021). The effect of AI-based CRM on organisational performance. Technological Forecasting and Social Change, 168, 120783. </w:t>
      </w:r>
      <w:hyperlink r:id="rId10" w:tgtFrame="_new" w:history="1">
        <w:r w:rsidRPr="00F61DA9">
          <w:rPr>
            <w:color w:val="000000"/>
          </w:rPr>
          <w:t>https://doi.org/10.1016/j.techfore.2021.120783</w:t>
        </w:r>
      </w:hyperlink>
    </w:p>
    <w:p w14:paraId="7AA9AF7C" w14:textId="77777777" w:rsidR="00F61DA9" w:rsidRPr="00F61DA9" w:rsidRDefault="00F61DA9" w:rsidP="00F61DA9">
      <w:pPr>
        <w:pStyle w:val="NormalWeb"/>
        <w:spacing w:before="0" w:beforeAutospacing="0" w:after="0" w:afterAutospacing="0"/>
        <w:ind w:left="360" w:hanging="360"/>
        <w:jc w:val="both"/>
        <w:rPr>
          <w:color w:val="000000"/>
        </w:rPr>
      </w:pPr>
      <w:r w:rsidRPr="00F61DA9">
        <w:rPr>
          <w:color w:val="000000"/>
        </w:rPr>
        <w:t xml:space="preserve">Dubey, R., Gunasekaran, A., Childe, S. J., Papadopoulos, T., Luo, Z., &amp; </w:t>
      </w:r>
      <w:proofErr w:type="spellStart"/>
      <w:r w:rsidRPr="00F61DA9">
        <w:rPr>
          <w:color w:val="000000"/>
        </w:rPr>
        <w:t>Roubaud</w:t>
      </w:r>
      <w:proofErr w:type="spellEnd"/>
      <w:r w:rsidRPr="00F61DA9">
        <w:rPr>
          <w:color w:val="000000"/>
        </w:rPr>
        <w:t xml:space="preserve">, D. (2019). Can big data analytics improve sustainability? Technological Forecasting and Social Change, 144, 534–545. </w:t>
      </w:r>
      <w:hyperlink r:id="rId11" w:tgtFrame="_new" w:history="1">
        <w:r w:rsidRPr="00F61DA9">
          <w:rPr>
            <w:color w:val="000000"/>
          </w:rPr>
          <w:t>https://doi.org/10.1016/j.techfore.2017.06.020</w:t>
        </w:r>
      </w:hyperlink>
    </w:p>
    <w:p w14:paraId="5ABE2660" w14:textId="77777777" w:rsidR="00F61DA9" w:rsidRPr="00F61DA9" w:rsidRDefault="00F61DA9" w:rsidP="00F61DA9">
      <w:pPr>
        <w:pStyle w:val="NormalWeb"/>
        <w:spacing w:before="0" w:beforeAutospacing="0" w:after="0" w:afterAutospacing="0"/>
        <w:ind w:left="360" w:hanging="360"/>
        <w:jc w:val="both"/>
        <w:rPr>
          <w:color w:val="000000"/>
        </w:rPr>
      </w:pPr>
      <w:r w:rsidRPr="00F61DA9">
        <w:rPr>
          <w:color w:val="000000"/>
        </w:rPr>
        <w:t>Elkington, J. (1997). Cannibals with forks: The triple bottom line of 21st century business. Capstone.</w:t>
      </w:r>
    </w:p>
    <w:p w14:paraId="4BD3144E" w14:textId="77777777" w:rsidR="00F61DA9" w:rsidRPr="00F61DA9" w:rsidRDefault="00F61DA9" w:rsidP="00F61DA9">
      <w:pPr>
        <w:pStyle w:val="NormalWeb"/>
        <w:spacing w:before="0" w:beforeAutospacing="0" w:after="0" w:afterAutospacing="0"/>
        <w:ind w:left="360" w:hanging="360"/>
        <w:jc w:val="both"/>
        <w:rPr>
          <w:color w:val="000000"/>
        </w:rPr>
      </w:pPr>
      <w:r w:rsidRPr="00F61DA9">
        <w:rPr>
          <w:color w:val="000000"/>
        </w:rPr>
        <w:t xml:space="preserve">Frank, A. G., </w:t>
      </w:r>
      <w:proofErr w:type="spellStart"/>
      <w:r w:rsidRPr="00F61DA9">
        <w:rPr>
          <w:color w:val="000000"/>
        </w:rPr>
        <w:t>Dalenogare</w:t>
      </w:r>
      <w:proofErr w:type="spellEnd"/>
      <w:r w:rsidRPr="00F61DA9">
        <w:rPr>
          <w:color w:val="000000"/>
        </w:rPr>
        <w:t xml:space="preserve">, L. S., &amp; Ayala, N. F. (2019). Industry 4.0 technologies implementation patterns. International Journal of Production Economics, 210, 15–26. </w:t>
      </w:r>
      <w:hyperlink r:id="rId12" w:tgtFrame="_new" w:history="1">
        <w:r w:rsidRPr="00F61DA9">
          <w:rPr>
            <w:color w:val="000000"/>
          </w:rPr>
          <w:t>https://doi.org/10.1016/j.ijpe.2019.01.004</w:t>
        </w:r>
      </w:hyperlink>
    </w:p>
    <w:p w14:paraId="7BBECF98" w14:textId="77777777" w:rsidR="00F61DA9" w:rsidRPr="00F61DA9" w:rsidRDefault="00F61DA9" w:rsidP="00F61DA9">
      <w:pPr>
        <w:pStyle w:val="NormalWeb"/>
        <w:spacing w:before="0" w:beforeAutospacing="0" w:after="0" w:afterAutospacing="0"/>
        <w:ind w:left="360" w:hanging="360"/>
        <w:jc w:val="both"/>
        <w:rPr>
          <w:color w:val="000000"/>
        </w:rPr>
      </w:pPr>
      <w:proofErr w:type="spellStart"/>
      <w:r w:rsidRPr="00F61DA9">
        <w:rPr>
          <w:color w:val="000000"/>
        </w:rPr>
        <w:t>Ghobakhloo</w:t>
      </w:r>
      <w:proofErr w:type="spellEnd"/>
      <w:r w:rsidRPr="00F61DA9">
        <w:rPr>
          <w:color w:val="000000"/>
        </w:rPr>
        <w:t xml:space="preserve">, M. (2020). Industry 4.0, digitization, and sustainability: A systematic review. Journal of Cleaner Production, 252, 119869. </w:t>
      </w:r>
      <w:hyperlink r:id="rId13" w:tgtFrame="_new" w:history="1">
        <w:r w:rsidRPr="00F61DA9">
          <w:rPr>
            <w:color w:val="000000"/>
          </w:rPr>
          <w:t>https://doi.org/10.1016/j.jclepro.2019.119869</w:t>
        </w:r>
      </w:hyperlink>
    </w:p>
    <w:p w14:paraId="622F0390" w14:textId="77777777" w:rsidR="00F61DA9" w:rsidRPr="00F61DA9" w:rsidRDefault="00F61DA9" w:rsidP="00F61DA9">
      <w:pPr>
        <w:pStyle w:val="NormalWeb"/>
        <w:spacing w:before="0" w:beforeAutospacing="0" w:after="0" w:afterAutospacing="0"/>
        <w:ind w:left="360" w:hanging="360"/>
        <w:jc w:val="both"/>
        <w:rPr>
          <w:color w:val="000000"/>
        </w:rPr>
      </w:pPr>
      <w:r w:rsidRPr="00F61DA9">
        <w:rPr>
          <w:color w:val="000000"/>
        </w:rPr>
        <w:t>Javaid, M., Haleem, A., Singh, R. P., &amp; Suman, R. (2022). Industry 4.0 technologies and sustainable manufacturing. Journal of Cleaner Production, 334, 130205. https://doi.org/10.1016/j.jclepro.2022.130205</w:t>
      </w:r>
    </w:p>
    <w:p w14:paraId="40A88334" w14:textId="77777777" w:rsidR="00F61DA9" w:rsidRPr="00F61DA9" w:rsidRDefault="00F61DA9" w:rsidP="00F61DA9">
      <w:pPr>
        <w:pStyle w:val="NormalWeb"/>
        <w:spacing w:before="0" w:beforeAutospacing="0" w:after="0" w:afterAutospacing="0"/>
        <w:ind w:left="360" w:hanging="360"/>
        <w:jc w:val="both"/>
        <w:rPr>
          <w:color w:val="000000"/>
        </w:rPr>
      </w:pPr>
      <w:r w:rsidRPr="00F61DA9">
        <w:rPr>
          <w:color w:val="000000"/>
        </w:rPr>
        <w:t xml:space="preserve">Kamble, S. S., Gunasekaran, A., &amp; Sharma, R. (2020). Industry 4.0 and sustainability: A systematic review. International Journal of Production Economics, 229, 107739. </w:t>
      </w:r>
      <w:hyperlink r:id="rId14" w:tgtFrame="_new" w:history="1">
        <w:r w:rsidRPr="00F61DA9">
          <w:rPr>
            <w:color w:val="000000"/>
          </w:rPr>
          <w:t>https://doi.org/10.1016/j.ijpe.2020.107739</w:t>
        </w:r>
      </w:hyperlink>
    </w:p>
    <w:p w14:paraId="1BBE3E34" w14:textId="77777777" w:rsidR="00F61DA9" w:rsidRPr="00F61DA9" w:rsidRDefault="00F61DA9" w:rsidP="00F61DA9">
      <w:pPr>
        <w:pStyle w:val="NormalWeb"/>
        <w:spacing w:before="0" w:beforeAutospacing="0" w:after="0" w:afterAutospacing="0"/>
        <w:ind w:left="360" w:hanging="360"/>
        <w:jc w:val="both"/>
        <w:rPr>
          <w:color w:val="000000"/>
        </w:rPr>
      </w:pPr>
      <w:r w:rsidRPr="00F61DA9">
        <w:rPr>
          <w:color w:val="000000"/>
        </w:rPr>
        <w:t>Kane, G. C., Palmer, D., Phillips, A. N., Kiron, D., &amp; Buckley, N. (2015). Strategy, not technology, drives digital transformation. MIT Sloan Management Review.</w:t>
      </w:r>
    </w:p>
    <w:p w14:paraId="6C652256" w14:textId="77777777" w:rsidR="00F61DA9" w:rsidRPr="00F61DA9" w:rsidRDefault="00F61DA9" w:rsidP="00F61DA9">
      <w:pPr>
        <w:pStyle w:val="NormalWeb"/>
        <w:spacing w:before="0" w:beforeAutospacing="0" w:after="0" w:afterAutospacing="0"/>
        <w:ind w:left="360" w:hanging="360"/>
        <w:jc w:val="both"/>
        <w:rPr>
          <w:color w:val="000000"/>
        </w:rPr>
      </w:pPr>
      <w:r w:rsidRPr="00F61DA9">
        <w:rPr>
          <w:color w:val="000000"/>
        </w:rPr>
        <w:t xml:space="preserve">Kiel, D., Müller, J. M., Arnold, C., &amp; Voigt, K. I. (2017). Sustainable industrial value creation in Industry 4.0. International Journal of Innovation Management, 21(8), 1740015. </w:t>
      </w:r>
      <w:hyperlink r:id="rId15" w:tgtFrame="_new" w:history="1">
        <w:r w:rsidRPr="00F61DA9">
          <w:rPr>
            <w:color w:val="000000"/>
          </w:rPr>
          <w:t>https://doi.org/10.1142/S1363919617400151</w:t>
        </w:r>
      </w:hyperlink>
    </w:p>
    <w:p w14:paraId="7EE32816" w14:textId="77777777" w:rsidR="00F61DA9" w:rsidRPr="00F61DA9" w:rsidRDefault="00F61DA9" w:rsidP="00F61DA9">
      <w:pPr>
        <w:pStyle w:val="NormalWeb"/>
        <w:spacing w:before="0" w:beforeAutospacing="0" w:after="0" w:afterAutospacing="0"/>
        <w:ind w:left="360" w:hanging="360"/>
        <w:jc w:val="both"/>
        <w:rPr>
          <w:color w:val="000000"/>
        </w:rPr>
      </w:pPr>
      <w:r w:rsidRPr="00F61DA9">
        <w:rPr>
          <w:color w:val="000000"/>
        </w:rPr>
        <w:t xml:space="preserve">Lu, Y. (2017). Industry 4.0: A survey on technologies, applications and open research issues. Journal of Industrial Information Integration, 6, 1–10. </w:t>
      </w:r>
      <w:hyperlink r:id="rId16" w:tgtFrame="_new" w:history="1">
        <w:r w:rsidRPr="00F61DA9">
          <w:rPr>
            <w:color w:val="000000"/>
          </w:rPr>
          <w:t>https://doi.org/10.1016/j.jii.2017.04.005</w:t>
        </w:r>
      </w:hyperlink>
    </w:p>
    <w:p w14:paraId="6B85D517" w14:textId="77777777" w:rsidR="00F61DA9" w:rsidRPr="00F61DA9" w:rsidRDefault="00F61DA9" w:rsidP="00F61DA9">
      <w:pPr>
        <w:pStyle w:val="NormalWeb"/>
        <w:spacing w:before="0" w:beforeAutospacing="0" w:after="0" w:afterAutospacing="0"/>
        <w:ind w:left="360" w:hanging="360"/>
        <w:jc w:val="both"/>
        <w:rPr>
          <w:color w:val="000000"/>
        </w:rPr>
      </w:pPr>
      <w:r w:rsidRPr="00F61DA9">
        <w:rPr>
          <w:color w:val="000000"/>
        </w:rPr>
        <w:t xml:space="preserve">Luthra, S., Mangla, S. K., Xu, L., &amp; </w:t>
      </w:r>
      <w:proofErr w:type="spellStart"/>
      <w:r w:rsidRPr="00F61DA9">
        <w:rPr>
          <w:color w:val="000000"/>
        </w:rPr>
        <w:t>Diabat</w:t>
      </w:r>
      <w:proofErr w:type="spellEnd"/>
      <w:r w:rsidRPr="00F61DA9">
        <w:rPr>
          <w:color w:val="000000"/>
        </w:rPr>
        <w:t xml:space="preserve">, A. (2016). Industry 4.0 adoption barriers. International Journal of Production Economics, 192, 138–154. </w:t>
      </w:r>
      <w:hyperlink r:id="rId17" w:tgtFrame="_new" w:history="1">
        <w:r w:rsidRPr="00F61DA9">
          <w:rPr>
            <w:color w:val="000000"/>
          </w:rPr>
          <w:t>https://doi.org/10.1016/j.ijpe.2017.06.005</w:t>
        </w:r>
      </w:hyperlink>
    </w:p>
    <w:p w14:paraId="084CD25D" w14:textId="77777777" w:rsidR="00F61DA9" w:rsidRPr="00F61DA9" w:rsidRDefault="00F61DA9" w:rsidP="00F61DA9">
      <w:pPr>
        <w:pStyle w:val="NormalWeb"/>
        <w:spacing w:before="0" w:beforeAutospacing="0" w:after="0" w:afterAutospacing="0"/>
        <w:ind w:left="360" w:hanging="360"/>
        <w:jc w:val="both"/>
        <w:rPr>
          <w:color w:val="000000"/>
        </w:rPr>
      </w:pPr>
      <w:r w:rsidRPr="00F61DA9">
        <w:rPr>
          <w:color w:val="000000"/>
        </w:rPr>
        <w:t xml:space="preserve">Mittal, S., Khan, M. A., Romero, D., &amp; Wuest, T. (2018). Smart manufacturing systems: State of the art. Procedia CIRP, 72, 108–113. </w:t>
      </w:r>
      <w:hyperlink r:id="rId18" w:tgtFrame="_new" w:history="1">
        <w:r w:rsidRPr="00F61DA9">
          <w:rPr>
            <w:color w:val="000000"/>
          </w:rPr>
          <w:t>https://doi.org/10.1016/j.procir.2018.03.312</w:t>
        </w:r>
      </w:hyperlink>
    </w:p>
    <w:p w14:paraId="062EE8C5" w14:textId="77777777" w:rsidR="00F61DA9" w:rsidRPr="00F61DA9" w:rsidRDefault="00F61DA9" w:rsidP="00F61DA9">
      <w:pPr>
        <w:pStyle w:val="NormalWeb"/>
        <w:spacing w:before="0" w:beforeAutospacing="0" w:after="0" w:afterAutospacing="0"/>
        <w:ind w:left="360" w:hanging="360"/>
        <w:jc w:val="both"/>
        <w:rPr>
          <w:color w:val="000000"/>
        </w:rPr>
      </w:pPr>
      <w:r w:rsidRPr="00F61DA9">
        <w:rPr>
          <w:color w:val="000000"/>
        </w:rPr>
        <w:lastRenderedPageBreak/>
        <w:t xml:space="preserve">Müller, J. M., Kiel, D., &amp; Voigt, K. I. (2018). What drives Industry 4.0 adoption? Sustainability, 10(1), 247. </w:t>
      </w:r>
      <w:hyperlink r:id="rId19" w:tgtFrame="_new" w:history="1">
        <w:r w:rsidRPr="00F61DA9">
          <w:rPr>
            <w:color w:val="000000"/>
          </w:rPr>
          <w:t>https://doi.org/10.3390/su10010247</w:t>
        </w:r>
      </w:hyperlink>
    </w:p>
    <w:p w14:paraId="50A47CC5" w14:textId="77777777" w:rsidR="00F61DA9" w:rsidRPr="00F61DA9" w:rsidRDefault="00F61DA9" w:rsidP="00F61DA9">
      <w:pPr>
        <w:pStyle w:val="NormalWeb"/>
        <w:spacing w:before="0" w:beforeAutospacing="0" w:after="0" w:afterAutospacing="0"/>
        <w:ind w:left="360" w:hanging="360"/>
        <w:jc w:val="both"/>
        <w:rPr>
          <w:color w:val="000000"/>
        </w:rPr>
      </w:pPr>
      <w:r w:rsidRPr="00F61DA9">
        <w:rPr>
          <w:color w:val="000000"/>
        </w:rPr>
        <w:t xml:space="preserve">Nunes, M. L., Pereira, A. C., &amp; Alves, A. C. (2020). Smart product development approaches. Sustainability, 12(9), 3658. </w:t>
      </w:r>
      <w:hyperlink r:id="rId20" w:tgtFrame="_new" w:history="1">
        <w:r w:rsidRPr="00F61DA9">
          <w:rPr>
            <w:color w:val="000000"/>
          </w:rPr>
          <w:t>https://doi.org/10.3390/su12093658</w:t>
        </w:r>
      </w:hyperlink>
    </w:p>
    <w:p w14:paraId="51537C0A" w14:textId="77777777" w:rsidR="00F61DA9" w:rsidRPr="00F61DA9" w:rsidRDefault="00F61DA9" w:rsidP="00F61DA9">
      <w:pPr>
        <w:pStyle w:val="NormalWeb"/>
        <w:spacing w:before="0" w:beforeAutospacing="0" w:after="0" w:afterAutospacing="0"/>
        <w:ind w:left="360" w:hanging="360"/>
        <w:jc w:val="both"/>
        <w:rPr>
          <w:color w:val="000000"/>
        </w:rPr>
      </w:pPr>
      <w:r w:rsidRPr="00F61DA9">
        <w:rPr>
          <w:color w:val="000000"/>
        </w:rPr>
        <w:t>Porter, M. E., &amp; Kramer, M. R. (2011). Creating shared value. Harvard Business Review, 89(1–2), 62–77.</w:t>
      </w:r>
    </w:p>
    <w:p w14:paraId="0ACA69BF" w14:textId="77777777" w:rsidR="00F61DA9" w:rsidRPr="00F61DA9" w:rsidRDefault="00F61DA9" w:rsidP="00F61DA9">
      <w:pPr>
        <w:pStyle w:val="NormalWeb"/>
        <w:spacing w:before="0" w:beforeAutospacing="0" w:after="0" w:afterAutospacing="0"/>
        <w:ind w:left="360" w:hanging="360"/>
        <w:jc w:val="both"/>
        <w:rPr>
          <w:color w:val="000000"/>
        </w:rPr>
      </w:pPr>
      <w:r w:rsidRPr="00F61DA9">
        <w:rPr>
          <w:color w:val="000000"/>
        </w:rPr>
        <w:t xml:space="preserve">Stock, T., &amp; Seliger, G. (2016). Opportunities of sustainable manufacturing in Industry 4.0. Procedia CIRP, 40, 536–541. </w:t>
      </w:r>
      <w:hyperlink r:id="rId21" w:tgtFrame="_new" w:history="1">
        <w:r w:rsidRPr="00F61DA9">
          <w:rPr>
            <w:color w:val="000000"/>
          </w:rPr>
          <w:t>https://doi.org/10.1016/j.procir.2016.01.129</w:t>
        </w:r>
      </w:hyperlink>
    </w:p>
    <w:p w14:paraId="12477D43" w14:textId="77777777" w:rsidR="00F61DA9" w:rsidRPr="00F61DA9" w:rsidRDefault="00F61DA9" w:rsidP="00F61DA9">
      <w:pPr>
        <w:pStyle w:val="NormalWeb"/>
        <w:spacing w:before="0" w:beforeAutospacing="0" w:after="0" w:afterAutospacing="0"/>
        <w:ind w:left="360" w:hanging="360"/>
        <w:jc w:val="both"/>
        <w:rPr>
          <w:color w:val="000000"/>
        </w:rPr>
      </w:pPr>
      <w:r w:rsidRPr="00F61DA9">
        <w:rPr>
          <w:color w:val="000000"/>
        </w:rPr>
        <w:t>Tornatzky, L. G., &amp; Fleischer, M. (1990). The processes of technological innovation. Lexington Books.</w:t>
      </w:r>
    </w:p>
    <w:p w14:paraId="5B9D21A5" w14:textId="77777777" w:rsidR="00F61DA9" w:rsidRPr="00F61DA9" w:rsidRDefault="00F61DA9" w:rsidP="00F61DA9">
      <w:pPr>
        <w:pStyle w:val="NormalWeb"/>
        <w:spacing w:before="0" w:beforeAutospacing="0" w:after="0" w:afterAutospacing="0"/>
        <w:ind w:left="360" w:hanging="360"/>
        <w:jc w:val="both"/>
        <w:rPr>
          <w:color w:val="000000"/>
        </w:rPr>
      </w:pPr>
      <w:r w:rsidRPr="00F61DA9">
        <w:rPr>
          <w:color w:val="000000"/>
        </w:rPr>
        <w:t xml:space="preserve">Vial, G. (2019). Understanding digital transformation. Journal of Strategic Information Systems, 28(2), 118–144. </w:t>
      </w:r>
      <w:hyperlink r:id="rId22" w:tgtFrame="_new" w:history="1">
        <w:r w:rsidRPr="00F61DA9">
          <w:rPr>
            <w:color w:val="000000"/>
          </w:rPr>
          <w:t>https://doi.org/10.1016/j.jsis.2019.01.003</w:t>
        </w:r>
      </w:hyperlink>
    </w:p>
    <w:p w14:paraId="36209A86" w14:textId="77777777" w:rsidR="00F61DA9" w:rsidRPr="00F61DA9" w:rsidRDefault="00F61DA9" w:rsidP="00F61DA9">
      <w:pPr>
        <w:pStyle w:val="NormalWeb"/>
        <w:spacing w:before="0" w:beforeAutospacing="0" w:after="0" w:afterAutospacing="0"/>
        <w:ind w:left="360" w:hanging="360"/>
        <w:jc w:val="both"/>
        <w:rPr>
          <w:color w:val="000000"/>
        </w:rPr>
      </w:pPr>
      <w:r w:rsidRPr="00F61DA9">
        <w:rPr>
          <w:color w:val="000000"/>
        </w:rPr>
        <w:t xml:space="preserve">Wang, S., Wan, J., Li, D., &amp; Zhang, C. (2016). Implementing smart factory. Robotics and Computer-Integrated Manufacturing, 34, 83–91. </w:t>
      </w:r>
      <w:hyperlink r:id="rId23" w:tgtFrame="_new" w:history="1">
        <w:r w:rsidRPr="00F61DA9">
          <w:rPr>
            <w:color w:val="000000"/>
          </w:rPr>
          <w:t>https://doi.org/10.1016/j.rcim.2015.12.001</w:t>
        </w:r>
      </w:hyperlink>
    </w:p>
    <w:p w14:paraId="1BD4C985" w14:textId="77777777" w:rsidR="00F61DA9" w:rsidRPr="00F61DA9" w:rsidRDefault="00F61DA9" w:rsidP="00F61DA9">
      <w:pPr>
        <w:pStyle w:val="NormalWeb"/>
        <w:spacing w:before="0" w:beforeAutospacing="0" w:after="0" w:afterAutospacing="0"/>
        <w:ind w:left="360" w:hanging="360"/>
        <w:jc w:val="both"/>
        <w:rPr>
          <w:color w:val="000000"/>
        </w:rPr>
      </w:pPr>
      <w:r w:rsidRPr="00F61DA9">
        <w:rPr>
          <w:color w:val="000000"/>
        </w:rPr>
        <w:t xml:space="preserve">Xu, L. D., Xu, E. L., &amp; Li, L. (2018). Industry 4.0: State of the art. International Journal of Production Research, 56(8), 2941–2962. </w:t>
      </w:r>
      <w:hyperlink r:id="rId24" w:tgtFrame="_new" w:history="1">
        <w:r w:rsidRPr="00F61DA9">
          <w:rPr>
            <w:color w:val="000000"/>
          </w:rPr>
          <w:t>https://doi.org/10.1080/00207543.2018.1444806</w:t>
        </w:r>
      </w:hyperlink>
    </w:p>
    <w:p w14:paraId="47132A20" w14:textId="7C0B7AA6" w:rsidR="00F61DA9" w:rsidRPr="00F61DA9" w:rsidRDefault="00F61DA9" w:rsidP="00F61DA9">
      <w:pPr>
        <w:pStyle w:val="NormalWeb"/>
        <w:spacing w:before="0" w:beforeAutospacing="0" w:after="0" w:afterAutospacing="0"/>
        <w:ind w:left="360" w:hanging="360"/>
        <w:jc w:val="both"/>
        <w:rPr>
          <w:color w:val="000000"/>
        </w:rPr>
      </w:pPr>
      <w:r w:rsidRPr="00F61DA9">
        <w:rPr>
          <w:color w:val="000000"/>
        </w:rPr>
        <w:t xml:space="preserve">Xu, X., Lu, Y., Vogel-Heuser, B., &amp; Wang, L. (2021). Industry 4.0 and Industry 5.0—Inception, conception and perception. Journal of Manufacturing Systems, 61, 530–535. </w:t>
      </w:r>
      <w:hyperlink r:id="rId25" w:tgtFrame="_new" w:history="1">
        <w:r w:rsidRPr="00F61DA9">
          <w:rPr>
            <w:color w:val="000000"/>
          </w:rPr>
          <w:t>https://doi.org/10.1016/j.jmsy.2021.10.006</w:t>
        </w:r>
      </w:hyperlink>
    </w:p>
    <w:p w14:paraId="4D43A7B1" w14:textId="77777777" w:rsidR="00F61DA9" w:rsidRPr="00F61DA9" w:rsidRDefault="00F61DA9" w:rsidP="00F61DA9">
      <w:pPr>
        <w:pStyle w:val="NormalWeb"/>
        <w:spacing w:before="0" w:beforeAutospacing="0" w:after="0" w:afterAutospacing="0"/>
        <w:ind w:left="360" w:hanging="360"/>
        <w:jc w:val="both"/>
        <w:rPr>
          <w:color w:val="000000"/>
        </w:rPr>
      </w:pPr>
      <w:r w:rsidRPr="00F61DA9">
        <w:rPr>
          <w:color w:val="000000"/>
        </w:rPr>
        <w:t>Yin, Y., Stecke, K. E., &amp; Li, D. (2018). The evolution of production systems in Industry 4.0. International Journal of Production Research, 56(1–2), 1–13. https://doi.org/10.1080/00207543.2017.1351640</w:t>
      </w:r>
    </w:p>
    <w:p w14:paraId="378509DE" w14:textId="77777777" w:rsidR="00F61DA9" w:rsidRPr="00F61DA9" w:rsidRDefault="00F61DA9" w:rsidP="00F61DA9">
      <w:pPr>
        <w:pStyle w:val="NormalWeb"/>
        <w:spacing w:before="0" w:beforeAutospacing="0" w:after="0" w:afterAutospacing="0"/>
        <w:ind w:left="360" w:hanging="360"/>
        <w:jc w:val="both"/>
        <w:rPr>
          <w:color w:val="000000"/>
        </w:rPr>
      </w:pPr>
      <w:r w:rsidRPr="00F61DA9">
        <w:rPr>
          <w:color w:val="000000"/>
        </w:rPr>
        <w:t>Zhou, K., Liu, T., &amp; Zhou, L. (2015). Industry 4.0: Concept and architecture. IEEE International Conference on Industrial Informatics.</w:t>
      </w:r>
    </w:p>
    <w:p w14:paraId="34D428A7" w14:textId="77777777" w:rsidR="001E0406" w:rsidRDefault="001E0406"/>
    <w:sectPr w:rsidR="001E0406" w:rsidSect="000A6367">
      <w:footerReference w:type="default" r:id="rId26"/>
      <w:headerReference w:type="first" r:id="rId27"/>
      <w:pgSz w:w="11906" w:h="16838"/>
      <w:pgMar w:top="1094" w:right="605" w:bottom="605" w:left="605" w:header="346" w:footer="40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496F2" w14:textId="77777777" w:rsidR="00FA473C" w:rsidRDefault="00FA473C" w:rsidP="00050ECA">
      <w:pPr>
        <w:spacing w:after="0"/>
      </w:pPr>
      <w:r>
        <w:separator/>
      </w:r>
    </w:p>
  </w:endnote>
  <w:endnote w:type="continuationSeparator" w:id="0">
    <w:p w14:paraId="5361A410" w14:textId="77777777" w:rsidR="00FA473C" w:rsidRDefault="00FA473C" w:rsidP="00050E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w:altName w:val="Times New Roman"/>
    <w:panose1 w:val="00000000000000000000"/>
    <w:charset w:val="4D"/>
    <w:family w:val="roman"/>
    <w:notTrueType/>
    <w:pitch w:val="default"/>
    <w:sig w:usb0="84A67A8C" w:usb1="1E248F85" w:usb2="38B00E00" w:usb3="00404000" w:csb0="C0FAFFB7" w:csb1="E803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470997"/>
      <w:docPartObj>
        <w:docPartGallery w:val="Page Numbers (Bottom of Page)"/>
        <w:docPartUnique/>
      </w:docPartObj>
    </w:sdtPr>
    <w:sdtEndPr>
      <w:rPr>
        <w:noProof/>
      </w:rPr>
    </w:sdtEndPr>
    <w:sdtContent>
      <w:p w14:paraId="5D590AC2" w14:textId="4B33A5E7" w:rsidR="000A6367" w:rsidRDefault="000A63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BD39CF" w14:textId="2D5F764B" w:rsidR="000A6367" w:rsidRDefault="000A6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3191A" w14:textId="77777777" w:rsidR="00FA473C" w:rsidRDefault="00FA473C" w:rsidP="00050ECA">
      <w:pPr>
        <w:spacing w:after="0"/>
      </w:pPr>
      <w:r>
        <w:separator/>
      </w:r>
    </w:p>
  </w:footnote>
  <w:footnote w:type="continuationSeparator" w:id="0">
    <w:p w14:paraId="1ED889F6" w14:textId="77777777" w:rsidR="00FA473C" w:rsidRDefault="00FA473C" w:rsidP="00050E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F5E1" w14:textId="77777777" w:rsidR="00924412" w:rsidRPr="008D5BBF" w:rsidRDefault="00924412" w:rsidP="00924412">
    <w:pPr>
      <w:pStyle w:val="Header"/>
    </w:pPr>
  </w:p>
  <w:p w14:paraId="10C79C73" w14:textId="77777777" w:rsidR="00924412" w:rsidRDefault="00924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C41B7"/>
    <w:multiLevelType w:val="hybridMultilevel"/>
    <w:tmpl w:val="7402F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05C60"/>
    <w:multiLevelType w:val="hybridMultilevel"/>
    <w:tmpl w:val="2A624268"/>
    <w:lvl w:ilvl="0" w:tplc="0409000F">
      <w:start w:val="1"/>
      <w:numFmt w:val="decimal"/>
      <w:lvlText w:val="%1."/>
      <w:lvlJc w:val="left"/>
      <w:pPr>
        <w:ind w:left="894" w:hanging="360"/>
      </w:pPr>
    </w:lvl>
    <w:lvl w:ilvl="1" w:tplc="04090019" w:tentative="1">
      <w:start w:val="1"/>
      <w:numFmt w:val="lowerLetter"/>
      <w:lvlText w:val="%2."/>
      <w:lvlJc w:val="left"/>
      <w:pPr>
        <w:ind w:left="1614" w:hanging="360"/>
      </w:pPr>
    </w:lvl>
    <w:lvl w:ilvl="2" w:tplc="0409001B" w:tentative="1">
      <w:start w:val="1"/>
      <w:numFmt w:val="lowerRoman"/>
      <w:lvlText w:val="%3."/>
      <w:lvlJc w:val="right"/>
      <w:pPr>
        <w:ind w:left="2334" w:hanging="180"/>
      </w:pPr>
    </w:lvl>
    <w:lvl w:ilvl="3" w:tplc="0409000F" w:tentative="1">
      <w:start w:val="1"/>
      <w:numFmt w:val="decimal"/>
      <w:lvlText w:val="%4."/>
      <w:lvlJc w:val="left"/>
      <w:pPr>
        <w:ind w:left="3054" w:hanging="360"/>
      </w:pPr>
    </w:lvl>
    <w:lvl w:ilvl="4" w:tplc="04090019" w:tentative="1">
      <w:start w:val="1"/>
      <w:numFmt w:val="lowerLetter"/>
      <w:lvlText w:val="%5."/>
      <w:lvlJc w:val="left"/>
      <w:pPr>
        <w:ind w:left="3774" w:hanging="360"/>
      </w:pPr>
    </w:lvl>
    <w:lvl w:ilvl="5" w:tplc="0409001B" w:tentative="1">
      <w:start w:val="1"/>
      <w:numFmt w:val="lowerRoman"/>
      <w:lvlText w:val="%6."/>
      <w:lvlJc w:val="right"/>
      <w:pPr>
        <w:ind w:left="4494" w:hanging="180"/>
      </w:pPr>
    </w:lvl>
    <w:lvl w:ilvl="6" w:tplc="0409000F" w:tentative="1">
      <w:start w:val="1"/>
      <w:numFmt w:val="decimal"/>
      <w:lvlText w:val="%7."/>
      <w:lvlJc w:val="left"/>
      <w:pPr>
        <w:ind w:left="5214" w:hanging="360"/>
      </w:pPr>
    </w:lvl>
    <w:lvl w:ilvl="7" w:tplc="04090019" w:tentative="1">
      <w:start w:val="1"/>
      <w:numFmt w:val="lowerLetter"/>
      <w:lvlText w:val="%8."/>
      <w:lvlJc w:val="left"/>
      <w:pPr>
        <w:ind w:left="5934" w:hanging="360"/>
      </w:pPr>
    </w:lvl>
    <w:lvl w:ilvl="8" w:tplc="0409001B" w:tentative="1">
      <w:start w:val="1"/>
      <w:numFmt w:val="lowerRoman"/>
      <w:lvlText w:val="%9."/>
      <w:lvlJc w:val="right"/>
      <w:pPr>
        <w:ind w:left="6654" w:hanging="180"/>
      </w:pPr>
    </w:lvl>
  </w:abstractNum>
  <w:abstractNum w:abstractNumId="2" w15:restartNumberingAfterBreak="0">
    <w:nsid w:val="1A893AF2"/>
    <w:multiLevelType w:val="hybridMultilevel"/>
    <w:tmpl w:val="042A196A"/>
    <w:lvl w:ilvl="0" w:tplc="4B1C05B2">
      <w:start w:val="1"/>
      <w:numFmt w:val="decimal"/>
      <w:lvlText w:val="2.%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712B98"/>
    <w:multiLevelType w:val="hybridMultilevel"/>
    <w:tmpl w:val="2A1496DC"/>
    <w:lvl w:ilvl="0" w:tplc="294EFAC0">
      <w:start w:val="1"/>
      <w:numFmt w:val="upperLetter"/>
      <w:lvlText w:val="%1."/>
      <w:lvlJc w:val="left"/>
      <w:pPr>
        <w:ind w:left="720" w:hanging="360"/>
      </w:pPr>
      <w:rPr>
        <w:rFonts w:ascii="Cambria" w:hAnsi="Cambria" w:hint="default"/>
        <w:i/>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1ED31EE"/>
    <w:multiLevelType w:val="multilevel"/>
    <w:tmpl w:val="019AB460"/>
    <w:lvl w:ilvl="0">
      <w:start w:val="1"/>
      <w:numFmt w:val="decimal"/>
      <w:lvlText w:val="%1."/>
      <w:lvlJc w:val="left"/>
      <w:pPr>
        <w:ind w:left="360" w:hanging="360"/>
      </w:pPr>
      <w:rPr>
        <w:rFonts w:hint="default"/>
        <w:b/>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4A1D6FFA"/>
    <w:multiLevelType w:val="hybridMultilevel"/>
    <w:tmpl w:val="2A1A7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A310FD1"/>
    <w:multiLevelType w:val="hybridMultilevel"/>
    <w:tmpl w:val="5B983CAC"/>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902665F"/>
    <w:multiLevelType w:val="hybridMultilevel"/>
    <w:tmpl w:val="A0F689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2146506">
    <w:abstractNumId w:val="1"/>
  </w:num>
  <w:num w:numId="2" w16cid:durableId="2033142105">
    <w:abstractNumId w:val="7"/>
  </w:num>
  <w:num w:numId="3" w16cid:durableId="1422992118">
    <w:abstractNumId w:val="5"/>
  </w:num>
  <w:num w:numId="4" w16cid:durableId="538976172">
    <w:abstractNumId w:val="4"/>
  </w:num>
  <w:num w:numId="5" w16cid:durableId="461460121">
    <w:abstractNumId w:val="2"/>
  </w:num>
  <w:num w:numId="6" w16cid:durableId="1787654577">
    <w:abstractNumId w:val="6"/>
  </w:num>
  <w:num w:numId="7" w16cid:durableId="1747871941">
    <w:abstractNumId w:val="3"/>
  </w:num>
  <w:num w:numId="8" w16cid:durableId="303052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06"/>
    <w:rsid w:val="00036658"/>
    <w:rsid w:val="00050ECA"/>
    <w:rsid w:val="00066531"/>
    <w:rsid w:val="000A6367"/>
    <w:rsid w:val="000A729E"/>
    <w:rsid w:val="000B7E95"/>
    <w:rsid w:val="000C0680"/>
    <w:rsid w:val="001068C9"/>
    <w:rsid w:val="00110DD1"/>
    <w:rsid w:val="00112B21"/>
    <w:rsid w:val="00116F5D"/>
    <w:rsid w:val="00124E4E"/>
    <w:rsid w:val="001423A6"/>
    <w:rsid w:val="00155EFB"/>
    <w:rsid w:val="00174F1A"/>
    <w:rsid w:val="0019251F"/>
    <w:rsid w:val="001A528F"/>
    <w:rsid w:val="001A76E2"/>
    <w:rsid w:val="001C600D"/>
    <w:rsid w:val="001C6F68"/>
    <w:rsid w:val="001D6C9F"/>
    <w:rsid w:val="001E0406"/>
    <w:rsid w:val="002430B7"/>
    <w:rsid w:val="00250111"/>
    <w:rsid w:val="00253727"/>
    <w:rsid w:val="00276A85"/>
    <w:rsid w:val="00291156"/>
    <w:rsid w:val="002A0113"/>
    <w:rsid w:val="002A72D8"/>
    <w:rsid w:val="002E2B51"/>
    <w:rsid w:val="002F2D73"/>
    <w:rsid w:val="00304707"/>
    <w:rsid w:val="00317DB2"/>
    <w:rsid w:val="00324D1B"/>
    <w:rsid w:val="00371F6C"/>
    <w:rsid w:val="003A20C6"/>
    <w:rsid w:val="003B50D8"/>
    <w:rsid w:val="003D214D"/>
    <w:rsid w:val="003F432B"/>
    <w:rsid w:val="003F6E28"/>
    <w:rsid w:val="00404301"/>
    <w:rsid w:val="00410A2F"/>
    <w:rsid w:val="00434435"/>
    <w:rsid w:val="00434FAB"/>
    <w:rsid w:val="0043506D"/>
    <w:rsid w:val="00452036"/>
    <w:rsid w:val="00452D14"/>
    <w:rsid w:val="004744AD"/>
    <w:rsid w:val="004B4805"/>
    <w:rsid w:val="00573F7D"/>
    <w:rsid w:val="005A1B22"/>
    <w:rsid w:val="005D6609"/>
    <w:rsid w:val="005E3E32"/>
    <w:rsid w:val="00620A8C"/>
    <w:rsid w:val="00675DDF"/>
    <w:rsid w:val="00693CF7"/>
    <w:rsid w:val="006A18AE"/>
    <w:rsid w:val="006D0EE6"/>
    <w:rsid w:val="006E2148"/>
    <w:rsid w:val="006F5591"/>
    <w:rsid w:val="00710767"/>
    <w:rsid w:val="00720633"/>
    <w:rsid w:val="00726C68"/>
    <w:rsid w:val="00731945"/>
    <w:rsid w:val="00737A86"/>
    <w:rsid w:val="00762251"/>
    <w:rsid w:val="00783060"/>
    <w:rsid w:val="00783BF2"/>
    <w:rsid w:val="007C2EA3"/>
    <w:rsid w:val="00824BF7"/>
    <w:rsid w:val="00825DA6"/>
    <w:rsid w:val="0083376B"/>
    <w:rsid w:val="00836AA2"/>
    <w:rsid w:val="00873583"/>
    <w:rsid w:val="0087708D"/>
    <w:rsid w:val="0088214B"/>
    <w:rsid w:val="00893B88"/>
    <w:rsid w:val="008F5B6C"/>
    <w:rsid w:val="00924412"/>
    <w:rsid w:val="00964977"/>
    <w:rsid w:val="009714C5"/>
    <w:rsid w:val="009858C7"/>
    <w:rsid w:val="0099209B"/>
    <w:rsid w:val="00992CDC"/>
    <w:rsid w:val="009B64B1"/>
    <w:rsid w:val="009C2AE2"/>
    <w:rsid w:val="009D6393"/>
    <w:rsid w:val="009D63D2"/>
    <w:rsid w:val="009E592F"/>
    <w:rsid w:val="00A06B55"/>
    <w:rsid w:val="00A269FA"/>
    <w:rsid w:val="00A42794"/>
    <w:rsid w:val="00A76DB2"/>
    <w:rsid w:val="00A85FAC"/>
    <w:rsid w:val="00A902AC"/>
    <w:rsid w:val="00AA7688"/>
    <w:rsid w:val="00AE34CD"/>
    <w:rsid w:val="00AF176A"/>
    <w:rsid w:val="00B05447"/>
    <w:rsid w:val="00B1292A"/>
    <w:rsid w:val="00B308CA"/>
    <w:rsid w:val="00B31BDC"/>
    <w:rsid w:val="00B35E9A"/>
    <w:rsid w:val="00B65AC7"/>
    <w:rsid w:val="00B74E1A"/>
    <w:rsid w:val="00B855BC"/>
    <w:rsid w:val="00B856FA"/>
    <w:rsid w:val="00B97422"/>
    <w:rsid w:val="00BC6593"/>
    <w:rsid w:val="00C00DC5"/>
    <w:rsid w:val="00C9218F"/>
    <w:rsid w:val="00CC7364"/>
    <w:rsid w:val="00CE4614"/>
    <w:rsid w:val="00CE4734"/>
    <w:rsid w:val="00D17DD3"/>
    <w:rsid w:val="00D245D6"/>
    <w:rsid w:val="00D5287C"/>
    <w:rsid w:val="00DD2B83"/>
    <w:rsid w:val="00DD6020"/>
    <w:rsid w:val="00DE02A4"/>
    <w:rsid w:val="00DF0CCC"/>
    <w:rsid w:val="00E250E8"/>
    <w:rsid w:val="00E66CA9"/>
    <w:rsid w:val="00E8737C"/>
    <w:rsid w:val="00E9050B"/>
    <w:rsid w:val="00E96551"/>
    <w:rsid w:val="00EE3079"/>
    <w:rsid w:val="00EE5C4B"/>
    <w:rsid w:val="00F24DE1"/>
    <w:rsid w:val="00F61DA9"/>
    <w:rsid w:val="00FA473C"/>
    <w:rsid w:val="00FC12E5"/>
    <w:rsid w:val="00FE789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864C1"/>
  <w15:chartTrackingRefBased/>
  <w15:docId w15:val="{F5C023C2-8ADF-4244-A49F-CF201329D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406"/>
    <w:pPr>
      <w:spacing w:after="120" w:line="240" w:lineRule="auto"/>
      <w:jc w:val="both"/>
    </w:pPr>
    <w:rPr>
      <w:rFonts w:ascii="Times New Roman" w:eastAsia="Times New Roman" w:hAnsi="Times New Roman" w:cs="Times New Roman"/>
      <w:sz w:val="20"/>
      <w:lang w:val="en-US" w:bidi="en-US"/>
    </w:rPr>
  </w:style>
  <w:style w:type="paragraph" w:styleId="Heading1">
    <w:name w:val="heading 1"/>
    <w:basedOn w:val="Normal"/>
    <w:next w:val="Normal"/>
    <w:link w:val="Heading1Char"/>
    <w:uiPriority w:val="9"/>
    <w:qFormat/>
    <w:rsid w:val="001E0406"/>
    <w:pPr>
      <w:keepNext/>
      <w:keepLines/>
      <w:spacing w:before="240"/>
      <w:jc w:val="left"/>
      <w:outlineLvl w:val="0"/>
    </w:pPr>
    <w:rPr>
      <w:b/>
      <w:bCs/>
      <w:sz w:val="22"/>
      <w:szCs w:val="28"/>
      <w:lang w:val="en-GB"/>
    </w:rPr>
  </w:style>
  <w:style w:type="paragraph" w:styleId="Heading2">
    <w:name w:val="heading 2"/>
    <w:basedOn w:val="Normal"/>
    <w:next w:val="Normal"/>
    <w:link w:val="Heading2Char"/>
    <w:uiPriority w:val="9"/>
    <w:unhideWhenUsed/>
    <w:qFormat/>
    <w:rsid w:val="001E04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1E0406"/>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0406"/>
    <w:rPr>
      <w:color w:val="0000FF"/>
      <w:u w:val="single"/>
    </w:rPr>
  </w:style>
  <w:style w:type="paragraph" w:styleId="ListParagraph">
    <w:name w:val="List Paragraph"/>
    <w:basedOn w:val="Normal"/>
    <w:uiPriority w:val="34"/>
    <w:qFormat/>
    <w:rsid w:val="001E0406"/>
    <w:pPr>
      <w:ind w:left="720"/>
      <w:contextualSpacing/>
    </w:pPr>
  </w:style>
  <w:style w:type="paragraph" w:customStyle="1" w:styleId="TFReferencesSection">
    <w:name w:val="TF_References_Section"/>
    <w:basedOn w:val="Normal"/>
    <w:rsid w:val="001E0406"/>
    <w:pPr>
      <w:spacing w:after="0" w:line="150" w:lineRule="exact"/>
      <w:ind w:left="346" w:hanging="346"/>
    </w:pPr>
    <w:rPr>
      <w:rFonts w:ascii="Times" w:hAnsi="Times"/>
      <w:sz w:val="15"/>
      <w:szCs w:val="20"/>
      <w:lang w:bidi="ar-SA"/>
    </w:rPr>
  </w:style>
  <w:style w:type="character" w:customStyle="1" w:styleId="Heading1Char">
    <w:name w:val="Heading 1 Char"/>
    <w:basedOn w:val="DefaultParagraphFont"/>
    <w:link w:val="Heading1"/>
    <w:uiPriority w:val="9"/>
    <w:rsid w:val="001E0406"/>
    <w:rPr>
      <w:rFonts w:ascii="Times New Roman" w:eastAsia="Times New Roman" w:hAnsi="Times New Roman" w:cs="Times New Roman"/>
      <w:b/>
      <w:bCs/>
      <w:szCs w:val="28"/>
      <w:lang w:val="en-GB" w:bidi="en-US"/>
    </w:rPr>
  </w:style>
  <w:style w:type="character" w:customStyle="1" w:styleId="Heading2Char">
    <w:name w:val="Heading 2 Char"/>
    <w:basedOn w:val="DefaultParagraphFont"/>
    <w:link w:val="Heading2"/>
    <w:uiPriority w:val="9"/>
    <w:rsid w:val="001E0406"/>
    <w:rPr>
      <w:rFonts w:asciiTheme="majorHAnsi" w:eastAsiaTheme="majorEastAsia" w:hAnsiTheme="majorHAnsi" w:cstheme="majorBidi"/>
      <w:b/>
      <w:bCs/>
      <w:color w:val="4472C4" w:themeColor="accent1"/>
      <w:sz w:val="26"/>
      <w:szCs w:val="26"/>
      <w:lang w:val="en-US" w:bidi="en-US"/>
    </w:rPr>
  </w:style>
  <w:style w:type="character" w:customStyle="1" w:styleId="Heading3Char">
    <w:name w:val="Heading 3 Char"/>
    <w:basedOn w:val="DefaultParagraphFont"/>
    <w:link w:val="Heading3"/>
    <w:uiPriority w:val="9"/>
    <w:rsid w:val="001E0406"/>
    <w:rPr>
      <w:rFonts w:asciiTheme="majorHAnsi" w:eastAsiaTheme="majorEastAsia" w:hAnsiTheme="majorHAnsi" w:cstheme="majorBidi"/>
      <w:b/>
      <w:bCs/>
      <w:color w:val="4472C4" w:themeColor="accent1"/>
      <w:sz w:val="20"/>
      <w:lang w:val="en-US" w:bidi="en-US"/>
    </w:rPr>
  </w:style>
  <w:style w:type="paragraph" w:customStyle="1" w:styleId="IEEEAffiliation">
    <w:name w:val="IEEE Affiliation"/>
    <w:basedOn w:val="Normal"/>
    <w:rsid w:val="001E0406"/>
    <w:pPr>
      <w:spacing w:after="0"/>
      <w:jc w:val="center"/>
    </w:pPr>
    <w:rPr>
      <w:szCs w:val="20"/>
      <w:lang w:bidi="ar-SA"/>
    </w:rPr>
  </w:style>
  <w:style w:type="paragraph" w:customStyle="1" w:styleId="IEEEAbstract">
    <w:name w:val="IEEE Abstract"/>
    <w:basedOn w:val="Normal"/>
    <w:rsid w:val="001E0406"/>
    <w:pPr>
      <w:spacing w:line="200" w:lineRule="exact"/>
      <w:ind w:firstLine="288"/>
      <w:jc w:val="left"/>
    </w:pPr>
    <w:rPr>
      <w:rFonts w:ascii="Times New  Roman" w:hAnsi="Times New  Roman"/>
      <w:b/>
      <w:sz w:val="18"/>
      <w:szCs w:val="20"/>
      <w:lang w:bidi="ar-SA"/>
    </w:rPr>
  </w:style>
  <w:style w:type="paragraph" w:styleId="NormalWeb">
    <w:name w:val="Normal (Web)"/>
    <w:basedOn w:val="Normal"/>
    <w:uiPriority w:val="99"/>
    <w:unhideWhenUsed/>
    <w:rsid w:val="001E0406"/>
    <w:pPr>
      <w:spacing w:before="100" w:beforeAutospacing="1" w:after="100" w:afterAutospacing="1"/>
      <w:jc w:val="left"/>
    </w:pPr>
    <w:rPr>
      <w:sz w:val="24"/>
      <w:szCs w:val="24"/>
      <w:lang w:val="en-MY" w:eastAsia="en-MY" w:bidi="ar-SA"/>
    </w:rPr>
  </w:style>
  <w:style w:type="character" w:styleId="UnresolvedMention">
    <w:name w:val="Unresolved Mention"/>
    <w:basedOn w:val="DefaultParagraphFont"/>
    <w:uiPriority w:val="99"/>
    <w:semiHidden/>
    <w:unhideWhenUsed/>
    <w:rsid w:val="007C2EA3"/>
    <w:rPr>
      <w:color w:val="605E5C"/>
      <w:shd w:val="clear" w:color="auto" w:fill="E1DFDD"/>
    </w:rPr>
  </w:style>
  <w:style w:type="paragraph" w:styleId="Header">
    <w:name w:val="header"/>
    <w:aliases w:val="page-number"/>
    <w:basedOn w:val="Normal"/>
    <w:link w:val="HeaderChar"/>
    <w:uiPriority w:val="99"/>
    <w:unhideWhenUsed/>
    <w:rsid w:val="00050ECA"/>
    <w:pPr>
      <w:tabs>
        <w:tab w:val="center" w:pos="4513"/>
        <w:tab w:val="right" w:pos="9026"/>
      </w:tabs>
      <w:spacing w:after="0"/>
    </w:pPr>
  </w:style>
  <w:style w:type="character" w:customStyle="1" w:styleId="HeaderChar">
    <w:name w:val="Header Char"/>
    <w:aliases w:val="page-number Char"/>
    <w:basedOn w:val="DefaultParagraphFont"/>
    <w:link w:val="Header"/>
    <w:uiPriority w:val="99"/>
    <w:rsid w:val="00050ECA"/>
    <w:rPr>
      <w:rFonts w:ascii="Times New Roman" w:eastAsia="Times New Roman" w:hAnsi="Times New Roman" w:cs="Times New Roman"/>
      <w:sz w:val="20"/>
      <w:lang w:val="en-US" w:bidi="en-US"/>
    </w:rPr>
  </w:style>
  <w:style w:type="paragraph" w:styleId="Footer">
    <w:name w:val="footer"/>
    <w:basedOn w:val="Normal"/>
    <w:link w:val="FooterChar"/>
    <w:uiPriority w:val="99"/>
    <w:unhideWhenUsed/>
    <w:rsid w:val="00050ECA"/>
    <w:pPr>
      <w:tabs>
        <w:tab w:val="center" w:pos="4513"/>
        <w:tab w:val="right" w:pos="9026"/>
      </w:tabs>
      <w:spacing w:after="0"/>
    </w:pPr>
  </w:style>
  <w:style w:type="character" w:customStyle="1" w:styleId="FooterChar">
    <w:name w:val="Footer Char"/>
    <w:basedOn w:val="DefaultParagraphFont"/>
    <w:link w:val="Footer"/>
    <w:uiPriority w:val="99"/>
    <w:rsid w:val="00050ECA"/>
    <w:rPr>
      <w:rFonts w:ascii="Times New Roman" w:eastAsia="Times New Roman" w:hAnsi="Times New Roman" w:cs="Times New Roman"/>
      <w:sz w:val="20"/>
      <w:lang w:val="en-US" w:bidi="en-US"/>
    </w:rPr>
  </w:style>
  <w:style w:type="paragraph" w:styleId="NoSpacing">
    <w:name w:val="No Spacing"/>
    <w:aliases w:val="HEADING 2,table"/>
    <w:link w:val="NoSpacingChar"/>
    <w:uiPriority w:val="1"/>
    <w:qFormat/>
    <w:rsid w:val="00050ECA"/>
    <w:pPr>
      <w:spacing w:after="0" w:line="240" w:lineRule="auto"/>
    </w:pPr>
    <w:rPr>
      <w:rFonts w:ascii="Calibri" w:eastAsia="Calibri" w:hAnsi="Calibri" w:cs="Times New Roman"/>
      <w:lang w:val="en-US"/>
    </w:rPr>
  </w:style>
  <w:style w:type="character" w:customStyle="1" w:styleId="NoSpacingChar">
    <w:name w:val="No Spacing Char"/>
    <w:aliases w:val="HEADING 2 Char,table Char"/>
    <w:link w:val="NoSpacing"/>
    <w:uiPriority w:val="1"/>
    <w:qFormat/>
    <w:rsid w:val="00050ECA"/>
    <w:rPr>
      <w:rFonts w:ascii="Calibri" w:eastAsia="Calibri" w:hAnsi="Calibri" w:cs="Times New Roman"/>
      <w:lang w:val="en-US"/>
    </w:rPr>
  </w:style>
  <w:style w:type="paragraph" w:styleId="FootnoteText">
    <w:name w:val="footnote text"/>
    <w:basedOn w:val="Normal"/>
    <w:link w:val="FootnoteTextChar"/>
    <w:uiPriority w:val="99"/>
    <w:semiHidden/>
    <w:unhideWhenUsed/>
    <w:rsid w:val="00050ECA"/>
    <w:pPr>
      <w:spacing w:after="0"/>
    </w:pPr>
    <w:rPr>
      <w:szCs w:val="20"/>
    </w:rPr>
  </w:style>
  <w:style w:type="character" w:customStyle="1" w:styleId="FootnoteTextChar">
    <w:name w:val="Footnote Text Char"/>
    <w:basedOn w:val="DefaultParagraphFont"/>
    <w:link w:val="FootnoteText"/>
    <w:uiPriority w:val="99"/>
    <w:semiHidden/>
    <w:rsid w:val="00050ECA"/>
    <w:rPr>
      <w:rFonts w:ascii="Times New Roman" w:eastAsia="Times New Roman" w:hAnsi="Times New Roman" w:cs="Times New Roman"/>
      <w:sz w:val="20"/>
      <w:szCs w:val="20"/>
      <w:lang w:val="en-US" w:bidi="en-US"/>
    </w:rPr>
  </w:style>
  <w:style w:type="character" w:styleId="FootnoteReference">
    <w:name w:val="footnote reference"/>
    <w:basedOn w:val="DefaultParagraphFont"/>
    <w:uiPriority w:val="99"/>
    <w:semiHidden/>
    <w:unhideWhenUsed/>
    <w:rsid w:val="00050ECA"/>
    <w:rPr>
      <w:vertAlign w:val="superscript"/>
    </w:rPr>
  </w:style>
  <w:style w:type="paragraph" w:styleId="Revision">
    <w:name w:val="Revision"/>
    <w:hidden/>
    <w:uiPriority w:val="99"/>
    <w:semiHidden/>
    <w:rsid w:val="00EE5C4B"/>
    <w:pPr>
      <w:spacing w:after="0" w:line="240" w:lineRule="auto"/>
    </w:pPr>
    <w:rPr>
      <w:rFonts w:ascii="Times New Roman" w:eastAsia="Times New Roman" w:hAnsi="Times New Roman" w:cs="Times New Roman"/>
      <w:sz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14920639101700108" TargetMode="External"/><Relationship Id="rId13" Type="http://schemas.openxmlformats.org/officeDocument/2006/relationships/hyperlink" Target="https://doi.org/10.1016/j.jclepro.2019.119869" TargetMode="External"/><Relationship Id="rId18" Type="http://schemas.openxmlformats.org/officeDocument/2006/relationships/hyperlink" Target="https://doi.org/10.1016/j.procir.2018.03.312"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016/j.procir.2016.01.129" TargetMode="External"/><Relationship Id="rId7" Type="http://schemas.openxmlformats.org/officeDocument/2006/relationships/endnotes" Target="endnotes.xml"/><Relationship Id="rId12" Type="http://schemas.openxmlformats.org/officeDocument/2006/relationships/hyperlink" Target="https://doi.org/10.1016/j.ijpe.2019.01.004" TargetMode="External"/><Relationship Id="rId17" Type="http://schemas.openxmlformats.org/officeDocument/2006/relationships/hyperlink" Target="https://doi.org/10.1016/j.ijpe.2017.06.005" TargetMode="External"/><Relationship Id="rId25" Type="http://schemas.openxmlformats.org/officeDocument/2006/relationships/hyperlink" Target="https://doi.org/10.1016/j.jmsy.2021.10.006" TargetMode="External"/><Relationship Id="rId2" Type="http://schemas.openxmlformats.org/officeDocument/2006/relationships/numbering" Target="numbering.xml"/><Relationship Id="rId16" Type="http://schemas.openxmlformats.org/officeDocument/2006/relationships/hyperlink" Target="https://doi.org/10.1016/j.jii.2017.04.005" TargetMode="External"/><Relationship Id="rId20" Type="http://schemas.openxmlformats.org/officeDocument/2006/relationships/hyperlink" Target="https://doi.org/10.3390/su1209365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techfore.2017.06.020" TargetMode="External"/><Relationship Id="rId24" Type="http://schemas.openxmlformats.org/officeDocument/2006/relationships/hyperlink" Target="https://doi.org/10.1080/00207543.2018.1444806" TargetMode="External"/><Relationship Id="rId5" Type="http://schemas.openxmlformats.org/officeDocument/2006/relationships/webSettings" Target="webSettings.xml"/><Relationship Id="rId15" Type="http://schemas.openxmlformats.org/officeDocument/2006/relationships/hyperlink" Target="https://doi.org/10.1142/S1363919617400151" TargetMode="External"/><Relationship Id="rId23" Type="http://schemas.openxmlformats.org/officeDocument/2006/relationships/hyperlink" Target="https://doi.org/10.1016/j.rcim.2015.12.001" TargetMode="External"/><Relationship Id="rId28" Type="http://schemas.openxmlformats.org/officeDocument/2006/relationships/fontTable" Target="fontTable.xml"/><Relationship Id="rId10" Type="http://schemas.openxmlformats.org/officeDocument/2006/relationships/hyperlink" Target="https://doi.org/10.1016/j.techfore.2021.120783" TargetMode="External"/><Relationship Id="rId19" Type="http://schemas.openxmlformats.org/officeDocument/2006/relationships/hyperlink" Target="https://doi.org/10.3390/su10010247" TargetMode="External"/><Relationship Id="rId4" Type="http://schemas.openxmlformats.org/officeDocument/2006/relationships/settings" Target="settings.xml"/><Relationship Id="rId9" Type="http://schemas.openxmlformats.org/officeDocument/2006/relationships/hyperlink" Target="https://doi.org/10.1080/00207543.2019.1660829" TargetMode="External"/><Relationship Id="rId14" Type="http://schemas.openxmlformats.org/officeDocument/2006/relationships/hyperlink" Target="https://doi.org/10.1016/j.ijpe.2020.107739" TargetMode="External"/><Relationship Id="rId22" Type="http://schemas.openxmlformats.org/officeDocument/2006/relationships/hyperlink" Target="https://doi.org/10.1016/j.jsis.2019.01.003"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C7BA4-9115-4EF5-B1C2-588388C02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3477</Words>
  <Characters>19825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Ummi Naiemah Saraih</dc:creator>
  <cp:keywords/>
  <dc:description/>
  <cp:lastModifiedBy>thivyashaliniworkbased@gmail.com</cp:lastModifiedBy>
  <cp:revision>4</cp:revision>
  <cp:lastPrinted>2026-04-30T13:06:00Z</cp:lastPrinted>
  <dcterms:created xsi:type="dcterms:W3CDTF">2026-07-07T13:57:00Z</dcterms:created>
  <dcterms:modified xsi:type="dcterms:W3CDTF">2026-07-07T14:03:00Z</dcterms:modified>
</cp:coreProperties>
</file>