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5ABC" w14:textId="77777777" w:rsidR="00B33973" w:rsidRDefault="00B33973" w:rsidP="008C13D2">
      <w:pPr>
        <w:pStyle w:val="Title"/>
        <w:spacing w:before="0" w:after="0"/>
        <w:rPr>
          <w:sz w:val="24"/>
          <w:szCs w:val="24"/>
        </w:rPr>
      </w:pPr>
    </w:p>
    <w:p w14:paraId="27A23BA0" w14:textId="4543EFA4" w:rsidR="00B33973" w:rsidRDefault="00B33973" w:rsidP="00B33973">
      <w:pPr>
        <w:pStyle w:val="Title"/>
        <w:spacing w:before="0" w:after="0"/>
        <w:rPr>
          <w:sz w:val="24"/>
          <w:szCs w:val="24"/>
        </w:rPr>
      </w:pPr>
    </w:p>
    <w:p w14:paraId="198BD089" w14:textId="6C69B39F" w:rsidR="006B5516" w:rsidRPr="006B5516" w:rsidRDefault="006B5516" w:rsidP="003B4F73">
      <w:pPr>
        <w:spacing w:before="0" w:after="160" w:line="360" w:lineRule="auto"/>
        <w:ind w:firstLine="720"/>
        <w:jc w:val="center"/>
        <w:rPr>
          <w:b/>
          <w:bCs/>
          <w:sz w:val="36"/>
          <w:szCs w:val="36"/>
        </w:rPr>
      </w:pPr>
      <w:r w:rsidRPr="006B5516">
        <w:rPr>
          <w:b/>
          <w:bCs/>
          <w:sz w:val="36"/>
          <w:szCs w:val="36"/>
        </w:rPr>
        <w:t xml:space="preserve">Teacher Educator Pedagogies in Assistive Technology for Inclusive Education: </w:t>
      </w:r>
      <w:r w:rsidR="003741D1">
        <w:rPr>
          <w:b/>
          <w:bCs/>
          <w:sz w:val="36"/>
          <w:szCs w:val="36"/>
        </w:rPr>
        <w:t>Lessons</w:t>
      </w:r>
      <w:r w:rsidRPr="006B5516">
        <w:rPr>
          <w:b/>
          <w:bCs/>
          <w:sz w:val="36"/>
          <w:szCs w:val="36"/>
        </w:rPr>
        <w:t xml:space="preserve"> from Kenya School of TVET</w:t>
      </w:r>
    </w:p>
    <w:p w14:paraId="7DD4D941" w14:textId="2DAE7A05" w:rsidR="00B33973" w:rsidRPr="00B33973" w:rsidRDefault="00B33973" w:rsidP="003B4F73">
      <w:pPr>
        <w:spacing w:before="0" w:after="160" w:line="360" w:lineRule="auto"/>
        <w:ind w:firstLine="720"/>
        <w:jc w:val="center"/>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
      </w:r>
    </w:p>
    <w:p w14:paraId="699F8C72" w14:textId="77777777" w:rsidR="00B33973" w:rsidRPr="00B33973" w:rsidRDefault="00B33973" w:rsidP="003B4F73">
      <w:pPr>
        <w:tabs>
          <w:tab w:val="center" w:pos="5040"/>
          <w:tab w:val="left" w:pos="7685"/>
        </w:tabs>
        <w:spacing w:before="0" w:after="160" w:line="360" w:lineRule="auto"/>
        <w:ind w:firstLine="720"/>
        <w:jc w:val="center"/>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
      </w:r>
    </w:p>
    <w:p w14:paraId="2377943B" w14:textId="77777777" w:rsidR="00B33973" w:rsidRPr="00B33973" w:rsidRDefault="00B33973" w:rsidP="003B4F73">
      <w:pPr>
        <w:spacing w:before="0" w:after="160" w:line="360" w:lineRule="auto"/>
        <w:ind w:firstLine="720"/>
        <w:jc w:val="center"/>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
      </w:r>
    </w:p>
    <w:p w14:paraId="3D7E605E" w14:textId="77777777" w:rsidR="00B33973" w:rsidRPr="00B33973" w:rsidRDefault="00B33973" w:rsidP="003B4F73">
      <w:pPr>
        <w:spacing w:before="0" w:after="160" w:line="360" w:lineRule="auto"/>
        <w:ind w:firstLine="720"/>
        <w:jc w:val="center"/>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
      </w:r>
    </w:p>
    <w:p w14:paraId="2DCACD66" w14:textId="77777777" w:rsidR="00B33973" w:rsidRPr="00B33973" w:rsidRDefault="00B33973" w:rsidP="003B4F73">
      <w:pPr>
        <w:spacing w:before="0" w:after="160" w:line="360" w:lineRule="auto"/>
        <w:ind w:firstLine="0"/>
        <w:jc w:val="center"/>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Abstract</w:t>
      </w:r>
    </w:p>
    <w:p w14:paraId="7620390D" w14:textId="7C83670A" w:rsidR="003741D1" w:rsidRPr="003741D1" w:rsidRDefault="003741D1" w:rsidP="003741D1">
      <w:pPr>
        <w:spacing w:before="100" w:beforeAutospacing="1" w:after="100" w:afterAutospacing="1" w:line="360" w:lineRule="auto"/>
        <w:ind w:firstLine="0"/>
        <w:rPr>
          <w:i/>
          <w:iCs/>
          <w:sz w:val="18"/>
          <w:szCs w:val="18"/>
        </w:rPr>
      </w:pPr>
      <w:r w:rsidRPr="00CA4FB2">
        <w:rPr>
          <w:i/>
          <w:iCs/>
          <w:sz w:val="18"/>
          <w:szCs w:val="18"/>
        </w:rPr>
        <w:t xml:space="preserve">The effective integration of Assistive Technologies (AT) in inclusive education is closely linked to the pedagogies that teacher educators employ to equip both pre-service and in-service teachers with the necessary knowledge, skills, and attitudes. This study examined the pedagogical approaches of teacher educators at the Kenya School of TVET (KSTVET) in delivering training that supports inclusive teaching through the use of ATs. It explored their pedagogical understanding, practical orientations, and attitudes toward the use of assistive technologies in teacher trainer preparation, as well as the availability of relevant AT tools, the extent of institutional support, the challenges they face when teaching in inclusive settings, and how well AT is embedded in the training curriculum. </w:t>
      </w:r>
      <w:r w:rsidRPr="003741D1">
        <w:rPr>
          <w:i/>
          <w:iCs/>
          <w:sz w:val="18"/>
          <w:szCs w:val="18"/>
        </w:rPr>
        <w:t>A mixed-methods approach, combining surveys, interviews, and document analysis, was used to capture the lived experiences and pedagogical perceptions of educators actively engaged in training future teachers. The findings revealed a mixed picture. While many educators demonstrated a strong commitment to inclusive education and expressed positive views on the role of ATs in supporting learners with disabilities, most lacked formal pedagogical training and practical experience with modern assistive tools. In many cases, educators had developed their AT pedagogies through trial and error, owing to the absence of structured professional development or mentorship opportunities.</w:t>
      </w:r>
      <w:r w:rsidRPr="00CA4FB2">
        <w:rPr>
          <w:i/>
          <w:iCs/>
          <w:sz w:val="18"/>
          <w:szCs w:val="18"/>
        </w:rPr>
        <w:t xml:space="preserve"> </w:t>
      </w:r>
      <w:r w:rsidRPr="003741D1">
        <w:rPr>
          <w:i/>
          <w:iCs/>
          <w:sz w:val="18"/>
          <w:szCs w:val="18"/>
        </w:rPr>
        <w:t>The study further revealed significant gaps in institutional support, limited access to up-to-date assistive devices, and inadequate curriculum coverage of AT content</w:t>
      </w:r>
      <w:r w:rsidRPr="00CA4FB2">
        <w:rPr>
          <w:i/>
          <w:iCs/>
          <w:sz w:val="18"/>
          <w:szCs w:val="18"/>
        </w:rPr>
        <w:t xml:space="preserve">, </w:t>
      </w:r>
      <w:r w:rsidR="00CA4FB2" w:rsidRPr="00CA4FB2">
        <w:rPr>
          <w:i/>
          <w:iCs/>
          <w:sz w:val="18"/>
          <w:szCs w:val="18"/>
        </w:rPr>
        <w:t>which undermined</w:t>
      </w:r>
      <w:r w:rsidRPr="003741D1">
        <w:rPr>
          <w:i/>
          <w:iCs/>
          <w:sz w:val="18"/>
          <w:szCs w:val="18"/>
        </w:rPr>
        <w:t xml:space="preserve"> the pedagogical effectiveness of teacher educators in preparing </w:t>
      </w:r>
      <w:r w:rsidR="00CA4FB2" w:rsidRPr="00CA4FB2">
        <w:rPr>
          <w:i/>
          <w:iCs/>
          <w:sz w:val="18"/>
          <w:szCs w:val="18"/>
        </w:rPr>
        <w:t>teacher trainees</w:t>
      </w:r>
      <w:r w:rsidRPr="003741D1">
        <w:rPr>
          <w:i/>
          <w:iCs/>
          <w:sz w:val="18"/>
          <w:szCs w:val="18"/>
        </w:rPr>
        <w:t xml:space="preserve"> for inclusive teaching. Drawing on these lessons from KSTVET, the study recommends targeted pedagogy-focused capacity-building initiatives, improved infrastructure and resourcing, and the deliberate integration of AT into the teacher education curriculum. Strengthening teacher educator pedagogies is key to empowering Kenya's TVET institutions to foster more inclusive and </w:t>
      </w:r>
      <w:r w:rsidR="00CA4FB2" w:rsidRPr="00CA4FB2">
        <w:rPr>
          <w:i/>
          <w:iCs/>
          <w:sz w:val="18"/>
          <w:szCs w:val="18"/>
        </w:rPr>
        <w:t>effective TVET training.</w:t>
      </w:r>
    </w:p>
    <w:p w14:paraId="750E726B" w14:textId="0D84066F" w:rsidR="002B42A2" w:rsidRPr="00CA4FB2" w:rsidRDefault="003741D1" w:rsidP="000C7FEB">
      <w:pPr>
        <w:spacing w:before="100" w:beforeAutospacing="1" w:after="100" w:afterAutospacing="1" w:line="360" w:lineRule="auto"/>
        <w:ind w:firstLine="0"/>
        <w:rPr>
          <w:i/>
          <w:iCs/>
          <w:sz w:val="18"/>
          <w:szCs w:val="18"/>
        </w:rPr>
      </w:pPr>
      <w:r w:rsidRPr="003741D1">
        <w:rPr>
          <w:b/>
          <w:bCs/>
          <w:i/>
          <w:iCs/>
          <w:sz w:val="18"/>
          <w:szCs w:val="18"/>
        </w:rPr>
        <w:t>Keywords:</w:t>
      </w:r>
      <w:r w:rsidRPr="003741D1">
        <w:rPr>
          <w:i/>
          <w:iCs/>
          <w:sz w:val="18"/>
          <w:szCs w:val="18"/>
        </w:rPr>
        <w:t xml:space="preserve"> Assistive Technologies, Teacher Educator Pedagogies, Inclusive Education, TVET, Professional Developmen</w:t>
      </w:r>
      <w:r w:rsidR="0023785A">
        <w:rPr>
          <w:i/>
          <w:iCs/>
          <w:sz w:val="18"/>
          <w:szCs w:val="18"/>
        </w:rPr>
        <w:t>t.</w:t>
      </w:r>
    </w:p>
    <w:p w14:paraId="199B3BA3" w14:textId="77777777" w:rsidR="003741D1" w:rsidRPr="00B33973" w:rsidRDefault="003741D1" w:rsidP="00B33973">
      <w:pPr>
        <w:spacing w:before="100" w:beforeAutospacing="1" w:after="100" w:afterAutospacing="1" w:line="240" w:lineRule="auto"/>
        <w:ind w:firstLine="0"/>
        <w:jc w:val="left"/>
        <w:rPr>
          <w:i/>
          <w:iCs/>
          <w:sz w:val="24"/>
        </w:rPr>
      </w:pPr>
    </w:p>
    <w:p w14:paraId="7E35F0FC" w14:textId="77777777" w:rsidR="00B33973" w:rsidRPr="00B33973" w:rsidRDefault="00B33973" w:rsidP="00B33973">
      <w:pPr>
        <w:spacing w:before="0" w:after="160" w:line="278" w:lineRule="auto"/>
        <w:ind w:firstLine="0"/>
        <w:jc w:val="center"/>
        <w:rPr>
          <w:rFonts w:asciiTheme="minorHAnsi" w:eastAsiaTheme="minorHAnsi" w:hAnsiTheme="minorHAnsi" w:cstheme="minorBidi"/>
          <w:kern w:val="2"/>
          <w:sz w:val="24"/>
          <w14:ligatures w14:val="standardContextual"/>
        </w:rPr>
      </w:pPr>
    </w:p>
    <w:p w14:paraId="4A782F29" w14:textId="77777777" w:rsidR="00B33973" w:rsidRDefault="00B33973" w:rsidP="00B33973">
      <w:pPr>
        <w:spacing w:before="100" w:beforeAutospacing="1" w:after="100" w:afterAutospacing="1" w:line="360" w:lineRule="auto"/>
        <w:ind w:firstLine="0"/>
        <w:rPr>
          <w:rFonts w:eastAsiaTheme="minorHAnsi"/>
          <w:b/>
          <w:bCs/>
          <w:kern w:val="2"/>
          <w:sz w:val="24"/>
          <w14:ligatures w14:val="standardContextual"/>
        </w:rPr>
      </w:pPr>
    </w:p>
    <w:p w14:paraId="28A1CBE3" w14:textId="77777777" w:rsidR="00B33973" w:rsidRDefault="00B33973" w:rsidP="00B33973">
      <w:pPr>
        <w:spacing w:before="100" w:beforeAutospacing="1" w:after="100" w:afterAutospacing="1" w:line="360" w:lineRule="auto"/>
        <w:ind w:firstLine="0"/>
        <w:rPr>
          <w:rFonts w:eastAsiaTheme="minorHAnsi"/>
          <w:b/>
          <w:bCs/>
          <w:kern w:val="2"/>
          <w:sz w:val="24"/>
          <w14:ligatures w14:val="standardContextual"/>
        </w:rPr>
      </w:pPr>
    </w:p>
    <w:p w14:paraId="39A8084F" w14:textId="77777777" w:rsidR="00B33973" w:rsidRDefault="00B33973" w:rsidP="00B33973">
      <w:pPr>
        <w:spacing w:before="100" w:beforeAutospacing="1" w:after="100" w:afterAutospacing="1" w:line="360" w:lineRule="auto"/>
        <w:ind w:firstLine="0"/>
        <w:rPr>
          <w:rFonts w:eastAsiaTheme="minorHAnsi"/>
          <w:b/>
          <w:bCs/>
          <w:kern w:val="2"/>
          <w:sz w:val="24"/>
          <w14:ligatures w14:val="standardContextual"/>
        </w:rPr>
      </w:pPr>
    </w:p>
    <w:p w14:paraId="6785BE03" w14:textId="77777777" w:rsidR="00B33973" w:rsidRPr="00B33973" w:rsidRDefault="00B33973" w:rsidP="00B33973">
      <w:pPr>
        <w:spacing w:before="100" w:beforeAutospacing="1" w:after="100" w:afterAutospacing="1" w:line="360" w:lineRule="auto"/>
        <w:ind w:firstLine="0"/>
        <w:rPr>
          <w:rFonts w:eastAsiaTheme="minorHAnsi"/>
          <w:b/>
          <w:bCs/>
          <w:kern w:val="2"/>
          <w:sz w:val="24"/>
          <w14:ligatures w14:val="standardContextual"/>
        </w:rPr>
      </w:pPr>
    </w:p>
    <w:p w14:paraId="7FB61FAB" w14:textId="77777777" w:rsidR="00B33973" w:rsidRPr="00B33973" w:rsidRDefault="00B33973" w:rsidP="00B33973">
      <w:pPr>
        <w:spacing w:before="100" w:beforeAutospacing="1" w:after="100" w:afterAutospacing="1" w:line="360" w:lineRule="auto"/>
        <w:ind w:firstLine="0"/>
        <w:outlineLvl w:val="2"/>
        <w:rPr>
          <w:b/>
          <w:bCs/>
          <w:sz w:val="24"/>
        </w:rPr>
      </w:pPr>
      <w:r w:rsidRPr="00B33973">
        <w:rPr>
          <w:b/>
          <w:bCs/>
          <w:sz w:val="24"/>
        </w:rPr>
        <w:t>Background</w:t>
      </w:r>
    </w:p>
    <w:p w14:paraId="2809D0CD" w14:textId="77777777" w:rsidR="00A732F4" w:rsidRPr="00A732F4" w:rsidRDefault="00A732F4" w:rsidP="002A3B77">
      <w:pPr>
        <w:spacing w:before="100" w:beforeAutospacing="1" w:after="100" w:afterAutospacing="1" w:line="360" w:lineRule="auto"/>
        <w:ind w:firstLine="0"/>
        <w:rPr>
          <w:sz w:val="24"/>
        </w:rPr>
      </w:pPr>
      <w:r w:rsidRPr="00A732F4">
        <w:rPr>
          <w:sz w:val="24"/>
        </w:rPr>
        <w:lastRenderedPageBreak/>
        <w:t>Inclusive education has gained strong global momentum, supported by international frameworks such as the United Nations Convention on the Rights of Persons with Disabilities (UNCRPD) and Sustainable Development Goal 4 (SDG 4), which promote inclusive, equitable, and quality education for all by 2030. Assistive technologies (ATs) play a key role in this effort, helping learners with disabilities overcome barriers to participation and learning. Research, including Alkahtani (2013), highlights that ATs not only foster learner independence but also improve academic outcomes, making them vital tools for inclusive teaching.</w:t>
      </w:r>
    </w:p>
    <w:p w14:paraId="1B9C1354" w14:textId="77777777" w:rsidR="00A732F4" w:rsidRPr="00A732F4" w:rsidRDefault="00A732F4" w:rsidP="002A3B77">
      <w:pPr>
        <w:spacing w:before="100" w:beforeAutospacing="1" w:after="100" w:afterAutospacing="1" w:line="360" w:lineRule="auto"/>
        <w:ind w:firstLine="0"/>
        <w:rPr>
          <w:sz w:val="24"/>
        </w:rPr>
      </w:pPr>
      <w:r w:rsidRPr="00A732F4">
        <w:rPr>
          <w:sz w:val="24"/>
        </w:rPr>
        <w:t>However, despite this global push, the integration of AT into teacher education remains patchy and underdeveloped. Studies by Edyburn (2021) and Flanagan et al. (2022) reveal persistent issues such as inadequate institutional capacity, limited faculty knowledge, and insufficient exposure to up-to-date AT tools. These challenges hinder teacher educators, who are essential in equipping pre-service and in-service teachers with the skills to use AT effectively in diverse classrooms.</w:t>
      </w:r>
    </w:p>
    <w:p w14:paraId="4D9E4299" w14:textId="77777777" w:rsidR="00A732F4" w:rsidRPr="00A732F4" w:rsidRDefault="00A732F4" w:rsidP="002A3B77">
      <w:pPr>
        <w:spacing w:before="100" w:beforeAutospacing="1" w:after="100" w:afterAutospacing="1" w:line="360" w:lineRule="auto"/>
        <w:ind w:firstLine="0"/>
        <w:rPr>
          <w:sz w:val="24"/>
        </w:rPr>
      </w:pPr>
      <w:r w:rsidRPr="00A732F4">
        <w:rPr>
          <w:sz w:val="24"/>
        </w:rPr>
        <w:t>Across Africa, policy frameworks like the African Charter on the Rights and Welfare of the Child and the Continental Education Strategy for Africa (2016–2025) affirm the right to quality education for all learners. Yet, many teacher training institutions still face hurdles like poor infrastructure, limited resources, and a shortage of personnel trained in AT. Mtebe and Raisamo (2014) and Chitiyo and Odongo (2016) further cite low digital literacy, limited access to AT, and rare professional development opportunities as key barriers to AT integration.</w:t>
      </w:r>
    </w:p>
    <w:p w14:paraId="4B6DD38E" w14:textId="77777777" w:rsidR="00A732F4" w:rsidRPr="00A732F4" w:rsidRDefault="00A732F4" w:rsidP="002A3B77">
      <w:pPr>
        <w:spacing w:before="100" w:beforeAutospacing="1" w:after="100" w:afterAutospacing="1" w:line="360" w:lineRule="auto"/>
        <w:ind w:firstLine="0"/>
        <w:rPr>
          <w:sz w:val="24"/>
        </w:rPr>
      </w:pPr>
      <w:r w:rsidRPr="00A732F4">
        <w:rPr>
          <w:sz w:val="24"/>
        </w:rPr>
        <w:t>In East Africa, countries such as Uganda, Tanzania, and Kenya have taken important steps by introducing inclusive education policies and piloting AT use in schools. Nevertheless, these efforts often focus on classroom-level interventions, with less emphasis on building the capacity of teacher educators. Katende and Mugabi (2020) note that many teacher education programs in the region lack structured AT training, making it hard for educators to acquire essential competencies for inclusive teaching. UNESCO (2021) also reports that many of these training initiatives are donor-driven and not embedded in institutional curricula, limiting their long-term sustainability.</w:t>
      </w:r>
    </w:p>
    <w:p w14:paraId="4F59BE9C" w14:textId="77777777" w:rsidR="00A732F4" w:rsidRPr="00A732F4" w:rsidRDefault="00A732F4" w:rsidP="002A3B77">
      <w:pPr>
        <w:spacing w:before="100" w:beforeAutospacing="1" w:after="100" w:afterAutospacing="1" w:line="360" w:lineRule="auto"/>
        <w:ind w:firstLine="0"/>
        <w:rPr>
          <w:sz w:val="24"/>
        </w:rPr>
      </w:pPr>
      <w:r w:rsidRPr="00A732F4">
        <w:rPr>
          <w:sz w:val="24"/>
        </w:rPr>
        <w:t>Kenya has shown commendable policy commitment through documents like the Basic Education Act (2013), the Sector Policy for Learners and Trainees with Disabilities (MoE, 2018), and the National Special Needs Education Policy Framework (MoE, 2022). These policies call on teacher training colleges to embed inclusive education and AT in their programs. However, their implementation is inconsistent across institutions. Studies by Mutisya et al. (2020) and Wambugu and Ng’ang’a (2022) indicate that while many Kenyan teacher educators appreciate the value of AT, they often lack practical training, access to modern devices, and sufficient institutional support.</w:t>
      </w:r>
    </w:p>
    <w:p w14:paraId="40F24036" w14:textId="77777777" w:rsidR="00A732F4" w:rsidRPr="00A732F4" w:rsidRDefault="00A732F4" w:rsidP="002A3B77">
      <w:pPr>
        <w:spacing w:before="100" w:beforeAutospacing="1" w:after="100" w:afterAutospacing="1" w:line="360" w:lineRule="auto"/>
        <w:ind w:firstLine="0"/>
        <w:rPr>
          <w:sz w:val="24"/>
        </w:rPr>
      </w:pPr>
      <w:r w:rsidRPr="00A732F4">
        <w:rPr>
          <w:sz w:val="24"/>
        </w:rPr>
        <w:t xml:space="preserve">This concern is especially relevant for the Kenya School of TVET (KSTVET), which is tasked with preparing trainers for TVET institutions across the country. Although KSTVET is strategically positioned to lead the </w:t>
      </w:r>
      <w:r w:rsidRPr="00A732F4">
        <w:rPr>
          <w:sz w:val="24"/>
        </w:rPr>
        <w:lastRenderedPageBreak/>
        <w:t>advancement of inclusive education, there is limited evidence on its internal readiness to deliver AT training effectively.</w:t>
      </w:r>
    </w:p>
    <w:p w14:paraId="289633C8" w14:textId="77777777" w:rsidR="00A732F4" w:rsidRPr="00A732F4" w:rsidRDefault="00A732F4" w:rsidP="002A3B77">
      <w:pPr>
        <w:spacing w:before="100" w:beforeAutospacing="1" w:after="100" w:afterAutospacing="1" w:line="360" w:lineRule="auto"/>
        <w:ind w:firstLine="0"/>
        <w:rPr>
          <w:sz w:val="24"/>
        </w:rPr>
      </w:pPr>
      <w:r w:rsidRPr="00A732F4">
        <w:rPr>
          <w:sz w:val="24"/>
        </w:rPr>
        <w:t>In summary, a significant knowledge and capacity gap exists concerning how well teacher educators in Kenya’s TVET institutions are prepared to train others in using assistive technologies. Addressing these challenges is crucial to ensuring that inclusive education policies are not just well-intentioned but are effectively implemented through teacher education.</w:t>
      </w:r>
    </w:p>
    <w:p w14:paraId="005D820F" w14:textId="77777777" w:rsidR="00B33973" w:rsidRPr="00B33973" w:rsidRDefault="00B33973" w:rsidP="00B33973">
      <w:pPr>
        <w:spacing w:before="100" w:beforeAutospacing="1" w:after="100" w:afterAutospacing="1" w:line="360" w:lineRule="auto"/>
        <w:ind w:firstLine="0"/>
        <w:outlineLvl w:val="2"/>
        <w:rPr>
          <w:b/>
          <w:bCs/>
          <w:sz w:val="24"/>
        </w:rPr>
      </w:pPr>
      <w:r w:rsidRPr="00B33973">
        <w:rPr>
          <w:b/>
          <w:bCs/>
          <w:sz w:val="24"/>
        </w:rPr>
        <w:t>Statement of the Problem</w:t>
      </w:r>
    </w:p>
    <w:p w14:paraId="2FB30B85" w14:textId="77777777" w:rsidR="00EA19F6" w:rsidRPr="00F01932" w:rsidRDefault="00EA19F6" w:rsidP="00F01932">
      <w:pPr>
        <w:spacing w:before="100" w:beforeAutospacing="1" w:after="100" w:afterAutospacing="1" w:line="360" w:lineRule="auto"/>
        <w:ind w:firstLine="0"/>
        <w:outlineLvl w:val="2"/>
        <w:rPr>
          <w:sz w:val="24"/>
        </w:rPr>
      </w:pPr>
      <w:r w:rsidRPr="00F01932">
        <w:rPr>
          <w:sz w:val="24"/>
        </w:rPr>
        <w:t>Despite Kenya’s progressive policy commitments to inclusive education, the actual integration of assistive technologies (AT) into teacher training remains limited. Teacher educators, who are pivotal in preparing both pre-service and in-service teachers to use AT effectively in diverse classrooms, often lack the necessary support and training themselves. Research points to major gaps—such as weak infrastructure, limited access to AT devices, insufficient professional development, and poor curriculum alignment with inclusive education goals. In many institutions, the capacity of teacher educators to deliver AT-focused instruction is unclear, making it difficult to translate inclusive education policies into meaningful practice. Without addressing these institutional, pedagogical, and resource-related barriers, the promise of inclusive education risks remaining more theoretical than transformative.</w:t>
      </w:r>
    </w:p>
    <w:p w14:paraId="4CB43AEC" w14:textId="44EF699A" w:rsidR="00B33973" w:rsidRPr="00B33973" w:rsidRDefault="00B33973" w:rsidP="00B33973">
      <w:pPr>
        <w:spacing w:before="100" w:beforeAutospacing="1" w:after="100" w:afterAutospacing="1" w:line="360" w:lineRule="auto"/>
        <w:ind w:firstLine="0"/>
        <w:outlineLvl w:val="2"/>
        <w:rPr>
          <w:b/>
          <w:bCs/>
          <w:sz w:val="24"/>
        </w:rPr>
      </w:pPr>
      <w:r w:rsidRPr="00B33973">
        <w:rPr>
          <w:b/>
          <w:bCs/>
          <w:sz w:val="24"/>
        </w:rPr>
        <w:t>Study Objectives:</w:t>
      </w:r>
    </w:p>
    <w:p w14:paraId="39453E2F" w14:textId="4D74A14D" w:rsidR="00B33973" w:rsidRDefault="00B33973" w:rsidP="00CF7F63">
      <w:pPr>
        <w:numPr>
          <w:ilvl w:val="0"/>
          <w:numId w:val="10"/>
        </w:numPr>
        <w:spacing w:before="100" w:beforeAutospacing="1" w:after="100" w:afterAutospacing="1" w:line="360" w:lineRule="auto"/>
        <w:contextualSpacing/>
        <w:jc w:val="left"/>
        <w:outlineLvl w:val="2"/>
        <w:rPr>
          <w:sz w:val="24"/>
        </w:rPr>
      </w:pPr>
      <w:r w:rsidRPr="00B33973">
        <w:rPr>
          <w:sz w:val="24"/>
        </w:rPr>
        <w:t>To evaluate the competency of teacher educators at selected teacher training colleges in Kenya, including KSTVET, in delivering training on assistive technologies for inclusive education.</w:t>
      </w:r>
    </w:p>
    <w:p w14:paraId="0E5CF3FF" w14:textId="79089BDA" w:rsidR="006B5516" w:rsidRPr="006B5516" w:rsidRDefault="006B5516" w:rsidP="006B5516">
      <w:pPr>
        <w:numPr>
          <w:ilvl w:val="0"/>
          <w:numId w:val="10"/>
        </w:numPr>
        <w:spacing w:before="100" w:beforeAutospacing="1" w:after="100" w:afterAutospacing="1" w:line="240" w:lineRule="auto"/>
        <w:jc w:val="left"/>
        <w:rPr>
          <w:sz w:val="24"/>
        </w:rPr>
      </w:pPr>
      <w:r w:rsidRPr="008E6F03">
        <w:rPr>
          <w:sz w:val="24"/>
        </w:rPr>
        <w:t>Analyze AT integration in relation to disability, gender, language, and marginalized learners.</w:t>
      </w:r>
    </w:p>
    <w:p w14:paraId="0562B470" w14:textId="335E45A4" w:rsidR="002B42A2" w:rsidRPr="00282295" w:rsidRDefault="00B33973" w:rsidP="00282295">
      <w:pPr>
        <w:numPr>
          <w:ilvl w:val="0"/>
          <w:numId w:val="10"/>
        </w:numPr>
        <w:spacing w:before="100" w:beforeAutospacing="1" w:after="100" w:afterAutospacing="1" w:line="360" w:lineRule="auto"/>
        <w:contextualSpacing/>
        <w:jc w:val="left"/>
        <w:outlineLvl w:val="2"/>
        <w:rPr>
          <w:sz w:val="24"/>
        </w:rPr>
      </w:pPr>
      <w:r w:rsidRPr="00B33973">
        <w:rPr>
          <w:sz w:val="24"/>
        </w:rPr>
        <w:t>To examine the challenges that teacher educators face in implementing assistive technology training for inclusive education.</w:t>
      </w:r>
    </w:p>
    <w:p w14:paraId="5C68FF06" w14:textId="5730A83B" w:rsidR="00B33973" w:rsidRPr="00B33973" w:rsidRDefault="00B33973" w:rsidP="00B33973">
      <w:pPr>
        <w:spacing w:before="100" w:beforeAutospacing="1" w:after="100" w:afterAutospacing="1" w:line="240" w:lineRule="auto"/>
        <w:ind w:firstLine="0"/>
        <w:jc w:val="left"/>
        <w:outlineLvl w:val="2"/>
        <w:rPr>
          <w:b/>
          <w:bCs/>
          <w:sz w:val="27"/>
          <w:szCs w:val="27"/>
        </w:rPr>
      </w:pPr>
      <w:r w:rsidRPr="00B33973">
        <w:rPr>
          <w:b/>
          <w:bCs/>
          <w:sz w:val="27"/>
          <w:szCs w:val="27"/>
        </w:rPr>
        <w:t>Materials and Methods</w:t>
      </w:r>
    </w:p>
    <w:p w14:paraId="1A4B5C71" w14:textId="77777777" w:rsidR="0043253A" w:rsidRPr="0043253A" w:rsidRDefault="0043253A" w:rsidP="002E799E">
      <w:pPr>
        <w:spacing w:before="100" w:beforeAutospacing="1" w:after="100" w:afterAutospacing="1" w:line="480" w:lineRule="auto"/>
        <w:ind w:firstLine="0"/>
        <w:rPr>
          <w:sz w:val="24"/>
        </w:rPr>
      </w:pPr>
      <w:r w:rsidRPr="0043253A">
        <w:rPr>
          <w:sz w:val="24"/>
        </w:rPr>
        <w:t>This study adopted a mixed-methods approach, combining quantitative and qualitative research to assess how well teacher educators at the Kenya School of TVET (KSTVET) are prepared to deliver training on assistive technologies (ATs) within inclusive education. This combination allowed for triangulation, enhancing the accuracy and reliability of the findings.</w:t>
      </w:r>
    </w:p>
    <w:p w14:paraId="5826229B" w14:textId="77777777" w:rsidR="0043253A" w:rsidRPr="0043253A" w:rsidRDefault="0043253A" w:rsidP="002E799E">
      <w:pPr>
        <w:spacing w:before="100" w:beforeAutospacing="1" w:after="100" w:afterAutospacing="1" w:line="480" w:lineRule="auto"/>
        <w:ind w:firstLine="0"/>
        <w:rPr>
          <w:sz w:val="24"/>
        </w:rPr>
      </w:pPr>
      <w:r w:rsidRPr="0043253A">
        <w:rPr>
          <w:sz w:val="24"/>
        </w:rPr>
        <w:t xml:space="preserve">The study engaged three key participant groups: KSTVET teacher educators, institutional administrators (e.g., deputy principal and heads of departments), and policymakers from the Ministry of Education, TVET </w:t>
      </w:r>
      <w:r w:rsidRPr="0043253A">
        <w:rPr>
          <w:sz w:val="24"/>
        </w:rPr>
        <w:lastRenderedPageBreak/>
        <w:t>Authority, and other regulatory bodies involved in inclusive education. These stakeholders were selected for their central roles in promoting and supporting the integration of AT in the TVET sector.</w:t>
      </w:r>
    </w:p>
    <w:p w14:paraId="4A0A800E" w14:textId="77777777" w:rsidR="0043253A" w:rsidRPr="0043253A" w:rsidRDefault="0043253A" w:rsidP="002E799E">
      <w:pPr>
        <w:spacing w:before="100" w:beforeAutospacing="1" w:after="100" w:afterAutospacing="1" w:line="480" w:lineRule="auto"/>
        <w:ind w:firstLine="0"/>
        <w:rPr>
          <w:sz w:val="24"/>
        </w:rPr>
      </w:pPr>
      <w:r w:rsidRPr="0043253A">
        <w:rPr>
          <w:sz w:val="24"/>
        </w:rPr>
        <w:t>KSTVET was purposefully selected as the study site due to its national mandate in preparing TVET trainers, making it a relevant setting to explore AT-related training capacity.</w:t>
      </w:r>
    </w:p>
    <w:p w14:paraId="0FDF7A92" w14:textId="77777777" w:rsidR="0043253A" w:rsidRPr="0043253A" w:rsidRDefault="0043253A" w:rsidP="002E799E">
      <w:pPr>
        <w:spacing w:before="100" w:beforeAutospacing="1" w:after="100" w:afterAutospacing="1" w:line="480" w:lineRule="auto"/>
        <w:ind w:firstLine="0"/>
        <w:rPr>
          <w:sz w:val="24"/>
        </w:rPr>
      </w:pPr>
      <w:r w:rsidRPr="0043253A">
        <w:rPr>
          <w:sz w:val="24"/>
        </w:rPr>
        <w:t>To capture diverse viewpoints, the study used stratified purposive sampling, selecting participants based on roles, gender, and departmental affiliation (technical or pedagogical). In total, 100 participants took part: 80 teacher educators and 20 administrators.</w:t>
      </w:r>
    </w:p>
    <w:p w14:paraId="0B6DF295" w14:textId="77777777" w:rsidR="0043253A" w:rsidRPr="0043253A" w:rsidRDefault="0043253A" w:rsidP="002E799E">
      <w:pPr>
        <w:spacing w:before="100" w:beforeAutospacing="1" w:after="100" w:afterAutospacing="1" w:line="480" w:lineRule="auto"/>
        <w:ind w:firstLine="0"/>
        <w:rPr>
          <w:sz w:val="24"/>
        </w:rPr>
      </w:pPr>
      <w:r w:rsidRPr="0043253A">
        <w:rPr>
          <w:sz w:val="24"/>
        </w:rPr>
        <w:t>Data collection involved structured questionnaires (to assess familiarity with ATs, resource availability, and training challenges), key informant interviews (to explore policy, funding, and institutional support), and an observation schedule (to document AT infrastructure).</w:t>
      </w:r>
    </w:p>
    <w:p w14:paraId="13FFF2CE" w14:textId="77777777" w:rsidR="0043253A" w:rsidRPr="0043253A" w:rsidRDefault="0043253A" w:rsidP="002E799E">
      <w:pPr>
        <w:spacing w:before="100" w:beforeAutospacing="1" w:after="100" w:afterAutospacing="1" w:line="480" w:lineRule="auto"/>
        <w:ind w:firstLine="0"/>
        <w:rPr>
          <w:sz w:val="24"/>
        </w:rPr>
      </w:pPr>
      <w:r w:rsidRPr="0043253A">
        <w:rPr>
          <w:sz w:val="24"/>
        </w:rPr>
        <w:t>Quantitative data were analyzed using SPSS, employing descriptive statistics and cross-tabulations. Qualitative data were examined through thematic content analysis, following Braun and Clarke’s framework to identify patterns and insights.</w:t>
      </w:r>
    </w:p>
    <w:p w14:paraId="5D1296E9" w14:textId="77777777" w:rsidR="0043253A" w:rsidRPr="0043253A" w:rsidRDefault="0043253A" w:rsidP="002E799E">
      <w:pPr>
        <w:spacing w:before="100" w:beforeAutospacing="1" w:after="100" w:afterAutospacing="1" w:line="480" w:lineRule="auto"/>
        <w:ind w:firstLine="0"/>
        <w:rPr>
          <w:sz w:val="24"/>
        </w:rPr>
      </w:pPr>
      <w:r w:rsidRPr="0043253A">
        <w:rPr>
          <w:sz w:val="24"/>
        </w:rPr>
        <w:t>The study’s findings were presented thematically, blending statistical data and narrative insights to provide a well-rounded understanding of the current state of assistive technology training at KSTVET and the factors influencing its implementation.</w:t>
      </w:r>
    </w:p>
    <w:p w14:paraId="39B03520" w14:textId="45094426" w:rsidR="00B33973" w:rsidRPr="00B33973" w:rsidRDefault="00B33973" w:rsidP="002E799E">
      <w:pPr>
        <w:keepNext/>
        <w:keepLines/>
        <w:spacing w:before="0" w:after="160" w:line="278" w:lineRule="auto"/>
        <w:ind w:firstLine="0"/>
        <w:contextualSpacing/>
        <w:jc w:val="left"/>
        <w:outlineLvl w:val="0"/>
        <w:rPr>
          <w:rFonts w:eastAsiaTheme="majorEastAsia"/>
          <w:b/>
          <w:bCs/>
          <w:color w:val="2F5496" w:themeColor="accent1" w:themeShade="BF"/>
          <w:kern w:val="2"/>
          <w:sz w:val="24"/>
          <w14:ligatures w14:val="standardContextual"/>
        </w:rPr>
      </w:pPr>
      <w:r w:rsidRPr="00713A8D">
        <w:rPr>
          <w:rFonts w:eastAsiaTheme="majorEastAsia"/>
          <w:b/>
          <w:bCs/>
          <w:kern w:val="2"/>
          <w:sz w:val="24"/>
          <w14:ligatures w14:val="standardContextual"/>
        </w:rPr>
        <w:t>Findings</w:t>
      </w:r>
    </w:p>
    <w:p w14:paraId="01775EA5" w14:textId="03EC77AC" w:rsidR="00B33973" w:rsidRPr="00B33973" w:rsidRDefault="00B33973" w:rsidP="00B33973">
      <w:pPr>
        <w:spacing w:before="100" w:beforeAutospacing="1" w:after="100" w:afterAutospacing="1" w:line="480" w:lineRule="auto"/>
        <w:ind w:firstLine="0"/>
        <w:rPr>
          <w:sz w:val="24"/>
        </w:rPr>
      </w:pPr>
      <w:r w:rsidRPr="00B33973">
        <w:rPr>
          <w:sz w:val="24"/>
        </w:rPr>
        <w:t>A review of KSTVET educators’ proficiency in the use of assistive technologies reveals varied leveled that approximately 20% of educators exhibited high technical proficiency, and indicated they were confident in using assistive technology (AT) tools in their practice. A larger proportion, 45%, demonstrate moderate competence, indicating they could operate basic AT tools but often require additional support from technical team. Meanwhile, 35% of educators showed low competence, having limited or no exposure to AT tools. This finding highlights a significant need for targeted professional development to enhance AT-related skills for the teacher educators in order to effectively use Ats.</w:t>
      </w:r>
    </w:p>
    <w:p w14:paraId="5B769E0E" w14:textId="77777777" w:rsidR="00B33973" w:rsidRPr="00B33973" w:rsidRDefault="00B33973" w:rsidP="00B33973">
      <w:pPr>
        <w:keepNext/>
        <w:spacing w:before="100" w:beforeAutospacing="1" w:after="100" w:afterAutospacing="1" w:line="480" w:lineRule="auto"/>
        <w:ind w:firstLine="0"/>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noProof/>
          <w:kern w:val="2"/>
          <w:sz w:val="24"/>
          <w14:ligatures w14:val="standardContextual"/>
        </w:rPr>
        <w:lastRenderedPageBreak/>
        <w:drawing>
          <wp:inline distT="0" distB="0" distL="0" distR="0" wp14:anchorId="4D6C2DDC" wp14:editId="51FB7709">
            <wp:extent cx="2652461" cy="1656062"/>
            <wp:effectExtent l="0" t="0" r="0" b="1905"/>
            <wp:docPr id="7" name="Picture 4"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utput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3148" cy="1675221"/>
                    </a:xfrm>
                    <a:prstGeom prst="rect">
                      <a:avLst/>
                    </a:prstGeom>
                    <a:noFill/>
                    <a:ln>
                      <a:noFill/>
                    </a:ln>
                  </pic:spPr>
                </pic:pic>
              </a:graphicData>
            </a:graphic>
          </wp:inline>
        </w:drawing>
      </w:r>
    </w:p>
    <w:p w14:paraId="1EFCB50C" w14:textId="7F920515" w:rsidR="00B33973" w:rsidRPr="00B33973" w:rsidRDefault="00B33973" w:rsidP="00B33973">
      <w:pPr>
        <w:spacing w:before="0" w:after="200" w:line="240" w:lineRule="auto"/>
        <w:ind w:firstLine="0"/>
        <w:rPr>
          <w:rFonts w:asciiTheme="minorHAnsi" w:eastAsiaTheme="minorHAnsi" w:hAnsiTheme="minorHAnsi" w:cstheme="minorBidi"/>
          <w:i/>
          <w:iCs/>
          <w:color w:val="44546A" w:themeColor="text2"/>
          <w:kern w:val="2"/>
          <w:sz w:val="18"/>
          <w:szCs w:val="18"/>
          <w14:ligatures w14:val="standardContextual"/>
        </w:rPr>
      </w:pPr>
      <w:r w:rsidRPr="00B33973">
        <w:rPr>
          <w:rFonts w:asciiTheme="minorHAnsi" w:eastAsiaTheme="minorHAnsi" w:hAnsiTheme="minorHAnsi" w:cstheme="minorBidi"/>
          <w:i/>
          <w:iCs/>
          <w:color w:val="44546A" w:themeColor="text2"/>
          <w:kern w:val="2"/>
          <w:sz w:val="18"/>
          <w:szCs w:val="18"/>
          <w14:ligatures w14:val="standardContextual"/>
        </w:rPr>
        <w:t xml:space="preserve">Figure </w:t>
      </w:r>
      <w:r w:rsidRPr="00B33973">
        <w:rPr>
          <w:rFonts w:asciiTheme="minorHAnsi" w:eastAsiaTheme="minorHAnsi" w:hAnsiTheme="minorHAnsi" w:cstheme="minorBidi"/>
          <w:i/>
          <w:iCs/>
          <w:color w:val="44546A" w:themeColor="text2"/>
          <w:kern w:val="2"/>
          <w:sz w:val="18"/>
          <w:szCs w:val="18"/>
          <w14:ligatures w14:val="standardContextual"/>
        </w:rPr>
        <w:fldChar w:fldCharType="begin"/>
      </w:r>
      <w:r w:rsidRPr="00B33973">
        <w:rPr>
          <w:rFonts w:asciiTheme="minorHAnsi" w:eastAsiaTheme="minorHAnsi" w:hAnsiTheme="minorHAnsi" w:cstheme="minorBidi"/>
          <w:i/>
          <w:iCs/>
          <w:color w:val="44546A" w:themeColor="text2"/>
          <w:kern w:val="2"/>
          <w:sz w:val="18"/>
          <w:szCs w:val="18"/>
          <w14:ligatures w14:val="standardContextual"/>
        </w:rPr>
        <w:instrText xml:space="preserve"> SEQ Figure \* ARABIC </w:instrText>
      </w:r>
      <w:r w:rsidRPr="00B33973">
        <w:rPr>
          <w:rFonts w:asciiTheme="minorHAnsi" w:eastAsiaTheme="minorHAnsi" w:hAnsiTheme="minorHAnsi" w:cstheme="minorBidi"/>
          <w:i/>
          <w:iCs/>
          <w:color w:val="44546A" w:themeColor="text2"/>
          <w:kern w:val="2"/>
          <w:sz w:val="18"/>
          <w:szCs w:val="18"/>
          <w14:ligatures w14:val="standardContextual"/>
        </w:rPr>
        <w:fldChar w:fldCharType="separate"/>
      </w:r>
      <w:r w:rsidRPr="00B33973">
        <w:rPr>
          <w:rFonts w:asciiTheme="minorHAnsi" w:eastAsiaTheme="minorHAnsi" w:hAnsiTheme="minorHAnsi" w:cstheme="minorBidi"/>
          <w:i/>
          <w:iCs/>
          <w:noProof/>
          <w:color w:val="44546A" w:themeColor="text2"/>
          <w:kern w:val="2"/>
          <w:sz w:val="18"/>
          <w:szCs w:val="18"/>
          <w14:ligatures w14:val="standardContextual"/>
        </w:rPr>
        <w:t>1</w:t>
      </w:r>
      <w:r w:rsidRPr="00B33973">
        <w:rPr>
          <w:rFonts w:asciiTheme="minorHAnsi" w:eastAsiaTheme="minorHAnsi" w:hAnsiTheme="minorHAnsi" w:cstheme="minorBidi"/>
          <w:i/>
          <w:iCs/>
          <w:noProof/>
          <w:color w:val="44546A" w:themeColor="text2"/>
          <w:kern w:val="2"/>
          <w:sz w:val="18"/>
          <w:szCs w:val="18"/>
          <w14:ligatures w14:val="standardContextual"/>
        </w:rPr>
        <w:fldChar w:fldCharType="end"/>
      </w:r>
      <w:r w:rsidRPr="00B33973">
        <w:rPr>
          <w:rFonts w:asciiTheme="minorHAnsi" w:eastAsiaTheme="minorHAnsi" w:hAnsiTheme="minorHAnsi" w:cstheme="minorBidi"/>
          <w:i/>
          <w:iCs/>
          <w:color w:val="44546A" w:themeColor="text2"/>
          <w:kern w:val="2"/>
          <w:sz w:val="18"/>
          <w:szCs w:val="18"/>
          <w14:ligatures w14:val="standardContextual"/>
        </w:rPr>
        <w:t xml:space="preserve"> Educators competence in the use of Ats.</w:t>
      </w:r>
    </w:p>
    <w:p w14:paraId="6FA812D2" w14:textId="77777777" w:rsidR="00B33973" w:rsidRPr="00B33973" w:rsidRDefault="00B33973" w:rsidP="00CF7F63">
      <w:pPr>
        <w:numPr>
          <w:ilvl w:val="0"/>
          <w:numId w:val="9"/>
        </w:numPr>
        <w:spacing w:before="100" w:beforeAutospacing="1" w:after="100" w:afterAutospacing="1" w:line="480" w:lineRule="auto"/>
        <w:contextualSpacing/>
        <w:jc w:val="left"/>
        <w:rPr>
          <w:b/>
          <w:bCs/>
          <w:sz w:val="24"/>
        </w:rPr>
      </w:pPr>
      <w:r w:rsidRPr="00B33973">
        <w:rPr>
          <w:b/>
          <w:bCs/>
          <w:sz w:val="24"/>
        </w:rPr>
        <w:t>Pedagogical Integration of AT</w:t>
      </w:r>
    </w:p>
    <w:p w14:paraId="1DE6FDB3" w14:textId="77777777" w:rsidR="00B33973" w:rsidRPr="00B33973" w:rsidRDefault="00B33973" w:rsidP="00B33973">
      <w:pPr>
        <w:spacing w:before="100" w:beforeAutospacing="1" w:after="100" w:afterAutospacing="1" w:line="480" w:lineRule="auto"/>
        <w:ind w:firstLine="0"/>
        <w:rPr>
          <w:rFonts w:asciiTheme="minorHAnsi" w:eastAsiaTheme="minorHAnsi" w:hAnsiTheme="minorHAnsi" w:cstheme="minorBidi"/>
          <w:kern w:val="2"/>
          <w:sz w:val="24"/>
          <w14:ligatures w14:val="standardContextual"/>
        </w:rPr>
      </w:pPr>
      <w:r w:rsidRPr="00B33973">
        <w:rPr>
          <w:rFonts w:asciiTheme="minorHAnsi" w:eastAsiaTheme="minorHAnsi" w:hAnsiTheme="minorHAnsi" w:cstheme="minorBidi"/>
          <w:kern w:val="2"/>
          <w:sz w:val="24"/>
          <w14:ligatures w14:val="standardContextual"/>
        </w:rPr>
        <w:t>The integration of assistive technology (AT) into pedagogy among KSTVET educators varies significantly. Only 15% confirmed they effectively incorporate AT tools into their lesson plans and classroom activities, demonstrating meaningful and strategic use of such technologies. Meanwhile, 40% make attempts to integrate AT but do so with limited effectiveness, suggesting challenges in application or understanding. The largest group, 45% admitted that they do not integrate assistive technology into their teaching at all, highlighting a substantial gap in inclusive pedagogical practice that warrants attention through targeted training and institutional support</w:t>
      </w:r>
    </w:p>
    <w:p w14:paraId="419F75CC" w14:textId="77777777" w:rsidR="00B33973" w:rsidRPr="00B33973" w:rsidRDefault="00B33973" w:rsidP="00B33973">
      <w:pPr>
        <w:keepNext/>
        <w:spacing w:before="100" w:beforeAutospacing="1" w:after="100" w:afterAutospacing="1" w:line="480" w:lineRule="auto"/>
        <w:ind w:firstLine="0"/>
        <w:rPr>
          <w:rFonts w:asciiTheme="minorHAnsi" w:eastAsiaTheme="minorHAnsi" w:hAnsiTheme="minorHAnsi" w:cstheme="minorBidi"/>
          <w:kern w:val="2"/>
          <w:sz w:val="24"/>
          <w14:ligatures w14:val="standardContextual"/>
        </w:rPr>
      </w:pPr>
      <w:r w:rsidRPr="00B33973">
        <w:rPr>
          <w:sz w:val="24"/>
        </w:rPr>
        <w:t xml:space="preserve"> </w:t>
      </w:r>
      <w:r w:rsidRPr="00B33973">
        <w:rPr>
          <w:rFonts w:asciiTheme="minorHAnsi" w:eastAsiaTheme="minorHAnsi" w:hAnsiTheme="minorHAnsi" w:cstheme="minorBidi"/>
          <w:noProof/>
          <w:kern w:val="2"/>
          <w:sz w:val="24"/>
          <w14:ligatures w14:val="standardContextual"/>
        </w:rPr>
        <w:drawing>
          <wp:inline distT="0" distB="0" distL="0" distR="0" wp14:anchorId="02B3D457" wp14:editId="3AC27B28">
            <wp:extent cx="2729275" cy="1930737"/>
            <wp:effectExtent l="0" t="0" r="0" b="0"/>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8646" cy="1944440"/>
                    </a:xfrm>
                    <a:prstGeom prst="rect">
                      <a:avLst/>
                    </a:prstGeom>
                    <a:noFill/>
                    <a:ln>
                      <a:noFill/>
                    </a:ln>
                  </pic:spPr>
                </pic:pic>
              </a:graphicData>
            </a:graphic>
          </wp:inline>
        </w:drawing>
      </w:r>
    </w:p>
    <w:p w14:paraId="1D76EEAD" w14:textId="77777777" w:rsidR="00B33973" w:rsidRPr="00B33973" w:rsidRDefault="00B33973" w:rsidP="00B33973">
      <w:pPr>
        <w:spacing w:before="0" w:after="200" w:line="240" w:lineRule="auto"/>
        <w:ind w:firstLine="0"/>
        <w:rPr>
          <w:i/>
          <w:iCs/>
          <w:color w:val="44546A" w:themeColor="text2"/>
          <w:sz w:val="18"/>
          <w:szCs w:val="18"/>
        </w:rPr>
      </w:pPr>
      <w:r w:rsidRPr="00B33973">
        <w:rPr>
          <w:rFonts w:asciiTheme="minorHAnsi" w:eastAsiaTheme="minorHAnsi" w:hAnsiTheme="minorHAnsi" w:cstheme="minorBidi"/>
          <w:i/>
          <w:iCs/>
          <w:color w:val="44546A" w:themeColor="text2"/>
          <w:kern w:val="2"/>
          <w:sz w:val="18"/>
          <w:szCs w:val="18"/>
          <w14:ligatures w14:val="standardContextual"/>
        </w:rPr>
        <w:t xml:space="preserve">Figure </w:t>
      </w:r>
      <w:r w:rsidRPr="00B33973">
        <w:rPr>
          <w:rFonts w:asciiTheme="minorHAnsi" w:eastAsiaTheme="minorHAnsi" w:hAnsiTheme="minorHAnsi" w:cstheme="minorBidi"/>
          <w:i/>
          <w:iCs/>
          <w:color w:val="44546A" w:themeColor="text2"/>
          <w:kern w:val="2"/>
          <w:sz w:val="18"/>
          <w:szCs w:val="18"/>
          <w14:ligatures w14:val="standardContextual"/>
        </w:rPr>
        <w:fldChar w:fldCharType="begin"/>
      </w:r>
      <w:r w:rsidRPr="00B33973">
        <w:rPr>
          <w:rFonts w:asciiTheme="minorHAnsi" w:eastAsiaTheme="minorHAnsi" w:hAnsiTheme="minorHAnsi" w:cstheme="minorBidi"/>
          <w:i/>
          <w:iCs/>
          <w:color w:val="44546A" w:themeColor="text2"/>
          <w:kern w:val="2"/>
          <w:sz w:val="18"/>
          <w:szCs w:val="18"/>
          <w14:ligatures w14:val="standardContextual"/>
        </w:rPr>
        <w:instrText xml:space="preserve"> SEQ Figure \* ARABIC </w:instrText>
      </w:r>
      <w:r w:rsidRPr="00B33973">
        <w:rPr>
          <w:rFonts w:asciiTheme="minorHAnsi" w:eastAsiaTheme="minorHAnsi" w:hAnsiTheme="minorHAnsi" w:cstheme="minorBidi"/>
          <w:i/>
          <w:iCs/>
          <w:color w:val="44546A" w:themeColor="text2"/>
          <w:kern w:val="2"/>
          <w:sz w:val="18"/>
          <w:szCs w:val="18"/>
          <w14:ligatures w14:val="standardContextual"/>
        </w:rPr>
        <w:fldChar w:fldCharType="separate"/>
      </w:r>
      <w:r w:rsidRPr="00B33973">
        <w:rPr>
          <w:rFonts w:asciiTheme="minorHAnsi" w:eastAsiaTheme="minorHAnsi" w:hAnsiTheme="minorHAnsi" w:cstheme="minorBidi"/>
          <w:i/>
          <w:iCs/>
          <w:noProof/>
          <w:color w:val="44546A" w:themeColor="text2"/>
          <w:kern w:val="2"/>
          <w:sz w:val="18"/>
          <w:szCs w:val="18"/>
          <w14:ligatures w14:val="standardContextual"/>
        </w:rPr>
        <w:t>2</w:t>
      </w:r>
      <w:r w:rsidRPr="00B33973">
        <w:rPr>
          <w:rFonts w:asciiTheme="minorHAnsi" w:eastAsiaTheme="minorHAnsi" w:hAnsiTheme="minorHAnsi" w:cstheme="minorBidi"/>
          <w:i/>
          <w:iCs/>
          <w:noProof/>
          <w:color w:val="44546A" w:themeColor="text2"/>
          <w:kern w:val="2"/>
          <w:sz w:val="18"/>
          <w:szCs w:val="18"/>
          <w14:ligatures w14:val="standardContextual"/>
        </w:rPr>
        <w:fldChar w:fldCharType="end"/>
      </w:r>
      <w:r w:rsidRPr="00B33973">
        <w:rPr>
          <w:rFonts w:asciiTheme="minorHAnsi" w:eastAsiaTheme="minorHAnsi" w:hAnsiTheme="minorHAnsi" w:cstheme="minorBidi"/>
          <w:i/>
          <w:iCs/>
          <w:color w:val="44546A" w:themeColor="text2"/>
          <w:kern w:val="2"/>
          <w:sz w:val="18"/>
          <w:szCs w:val="18"/>
          <w14:ligatures w14:val="standardContextual"/>
        </w:rPr>
        <w:t>: Integration of assistive technology in training delivery</w:t>
      </w:r>
    </w:p>
    <w:p w14:paraId="76AF14F9" w14:textId="77777777" w:rsidR="00B33973" w:rsidRPr="00B33973" w:rsidRDefault="00B33973" w:rsidP="00CF7F63">
      <w:pPr>
        <w:numPr>
          <w:ilvl w:val="0"/>
          <w:numId w:val="9"/>
        </w:numPr>
        <w:spacing w:before="100" w:beforeAutospacing="1" w:after="100" w:afterAutospacing="1" w:line="480" w:lineRule="auto"/>
        <w:contextualSpacing/>
        <w:jc w:val="left"/>
        <w:rPr>
          <w:sz w:val="24"/>
        </w:rPr>
      </w:pPr>
      <w:r w:rsidRPr="00B33973">
        <w:rPr>
          <w:sz w:val="24"/>
        </w:rPr>
        <w:t>Orientation and Attitude</w:t>
      </w:r>
    </w:p>
    <w:p w14:paraId="35C48227" w14:textId="77777777" w:rsidR="00B33973" w:rsidRPr="00B33973" w:rsidRDefault="00B33973" w:rsidP="00B33973">
      <w:pPr>
        <w:spacing w:before="100" w:beforeAutospacing="1" w:after="100" w:afterAutospacing="1" w:line="360" w:lineRule="auto"/>
        <w:ind w:firstLine="0"/>
        <w:rPr>
          <w:sz w:val="24"/>
        </w:rPr>
      </w:pPr>
      <w:r w:rsidRPr="00B33973">
        <w:rPr>
          <w:sz w:val="24"/>
        </w:rPr>
        <w:t>The findings across three key competency areas; technical proficiency, pedagogical integration, and inclusive orientation reveal important insights into the educators' readiness to utilize assistive technologies (AT) in inclusive education.</w:t>
      </w:r>
    </w:p>
    <w:p w14:paraId="4EC1E902" w14:textId="77777777" w:rsidR="00B33973" w:rsidRPr="00B33973" w:rsidRDefault="00B33973" w:rsidP="00B33973">
      <w:pPr>
        <w:spacing w:before="100" w:beforeAutospacing="1" w:after="100" w:afterAutospacing="1" w:line="360" w:lineRule="auto"/>
        <w:ind w:firstLine="0"/>
        <w:rPr>
          <w:sz w:val="24"/>
        </w:rPr>
      </w:pPr>
      <w:r w:rsidRPr="00B33973">
        <w:rPr>
          <w:sz w:val="24"/>
        </w:rPr>
        <w:lastRenderedPageBreak/>
        <w:t xml:space="preserve">In terms of </w:t>
      </w:r>
      <w:r w:rsidRPr="00B33973">
        <w:rPr>
          <w:rFonts w:eastAsiaTheme="majorEastAsia"/>
          <w:sz w:val="24"/>
        </w:rPr>
        <w:t>technical proficiency</w:t>
      </w:r>
      <w:r w:rsidRPr="00B33973">
        <w:rPr>
          <w:sz w:val="24"/>
        </w:rPr>
        <w:t>, only 20% of educators demonstrate high competence, confidently using AT tools. A significant 45% show moderate competence, able to use basic AT tools with some support, while 35% have low proficiency, indicating limited or no exposure to such technologies.</w:t>
      </w:r>
    </w:p>
    <w:p w14:paraId="0014DF93" w14:textId="77777777" w:rsidR="00B33973" w:rsidRPr="00B33973" w:rsidRDefault="00B33973" w:rsidP="00B33973">
      <w:pPr>
        <w:spacing w:before="100" w:beforeAutospacing="1" w:after="100" w:afterAutospacing="1" w:line="360" w:lineRule="auto"/>
        <w:ind w:firstLine="0"/>
        <w:rPr>
          <w:sz w:val="24"/>
        </w:rPr>
      </w:pPr>
      <w:r w:rsidRPr="00B33973">
        <w:rPr>
          <w:sz w:val="24"/>
        </w:rPr>
        <w:t xml:space="preserve">For </w:t>
      </w:r>
      <w:r w:rsidRPr="00B33973">
        <w:rPr>
          <w:rFonts w:eastAsiaTheme="majorEastAsia"/>
          <w:sz w:val="24"/>
        </w:rPr>
        <w:t>pedagogical integration</w:t>
      </w:r>
      <w:r w:rsidRPr="00B33973">
        <w:rPr>
          <w:sz w:val="24"/>
        </w:rPr>
        <w:t>, just 15% of educators effectively embed AT into their teaching plans and classroom activities. A larger proportion, 40%, attempt to integrate AT but with limited effectiveness, and 45% do not incorporate AT into their pedagogy at all. This suggests a major gap between technical familiarity and actual instructional application.</w:t>
      </w:r>
    </w:p>
    <w:p w14:paraId="3BD1C8D1" w14:textId="77777777" w:rsidR="00B33973" w:rsidRPr="00B33973" w:rsidRDefault="00B33973" w:rsidP="00B33973">
      <w:pPr>
        <w:spacing w:before="100" w:beforeAutospacing="1" w:after="100" w:afterAutospacing="1" w:line="360" w:lineRule="auto"/>
        <w:ind w:firstLine="0"/>
        <w:rPr>
          <w:sz w:val="24"/>
        </w:rPr>
      </w:pPr>
      <w:r w:rsidRPr="00B33973">
        <w:rPr>
          <w:sz w:val="24"/>
        </w:rPr>
        <w:t xml:space="preserve">However, the results for </w:t>
      </w:r>
      <w:r w:rsidRPr="00B33973">
        <w:rPr>
          <w:rFonts w:eastAsiaTheme="majorEastAsia"/>
          <w:sz w:val="24"/>
        </w:rPr>
        <w:t>inclusive orientation</w:t>
      </w:r>
      <w:r w:rsidRPr="00B33973">
        <w:rPr>
          <w:sz w:val="24"/>
        </w:rPr>
        <w:t xml:space="preserve"> are more promising. A majority, 60% of KSTVET educators exhibited a high level of commitment to inclusive education values, with a clear understanding of the need to support diverse learners. An additional 25% demonstrated moderate inclusive orientation, while only 15% fell in the lower category.</w:t>
      </w:r>
    </w:p>
    <w:p w14:paraId="7A11DF87" w14:textId="77777777" w:rsidR="00B33973" w:rsidRPr="00B33973" w:rsidRDefault="00B33973" w:rsidP="00B33973">
      <w:pPr>
        <w:spacing w:before="100" w:beforeAutospacing="1" w:after="100" w:afterAutospacing="1" w:line="360" w:lineRule="auto"/>
        <w:ind w:firstLine="0"/>
        <w:rPr>
          <w:sz w:val="24"/>
        </w:rPr>
      </w:pPr>
      <w:r w:rsidRPr="00B33973">
        <w:rPr>
          <w:sz w:val="24"/>
        </w:rPr>
        <w:t>Although majority of the educators were positively inclined toward inclusive education, substantial gaps remain in their technical skills and practical integration of assistive technologies into teaching. This points to a need for targeted capacity-building efforts that address both the technical and pedagogical dimensions of AT use.</w:t>
      </w:r>
    </w:p>
    <w:p w14:paraId="068EAEBF" w14:textId="7F09ECB3" w:rsidR="00B33973" w:rsidRDefault="00B33973" w:rsidP="00B33973">
      <w:pPr>
        <w:pStyle w:val="Caption"/>
        <w:keepNext/>
      </w:pPr>
      <w:r>
        <w:t xml:space="preserve">Table </w:t>
      </w:r>
      <w:r>
        <w:fldChar w:fldCharType="begin"/>
      </w:r>
      <w:r>
        <w:instrText xml:space="preserve"> SEQ Table \* ARABIC </w:instrText>
      </w:r>
      <w:r>
        <w:fldChar w:fldCharType="separate"/>
      </w:r>
      <w:r>
        <w:rPr>
          <w:noProof/>
        </w:rPr>
        <w:t>1</w:t>
      </w:r>
      <w:r>
        <w:fldChar w:fldCharType="end"/>
      </w:r>
      <w:r>
        <w:t>: Orientation, integration and attitude</w:t>
      </w:r>
    </w:p>
    <w:tbl>
      <w:tblPr>
        <w:tblStyle w:val="TableGrid1"/>
        <w:tblW w:w="0" w:type="auto"/>
        <w:tblLook w:val="04A0" w:firstRow="1" w:lastRow="0" w:firstColumn="1" w:lastColumn="0" w:noHBand="0" w:noVBand="1"/>
      </w:tblPr>
      <w:tblGrid>
        <w:gridCol w:w="2337"/>
        <w:gridCol w:w="2337"/>
        <w:gridCol w:w="2338"/>
        <w:gridCol w:w="2338"/>
      </w:tblGrid>
      <w:tr w:rsidR="00B33973" w:rsidRPr="00B33973" w14:paraId="438236FA" w14:textId="77777777" w:rsidTr="00B127DB">
        <w:tc>
          <w:tcPr>
            <w:tcW w:w="2337" w:type="dxa"/>
          </w:tcPr>
          <w:p w14:paraId="1AB93136"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Competency Area</w:t>
            </w:r>
          </w:p>
        </w:tc>
        <w:tc>
          <w:tcPr>
            <w:tcW w:w="2337" w:type="dxa"/>
          </w:tcPr>
          <w:p w14:paraId="4DA19F23"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High (%)</w:t>
            </w:r>
          </w:p>
        </w:tc>
        <w:tc>
          <w:tcPr>
            <w:tcW w:w="2338" w:type="dxa"/>
          </w:tcPr>
          <w:p w14:paraId="4C62D63C"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Moderate (%)</w:t>
            </w:r>
          </w:p>
        </w:tc>
        <w:tc>
          <w:tcPr>
            <w:tcW w:w="2338" w:type="dxa"/>
          </w:tcPr>
          <w:p w14:paraId="06C19172" w14:textId="77777777" w:rsidR="00B33973" w:rsidRPr="00B33973" w:rsidRDefault="00B33973" w:rsidP="00B33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78" w:lineRule="auto"/>
              <w:ind w:firstLine="0"/>
              <w:jc w:val="left"/>
              <w:rPr>
                <w:sz w:val="18"/>
                <w:szCs w:val="18"/>
              </w:rPr>
            </w:pPr>
            <w:r w:rsidRPr="00B33973">
              <w:rPr>
                <w:sz w:val="18"/>
                <w:szCs w:val="18"/>
              </w:rPr>
              <w:t>Low (%)</w:t>
            </w:r>
          </w:p>
          <w:p w14:paraId="4AF56721" w14:textId="77777777" w:rsidR="00B33973" w:rsidRPr="00B33973" w:rsidRDefault="00B33973" w:rsidP="00B33973">
            <w:pPr>
              <w:spacing w:before="100" w:beforeAutospacing="1" w:after="100" w:afterAutospacing="1" w:line="480" w:lineRule="auto"/>
              <w:ind w:firstLine="0"/>
              <w:rPr>
                <w:sz w:val="18"/>
                <w:szCs w:val="18"/>
              </w:rPr>
            </w:pPr>
          </w:p>
        </w:tc>
      </w:tr>
      <w:tr w:rsidR="00B33973" w:rsidRPr="00B33973" w14:paraId="145756FA" w14:textId="77777777" w:rsidTr="00B127DB">
        <w:tc>
          <w:tcPr>
            <w:tcW w:w="2337" w:type="dxa"/>
          </w:tcPr>
          <w:p w14:paraId="7583F46D"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 xml:space="preserve">Technical Proficiency          </w:t>
            </w:r>
          </w:p>
        </w:tc>
        <w:tc>
          <w:tcPr>
            <w:tcW w:w="2337" w:type="dxa"/>
          </w:tcPr>
          <w:p w14:paraId="6244F11B"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20</w:t>
            </w:r>
          </w:p>
        </w:tc>
        <w:tc>
          <w:tcPr>
            <w:tcW w:w="2338" w:type="dxa"/>
          </w:tcPr>
          <w:p w14:paraId="09E28E3A"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45</w:t>
            </w:r>
          </w:p>
        </w:tc>
        <w:tc>
          <w:tcPr>
            <w:tcW w:w="2338" w:type="dxa"/>
          </w:tcPr>
          <w:p w14:paraId="5376EC62"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35</w:t>
            </w:r>
          </w:p>
        </w:tc>
      </w:tr>
      <w:tr w:rsidR="00B33973" w:rsidRPr="00B33973" w14:paraId="48B3CCC4" w14:textId="77777777" w:rsidTr="00B127DB">
        <w:tc>
          <w:tcPr>
            <w:tcW w:w="2337" w:type="dxa"/>
          </w:tcPr>
          <w:p w14:paraId="75B07375"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 xml:space="preserve">Pedagogical Integration       </w:t>
            </w:r>
          </w:p>
        </w:tc>
        <w:tc>
          <w:tcPr>
            <w:tcW w:w="2337" w:type="dxa"/>
          </w:tcPr>
          <w:p w14:paraId="0D4A4A04"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15</w:t>
            </w:r>
          </w:p>
        </w:tc>
        <w:tc>
          <w:tcPr>
            <w:tcW w:w="2338" w:type="dxa"/>
          </w:tcPr>
          <w:p w14:paraId="76062E54"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40</w:t>
            </w:r>
          </w:p>
        </w:tc>
        <w:tc>
          <w:tcPr>
            <w:tcW w:w="2338" w:type="dxa"/>
          </w:tcPr>
          <w:p w14:paraId="662C332A"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45</w:t>
            </w:r>
          </w:p>
        </w:tc>
      </w:tr>
      <w:tr w:rsidR="00B33973" w:rsidRPr="00B33973" w14:paraId="3E3C975C" w14:textId="77777777" w:rsidTr="00B127DB">
        <w:tc>
          <w:tcPr>
            <w:tcW w:w="2337" w:type="dxa"/>
          </w:tcPr>
          <w:p w14:paraId="34C3545E"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Inclusive Orientation</w:t>
            </w:r>
          </w:p>
        </w:tc>
        <w:tc>
          <w:tcPr>
            <w:tcW w:w="2337" w:type="dxa"/>
          </w:tcPr>
          <w:p w14:paraId="448879D5"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60</w:t>
            </w:r>
          </w:p>
        </w:tc>
        <w:tc>
          <w:tcPr>
            <w:tcW w:w="2338" w:type="dxa"/>
          </w:tcPr>
          <w:p w14:paraId="42B6B87F"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25</w:t>
            </w:r>
          </w:p>
        </w:tc>
        <w:tc>
          <w:tcPr>
            <w:tcW w:w="2338" w:type="dxa"/>
          </w:tcPr>
          <w:p w14:paraId="76D0AAFD" w14:textId="77777777" w:rsidR="00B33973" w:rsidRPr="00B33973" w:rsidRDefault="00B33973" w:rsidP="00B33973">
            <w:pPr>
              <w:spacing w:before="100" w:beforeAutospacing="1" w:after="100" w:afterAutospacing="1" w:line="480" w:lineRule="auto"/>
              <w:ind w:firstLine="0"/>
              <w:rPr>
                <w:sz w:val="18"/>
                <w:szCs w:val="18"/>
              </w:rPr>
            </w:pPr>
            <w:r w:rsidRPr="00B33973">
              <w:rPr>
                <w:sz w:val="18"/>
                <w:szCs w:val="18"/>
              </w:rPr>
              <w:t>15</w:t>
            </w:r>
          </w:p>
        </w:tc>
      </w:tr>
    </w:tbl>
    <w:p w14:paraId="4CC3106C" w14:textId="77777777" w:rsidR="00DA15A7" w:rsidRDefault="00DA15A7" w:rsidP="00B568DE">
      <w:pPr>
        <w:spacing w:before="100" w:beforeAutospacing="1" w:after="100" w:afterAutospacing="1" w:line="480" w:lineRule="auto"/>
        <w:ind w:firstLine="0"/>
        <w:contextualSpacing/>
        <w:jc w:val="left"/>
        <w:rPr>
          <w:b/>
          <w:bCs/>
          <w:sz w:val="24"/>
        </w:rPr>
      </w:pPr>
    </w:p>
    <w:p w14:paraId="270144AC" w14:textId="50DD16DE" w:rsidR="00B33973" w:rsidRPr="00B33973" w:rsidRDefault="00B33973" w:rsidP="00B568DE">
      <w:pPr>
        <w:spacing w:before="100" w:beforeAutospacing="1" w:after="100" w:afterAutospacing="1" w:line="480" w:lineRule="auto"/>
        <w:ind w:firstLine="0"/>
        <w:contextualSpacing/>
        <w:jc w:val="left"/>
        <w:rPr>
          <w:b/>
          <w:bCs/>
          <w:sz w:val="24"/>
        </w:rPr>
      </w:pPr>
      <w:r w:rsidRPr="00B33973">
        <w:rPr>
          <w:b/>
          <w:bCs/>
          <w:sz w:val="24"/>
        </w:rPr>
        <w:t>Findings of objective two on Challenges Faced by Teacher Educators at KSTVET in Implementing Assistive Technology Training for Inclusive Education</w:t>
      </w:r>
    </w:p>
    <w:p w14:paraId="76B44BC7" w14:textId="77777777" w:rsidR="00B33973" w:rsidRPr="00B33973" w:rsidRDefault="00B33973" w:rsidP="00B33973">
      <w:pPr>
        <w:spacing w:before="100" w:beforeAutospacing="1" w:after="100" w:afterAutospacing="1" w:line="480" w:lineRule="auto"/>
        <w:ind w:firstLine="0"/>
        <w:rPr>
          <w:sz w:val="24"/>
        </w:rPr>
      </w:pPr>
      <w:r w:rsidRPr="00B33973">
        <w:rPr>
          <w:sz w:val="24"/>
        </w:rPr>
        <w:t>To explore this objective, data were gathered through interviews, open-ended and close-ended questionnaires targeting trainers and relevant personnel at KSTVET, alongside an observation schedule conducted within the institution. The following challenges were identified:</w:t>
      </w:r>
    </w:p>
    <w:p w14:paraId="3EF6D70E" w14:textId="77777777" w:rsidR="00C041FC" w:rsidRDefault="00B33973" w:rsidP="004D4A53">
      <w:pPr>
        <w:spacing w:before="100" w:beforeAutospacing="1" w:after="100" w:afterAutospacing="1" w:line="360" w:lineRule="auto"/>
        <w:ind w:firstLine="0"/>
        <w:jc w:val="left"/>
        <w:rPr>
          <w:sz w:val="24"/>
        </w:rPr>
      </w:pPr>
      <w:r w:rsidRPr="00B33973">
        <w:rPr>
          <w:rFonts w:eastAsiaTheme="majorEastAsia"/>
          <w:b/>
          <w:bCs/>
          <w:sz w:val="24"/>
        </w:rPr>
        <w:t>Professional Capacity for use of ATs</w:t>
      </w:r>
      <w:r w:rsidRPr="00B33973">
        <w:rPr>
          <w:sz w:val="24"/>
        </w:rPr>
        <w:br/>
        <w:t xml:space="preserve">The findings on trainer competence for use of Ats revealed that 63% of trainers at the Kenya School of TVET (KSTVET) experienced challenges in effectively integrating ATs into their teaching due to limited competencies. On the other hand, most of the 33% of trainers who said they were well conversant with the </w:t>
      </w:r>
      <w:r w:rsidRPr="00B33973">
        <w:rPr>
          <w:sz w:val="24"/>
        </w:rPr>
        <w:lastRenderedPageBreak/>
        <w:t xml:space="preserve">use of ATs reported to have learned about them in the course of their job and not because they had been trained about them. </w:t>
      </w:r>
    </w:p>
    <w:p w14:paraId="193DE182" w14:textId="4E425CCC" w:rsidR="00B33973" w:rsidRPr="00B33973" w:rsidRDefault="006010C0" w:rsidP="006010C0">
      <w:pPr>
        <w:spacing w:before="100" w:beforeAutospacing="1" w:after="100" w:afterAutospacing="1" w:line="360" w:lineRule="auto"/>
        <w:ind w:left="798" w:hanging="90"/>
        <w:jc w:val="left"/>
        <w:rPr>
          <w:sz w:val="24"/>
        </w:rPr>
      </w:pPr>
      <w:r>
        <w:rPr>
          <w:i/>
          <w:iCs/>
          <w:sz w:val="24"/>
        </w:rPr>
        <w:t xml:space="preserve"> </w:t>
      </w:r>
      <w:r w:rsidR="00B33973" w:rsidRPr="00B33973">
        <w:rPr>
          <w:i/>
          <w:iCs/>
          <w:sz w:val="24"/>
        </w:rPr>
        <w:t>One trainer said “</w:t>
      </w:r>
      <w:r w:rsidR="00B33973" w:rsidRPr="00B33973">
        <w:rPr>
          <w:rFonts w:eastAsiaTheme="majorEastAsia"/>
          <w:i/>
          <w:iCs/>
          <w:sz w:val="24"/>
        </w:rPr>
        <w:t>"During my training, we barely touched on assistive technologies. I’ve had to rely on internet searches and informal chats with colleagues to even understand what’s available, whenever I realize I have a trainee who needs some of these technologies."</w:t>
      </w:r>
    </w:p>
    <w:p w14:paraId="7601022E" w14:textId="77777777" w:rsidR="00B33973" w:rsidRPr="00B33973" w:rsidRDefault="00B33973" w:rsidP="00C041FC">
      <w:pPr>
        <w:spacing w:before="100" w:beforeAutospacing="1" w:after="100" w:afterAutospacing="1" w:line="360" w:lineRule="auto"/>
        <w:ind w:firstLine="0"/>
        <w:contextualSpacing/>
        <w:jc w:val="left"/>
        <w:rPr>
          <w:sz w:val="24"/>
        </w:rPr>
      </w:pPr>
      <w:r w:rsidRPr="00B33973">
        <w:rPr>
          <w:sz w:val="24"/>
        </w:rPr>
        <w:t>The findings indicate that a significant proportion of respondents (AA%) disagreed with the statement that KSTVET possesses adequate and advanced Assistive Technologies (ATs) to effectively support trainees with Special Educational Needs (SEN). Conversely, 35% of the respondents acknowledged that a considerable number of ATs are in place to support learners with physical, visual, and hearing impairments. An additional 12% of respondents were non-committal regarding the adequacy and usage of ATs within the institution.</w:t>
      </w:r>
    </w:p>
    <w:p w14:paraId="1FBD8344" w14:textId="77777777" w:rsidR="00B33973" w:rsidRPr="00B33973" w:rsidRDefault="00B33973" w:rsidP="00B33973">
      <w:pPr>
        <w:spacing w:before="100" w:beforeAutospacing="1" w:after="100" w:afterAutospacing="1" w:line="360" w:lineRule="auto"/>
        <w:ind w:left="1080" w:firstLine="0"/>
        <w:jc w:val="left"/>
        <w:rPr>
          <w:rFonts w:eastAsiaTheme="majorEastAsia"/>
          <w:i/>
          <w:iCs/>
          <w:sz w:val="24"/>
        </w:rPr>
      </w:pPr>
      <w:r w:rsidRPr="00B33973">
        <w:rPr>
          <w:i/>
          <w:iCs/>
          <w:sz w:val="24"/>
        </w:rPr>
        <w:t>“Another trainer said "We had theory lessons on inclusive education, but without the actual devices or software to demonstrate, it’s difficult to bring the concepts to life for our trainees."</w:t>
      </w:r>
    </w:p>
    <w:p w14:paraId="4461988D" w14:textId="77777777" w:rsidR="00B33973" w:rsidRPr="00B33973" w:rsidRDefault="00B33973" w:rsidP="00B33973">
      <w:pPr>
        <w:spacing w:before="100" w:beforeAutospacing="1" w:after="100" w:afterAutospacing="1" w:line="360" w:lineRule="auto"/>
        <w:ind w:firstLine="0"/>
        <w:outlineLvl w:val="3"/>
        <w:rPr>
          <w:b/>
          <w:bCs/>
          <w:sz w:val="24"/>
        </w:rPr>
      </w:pPr>
      <w:r w:rsidRPr="00B33973">
        <w:rPr>
          <w:b/>
          <w:bCs/>
          <w:sz w:val="24"/>
        </w:rPr>
        <w:t>Perceptions on available AT resources at KSTVET</w:t>
      </w:r>
    </w:p>
    <w:p w14:paraId="34764499" w14:textId="77777777" w:rsidR="007D0BD3" w:rsidRPr="007D0BD3" w:rsidRDefault="007D0BD3" w:rsidP="000E0558">
      <w:pPr>
        <w:spacing w:before="100" w:beforeAutospacing="1" w:after="100" w:afterAutospacing="1" w:line="360" w:lineRule="auto"/>
        <w:ind w:firstLine="0"/>
        <w:rPr>
          <w:sz w:val="24"/>
        </w:rPr>
      </w:pPr>
      <w:r w:rsidRPr="007D0BD3">
        <w:rPr>
          <w:sz w:val="24"/>
        </w:rPr>
        <w:t>The findings revealed a shared concern among educators and administrators at KSTVET about the limited availability of assistive technologies (ATs). Over half of the educators (53%) felt that AT resources were inadequate, while only 35% believed they were available, and 12% were unsure. This highlights a significant gap in the tools needed to support inclusive teaching effectively.</w:t>
      </w:r>
    </w:p>
    <w:p w14:paraId="38327E32" w14:textId="77777777" w:rsidR="007D0BD3" w:rsidRPr="007D0BD3" w:rsidRDefault="007D0BD3" w:rsidP="000E0558">
      <w:pPr>
        <w:spacing w:before="100" w:beforeAutospacing="1" w:after="100" w:afterAutospacing="1" w:line="360" w:lineRule="auto"/>
        <w:ind w:firstLine="0"/>
        <w:rPr>
          <w:sz w:val="24"/>
        </w:rPr>
      </w:pPr>
      <w:r w:rsidRPr="007D0BD3">
        <w:rPr>
          <w:sz w:val="24"/>
        </w:rPr>
        <w:t>Administrators echoed these concerns. All agreed that staff would benefit from targeted capacity building on the use of ATs. Additionally, 51% confirmed that most departments lacked sufficient AT resources, except for the Open, Distance, and E-Learning (ODeL) department, where some ATs were integrated into the Learning Management System. Another 40% acknowledged the presence of some ATs, though many were outdated, and 9% were uncertain about the resource status.</w:t>
      </w:r>
    </w:p>
    <w:p w14:paraId="04200B20" w14:textId="77777777" w:rsidR="007D0BD3" w:rsidRPr="007D0BD3" w:rsidRDefault="007D0BD3" w:rsidP="000E0558">
      <w:pPr>
        <w:spacing w:before="100" w:beforeAutospacing="1" w:after="100" w:afterAutospacing="1" w:line="360" w:lineRule="auto"/>
        <w:ind w:firstLine="0"/>
        <w:rPr>
          <w:sz w:val="24"/>
        </w:rPr>
      </w:pPr>
      <w:r w:rsidRPr="007D0BD3">
        <w:rPr>
          <w:sz w:val="24"/>
        </w:rPr>
        <w:t>These perceptions suggest that both technical and pedagogical staff are under-equipped to fully implement inclusive education through assistive technologies. There is a clear call for increased investment in up-to-date AT infrastructure, as well as training and awareness initiatives to empower educators and improve learning experiences for all trainees.</w:t>
      </w:r>
    </w:p>
    <w:p w14:paraId="629DD474" w14:textId="2843C165" w:rsidR="00B33973" w:rsidRDefault="00B33973" w:rsidP="00B33973">
      <w:pPr>
        <w:spacing w:before="100" w:beforeAutospacing="1" w:after="100" w:afterAutospacing="1" w:line="360" w:lineRule="auto"/>
        <w:ind w:firstLine="0"/>
        <w:rPr>
          <w:i/>
          <w:iCs/>
          <w:sz w:val="24"/>
        </w:rPr>
      </w:pPr>
      <w:r w:rsidRPr="00B33973">
        <w:rPr>
          <w:i/>
          <w:iCs/>
          <w:sz w:val="24"/>
        </w:rPr>
        <w:t>A third trainer said “I’m not sure whether assistive technologies are available in our institution because there is limited awareness and training on their use.”</w:t>
      </w:r>
    </w:p>
    <w:p w14:paraId="02273B1D" w14:textId="77777777" w:rsidR="001D4C75" w:rsidRDefault="001D4C75" w:rsidP="00B33973">
      <w:pPr>
        <w:spacing w:before="100" w:beforeAutospacing="1" w:after="100" w:afterAutospacing="1" w:line="360" w:lineRule="auto"/>
        <w:ind w:firstLine="0"/>
        <w:rPr>
          <w:i/>
          <w:iCs/>
          <w:sz w:val="24"/>
        </w:rPr>
      </w:pPr>
    </w:p>
    <w:p w14:paraId="24CD4EFB" w14:textId="77777777" w:rsidR="001D4C75" w:rsidRPr="00B33973" w:rsidRDefault="001D4C75" w:rsidP="00B33973">
      <w:pPr>
        <w:spacing w:before="100" w:beforeAutospacing="1" w:after="100" w:afterAutospacing="1" w:line="360" w:lineRule="auto"/>
        <w:ind w:firstLine="0"/>
        <w:rPr>
          <w:i/>
          <w:iCs/>
          <w:sz w:val="24"/>
        </w:rPr>
      </w:pPr>
    </w:p>
    <w:p w14:paraId="7431A3CE" w14:textId="77777777" w:rsidR="00B33973" w:rsidRPr="00B33973" w:rsidRDefault="00B33973" w:rsidP="00B33973">
      <w:pPr>
        <w:spacing w:before="100" w:beforeAutospacing="1" w:after="100" w:afterAutospacing="1" w:line="360" w:lineRule="auto"/>
        <w:ind w:firstLine="0"/>
        <w:outlineLvl w:val="3"/>
        <w:rPr>
          <w:b/>
          <w:bCs/>
          <w:sz w:val="24"/>
        </w:rPr>
      </w:pPr>
      <w:r w:rsidRPr="00B33973">
        <w:rPr>
          <w:b/>
          <w:bCs/>
          <w:sz w:val="24"/>
        </w:rPr>
        <w:lastRenderedPageBreak/>
        <w:t>Perceptions of educators on types of ATs Available at KSTVET</w:t>
      </w:r>
    </w:p>
    <w:p w14:paraId="5AE1F206" w14:textId="462186F6" w:rsidR="00367019" w:rsidRPr="00367019" w:rsidRDefault="00367019" w:rsidP="00367019">
      <w:pPr>
        <w:spacing w:before="100" w:beforeAutospacing="1" w:after="100" w:afterAutospacing="1" w:line="360" w:lineRule="auto"/>
        <w:ind w:firstLine="0"/>
        <w:rPr>
          <w:sz w:val="24"/>
        </w:rPr>
      </w:pPr>
      <w:r w:rsidRPr="00367019">
        <w:rPr>
          <w:sz w:val="24"/>
        </w:rPr>
        <w:t>On-site observations at KSTVET confirmed educators' accounts regarding the use of assistive technologies (ATs). While various AT tools are in use</w:t>
      </w:r>
      <w:r w:rsidR="00013835">
        <w:rPr>
          <w:sz w:val="24"/>
        </w:rPr>
        <w:t xml:space="preserve">, </w:t>
      </w:r>
      <w:r w:rsidRPr="00367019">
        <w:rPr>
          <w:sz w:val="24"/>
        </w:rPr>
        <w:t>especially in online learning</w:t>
      </w:r>
      <w:r w:rsidR="00072715">
        <w:rPr>
          <w:sz w:val="24"/>
        </w:rPr>
        <w:t xml:space="preserve">, </w:t>
      </w:r>
      <w:r w:rsidRPr="00367019">
        <w:rPr>
          <w:sz w:val="24"/>
        </w:rPr>
        <w:t>most trainers admitted they learned to use them informally, through trial and error, without formal training. The findings revealed both encouraging developments and critical gaps in supporting learners with diverse needs.</w:t>
      </w:r>
    </w:p>
    <w:p w14:paraId="290EAEBE" w14:textId="77777777" w:rsidR="00367019" w:rsidRPr="00367019" w:rsidRDefault="00367019" w:rsidP="00367019">
      <w:pPr>
        <w:spacing w:before="100" w:beforeAutospacing="1" w:after="100" w:afterAutospacing="1" w:line="360" w:lineRule="auto"/>
        <w:ind w:firstLine="0"/>
        <w:rPr>
          <w:sz w:val="24"/>
        </w:rPr>
      </w:pPr>
      <w:r w:rsidRPr="00367019">
        <w:rPr>
          <w:sz w:val="24"/>
        </w:rPr>
        <w:t>For trainees with visual, hearing, and communication impairments, the institution has made notable progress. Screen readers, magnifiers, speech recognition, and text-to-speech tools aid those with visual challenges. Similarly, applications like Otter.ai and Google Live Transcribe, as well as real-time captioning and flashing alerts, support those with hearing difficulties. Communication-impaired learners benefit from tools like speech-generating devices, AAC tools, and voice recognition software.</w:t>
      </w:r>
    </w:p>
    <w:p w14:paraId="33526B58" w14:textId="77777777" w:rsidR="00367019" w:rsidRPr="00367019" w:rsidRDefault="00367019" w:rsidP="00367019">
      <w:pPr>
        <w:spacing w:before="100" w:beforeAutospacing="1" w:after="100" w:afterAutospacing="1" w:line="360" w:lineRule="auto"/>
        <w:ind w:firstLine="0"/>
        <w:rPr>
          <w:sz w:val="24"/>
        </w:rPr>
      </w:pPr>
      <w:r w:rsidRPr="00367019">
        <w:rPr>
          <w:sz w:val="24"/>
        </w:rPr>
        <w:t>However, for learners with mobility impairments, no specific assistive technologies were found, apart from basic infrastructure like ramps and rails. The absence of tailored tools such as adaptive keyboards or hands-free access systems highlights a significant gap.</w:t>
      </w:r>
    </w:p>
    <w:p w14:paraId="13D87432" w14:textId="0EF19BC2" w:rsidR="001D4C75" w:rsidRPr="00367019" w:rsidRDefault="00367019" w:rsidP="00367019">
      <w:pPr>
        <w:spacing w:before="100" w:beforeAutospacing="1" w:after="100" w:afterAutospacing="1" w:line="360" w:lineRule="auto"/>
        <w:ind w:firstLine="0"/>
        <w:rPr>
          <w:sz w:val="24"/>
        </w:rPr>
      </w:pPr>
      <w:r w:rsidRPr="00367019">
        <w:rPr>
          <w:sz w:val="24"/>
        </w:rPr>
        <w:t>In summary, while KSTVET has made progress in deploying ATs for certain learner groups, urgent attention is needed to address the unmet needs of those with mobility challenges and to provide formal training for educators to use these tools effectively.</w:t>
      </w:r>
    </w:p>
    <w:p w14:paraId="357117B0" w14:textId="4F542DE3" w:rsidR="00B33973" w:rsidRPr="00B33973" w:rsidRDefault="00B33973" w:rsidP="00072715">
      <w:pPr>
        <w:spacing w:before="0" w:after="0" w:line="360" w:lineRule="auto"/>
        <w:ind w:firstLine="0"/>
        <w:rPr>
          <w:b/>
          <w:bCs/>
          <w:sz w:val="24"/>
        </w:rPr>
      </w:pPr>
      <w:r w:rsidRPr="00B33973">
        <w:rPr>
          <w:b/>
          <w:bCs/>
          <w:sz w:val="24"/>
        </w:rPr>
        <w:t>Summary of ATs Available at KSTVET for inclusive Education</w:t>
      </w:r>
    </w:p>
    <w:tbl>
      <w:tblPr>
        <w:tblStyle w:val="TableGrid1"/>
        <w:tblW w:w="5000" w:type="pct"/>
        <w:tblLook w:val="04A0" w:firstRow="1" w:lastRow="0" w:firstColumn="1" w:lastColumn="0" w:noHBand="0" w:noVBand="1"/>
      </w:tblPr>
      <w:tblGrid>
        <w:gridCol w:w="2324"/>
        <w:gridCol w:w="4067"/>
        <w:gridCol w:w="4065"/>
      </w:tblGrid>
      <w:tr w:rsidR="00B33973" w:rsidRPr="00B33973" w14:paraId="0716F55A" w14:textId="77777777" w:rsidTr="00B127DB">
        <w:tc>
          <w:tcPr>
            <w:tcW w:w="1111" w:type="pct"/>
            <w:vAlign w:val="center"/>
          </w:tcPr>
          <w:p w14:paraId="4EA680C5" w14:textId="77777777" w:rsidR="00B33973" w:rsidRPr="00B33973" w:rsidRDefault="00B33973" w:rsidP="00B33973">
            <w:pPr>
              <w:spacing w:before="100" w:beforeAutospacing="1" w:after="100" w:afterAutospacing="1" w:line="360" w:lineRule="auto"/>
              <w:ind w:firstLine="0"/>
              <w:jc w:val="left"/>
              <w:outlineLvl w:val="3"/>
              <w:rPr>
                <w:b/>
                <w:bCs/>
                <w:sz w:val="16"/>
                <w:szCs w:val="16"/>
              </w:rPr>
            </w:pPr>
            <w:r w:rsidRPr="00B33973">
              <w:rPr>
                <w:b/>
                <w:bCs/>
                <w:sz w:val="16"/>
                <w:szCs w:val="16"/>
              </w:rPr>
              <w:t>Type of Impairment</w:t>
            </w:r>
          </w:p>
        </w:tc>
        <w:tc>
          <w:tcPr>
            <w:tcW w:w="1945" w:type="pct"/>
          </w:tcPr>
          <w:p w14:paraId="64A6EA7E" w14:textId="77777777" w:rsidR="00B33973" w:rsidRPr="00B33973" w:rsidRDefault="00B33973" w:rsidP="00B33973">
            <w:pPr>
              <w:spacing w:before="100" w:beforeAutospacing="1" w:after="100" w:afterAutospacing="1" w:line="360" w:lineRule="auto"/>
              <w:ind w:firstLine="0"/>
              <w:outlineLvl w:val="3"/>
              <w:rPr>
                <w:b/>
                <w:bCs/>
                <w:sz w:val="16"/>
                <w:szCs w:val="16"/>
              </w:rPr>
            </w:pPr>
            <w:r w:rsidRPr="00B33973">
              <w:rPr>
                <w:b/>
                <w:bCs/>
                <w:sz w:val="16"/>
                <w:szCs w:val="16"/>
              </w:rPr>
              <w:t>Function of ATs</w:t>
            </w:r>
          </w:p>
        </w:tc>
        <w:tc>
          <w:tcPr>
            <w:tcW w:w="1944" w:type="pct"/>
            <w:vAlign w:val="center"/>
          </w:tcPr>
          <w:p w14:paraId="727ED74F" w14:textId="77777777" w:rsidR="00B33973" w:rsidRPr="00B33973" w:rsidRDefault="00B33973" w:rsidP="00B33973">
            <w:pPr>
              <w:spacing w:before="100" w:beforeAutospacing="1" w:after="100" w:afterAutospacing="1" w:line="360" w:lineRule="auto"/>
              <w:ind w:firstLine="0"/>
              <w:outlineLvl w:val="3"/>
              <w:rPr>
                <w:b/>
                <w:bCs/>
                <w:sz w:val="16"/>
                <w:szCs w:val="16"/>
              </w:rPr>
            </w:pPr>
            <w:r w:rsidRPr="00B33973">
              <w:rPr>
                <w:b/>
                <w:bCs/>
                <w:sz w:val="16"/>
                <w:szCs w:val="16"/>
              </w:rPr>
              <w:t>Available ATs</w:t>
            </w:r>
          </w:p>
        </w:tc>
      </w:tr>
      <w:tr w:rsidR="00B33973" w:rsidRPr="00B33973" w14:paraId="624268EC" w14:textId="77777777" w:rsidTr="00B127DB">
        <w:tc>
          <w:tcPr>
            <w:tcW w:w="1111" w:type="pct"/>
            <w:vAlign w:val="center"/>
          </w:tcPr>
          <w:p w14:paraId="16CF36B8" w14:textId="77777777" w:rsidR="00B33973" w:rsidRPr="00B33973" w:rsidRDefault="00B33973" w:rsidP="00B33973">
            <w:pPr>
              <w:spacing w:before="100" w:beforeAutospacing="1" w:after="100" w:afterAutospacing="1" w:line="360" w:lineRule="auto"/>
              <w:ind w:firstLine="0"/>
              <w:outlineLvl w:val="3"/>
              <w:rPr>
                <w:b/>
                <w:bCs/>
                <w:sz w:val="16"/>
                <w:szCs w:val="16"/>
              </w:rPr>
            </w:pPr>
            <w:r w:rsidRPr="00B33973">
              <w:rPr>
                <w:b/>
                <w:bCs/>
                <w:sz w:val="16"/>
                <w:szCs w:val="16"/>
              </w:rPr>
              <w:t>Mobility ATs</w:t>
            </w:r>
          </w:p>
        </w:tc>
        <w:tc>
          <w:tcPr>
            <w:tcW w:w="1945" w:type="pct"/>
          </w:tcPr>
          <w:p w14:paraId="2672ED17"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To aid in mobility</w:t>
            </w:r>
          </w:p>
        </w:tc>
        <w:tc>
          <w:tcPr>
            <w:tcW w:w="1944" w:type="pct"/>
            <w:vAlign w:val="center"/>
          </w:tcPr>
          <w:p w14:paraId="21FE4055"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Ramps</w:t>
            </w:r>
          </w:p>
          <w:p w14:paraId="31F6C077"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Rails</w:t>
            </w:r>
          </w:p>
        </w:tc>
      </w:tr>
      <w:tr w:rsidR="00B33973" w:rsidRPr="00B33973" w14:paraId="559DF201" w14:textId="77777777" w:rsidTr="00B127DB">
        <w:tc>
          <w:tcPr>
            <w:tcW w:w="1111" w:type="pct"/>
            <w:vAlign w:val="center"/>
          </w:tcPr>
          <w:p w14:paraId="28C021D1" w14:textId="77777777" w:rsidR="00B33973" w:rsidRPr="00B33973" w:rsidRDefault="00B33973" w:rsidP="00B33973">
            <w:pPr>
              <w:spacing w:before="100" w:beforeAutospacing="1" w:after="100" w:afterAutospacing="1" w:line="360" w:lineRule="auto"/>
              <w:ind w:firstLine="0"/>
              <w:outlineLvl w:val="3"/>
              <w:rPr>
                <w:b/>
                <w:bCs/>
                <w:sz w:val="16"/>
                <w:szCs w:val="16"/>
              </w:rPr>
            </w:pPr>
            <w:r w:rsidRPr="00B33973">
              <w:rPr>
                <w:rFonts w:asciiTheme="minorHAnsi" w:eastAsiaTheme="minorHAnsi" w:hAnsiTheme="minorHAnsi" w:cstheme="minorBidi"/>
                <w:b/>
                <w:bCs/>
                <w:sz w:val="16"/>
                <w:szCs w:val="16"/>
              </w:rPr>
              <w:t>Visual Impairment ATs</w:t>
            </w:r>
          </w:p>
        </w:tc>
        <w:tc>
          <w:tcPr>
            <w:tcW w:w="1945" w:type="pct"/>
          </w:tcPr>
          <w:p w14:paraId="6DDE20F8"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To aid in vision</w:t>
            </w:r>
          </w:p>
        </w:tc>
        <w:tc>
          <w:tcPr>
            <w:tcW w:w="1944" w:type="pct"/>
            <w:vAlign w:val="center"/>
          </w:tcPr>
          <w:p w14:paraId="7DA3C652"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Screen readers (e.g., JAWS, NVDA)</w:t>
            </w:r>
          </w:p>
          <w:p w14:paraId="0EFC3E4A"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High contrast</w:t>
            </w:r>
          </w:p>
          <w:p w14:paraId="7DEE5227" w14:textId="77777777" w:rsidR="00B33973" w:rsidRPr="00B33973" w:rsidRDefault="00B33973" w:rsidP="00CF7F63">
            <w:pPr>
              <w:numPr>
                <w:ilvl w:val="0"/>
                <w:numId w:val="5"/>
              </w:numPr>
              <w:spacing w:before="0" w:after="0" w:line="240" w:lineRule="auto"/>
              <w:contextualSpacing/>
              <w:jc w:val="left"/>
              <w:rPr>
                <w:sz w:val="16"/>
                <w:szCs w:val="16"/>
              </w:rPr>
            </w:pPr>
            <w:r w:rsidRPr="00B33973">
              <w:rPr>
                <w:sz w:val="16"/>
                <w:szCs w:val="16"/>
              </w:rPr>
              <w:t>Magnifiers and screen magnification software</w:t>
            </w:r>
          </w:p>
          <w:p w14:paraId="3AD2A7FE" w14:textId="77777777" w:rsidR="00B33973" w:rsidRPr="00B33973" w:rsidRDefault="00B33973" w:rsidP="00CF7F63">
            <w:pPr>
              <w:numPr>
                <w:ilvl w:val="0"/>
                <w:numId w:val="5"/>
              </w:numPr>
              <w:spacing w:before="0" w:after="0" w:line="240" w:lineRule="auto"/>
              <w:contextualSpacing/>
              <w:jc w:val="left"/>
              <w:rPr>
                <w:b/>
                <w:bCs/>
                <w:sz w:val="16"/>
                <w:szCs w:val="16"/>
              </w:rPr>
            </w:pPr>
            <w:r w:rsidRPr="00B33973">
              <w:rPr>
                <w:sz w:val="16"/>
                <w:szCs w:val="16"/>
              </w:rPr>
              <w:t>Speech recognition</w:t>
            </w:r>
          </w:p>
          <w:p w14:paraId="3E837EA2" w14:textId="77777777" w:rsidR="00B33973" w:rsidRPr="00B33973" w:rsidRDefault="00B33973" w:rsidP="00CF7F63">
            <w:pPr>
              <w:numPr>
                <w:ilvl w:val="0"/>
                <w:numId w:val="5"/>
              </w:numPr>
              <w:spacing w:before="0" w:after="0" w:line="240" w:lineRule="auto"/>
              <w:contextualSpacing/>
              <w:jc w:val="left"/>
              <w:rPr>
                <w:b/>
                <w:bCs/>
                <w:sz w:val="16"/>
                <w:szCs w:val="16"/>
              </w:rPr>
            </w:pPr>
            <w:r w:rsidRPr="00B33973">
              <w:rPr>
                <w:sz w:val="16"/>
                <w:szCs w:val="16"/>
              </w:rPr>
              <w:t>Text to speech</w:t>
            </w:r>
          </w:p>
        </w:tc>
      </w:tr>
      <w:tr w:rsidR="00B33973" w:rsidRPr="00B33973" w14:paraId="3B31ACE4" w14:textId="77777777" w:rsidTr="008579B8">
        <w:trPr>
          <w:trHeight w:val="1358"/>
        </w:trPr>
        <w:tc>
          <w:tcPr>
            <w:tcW w:w="1111" w:type="pct"/>
            <w:vAlign w:val="center"/>
          </w:tcPr>
          <w:p w14:paraId="2759F272" w14:textId="77777777" w:rsidR="00B33973" w:rsidRPr="00B33973" w:rsidRDefault="00B33973" w:rsidP="00B33973">
            <w:pPr>
              <w:spacing w:before="0" w:after="160" w:line="278" w:lineRule="auto"/>
              <w:ind w:firstLine="0"/>
              <w:rPr>
                <w:b/>
                <w:bCs/>
                <w:sz w:val="16"/>
                <w:szCs w:val="16"/>
              </w:rPr>
            </w:pPr>
            <w:r w:rsidRPr="00B33973">
              <w:rPr>
                <w:b/>
                <w:bCs/>
                <w:sz w:val="16"/>
                <w:szCs w:val="16"/>
              </w:rPr>
              <w:t>Hearing Impairment (HI) Ats</w:t>
            </w:r>
          </w:p>
          <w:p w14:paraId="40B6D056" w14:textId="77777777" w:rsidR="00B33973" w:rsidRPr="00B33973" w:rsidRDefault="00B33973" w:rsidP="00B33973">
            <w:pPr>
              <w:spacing w:before="100" w:beforeAutospacing="1" w:after="100" w:afterAutospacing="1" w:line="278" w:lineRule="auto"/>
              <w:ind w:firstLine="0"/>
              <w:jc w:val="left"/>
              <w:rPr>
                <w:b/>
                <w:bCs/>
                <w:sz w:val="16"/>
                <w:szCs w:val="16"/>
              </w:rPr>
            </w:pPr>
          </w:p>
        </w:tc>
        <w:tc>
          <w:tcPr>
            <w:tcW w:w="1945" w:type="pct"/>
          </w:tcPr>
          <w:p w14:paraId="406353AD" w14:textId="77777777" w:rsidR="00B33973" w:rsidRPr="00B33973" w:rsidRDefault="00B33973" w:rsidP="00CF7F63">
            <w:pPr>
              <w:numPr>
                <w:ilvl w:val="0"/>
                <w:numId w:val="11"/>
              </w:numPr>
              <w:spacing w:before="100" w:beforeAutospacing="1" w:after="100" w:afterAutospacing="1" w:line="240" w:lineRule="auto"/>
              <w:contextualSpacing/>
              <w:jc w:val="left"/>
              <w:rPr>
                <w:sz w:val="16"/>
                <w:szCs w:val="16"/>
              </w:rPr>
            </w:pPr>
            <w:r w:rsidRPr="00B33973">
              <w:rPr>
                <w:sz w:val="16"/>
                <w:szCs w:val="16"/>
              </w:rPr>
              <w:t>Assist individuals who are deaf or hard of hearing.</w:t>
            </w:r>
          </w:p>
          <w:p w14:paraId="3D8DE4EC" w14:textId="77777777" w:rsidR="00B33973" w:rsidRPr="00B33973" w:rsidRDefault="00B33973" w:rsidP="00B33973">
            <w:pPr>
              <w:spacing w:before="100" w:beforeAutospacing="1" w:after="100" w:afterAutospacing="1" w:line="278" w:lineRule="auto"/>
              <w:ind w:left="360" w:firstLine="0"/>
              <w:jc w:val="left"/>
              <w:rPr>
                <w:sz w:val="16"/>
                <w:szCs w:val="16"/>
              </w:rPr>
            </w:pPr>
          </w:p>
        </w:tc>
        <w:tc>
          <w:tcPr>
            <w:tcW w:w="1944" w:type="pct"/>
            <w:vAlign w:val="center"/>
          </w:tcPr>
          <w:p w14:paraId="0793F9BF" w14:textId="77777777" w:rsidR="00B33973" w:rsidRPr="00B33973" w:rsidRDefault="00B33973" w:rsidP="00CF7F63">
            <w:pPr>
              <w:numPr>
                <w:ilvl w:val="0"/>
                <w:numId w:val="6"/>
              </w:numPr>
              <w:spacing w:before="100" w:beforeAutospacing="1" w:after="100" w:afterAutospacing="1" w:line="240" w:lineRule="auto"/>
              <w:jc w:val="left"/>
              <w:rPr>
                <w:sz w:val="16"/>
                <w:szCs w:val="16"/>
              </w:rPr>
            </w:pPr>
            <w:r w:rsidRPr="00B33973">
              <w:rPr>
                <w:sz w:val="16"/>
                <w:szCs w:val="16"/>
              </w:rPr>
              <w:t>Speech-to-text software (e.g., Otter.ai, Google Live Transcribe)</w:t>
            </w:r>
          </w:p>
          <w:p w14:paraId="52E0B6DA" w14:textId="77777777" w:rsidR="00B33973" w:rsidRPr="00B33973" w:rsidRDefault="00B33973" w:rsidP="00CF7F63">
            <w:pPr>
              <w:numPr>
                <w:ilvl w:val="0"/>
                <w:numId w:val="6"/>
              </w:numPr>
              <w:spacing w:before="100" w:beforeAutospacing="1" w:after="100" w:afterAutospacing="1" w:line="240" w:lineRule="auto"/>
              <w:jc w:val="left"/>
              <w:rPr>
                <w:sz w:val="16"/>
                <w:szCs w:val="16"/>
              </w:rPr>
            </w:pPr>
            <w:r w:rsidRPr="00B33973">
              <w:rPr>
                <w:sz w:val="16"/>
                <w:szCs w:val="16"/>
              </w:rPr>
              <w:t>Video relay services (VRS)</w:t>
            </w:r>
          </w:p>
          <w:p w14:paraId="11D3B851" w14:textId="77777777" w:rsidR="00B33973" w:rsidRPr="00B33973" w:rsidRDefault="00B33973" w:rsidP="00CF7F63">
            <w:pPr>
              <w:numPr>
                <w:ilvl w:val="0"/>
                <w:numId w:val="6"/>
              </w:numPr>
              <w:spacing w:before="100" w:beforeAutospacing="1" w:after="100" w:afterAutospacing="1" w:line="240" w:lineRule="auto"/>
              <w:jc w:val="left"/>
              <w:rPr>
                <w:sz w:val="16"/>
                <w:szCs w:val="16"/>
              </w:rPr>
            </w:pPr>
            <w:r w:rsidRPr="00B33973">
              <w:rPr>
                <w:sz w:val="16"/>
                <w:szCs w:val="16"/>
              </w:rPr>
              <w:t>Flashing alert systems</w:t>
            </w:r>
          </w:p>
          <w:p w14:paraId="0252BD38" w14:textId="77777777" w:rsidR="00B33973" w:rsidRPr="00B33973" w:rsidRDefault="00B33973" w:rsidP="00CF7F63">
            <w:pPr>
              <w:numPr>
                <w:ilvl w:val="0"/>
                <w:numId w:val="6"/>
              </w:numPr>
              <w:spacing w:before="100" w:beforeAutospacing="1" w:after="100" w:afterAutospacing="1" w:line="240" w:lineRule="auto"/>
              <w:jc w:val="left"/>
              <w:rPr>
                <w:sz w:val="16"/>
                <w:szCs w:val="16"/>
              </w:rPr>
            </w:pPr>
            <w:r w:rsidRPr="00B33973">
              <w:rPr>
                <w:sz w:val="16"/>
                <w:szCs w:val="16"/>
              </w:rPr>
              <w:t>Real-time captioning and subtitling</w:t>
            </w:r>
          </w:p>
        </w:tc>
      </w:tr>
      <w:tr w:rsidR="00B33973" w:rsidRPr="00B33973" w14:paraId="0606C938" w14:textId="77777777" w:rsidTr="008579B8">
        <w:trPr>
          <w:trHeight w:val="1889"/>
        </w:trPr>
        <w:tc>
          <w:tcPr>
            <w:tcW w:w="1111" w:type="pct"/>
            <w:vAlign w:val="center"/>
          </w:tcPr>
          <w:p w14:paraId="7BC26C5C" w14:textId="77777777" w:rsidR="00B33973" w:rsidRPr="00B33973" w:rsidRDefault="00B33973" w:rsidP="00B33973">
            <w:pPr>
              <w:spacing w:before="100" w:beforeAutospacing="1" w:after="100" w:afterAutospacing="1" w:line="278" w:lineRule="auto"/>
              <w:ind w:firstLine="0"/>
              <w:jc w:val="left"/>
              <w:outlineLvl w:val="2"/>
              <w:rPr>
                <w:b/>
                <w:bCs/>
                <w:sz w:val="16"/>
                <w:szCs w:val="16"/>
              </w:rPr>
            </w:pPr>
            <w:r w:rsidRPr="00B33973">
              <w:rPr>
                <w:b/>
                <w:bCs/>
                <w:sz w:val="16"/>
                <w:szCs w:val="16"/>
              </w:rPr>
              <w:t>Communication Ats</w:t>
            </w:r>
          </w:p>
          <w:p w14:paraId="6CC40BD7" w14:textId="77777777" w:rsidR="00B33973" w:rsidRPr="00B33973" w:rsidRDefault="00B33973" w:rsidP="00B33973">
            <w:pPr>
              <w:spacing w:before="100" w:beforeAutospacing="1" w:after="100" w:afterAutospacing="1" w:line="278" w:lineRule="auto"/>
              <w:ind w:firstLine="0"/>
              <w:jc w:val="left"/>
              <w:rPr>
                <w:sz w:val="16"/>
                <w:szCs w:val="16"/>
              </w:rPr>
            </w:pPr>
          </w:p>
          <w:p w14:paraId="38073237" w14:textId="77777777" w:rsidR="00B33973" w:rsidRPr="00B33973" w:rsidRDefault="00B33973" w:rsidP="00B33973">
            <w:pPr>
              <w:spacing w:before="100" w:beforeAutospacing="1" w:after="100" w:afterAutospacing="1" w:line="278" w:lineRule="auto"/>
              <w:ind w:firstLine="0"/>
              <w:jc w:val="left"/>
              <w:outlineLvl w:val="2"/>
              <w:rPr>
                <w:b/>
                <w:bCs/>
                <w:sz w:val="16"/>
                <w:szCs w:val="16"/>
              </w:rPr>
            </w:pPr>
          </w:p>
          <w:p w14:paraId="071E2C3E" w14:textId="77777777" w:rsidR="00B33973" w:rsidRPr="00B33973" w:rsidRDefault="00B33973" w:rsidP="00B33973">
            <w:pPr>
              <w:spacing w:before="100" w:beforeAutospacing="1" w:after="100" w:afterAutospacing="1" w:line="360" w:lineRule="auto"/>
              <w:ind w:firstLine="0"/>
              <w:outlineLvl w:val="3"/>
              <w:rPr>
                <w:b/>
                <w:bCs/>
                <w:sz w:val="16"/>
                <w:szCs w:val="16"/>
              </w:rPr>
            </w:pPr>
          </w:p>
        </w:tc>
        <w:tc>
          <w:tcPr>
            <w:tcW w:w="1945" w:type="pct"/>
          </w:tcPr>
          <w:p w14:paraId="2B940C35" w14:textId="77777777" w:rsidR="00B33973" w:rsidRPr="00B33973" w:rsidRDefault="00B33973" w:rsidP="00CF7F63">
            <w:pPr>
              <w:numPr>
                <w:ilvl w:val="0"/>
                <w:numId w:val="7"/>
              </w:numPr>
              <w:spacing w:before="0" w:after="100" w:afterAutospacing="1" w:line="278" w:lineRule="auto"/>
              <w:contextualSpacing/>
              <w:jc w:val="left"/>
              <w:rPr>
                <w:sz w:val="16"/>
                <w:szCs w:val="16"/>
              </w:rPr>
            </w:pPr>
            <w:r w:rsidRPr="00B33973">
              <w:rPr>
                <w:sz w:val="16"/>
                <w:szCs w:val="16"/>
              </w:rPr>
              <w:t>Help individuals with speech or language difficulties</w:t>
            </w:r>
          </w:p>
        </w:tc>
        <w:tc>
          <w:tcPr>
            <w:tcW w:w="1944" w:type="pct"/>
            <w:vAlign w:val="center"/>
          </w:tcPr>
          <w:p w14:paraId="69A5243E" w14:textId="77777777" w:rsidR="00B33973" w:rsidRPr="00B33973" w:rsidRDefault="00B33973" w:rsidP="00CF7F63">
            <w:pPr>
              <w:numPr>
                <w:ilvl w:val="0"/>
                <w:numId w:val="7"/>
              </w:numPr>
              <w:spacing w:before="0" w:after="100" w:afterAutospacing="1" w:line="278" w:lineRule="auto"/>
              <w:contextualSpacing/>
              <w:jc w:val="left"/>
              <w:rPr>
                <w:sz w:val="16"/>
                <w:szCs w:val="16"/>
              </w:rPr>
            </w:pPr>
            <w:r w:rsidRPr="00B33973">
              <w:rPr>
                <w:sz w:val="16"/>
                <w:szCs w:val="16"/>
              </w:rPr>
              <w:t>Speech-generating devices (SGDs)</w:t>
            </w:r>
          </w:p>
          <w:p w14:paraId="7F6C5A4D" w14:textId="77777777" w:rsidR="00B33973" w:rsidRPr="00B33973" w:rsidRDefault="00B33973" w:rsidP="00CF7F63">
            <w:pPr>
              <w:numPr>
                <w:ilvl w:val="0"/>
                <w:numId w:val="7"/>
              </w:numPr>
              <w:spacing w:before="0" w:after="100" w:afterAutospacing="1" w:line="278" w:lineRule="auto"/>
              <w:contextualSpacing/>
              <w:jc w:val="left"/>
              <w:rPr>
                <w:sz w:val="16"/>
                <w:szCs w:val="16"/>
              </w:rPr>
            </w:pPr>
            <w:r w:rsidRPr="00B33973">
              <w:rPr>
                <w:sz w:val="16"/>
                <w:szCs w:val="16"/>
              </w:rPr>
              <w:t>Augmentative and Alternative Communication (AAC) tools (e.g., communication boards)</w:t>
            </w:r>
          </w:p>
          <w:p w14:paraId="7AD13EDE" w14:textId="77777777" w:rsidR="00B33973" w:rsidRPr="00B33973" w:rsidRDefault="00B33973" w:rsidP="00CF7F63">
            <w:pPr>
              <w:numPr>
                <w:ilvl w:val="0"/>
                <w:numId w:val="7"/>
              </w:numPr>
              <w:spacing w:before="0" w:after="100" w:afterAutospacing="1" w:line="278" w:lineRule="auto"/>
              <w:contextualSpacing/>
              <w:jc w:val="left"/>
              <w:rPr>
                <w:sz w:val="16"/>
                <w:szCs w:val="16"/>
              </w:rPr>
            </w:pPr>
            <w:r w:rsidRPr="00B33973">
              <w:rPr>
                <w:sz w:val="16"/>
                <w:szCs w:val="16"/>
              </w:rPr>
              <w:t>Text-to-speech (TTS) software (e.g., NaturalReader, Read&amp;Write)</w:t>
            </w:r>
          </w:p>
          <w:p w14:paraId="4865D770" w14:textId="77777777" w:rsidR="00B33973" w:rsidRPr="00B33973" w:rsidRDefault="00B33973" w:rsidP="00CF7F63">
            <w:pPr>
              <w:numPr>
                <w:ilvl w:val="0"/>
                <w:numId w:val="7"/>
              </w:numPr>
              <w:spacing w:before="0" w:after="100" w:afterAutospacing="1" w:line="278" w:lineRule="auto"/>
              <w:contextualSpacing/>
              <w:jc w:val="left"/>
              <w:rPr>
                <w:sz w:val="16"/>
                <w:szCs w:val="16"/>
              </w:rPr>
            </w:pPr>
            <w:r w:rsidRPr="00B33973">
              <w:rPr>
                <w:sz w:val="16"/>
                <w:szCs w:val="16"/>
              </w:rPr>
              <w:t>Voice recognition software (e.g., Dragon NaturallySpeaking)</w:t>
            </w:r>
          </w:p>
        </w:tc>
      </w:tr>
      <w:tr w:rsidR="00B33973" w:rsidRPr="00B33973" w14:paraId="27C06951" w14:textId="77777777" w:rsidTr="008579B8">
        <w:trPr>
          <w:trHeight w:val="1430"/>
        </w:trPr>
        <w:tc>
          <w:tcPr>
            <w:tcW w:w="1111" w:type="pct"/>
            <w:vAlign w:val="center"/>
          </w:tcPr>
          <w:p w14:paraId="4D62218A" w14:textId="77777777" w:rsidR="00B33973" w:rsidRPr="00B33973" w:rsidRDefault="00B33973" w:rsidP="00B33973">
            <w:pPr>
              <w:spacing w:before="100" w:beforeAutospacing="1" w:after="100" w:afterAutospacing="1" w:line="278" w:lineRule="auto"/>
              <w:ind w:firstLine="0"/>
              <w:jc w:val="left"/>
              <w:outlineLvl w:val="2"/>
              <w:rPr>
                <w:b/>
                <w:bCs/>
                <w:sz w:val="16"/>
                <w:szCs w:val="16"/>
              </w:rPr>
            </w:pPr>
            <w:r w:rsidRPr="00B33973">
              <w:rPr>
                <w:b/>
                <w:bCs/>
                <w:sz w:val="16"/>
                <w:szCs w:val="16"/>
              </w:rPr>
              <w:t>Cognitive and Learning Aids</w:t>
            </w:r>
          </w:p>
          <w:p w14:paraId="48AD8DD0" w14:textId="77777777" w:rsidR="00B33973" w:rsidRPr="00B33973" w:rsidRDefault="00B33973" w:rsidP="00B33973">
            <w:pPr>
              <w:spacing w:before="100" w:beforeAutospacing="1" w:after="100" w:afterAutospacing="1" w:line="278" w:lineRule="auto"/>
              <w:ind w:firstLine="0"/>
              <w:jc w:val="left"/>
              <w:outlineLvl w:val="2"/>
              <w:rPr>
                <w:b/>
                <w:bCs/>
                <w:sz w:val="16"/>
                <w:szCs w:val="16"/>
              </w:rPr>
            </w:pPr>
          </w:p>
          <w:p w14:paraId="452646DE" w14:textId="77777777" w:rsidR="00B33973" w:rsidRPr="00B33973" w:rsidRDefault="00B33973" w:rsidP="00B33973">
            <w:pPr>
              <w:spacing w:before="100" w:beforeAutospacing="1" w:after="100" w:afterAutospacing="1" w:line="360" w:lineRule="auto"/>
              <w:ind w:firstLine="0"/>
              <w:outlineLvl w:val="3"/>
              <w:rPr>
                <w:b/>
                <w:bCs/>
                <w:sz w:val="16"/>
                <w:szCs w:val="16"/>
              </w:rPr>
            </w:pPr>
          </w:p>
        </w:tc>
        <w:tc>
          <w:tcPr>
            <w:tcW w:w="1945" w:type="pct"/>
          </w:tcPr>
          <w:p w14:paraId="68799879" w14:textId="77777777" w:rsidR="00B33973" w:rsidRPr="00B33973" w:rsidRDefault="00B33973" w:rsidP="00CF7F63">
            <w:pPr>
              <w:numPr>
                <w:ilvl w:val="0"/>
                <w:numId w:val="12"/>
              </w:numPr>
              <w:spacing w:before="100" w:beforeAutospacing="1" w:after="100" w:afterAutospacing="1" w:line="240" w:lineRule="auto"/>
              <w:contextualSpacing/>
              <w:jc w:val="left"/>
              <w:rPr>
                <w:sz w:val="16"/>
                <w:szCs w:val="16"/>
              </w:rPr>
            </w:pPr>
            <w:r w:rsidRPr="00B33973">
              <w:rPr>
                <w:sz w:val="16"/>
                <w:szCs w:val="16"/>
              </w:rPr>
              <w:t>Support individuals with cognitive or learning disabilities (e.g., ADHD, dyslexia, autism).</w:t>
            </w:r>
          </w:p>
          <w:p w14:paraId="1BDB5464" w14:textId="77777777" w:rsidR="00B33973" w:rsidRPr="00B33973" w:rsidRDefault="00B33973" w:rsidP="00B33973">
            <w:pPr>
              <w:spacing w:before="100" w:beforeAutospacing="1" w:after="100" w:afterAutospacing="1" w:line="278" w:lineRule="auto"/>
              <w:ind w:left="360" w:firstLine="0"/>
              <w:jc w:val="left"/>
              <w:rPr>
                <w:sz w:val="16"/>
                <w:szCs w:val="16"/>
              </w:rPr>
            </w:pPr>
          </w:p>
        </w:tc>
        <w:tc>
          <w:tcPr>
            <w:tcW w:w="1944" w:type="pct"/>
            <w:vAlign w:val="center"/>
          </w:tcPr>
          <w:p w14:paraId="48415286" w14:textId="77777777" w:rsidR="00B33973" w:rsidRPr="00B33973" w:rsidRDefault="00B33973" w:rsidP="00CF7F63">
            <w:pPr>
              <w:numPr>
                <w:ilvl w:val="0"/>
                <w:numId w:val="8"/>
              </w:numPr>
              <w:spacing w:before="100" w:beforeAutospacing="1" w:after="100" w:afterAutospacing="1" w:line="240" w:lineRule="auto"/>
              <w:jc w:val="left"/>
              <w:rPr>
                <w:sz w:val="16"/>
                <w:szCs w:val="16"/>
              </w:rPr>
            </w:pPr>
            <w:r w:rsidRPr="00B33973">
              <w:rPr>
                <w:sz w:val="16"/>
                <w:szCs w:val="16"/>
              </w:rPr>
              <w:t>Audio books and e-readers</w:t>
            </w:r>
          </w:p>
          <w:p w14:paraId="0D07C27D" w14:textId="77777777" w:rsidR="00B33973" w:rsidRPr="00B33973" w:rsidRDefault="00B33973" w:rsidP="00CF7F63">
            <w:pPr>
              <w:numPr>
                <w:ilvl w:val="0"/>
                <w:numId w:val="8"/>
              </w:numPr>
              <w:spacing w:before="100" w:beforeAutospacing="1" w:after="100" w:afterAutospacing="1" w:line="240" w:lineRule="auto"/>
              <w:jc w:val="left"/>
              <w:rPr>
                <w:sz w:val="16"/>
                <w:szCs w:val="16"/>
              </w:rPr>
            </w:pPr>
            <w:r w:rsidRPr="00B33973">
              <w:rPr>
                <w:sz w:val="16"/>
                <w:szCs w:val="16"/>
              </w:rPr>
              <w:t>Word prediction software (e.g., Co: Writer)</w:t>
            </w:r>
          </w:p>
          <w:p w14:paraId="7DBCE6C9" w14:textId="77777777" w:rsidR="00B33973" w:rsidRPr="00B33973" w:rsidRDefault="00B33973" w:rsidP="00CF7F63">
            <w:pPr>
              <w:numPr>
                <w:ilvl w:val="0"/>
                <w:numId w:val="8"/>
              </w:numPr>
              <w:spacing w:before="100" w:beforeAutospacing="1" w:after="100" w:afterAutospacing="1" w:line="240" w:lineRule="auto"/>
              <w:jc w:val="left"/>
              <w:rPr>
                <w:sz w:val="16"/>
                <w:szCs w:val="16"/>
              </w:rPr>
            </w:pPr>
            <w:r w:rsidRPr="00B33973">
              <w:rPr>
                <w:sz w:val="16"/>
                <w:szCs w:val="16"/>
              </w:rPr>
              <w:t>Simplified interfaces and distraction-free apps</w:t>
            </w:r>
          </w:p>
          <w:p w14:paraId="52EEA1C2" w14:textId="77777777" w:rsidR="00B33973" w:rsidRPr="00B33973" w:rsidRDefault="00B33973" w:rsidP="00CF7F63">
            <w:pPr>
              <w:numPr>
                <w:ilvl w:val="0"/>
                <w:numId w:val="8"/>
              </w:numPr>
              <w:spacing w:before="100" w:beforeAutospacing="1" w:after="100" w:afterAutospacing="1" w:line="240" w:lineRule="auto"/>
              <w:jc w:val="left"/>
              <w:rPr>
                <w:sz w:val="16"/>
                <w:szCs w:val="16"/>
              </w:rPr>
            </w:pPr>
            <w:r w:rsidRPr="00B33973">
              <w:rPr>
                <w:sz w:val="16"/>
                <w:szCs w:val="16"/>
              </w:rPr>
              <w:t>Timers and visual schedules</w:t>
            </w:r>
          </w:p>
        </w:tc>
      </w:tr>
    </w:tbl>
    <w:p w14:paraId="1B951A1A" w14:textId="77777777" w:rsidR="00B33973" w:rsidRPr="00B33973" w:rsidRDefault="00B33973" w:rsidP="00B33973">
      <w:pPr>
        <w:spacing w:before="0" w:after="200" w:line="360" w:lineRule="auto"/>
        <w:ind w:firstLine="0"/>
        <w:rPr>
          <w:b/>
          <w:bCs/>
          <w:i/>
          <w:iCs/>
          <w:color w:val="44546A" w:themeColor="text2"/>
          <w:sz w:val="18"/>
          <w:szCs w:val="18"/>
        </w:rPr>
      </w:pPr>
      <w:r w:rsidRPr="00B33973">
        <w:rPr>
          <w:rFonts w:asciiTheme="minorHAnsi" w:eastAsiaTheme="minorHAnsi" w:hAnsiTheme="minorHAnsi" w:cstheme="minorBidi"/>
          <w:i/>
          <w:iCs/>
          <w:color w:val="44546A" w:themeColor="text2"/>
          <w:kern w:val="2"/>
          <w:sz w:val="18"/>
          <w:szCs w:val="18"/>
          <w14:ligatures w14:val="standardContextual"/>
        </w:rPr>
        <w:t xml:space="preserve">Figure </w:t>
      </w:r>
      <w:r w:rsidRPr="00B33973">
        <w:rPr>
          <w:rFonts w:asciiTheme="minorHAnsi" w:eastAsiaTheme="minorHAnsi" w:hAnsiTheme="minorHAnsi" w:cstheme="minorBidi"/>
          <w:i/>
          <w:iCs/>
          <w:color w:val="44546A" w:themeColor="text2"/>
          <w:kern w:val="2"/>
          <w:sz w:val="18"/>
          <w:szCs w:val="18"/>
          <w14:ligatures w14:val="standardContextual"/>
        </w:rPr>
        <w:fldChar w:fldCharType="begin"/>
      </w:r>
      <w:r w:rsidRPr="00B33973">
        <w:rPr>
          <w:rFonts w:asciiTheme="minorHAnsi" w:eastAsiaTheme="minorHAnsi" w:hAnsiTheme="minorHAnsi" w:cstheme="minorBidi"/>
          <w:i/>
          <w:iCs/>
          <w:color w:val="44546A" w:themeColor="text2"/>
          <w:kern w:val="2"/>
          <w:sz w:val="18"/>
          <w:szCs w:val="18"/>
          <w14:ligatures w14:val="standardContextual"/>
        </w:rPr>
        <w:instrText xml:space="preserve"> SEQ Figure \* ARABIC </w:instrText>
      </w:r>
      <w:r w:rsidRPr="00B33973">
        <w:rPr>
          <w:rFonts w:asciiTheme="minorHAnsi" w:eastAsiaTheme="minorHAnsi" w:hAnsiTheme="minorHAnsi" w:cstheme="minorBidi"/>
          <w:i/>
          <w:iCs/>
          <w:color w:val="44546A" w:themeColor="text2"/>
          <w:kern w:val="2"/>
          <w:sz w:val="18"/>
          <w:szCs w:val="18"/>
          <w14:ligatures w14:val="standardContextual"/>
        </w:rPr>
        <w:fldChar w:fldCharType="separate"/>
      </w:r>
      <w:r w:rsidRPr="00B33973">
        <w:rPr>
          <w:rFonts w:asciiTheme="minorHAnsi" w:eastAsiaTheme="minorHAnsi" w:hAnsiTheme="minorHAnsi" w:cstheme="minorBidi"/>
          <w:i/>
          <w:iCs/>
          <w:noProof/>
          <w:color w:val="44546A" w:themeColor="text2"/>
          <w:kern w:val="2"/>
          <w:sz w:val="18"/>
          <w:szCs w:val="18"/>
          <w14:ligatures w14:val="standardContextual"/>
        </w:rPr>
        <w:t>3</w:t>
      </w:r>
      <w:r w:rsidRPr="00B33973">
        <w:rPr>
          <w:rFonts w:asciiTheme="minorHAnsi" w:eastAsiaTheme="minorHAnsi" w:hAnsiTheme="minorHAnsi" w:cstheme="minorBidi"/>
          <w:i/>
          <w:iCs/>
          <w:noProof/>
          <w:color w:val="44546A" w:themeColor="text2"/>
          <w:kern w:val="2"/>
          <w:sz w:val="18"/>
          <w:szCs w:val="18"/>
          <w14:ligatures w14:val="standardContextual"/>
        </w:rPr>
        <w:fldChar w:fldCharType="end"/>
      </w:r>
      <w:r w:rsidRPr="00B33973">
        <w:rPr>
          <w:rFonts w:asciiTheme="minorHAnsi" w:eastAsiaTheme="minorHAnsi" w:hAnsiTheme="minorHAnsi" w:cstheme="minorBidi"/>
          <w:i/>
          <w:iCs/>
          <w:color w:val="44546A" w:themeColor="text2"/>
          <w:kern w:val="2"/>
          <w:sz w:val="18"/>
          <w:szCs w:val="18"/>
          <w14:ligatures w14:val="standardContextual"/>
        </w:rPr>
        <w:t>: Summary of ATs available at KSTVET for inclusive training</w:t>
      </w:r>
    </w:p>
    <w:p w14:paraId="5F37CA37" w14:textId="77777777" w:rsidR="00286A6F" w:rsidRPr="00286A6F" w:rsidRDefault="00286A6F" w:rsidP="00165766">
      <w:pPr>
        <w:spacing w:before="100" w:beforeAutospacing="1" w:after="100" w:afterAutospacing="1" w:line="360" w:lineRule="auto"/>
        <w:ind w:firstLine="0"/>
        <w:rPr>
          <w:sz w:val="24"/>
        </w:rPr>
      </w:pPr>
      <w:r w:rsidRPr="00286A6F">
        <w:rPr>
          <w:sz w:val="24"/>
        </w:rPr>
        <w:lastRenderedPageBreak/>
        <w:t>The study reveals a mixed reality regarding assistive technology (AT) integration at the Kenya School of TVET (KSTVET). While the institution has made some progress by introducing certain AT tools, their availability and adequacy remain limited, falling short of addressing the diverse needs of trainees. This gap not only affects the quality of learning for trainees with disabilities but also undermines the ability of future trainers to effectively support inclusive education.</w:t>
      </w:r>
    </w:p>
    <w:p w14:paraId="3C0420E7" w14:textId="4112CBE7" w:rsidR="00286A6F" w:rsidRPr="00286A6F" w:rsidRDefault="00286A6F" w:rsidP="00165766">
      <w:pPr>
        <w:spacing w:before="100" w:beforeAutospacing="1" w:after="100" w:afterAutospacing="1" w:line="360" w:lineRule="auto"/>
        <w:ind w:firstLine="0"/>
        <w:rPr>
          <w:sz w:val="24"/>
        </w:rPr>
      </w:pPr>
      <w:r w:rsidRPr="00286A6F">
        <w:rPr>
          <w:sz w:val="24"/>
        </w:rPr>
        <w:t>Key barriers include insufficient curriculum coverage on AT, with content often delivered in a fragmented or superficial manner. Many educators lack both awareness of AT's benefits and the hands-on skills needed to implement it. In some cases, negative perceptions of learners with disabilities further hinder inclusive teaching efforts.</w:t>
      </w:r>
      <w:r w:rsidR="00BD7E71">
        <w:rPr>
          <w:sz w:val="24"/>
        </w:rPr>
        <w:t xml:space="preserve"> </w:t>
      </w:r>
      <w:r w:rsidRPr="00286A6F">
        <w:rPr>
          <w:sz w:val="24"/>
        </w:rPr>
        <w:t>Teacher educators are burdened by an already packed curriculum, leaving little time for specialized training in assistive technologies. Furthermore, opportunities for ongoing professional development are scarce, leading to a reliance on outdated methods and tools.</w:t>
      </w:r>
    </w:p>
    <w:p w14:paraId="056F087A" w14:textId="77777777" w:rsidR="00286A6F" w:rsidRPr="00286A6F" w:rsidRDefault="00286A6F" w:rsidP="00165766">
      <w:pPr>
        <w:spacing w:before="100" w:beforeAutospacing="1" w:after="100" w:afterAutospacing="1" w:line="360" w:lineRule="auto"/>
        <w:ind w:firstLine="0"/>
        <w:rPr>
          <w:sz w:val="24"/>
        </w:rPr>
      </w:pPr>
      <w:r w:rsidRPr="00286A6F">
        <w:rPr>
          <w:sz w:val="24"/>
        </w:rPr>
        <w:t>Although Kenya has established strong policies promoting inclusive education, there remains a significant gap between these policies and their actual implementation at the institutional level. The absence of clear, actionable strategies within teacher training programs like those at KSTVET slows the progress toward meaningful inclusion. Bridging this policy-practice divide, investing in AT resources, and strengthening educator capacity are critical steps toward realizing a more inclusive and supportive education system.</w:t>
      </w:r>
    </w:p>
    <w:p w14:paraId="61D4D93A" w14:textId="77777777" w:rsidR="00B33973" w:rsidRPr="00B33973" w:rsidRDefault="00B33973" w:rsidP="00B33973">
      <w:pPr>
        <w:spacing w:before="100" w:beforeAutospacing="1" w:after="100" w:afterAutospacing="1" w:line="360" w:lineRule="auto"/>
        <w:ind w:firstLine="0"/>
        <w:outlineLvl w:val="3"/>
        <w:rPr>
          <w:b/>
          <w:bCs/>
          <w:sz w:val="24"/>
        </w:rPr>
      </w:pPr>
      <w:r w:rsidRPr="00B33973">
        <w:rPr>
          <w:b/>
          <w:bCs/>
          <w:sz w:val="24"/>
        </w:rPr>
        <w:t>Conclusion</w:t>
      </w:r>
    </w:p>
    <w:p w14:paraId="1ACCC030" w14:textId="50B80AFE" w:rsidR="00981EB6" w:rsidRPr="00981EB6" w:rsidRDefault="00981EB6" w:rsidP="00981EB6">
      <w:pPr>
        <w:spacing w:before="100" w:beforeAutospacing="1" w:after="100" w:afterAutospacing="1" w:line="360" w:lineRule="auto"/>
        <w:ind w:firstLine="0"/>
        <w:rPr>
          <w:sz w:val="24"/>
        </w:rPr>
      </w:pPr>
      <w:r w:rsidRPr="00981EB6">
        <w:rPr>
          <w:sz w:val="24"/>
        </w:rPr>
        <w:t>The study reveals two key insights about assistive technology (AT) training at the Kenya School of TVET (KSTVET). First, while many teacher educators are increasingly aware of and interested in AT, their overall competency varies, with many still needing further training and support. Successful integration of AT relies not just on individual skills but also on access to tools, ongoing professional development, and strong institutional backing. Second, structural challenges</w:t>
      </w:r>
      <w:r w:rsidR="003B3BC6">
        <w:rPr>
          <w:sz w:val="24"/>
        </w:rPr>
        <w:t xml:space="preserve"> </w:t>
      </w:r>
      <w:r w:rsidRPr="00981EB6">
        <w:rPr>
          <w:sz w:val="24"/>
        </w:rPr>
        <w:t>such as inconsistent availability of AT resources and limited institutional coordination</w:t>
      </w:r>
      <w:r w:rsidR="00BD7E71">
        <w:rPr>
          <w:sz w:val="24"/>
        </w:rPr>
        <w:t xml:space="preserve"> </w:t>
      </w:r>
      <w:r w:rsidRPr="00981EB6">
        <w:rPr>
          <w:sz w:val="24"/>
        </w:rPr>
        <w:t>hamper effective implementation. To improve, KSTVET needs to invest in both educator development and institutional capacity to better prepare future trainers for inclusive teaching.</w:t>
      </w:r>
    </w:p>
    <w:p w14:paraId="5A87EDE2" w14:textId="77777777" w:rsidR="00981EB6" w:rsidRPr="00981EB6" w:rsidRDefault="00981EB6" w:rsidP="00981EB6">
      <w:pPr>
        <w:pBdr>
          <w:bottom w:val="single" w:sz="6" w:space="1" w:color="auto"/>
        </w:pBdr>
        <w:spacing w:before="0" w:after="0" w:line="240" w:lineRule="auto"/>
        <w:ind w:firstLine="0"/>
        <w:jc w:val="center"/>
        <w:rPr>
          <w:rFonts w:ascii="Arial" w:hAnsi="Arial" w:cs="Arial"/>
          <w:vanish/>
          <w:sz w:val="16"/>
          <w:szCs w:val="16"/>
        </w:rPr>
      </w:pPr>
      <w:r w:rsidRPr="00981EB6">
        <w:rPr>
          <w:rFonts w:ascii="Arial" w:hAnsi="Arial" w:cs="Arial"/>
          <w:vanish/>
          <w:sz w:val="16"/>
          <w:szCs w:val="16"/>
        </w:rPr>
        <w:t>Top of Form</w:t>
      </w:r>
    </w:p>
    <w:p w14:paraId="2BBDEB2B" w14:textId="77777777" w:rsidR="00981EB6" w:rsidRPr="00981EB6" w:rsidRDefault="00981EB6" w:rsidP="00981EB6">
      <w:pPr>
        <w:pBdr>
          <w:top w:val="single" w:sz="6" w:space="1" w:color="auto"/>
        </w:pBdr>
        <w:spacing w:before="0" w:after="0" w:line="240" w:lineRule="auto"/>
        <w:ind w:firstLine="0"/>
        <w:jc w:val="center"/>
        <w:rPr>
          <w:rFonts w:ascii="Arial" w:hAnsi="Arial" w:cs="Arial"/>
          <w:vanish/>
          <w:sz w:val="16"/>
          <w:szCs w:val="16"/>
        </w:rPr>
      </w:pPr>
      <w:r w:rsidRPr="00981EB6">
        <w:rPr>
          <w:rFonts w:ascii="Arial" w:hAnsi="Arial" w:cs="Arial"/>
          <w:vanish/>
          <w:sz w:val="16"/>
          <w:szCs w:val="16"/>
        </w:rPr>
        <w:t>Bottom of Form</w:t>
      </w:r>
    </w:p>
    <w:p w14:paraId="7E1BE987" w14:textId="77777777" w:rsidR="00B33973" w:rsidRPr="00B33973" w:rsidRDefault="00B33973" w:rsidP="00B33973">
      <w:pPr>
        <w:spacing w:before="100" w:beforeAutospacing="1" w:after="100" w:afterAutospacing="1" w:line="360" w:lineRule="auto"/>
        <w:ind w:firstLine="0"/>
        <w:outlineLvl w:val="2"/>
        <w:rPr>
          <w:b/>
          <w:bCs/>
          <w:sz w:val="24"/>
        </w:rPr>
      </w:pPr>
      <w:r w:rsidRPr="00B33973">
        <w:rPr>
          <w:b/>
          <w:bCs/>
          <w:sz w:val="24"/>
        </w:rPr>
        <w:t>Recommendations</w:t>
      </w:r>
    </w:p>
    <w:p w14:paraId="009A9AA7" w14:textId="68A8D070" w:rsidR="00331B43" w:rsidRDefault="00B33973" w:rsidP="00B33973">
      <w:pPr>
        <w:spacing w:before="100" w:beforeAutospacing="1" w:after="100" w:afterAutospacing="1" w:line="360" w:lineRule="auto"/>
        <w:ind w:firstLine="0"/>
        <w:jc w:val="left"/>
        <w:rPr>
          <w:sz w:val="24"/>
        </w:rPr>
      </w:pPr>
      <w:r w:rsidRPr="00B33973">
        <w:rPr>
          <w:sz w:val="24"/>
        </w:rPr>
        <w:t>Strengthening the skills of teacher educators in using assistive technologies is key to creating truly inclusive learning environments. This goes beyond just offering training, it means making sure the right tools are available, that educators are well-supported, and that the curriculum reflects inclusive values. When we invest in the growth and development of our educators, we take an important step toward building a more accessible and fair education system where every learner has the opportunity to succeed.</w:t>
      </w:r>
    </w:p>
    <w:p w14:paraId="6BAE1C03" w14:textId="77777777" w:rsidR="00282295" w:rsidRPr="00B33973" w:rsidRDefault="00282295" w:rsidP="00B33973">
      <w:pPr>
        <w:spacing w:before="100" w:beforeAutospacing="1" w:after="100" w:afterAutospacing="1" w:line="360" w:lineRule="auto"/>
        <w:ind w:firstLine="0"/>
        <w:jc w:val="left"/>
        <w:rPr>
          <w:sz w:val="24"/>
        </w:rPr>
      </w:pPr>
    </w:p>
    <w:p w14:paraId="57BA8696" w14:textId="77777777" w:rsidR="00B33973" w:rsidRPr="00B33973" w:rsidRDefault="00B33973" w:rsidP="00B33973">
      <w:pPr>
        <w:spacing w:before="100" w:beforeAutospacing="1" w:after="100" w:afterAutospacing="1" w:line="360" w:lineRule="auto"/>
        <w:ind w:firstLine="0"/>
        <w:jc w:val="left"/>
        <w:rPr>
          <w:szCs w:val="22"/>
        </w:rPr>
      </w:pPr>
      <w:r w:rsidRPr="00B33973">
        <w:rPr>
          <w:rFonts w:eastAsiaTheme="majorEastAsia"/>
          <w:b/>
          <w:bCs/>
          <w:szCs w:val="22"/>
        </w:rPr>
        <w:lastRenderedPageBreak/>
        <w:t>Acknowledgements</w:t>
      </w:r>
    </w:p>
    <w:p w14:paraId="18612D3D" w14:textId="269CE31D" w:rsidR="003E06C0" w:rsidRPr="00B33973" w:rsidRDefault="00173B2C" w:rsidP="00331B43">
      <w:pPr>
        <w:spacing w:before="100" w:beforeAutospacing="1" w:after="100" w:afterAutospacing="1" w:line="360" w:lineRule="auto"/>
        <w:ind w:firstLine="0"/>
        <w:jc w:val="left"/>
        <w:rPr>
          <w:szCs w:val="22"/>
        </w:rPr>
      </w:pPr>
      <w:r w:rsidRPr="007A06CA">
        <w:rPr>
          <w:szCs w:val="22"/>
        </w:rPr>
        <w:t>We thank God for the strength and wisdom to complete this study.</w:t>
      </w:r>
      <w:r w:rsidRPr="007A06CA">
        <w:rPr>
          <w:szCs w:val="22"/>
        </w:rPr>
        <w:br/>
        <w:t xml:space="preserve">Our sincere appreciation </w:t>
      </w:r>
      <w:r w:rsidR="00050FD9" w:rsidRPr="007A06CA">
        <w:rPr>
          <w:szCs w:val="22"/>
        </w:rPr>
        <w:t>also</w:t>
      </w:r>
      <w:r w:rsidR="008579B8" w:rsidRPr="007A06CA">
        <w:rPr>
          <w:szCs w:val="22"/>
        </w:rPr>
        <w:t xml:space="preserve"> </w:t>
      </w:r>
      <w:r w:rsidRPr="007A06CA">
        <w:rPr>
          <w:szCs w:val="22"/>
        </w:rPr>
        <w:t>goes to the KSTVET CEO and management for their unwavering support and sponsorship.</w:t>
      </w:r>
      <w:r w:rsidRPr="007A06CA">
        <w:rPr>
          <w:szCs w:val="22"/>
        </w:rPr>
        <w:br/>
        <w:t>We are grateful to the ATUPA Secretariat for the opportunity and continued encouragement.</w:t>
      </w:r>
      <w:r w:rsidRPr="007A06CA">
        <w:rPr>
          <w:szCs w:val="22"/>
        </w:rPr>
        <w:br/>
        <w:t>Special thanks to all respondents whose insights greatly enriched our findings.</w:t>
      </w:r>
    </w:p>
    <w:p w14:paraId="62FEB65E" w14:textId="77777777" w:rsidR="00B33973" w:rsidRPr="00B33973" w:rsidRDefault="00B33973" w:rsidP="00B33973">
      <w:pPr>
        <w:spacing w:before="100" w:beforeAutospacing="1" w:after="100" w:afterAutospacing="1" w:line="240" w:lineRule="auto"/>
        <w:ind w:firstLine="0"/>
        <w:jc w:val="left"/>
        <w:outlineLvl w:val="2"/>
        <w:rPr>
          <w:b/>
          <w:bCs/>
          <w:szCs w:val="22"/>
        </w:rPr>
      </w:pPr>
      <w:r w:rsidRPr="00B33973">
        <w:rPr>
          <w:b/>
          <w:bCs/>
          <w:szCs w:val="22"/>
        </w:rPr>
        <w:t>References</w:t>
      </w:r>
    </w:p>
    <w:p w14:paraId="60A7121B" w14:textId="77777777" w:rsidR="00B33973" w:rsidRPr="00B33973" w:rsidRDefault="00B33973" w:rsidP="00B33973">
      <w:pPr>
        <w:tabs>
          <w:tab w:val="left" w:pos="1170"/>
        </w:tabs>
        <w:spacing w:before="100" w:beforeAutospacing="1" w:after="100" w:afterAutospacing="1" w:line="240" w:lineRule="auto"/>
        <w:ind w:left="1170" w:hanging="900"/>
        <w:jc w:val="left"/>
        <w:rPr>
          <w:szCs w:val="22"/>
        </w:rPr>
      </w:pPr>
      <w:r w:rsidRPr="00B33973">
        <w:rPr>
          <w:szCs w:val="22"/>
        </w:rPr>
        <w:t xml:space="preserve">    Alfred, M., &amp; Mollel, S. (2021). </w:t>
      </w:r>
      <w:r w:rsidRPr="00B33973">
        <w:rPr>
          <w:rFonts w:eastAsiaTheme="majorEastAsia"/>
          <w:i/>
          <w:iCs/>
          <w:szCs w:val="22"/>
        </w:rPr>
        <w:t>Teacher readiness for inclusive education and assistive technology use in vocational training centres</w:t>
      </w:r>
      <w:r w:rsidRPr="00B33973">
        <w:rPr>
          <w:szCs w:val="22"/>
        </w:rPr>
        <w:t xml:space="preserve">. </w:t>
      </w:r>
      <w:r w:rsidRPr="00B33973">
        <w:rPr>
          <w:rFonts w:eastAsiaTheme="majorEastAsia"/>
          <w:i/>
          <w:iCs/>
          <w:szCs w:val="22"/>
        </w:rPr>
        <w:t>African Journal of Education Studies</w:t>
      </w:r>
      <w:r w:rsidRPr="00B33973">
        <w:rPr>
          <w:szCs w:val="22"/>
        </w:rPr>
        <w:t xml:space="preserve">, </w:t>
      </w:r>
      <w:r w:rsidRPr="00B33973">
        <w:rPr>
          <w:rFonts w:eastAsiaTheme="majorEastAsia"/>
          <w:i/>
          <w:iCs/>
          <w:szCs w:val="22"/>
        </w:rPr>
        <w:t>8</w:t>
      </w:r>
      <w:r w:rsidRPr="00B33973">
        <w:rPr>
          <w:szCs w:val="22"/>
        </w:rPr>
        <w:t>(3), 45–59.</w:t>
      </w:r>
    </w:p>
    <w:p w14:paraId="046E8D79" w14:textId="77777777" w:rsidR="00B33973" w:rsidRPr="00B33973" w:rsidRDefault="00B33973" w:rsidP="00B33973">
      <w:pPr>
        <w:tabs>
          <w:tab w:val="left" w:pos="1170"/>
        </w:tabs>
        <w:spacing w:before="100" w:beforeAutospacing="1" w:after="100" w:afterAutospacing="1" w:line="240" w:lineRule="auto"/>
        <w:ind w:left="1170" w:hanging="900"/>
        <w:jc w:val="left"/>
        <w:rPr>
          <w:szCs w:val="22"/>
        </w:rPr>
      </w:pPr>
      <w:r w:rsidRPr="00B33973">
        <w:rPr>
          <w:szCs w:val="22"/>
        </w:rPr>
        <w:t xml:space="preserve">    Kenya Institute for Public Policy Research and Analysis. (2021). </w:t>
      </w:r>
      <w:r w:rsidRPr="00B33973">
        <w:rPr>
          <w:rFonts w:eastAsiaTheme="majorEastAsia"/>
          <w:i/>
          <w:iCs/>
          <w:szCs w:val="22"/>
        </w:rPr>
        <w:t>Promoting inclusive education in Kenya</w:t>
      </w:r>
      <w:r w:rsidRPr="00B33973">
        <w:rPr>
          <w:szCs w:val="22"/>
        </w:rPr>
        <w:t xml:space="preserve">. </w:t>
      </w:r>
      <w:hyperlink r:id="rId11" w:tgtFrame="_new" w:history="1">
        <w:r w:rsidRPr="00B33973">
          <w:rPr>
            <w:rFonts w:eastAsiaTheme="majorEastAsia"/>
            <w:color w:val="0000FF"/>
            <w:szCs w:val="22"/>
            <w:u w:val="single"/>
          </w:rPr>
          <w:t>https://kippra.or.ke</w:t>
        </w:r>
      </w:hyperlink>
    </w:p>
    <w:p w14:paraId="20361182"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Ministry of Education. (2018). </w:t>
      </w:r>
      <w:r w:rsidRPr="00B33973">
        <w:rPr>
          <w:rFonts w:eastAsiaTheme="majorEastAsia"/>
          <w:i/>
          <w:iCs/>
          <w:szCs w:val="22"/>
        </w:rPr>
        <w:t>Sector policy for learners and trainees with disabilities</w:t>
      </w:r>
      <w:r w:rsidRPr="00B33973">
        <w:rPr>
          <w:szCs w:val="22"/>
        </w:rPr>
        <w:t>. Government of Kenya.</w:t>
      </w:r>
    </w:p>
    <w:p w14:paraId="554A64B1"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Ministry of Education. (2020). </w:t>
      </w:r>
      <w:r w:rsidRPr="00B33973">
        <w:rPr>
          <w:rFonts w:eastAsiaTheme="majorEastAsia"/>
          <w:i/>
          <w:iCs/>
          <w:szCs w:val="22"/>
        </w:rPr>
        <w:t>Education sector report 2019/2020</w:t>
      </w:r>
      <w:r w:rsidRPr="00B33973">
        <w:rPr>
          <w:szCs w:val="22"/>
        </w:rPr>
        <w:t>. Government of Kenya.</w:t>
      </w:r>
    </w:p>
    <w:p w14:paraId="2205CA8C"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Mutuku, M., &amp; Mwangi, J. (2020). Challenges facing teacher preparation for inclusive education in Kenya. </w:t>
      </w:r>
      <w:r w:rsidRPr="00B33973">
        <w:rPr>
          <w:rFonts w:eastAsiaTheme="majorEastAsia"/>
          <w:i/>
          <w:iCs/>
          <w:szCs w:val="22"/>
        </w:rPr>
        <w:t>International Journal of Education and Research</w:t>
      </w:r>
      <w:r w:rsidRPr="00B33973">
        <w:rPr>
          <w:szCs w:val="22"/>
        </w:rPr>
        <w:t xml:space="preserve">, </w:t>
      </w:r>
      <w:r w:rsidRPr="00B33973">
        <w:rPr>
          <w:rFonts w:eastAsiaTheme="majorEastAsia"/>
          <w:i/>
          <w:iCs/>
          <w:szCs w:val="22"/>
        </w:rPr>
        <w:t>8</w:t>
      </w:r>
      <w:r w:rsidRPr="00B33973">
        <w:rPr>
          <w:szCs w:val="22"/>
        </w:rPr>
        <w:t>(5), 45–56.</w:t>
      </w:r>
    </w:p>
    <w:p w14:paraId="53381415"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Mwangi, C., &amp; Orodho, J. A. (2014). Challenges facing implementation of inclusive education in public primary schools in Nyeri Town, Kenya. </w:t>
      </w:r>
      <w:r w:rsidRPr="00B33973">
        <w:rPr>
          <w:rFonts w:eastAsiaTheme="majorEastAsia"/>
          <w:i/>
          <w:iCs/>
          <w:szCs w:val="22"/>
        </w:rPr>
        <w:t>Journal of Education and Practice</w:t>
      </w:r>
      <w:r w:rsidRPr="00B33973">
        <w:rPr>
          <w:szCs w:val="22"/>
        </w:rPr>
        <w:t xml:space="preserve">, </w:t>
      </w:r>
      <w:r w:rsidRPr="00B33973">
        <w:rPr>
          <w:rFonts w:eastAsiaTheme="majorEastAsia"/>
          <w:i/>
          <w:iCs/>
          <w:szCs w:val="22"/>
        </w:rPr>
        <w:t>5</w:t>
      </w:r>
      <w:r w:rsidRPr="00B33973">
        <w:rPr>
          <w:szCs w:val="22"/>
        </w:rPr>
        <w:t>(16), 118–125.</w:t>
      </w:r>
    </w:p>
    <w:p w14:paraId="78D38CED"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Njoroge, M., Kimani, G., &amp; Chege, C. (2022). Assessing pre-service teachers’ preparedness in the use of assistive technology in Kenya. </w:t>
      </w:r>
      <w:r w:rsidRPr="00B33973">
        <w:rPr>
          <w:rFonts w:eastAsiaTheme="majorEastAsia"/>
          <w:i/>
          <w:iCs/>
          <w:szCs w:val="22"/>
        </w:rPr>
        <w:t>European Journal of Education Studies</w:t>
      </w:r>
      <w:r w:rsidRPr="00B33973">
        <w:rPr>
          <w:szCs w:val="22"/>
        </w:rPr>
        <w:t xml:space="preserve">, </w:t>
      </w:r>
      <w:r w:rsidRPr="00B33973">
        <w:rPr>
          <w:rFonts w:eastAsiaTheme="majorEastAsia"/>
          <w:i/>
          <w:iCs/>
          <w:szCs w:val="22"/>
        </w:rPr>
        <w:t>9</w:t>
      </w:r>
      <w:r w:rsidRPr="00B33973">
        <w:rPr>
          <w:szCs w:val="22"/>
        </w:rPr>
        <w:t>(3), 79–93.</w:t>
      </w:r>
    </w:p>
    <w:p w14:paraId="30D64F82" w14:textId="5394B7B4" w:rsidR="00B33973" w:rsidRPr="00B33973" w:rsidRDefault="00B33973" w:rsidP="009B3393">
      <w:pPr>
        <w:spacing w:before="100" w:beforeAutospacing="1" w:after="100" w:afterAutospacing="1" w:line="240" w:lineRule="auto"/>
        <w:ind w:left="1170" w:hanging="900"/>
        <w:jc w:val="left"/>
        <w:rPr>
          <w:szCs w:val="22"/>
        </w:rPr>
      </w:pPr>
      <w:r w:rsidRPr="00B33973">
        <w:rPr>
          <w:szCs w:val="22"/>
        </w:rPr>
        <w:t xml:space="preserve">    Njoroge, P., Ndung’u, D., &amp; Mwaura, S. (2022). Preparedness of teacher educators in integrating assistive technologies in teacher training colleges in Kenya. </w:t>
      </w:r>
      <w:r w:rsidRPr="00B33973">
        <w:rPr>
          <w:rFonts w:eastAsiaTheme="majorEastAsia"/>
          <w:i/>
          <w:iCs/>
          <w:szCs w:val="22"/>
        </w:rPr>
        <w:t>International Journal of Inclusive Education Research</w:t>
      </w:r>
      <w:r w:rsidRPr="00B33973">
        <w:rPr>
          <w:szCs w:val="22"/>
        </w:rPr>
        <w:t xml:space="preserve">, </w:t>
      </w:r>
      <w:r w:rsidRPr="00B33973">
        <w:rPr>
          <w:rFonts w:eastAsiaTheme="majorEastAsia"/>
          <w:i/>
          <w:iCs/>
          <w:szCs w:val="22"/>
        </w:rPr>
        <w:t>6</w:t>
      </w:r>
      <w:r w:rsidRPr="00B33973">
        <w:rPr>
          <w:szCs w:val="22"/>
        </w:rPr>
        <w:t>(1), 15–27.</w:t>
      </w:r>
    </w:p>
    <w:p w14:paraId="28B50DB0"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Oriedo, P., &amp; Wamocho, F. (2021). Inclusive education practices and digital technology integration among teacher educators in Kenya. </w:t>
      </w:r>
      <w:r w:rsidRPr="00B33973">
        <w:rPr>
          <w:rFonts w:eastAsiaTheme="majorEastAsia"/>
          <w:i/>
          <w:iCs/>
          <w:szCs w:val="22"/>
        </w:rPr>
        <w:t>Journal of Educational Innovation</w:t>
      </w:r>
      <w:r w:rsidRPr="00B33973">
        <w:rPr>
          <w:szCs w:val="22"/>
        </w:rPr>
        <w:t xml:space="preserve">, </w:t>
      </w:r>
      <w:r w:rsidRPr="00B33973">
        <w:rPr>
          <w:rFonts w:eastAsiaTheme="majorEastAsia"/>
          <w:i/>
          <w:iCs/>
          <w:szCs w:val="22"/>
        </w:rPr>
        <w:t>10</w:t>
      </w:r>
      <w:r w:rsidRPr="00B33973">
        <w:rPr>
          <w:szCs w:val="22"/>
        </w:rPr>
        <w:t>(2), 93–108.</w:t>
      </w:r>
    </w:p>
    <w:p w14:paraId="1B3C7506"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Otieno, R., &amp; Nderitu, J. (2023). Readiness of Kenyan TVET institutions to support learners with disabilities: A focus on assistive technologies. </w:t>
      </w:r>
      <w:r w:rsidRPr="00B33973">
        <w:rPr>
          <w:rFonts w:eastAsiaTheme="majorEastAsia"/>
          <w:i/>
          <w:iCs/>
          <w:szCs w:val="22"/>
        </w:rPr>
        <w:t>Kenya Journal of TVET Studies</w:t>
      </w:r>
      <w:r w:rsidRPr="00B33973">
        <w:rPr>
          <w:szCs w:val="22"/>
        </w:rPr>
        <w:t xml:space="preserve">, </w:t>
      </w:r>
      <w:r w:rsidRPr="00B33973">
        <w:rPr>
          <w:rFonts w:eastAsiaTheme="majorEastAsia"/>
          <w:i/>
          <w:iCs/>
          <w:szCs w:val="22"/>
        </w:rPr>
        <w:t>2</w:t>
      </w:r>
      <w:r w:rsidRPr="00B33973">
        <w:rPr>
          <w:szCs w:val="22"/>
        </w:rPr>
        <w:t>(1), 101–115.</w:t>
      </w:r>
    </w:p>
    <w:p w14:paraId="79622B23"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UNESCO. (2022). </w:t>
      </w:r>
      <w:r w:rsidRPr="00B33973">
        <w:rPr>
          <w:rFonts w:eastAsiaTheme="majorEastAsia"/>
          <w:i/>
          <w:iCs/>
          <w:szCs w:val="22"/>
        </w:rPr>
        <w:t>Inclusive education in East Africa: Progress and challenges</w:t>
      </w:r>
      <w:r w:rsidRPr="00B33973">
        <w:rPr>
          <w:szCs w:val="22"/>
        </w:rPr>
        <w:t>. UNESCO.</w:t>
      </w:r>
    </w:p>
    <w:p w14:paraId="461DD440"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UNESCO. (2022). </w:t>
      </w:r>
      <w:r w:rsidRPr="00B33973">
        <w:rPr>
          <w:rFonts w:eastAsiaTheme="majorEastAsia"/>
          <w:i/>
          <w:iCs/>
          <w:szCs w:val="22"/>
        </w:rPr>
        <w:t>Training teachers in assistive technologies in Kenya, Uganda and Rwanda</w:t>
      </w:r>
      <w:r w:rsidRPr="00B33973">
        <w:rPr>
          <w:szCs w:val="22"/>
        </w:rPr>
        <w:t xml:space="preserve">. </w:t>
      </w:r>
      <w:hyperlink r:id="rId12" w:tgtFrame="_new" w:history="1">
        <w:r w:rsidRPr="00B33973">
          <w:rPr>
            <w:rFonts w:eastAsiaTheme="majorEastAsia"/>
            <w:color w:val="0000FF"/>
            <w:szCs w:val="22"/>
            <w:u w:val="single"/>
          </w:rPr>
          <w:t>https://www.unesco.org</w:t>
        </w:r>
      </w:hyperlink>
    </w:p>
    <w:p w14:paraId="016482E1"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Wamocho, F., &amp; Odongo, G. (2021). From policy to practice: Inclusive education in Kenya. </w:t>
      </w:r>
      <w:r w:rsidRPr="00B33973">
        <w:rPr>
          <w:rFonts w:eastAsiaTheme="majorEastAsia"/>
          <w:i/>
          <w:iCs/>
          <w:szCs w:val="22"/>
        </w:rPr>
        <w:t>Journal of Disability Studies</w:t>
      </w:r>
      <w:r w:rsidRPr="00B33973">
        <w:rPr>
          <w:szCs w:val="22"/>
        </w:rPr>
        <w:t xml:space="preserve">, </w:t>
      </w:r>
      <w:r w:rsidRPr="00B33973">
        <w:rPr>
          <w:rFonts w:eastAsiaTheme="majorEastAsia"/>
          <w:i/>
          <w:iCs/>
          <w:szCs w:val="22"/>
        </w:rPr>
        <w:t>7</w:t>
      </w:r>
      <w:r w:rsidRPr="00B33973">
        <w:rPr>
          <w:szCs w:val="22"/>
        </w:rPr>
        <w:t>(1), 32–45.</w:t>
      </w:r>
    </w:p>
    <w:p w14:paraId="07FDAD3C" w14:textId="77777777" w:rsidR="00B33973" w:rsidRPr="00B33973" w:rsidRDefault="00B33973" w:rsidP="00B33973">
      <w:pPr>
        <w:spacing w:before="100" w:beforeAutospacing="1" w:after="100" w:afterAutospacing="1" w:line="240" w:lineRule="auto"/>
        <w:ind w:left="1170" w:hanging="900"/>
        <w:jc w:val="left"/>
        <w:rPr>
          <w:szCs w:val="22"/>
        </w:rPr>
      </w:pPr>
      <w:r w:rsidRPr="00B33973">
        <w:rPr>
          <w:szCs w:val="22"/>
        </w:rPr>
        <w:t xml:space="preserve">    World Health Organization. (2011). </w:t>
      </w:r>
      <w:r w:rsidRPr="00B33973">
        <w:rPr>
          <w:rFonts w:eastAsiaTheme="majorEastAsia"/>
          <w:i/>
          <w:iCs/>
          <w:szCs w:val="22"/>
        </w:rPr>
        <w:t>World report on disability</w:t>
      </w:r>
      <w:r w:rsidRPr="00B33973">
        <w:rPr>
          <w:szCs w:val="22"/>
        </w:rPr>
        <w:t>. WHO.</w:t>
      </w:r>
    </w:p>
    <w:p w14:paraId="52CC0957" w14:textId="77777777" w:rsidR="00B33973" w:rsidRDefault="00B33973" w:rsidP="008C13D2">
      <w:pPr>
        <w:pStyle w:val="Title"/>
        <w:spacing w:before="0" w:after="0"/>
        <w:rPr>
          <w:sz w:val="24"/>
          <w:szCs w:val="24"/>
        </w:rPr>
      </w:pPr>
    </w:p>
    <w:p w14:paraId="769F9680" w14:textId="77777777" w:rsidR="00CA4FB2" w:rsidRDefault="00CA4FB2">
      <w:pPr>
        <w:pStyle w:val="Title"/>
        <w:spacing w:before="0" w:after="0"/>
        <w:rPr>
          <w:sz w:val="24"/>
          <w:szCs w:val="24"/>
        </w:rPr>
      </w:pPr>
    </w:p>
    <w:sectPr w:rsidR="00CA4FB2" w:rsidSect="0052463A">
      <w:footerReference w:type="default" r:id="rId13"/>
      <w:type w:val="continuous"/>
      <w:pgSz w:w="11906" w:h="16838" w:code="9"/>
      <w:pgMar w:top="540" w:right="720" w:bottom="450" w:left="720" w:header="794" w:footer="238"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0483" w14:textId="77777777" w:rsidR="00577133" w:rsidRDefault="00577133" w:rsidP="00CF44D7">
      <w:pPr>
        <w:spacing w:after="0"/>
      </w:pPr>
      <w:r>
        <w:separator/>
      </w:r>
    </w:p>
  </w:endnote>
  <w:endnote w:type="continuationSeparator" w:id="0">
    <w:p w14:paraId="0B63BD42" w14:textId="77777777" w:rsidR="00577133" w:rsidRDefault="00577133" w:rsidP="00CF44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721238"/>
      <w:docPartObj>
        <w:docPartGallery w:val="Page Numbers (Bottom of Page)"/>
        <w:docPartUnique/>
      </w:docPartObj>
    </w:sdtPr>
    <w:sdtEndPr>
      <w:rPr>
        <w:noProof/>
      </w:rPr>
    </w:sdtEndPr>
    <w:sdtContent>
      <w:p w14:paraId="5279D0E6" w14:textId="77777777" w:rsidR="008377C8" w:rsidRDefault="008377C8" w:rsidP="009A1779">
        <w:pPr>
          <w:pStyle w:val="NoSpacing"/>
        </w:pPr>
      </w:p>
      <w:p w14:paraId="264FD867" w14:textId="77777777" w:rsidR="00301B81" w:rsidRPr="008377C8" w:rsidRDefault="008377C8" w:rsidP="008377C8">
        <w:pPr>
          <w:pStyle w:val="Footer"/>
          <w:jc w:val="center"/>
        </w:pPr>
        <w:r>
          <w:fldChar w:fldCharType="begin"/>
        </w:r>
        <w:r>
          <w:instrText xml:space="preserve"> PAGE   \* MERGEFORMAT </w:instrText>
        </w:r>
        <w:r>
          <w:fldChar w:fldCharType="separate"/>
        </w:r>
        <w:r w:rsidR="005B096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3ED4" w14:textId="77777777" w:rsidR="00577133" w:rsidRDefault="00577133" w:rsidP="00CF44D7">
      <w:pPr>
        <w:spacing w:after="0"/>
      </w:pPr>
      <w:r>
        <w:separator/>
      </w:r>
    </w:p>
  </w:footnote>
  <w:footnote w:type="continuationSeparator" w:id="0">
    <w:p w14:paraId="4BFC5C42" w14:textId="77777777" w:rsidR="00577133" w:rsidRDefault="00577133" w:rsidP="00CF44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13CA6"/>
    <w:multiLevelType w:val="multilevel"/>
    <w:tmpl w:val="B532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EFE"/>
    <w:multiLevelType w:val="hybridMultilevel"/>
    <w:tmpl w:val="26FA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F2ABA"/>
    <w:multiLevelType w:val="hybridMultilevel"/>
    <w:tmpl w:val="D49873CA"/>
    <w:lvl w:ilvl="0" w:tplc="ABF4230C">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D1CF3"/>
    <w:multiLevelType w:val="hybridMultilevel"/>
    <w:tmpl w:val="BA82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51F63"/>
    <w:multiLevelType w:val="hybridMultilevel"/>
    <w:tmpl w:val="7A4672E6"/>
    <w:lvl w:ilvl="0" w:tplc="5994D748">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037B5"/>
    <w:multiLevelType w:val="hybridMultilevel"/>
    <w:tmpl w:val="9BE40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123A96"/>
    <w:multiLevelType w:val="hybridMultilevel"/>
    <w:tmpl w:val="EE8AEDAC"/>
    <w:lvl w:ilvl="0" w:tplc="8C32D066">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BC1325"/>
    <w:multiLevelType w:val="multilevel"/>
    <w:tmpl w:val="49FA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B6F8E"/>
    <w:multiLevelType w:val="hybridMultilevel"/>
    <w:tmpl w:val="6B54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4C84253"/>
    <w:multiLevelType w:val="hybridMultilevel"/>
    <w:tmpl w:val="A054437E"/>
    <w:lvl w:ilvl="0" w:tplc="5774814C">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B762F9"/>
    <w:multiLevelType w:val="multilevel"/>
    <w:tmpl w:val="4C303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F93E20"/>
    <w:multiLevelType w:val="multilevel"/>
    <w:tmpl w:val="1B64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0D380A"/>
    <w:multiLevelType w:val="multilevel"/>
    <w:tmpl w:val="51A6D0A2"/>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BD60938"/>
    <w:multiLevelType w:val="hybridMultilevel"/>
    <w:tmpl w:val="1A4C34BC"/>
    <w:lvl w:ilvl="0" w:tplc="0B9EF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DF4CBC"/>
    <w:multiLevelType w:val="hybridMultilevel"/>
    <w:tmpl w:val="1AE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4"/>
  </w:num>
  <w:num w:numId="4">
    <w:abstractNumId w:val="6"/>
  </w:num>
  <w:num w:numId="5">
    <w:abstractNumId w:val="1"/>
  </w:num>
  <w:num w:numId="6">
    <w:abstractNumId w:val="7"/>
  </w:num>
  <w:num w:numId="7">
    <w:abstractNumId w:val="5"/>
  </w:num>
  <w:num w:numId="8">
    <w:abstractNumId w:val="13"/>
  </w:num>
  <w:num w:numId="9">
    <w:abstractNumId w:val="12"/>
  </w:num>
  <w:num w:numId="10">
    <w:abstractNumId w:val="16"/>
  </w:num>
  <w:num w:numId="11">
    <w:abstractNumId w:val="3"/>
  </w:num>
  <w:num w:numId="12">
    <w:abstractNumId w:val="9"/>
  </w:num>
  <w:num w:numId="13">
    <w:abstractNumId w:val="11"/>
  </w:num>
  <w:num w:numId="14">
    <w:abstractNumId w:val="4"/>
  </w:num>
  <w:num w:numId="15">
    <w:abstractNumId w:val="2"/>
  </w:num>
  <w:num w:numId="16">
    <w:abstractNumId w:val="15"/>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D2"/>
    <w:rsid w:val="00013835"/>
    <w:rsid w:val="00014EEB"/>
    <w:rsid w:val="0001523F"/>
    <w:rsid w:val="00017500"/>
    <w:rsid w:val="000354FD"/>
    <w:rsid w:val="00036E47"/>
    <w:rsid w:val="000426D0"/>
    <w:rsid w:val="00047AE4"/>
    <w:rsid w:val="00047EF8"/>
    <w:rsid w:val="00050FD9"/>
    <w:rsid w:val="00052F7F"/>
    <w:rsid w:val="0005680C"/>
    <w:rsid w:val="000600F3"/>
    <w:rsid w:val="00066A17"/>
    <w:rsid w:val="00070291"/>
    <w:rsid w:val="00072715"/>
    <w:rsid w:val="00074DB8"/>
    <w:rsid w:val="00075510"/>
    <w:rsid w:val="000811A4"/>
    <w:rsid w:val="00090E14"/>
    <w:rsid w:val="00093CEF"/>
    <w:rsid w:val="000A07D3"/>
    <w:rsid w:val="000A1987"/>
    <w:rsid w:val="000A2C8F"/>
    <w:rsid w:val="000B30B3"/>
    <w:rsid w:val="000B40E6"/>
    <w:rsid w:val="000B4B24"/>
    <w:rsid w:val="000C0217"/>
    <w:rsid w:val="000C612C"/>
    <w:rsid w:val="000C6F11"/>
    <w:rsid w:val="000C7FEB"/>
    <w:rsid w:val="000D6C4E"/>
    <w:rsid w:val="000E0558"/>
    <w:rsid w:val="000E0ED9"/>
    <w:rsid w:val="000E2D67"/>
    <w:rsid w:val="000E4C19"/>
    <w:rsid w:val="000F1838"/>
    <w:rsid w:val="000F375D"/>
    <w:rsid w:val="00102965"/>
    <w:rsid w:val="001142AB"/>
    <w:rsid w:val="00114C4D"/>
    <w:rsid w:val="0011794D"/>
    <w:rsid w:val="00121776"/>
    <w:rsid w:val="00124278"/>
    <w:rsid w:val="00125852"/>
    <w:rsid w:val="001345EC"/>
    <w:rsid w:val="001402C3"/>
    <w:rsid w:val="0014076B"/>
    <w:rsid w:val="00144AF2"/>
    <w:rsid w:val="001465B2"/>
    <w:rsid w:val="00153C74"/>
    <w:rsid w:val="00154D36"/>
    <w:rsid w:val="00157679"/>
    <w:rsid w:val="00165129"/>
    <w:rsid w:val="00165766"/>
    <w:rsid w:val="00166241"/>
    <w:rsid w:val="001712DA"/>
    <w:rsid w:val="00173B2C"/>
    <w:rsid w:val="001750F6"/>
    <w:rsid w:val="001772CB"/>
    <w:rsid w:val="00184102"/>
    <w:rsid w:val="00186FB9"/>
    <w:rsid w:val="00193D20"/>
    <w:rsid w:val="001B3ABF"/>
    <w:rsid w:val="001B5F2C"/>
    <w:rsid w:val="001B736E"/>
    <w:rsid w:val="001C601F"/>
    <w:rsid w:val="001C6C8C"/>
    <w:rsid w:val="001C763E"/>
    <w:rsid w:val="001C7ABB"/>
    <w:rsid w:val="001D0108"/>
    <w:rsid w:val="001D1030"/>
    <w:rsid w:val="001D43A2"/>
    <w:rsid w:val="001D4760"/>
    <w:rsid w:val="001D4C75"/>
    <w:rsid w:val="001D5D49"/>
    <w:rsid w:val="00200527"/>
    <w:rsid w:val="002005E5"/>
    <w:rsid w:val="00210273"/>
    <w:rsid w:val="00210838"/>
    <w:rsid w:val="00215966"/>
    <w:rsid w:val="00217B8F"/>
    <w:rsid w:val="002203EB"/>
    <w:rsid w:val="0022175C"/>
    <w:rsid w:val="00226BB4"/>
    <w:rsid w:val="00227D0F"/>
    <w:rsid w:val="00231E61"/>
    <w:rsid w:val="0023785A"/>
    <w:rsid w:val="00241126"/>
    <w:rsid w:val="002442E3"/>
    <w:rsid w:val="00255AE7"/>
    <w:rsid w:val="00255D71"/>
    <w:rsid w:val="002654A0"/>
    <w:rsid w:val="00267C68"/>
    <w:rsid w:val="00275195"/>
    <w:rsid w:val="0027649F"/>
    <w:rsid w:val="00280B82"/>
    <w:rsid w:val="00282295"/>
    <w:rsid w:val="0028492E"/>
    <w:rsid w:val="00286A6F"/>
    <w:rsid w:val="00290361"/>
    <w:rsid w:val="002938AE"/>
    <w:rsid w:val="00297B49"/>
    <w:rsid w:val="002A3A29"/>
    <w:rsid w:val="002A3B77"/>
    <w:rsid w:val="002A6255"/>
    <w:rsid w:val="002A6D37"/>
    <w:rsid w:val="002B42A2"/>
    <w:rsid w:val="002B711F"/>
    <w:rsid w:val="002C43BD"/>
    <w:rsid w:val="002C53B1"/>
    <w:rsid w:val="002D1975"/>
    <w:rsid w:val="002D1AD4"/>
    <w:rsid w:val="002D36E1"/>
    <w:rsid w:val="002D79C3"/>
    <w:rsid w:val="002E6291"/>
    <w:rsid w:val="002E799E"/>
    <w:rsid w:val="002F08F3"/>
    <w:rsid w:val="002F33F9"/>
    <w:rsid w:val="00301B81"/>
    <w:rsid w:val="0030460A"/>
    <w:rsid w:val="00304D47"/>
    <w:rsid w:val="00305E71"/>
    <w:rsid w:val="00331B43"/>
    <w:rsid w:val="00333A78"/>
    <w:rsid w:val="00335B60"/>
    <w:rsid w:val="00336534"/>
    <w:rsid w:val="00336E57"/>
    <w:rsid w:val="003379C7"/>
    <w:rsid w:val="00344D07"/>
    <w:rsid w:val="0035052C"/>
    <w:rsid w:val="0035179A"/>
    <w:rsid w:val="00353DD9"/>
    <w:rsid w:val="0036271E"/>
    <w:rsid w:val="00362D14"/>
    <w:rsid w:val="00366E4D"/>
    <w:rsid w:val="00367019"/>
    <w:rsid w:val="00367623"/>
    <w:rsid w:val="003726E9"/>
    <w:rsid w:val="003734E7"/>
    <w:rsid w:val="0037362C"/>
    <w:rsid w:val="00373B26"/>
    <w:rsid w:val="003741D1"/>
    <w:rsid w:val="00376012"/>
    <w:rsid w:val="00383919"/>
    <w:rsid w:val="00384CAF"/>
    <w:rsid w:val="003963F0"/>
    <w:rsid w:val="003A06C3"/>
    <w:rsid w:val="003A6E1D"/>
    <w:rsid w:val="003A7365"/>
    <w:rsid w:val="003B0D2F"/>
    <w:rsid w:val="003B3BC6"/>
    <w:rsid w:val="003B4647"/>
    <w:rsid w:val="003B4F73"/>
    <w:rsid w:val="003B5512"/>
    <w:rsid w:val="003C0686"/>
    <w:rsid w:val="003C17B3"/>
    <w:rsid w:val="003C42A4"/>
    <w:rsid w:val="003C6F6D"/>
    <w:rsid w:val="003D3288"/>
    <w:rsid w:val="003D4D40"/>
    <w:rsid w:val="003D6D92"/>
    <w:rsid w:val="003D7A7F"/>
    <w:rsid w:val="003D7DAF"/>
    <w:rsid w:val="003E06C0"/>
    <w:rsid w:val="003E49E2"/>
    <w:rsid w:val="003F1168"/>
    <w:rsid w:val="003F24DA"/>
    <w:rsid w:val="003F3F68"/>
    <w:rsid w:val="00403780"/>
    <w:rsid w:val="0040401C"/>
    <w:rsid w:val="004050F5"/>
    <w:rsid w:val="00415CBF"/>
    <w:rsid w:val="00416B02"/>
    <w:rsid w:val="00422673"/>
    <w:rsid w:val="00424D69"/>
    <w:rsid w:val="00426A24"/>
    <w:rsid w:val="00426D06"/>
    <w:rsid w:val="00427B6D"/>
    <w:rsid w:val="00427D37"/>
    <w:rsid w:val="0043253A"/>
    <w:rsid w:val="00445078"/>
    <w:rsid w:val="00450A67"/>
    <w:rsid w:val="00451DC4"/>
    <w:rsid w:val="00461ACD"/>
    <w:rsid w:val="004636B6"/>
    <w:rsid w:val="00464720"/>
    <w:rsid w:val="00473915"/>
    <w:rsid w:val="00477484"/>
    <w:rsid w:val="00482EF3"/>
    <w:rsid w:val="004849AC"/>
    <w:rsid w:val="00485B53"/>
    <w:rsid w:val="00496F86"/>
    <w:rsid w:val="00497844"/>
    <w:rsid w:val="00497DD2"/>
    <w:rsid w:val="004A0023"/>
    <w:rsid w:val="004A31F9"/>
    <w:rsid w:val="004A741E"/>
    <w:rsid w:val="004A77ED"/>
    <w:rsid w:val="004B0293"/>
    <w:rsid w:val="004C2478"/>
    <w:rsid w:val="004C26A3"/>
    <w:rsid w:val="004C2778"/>
    <w:rsid w:val="004C32E5"/>
    <w:rsid w:val="004C4A47"/>
    <w:rsid w:val="004C5BDF"/>
    <w:rsid w:val="004C5EAC"/>
    <w:rsid w:val="004D2FBA"/>
    <w:rsid w:val="004D3322"/>
    <w:rsid w:val="004D4A53"/>
    <w:rsid w:val="004E1A39"/>
    <w:rsid w:val="004E3D8F"/>
    <w:rsid w:val="004E66E6"/>
    <w:rsid w:val="004E7E6E"/>
    <w:rsid w:val="00501B36"/>
    <w:rsid w:val="005039FC"/>
    <w:rsid w:val="0050417B"/>
    <w:rsid w:val="00507187"/>
    <w:rsid w:val="00512854"/>
    <w:rsid w:val="0052463A"/>
    <w:rsid w:val="005250C4"/>
    <w:rsid w:val="00532D39"/>
    <w:rsid w:val="00534AE2"/>
    <w:rsid w:val="00536EAD"/>
    <w:rsid w:val="00540BCD"/>
    <w:rsid w:val="00540EEF"/>
    <w:rsid w:val="0054173B"/>
    <w:rsid w:val="00541D37"/>
    <w:rsid w:val="00546756"/>
    <w:rsid w:val="00552C96"/>
    <w:rsid w:val="0056752A"/>
    <w:rsid w:val="005716C5"/>
    <w:rsid w:val="00577133"/>
    <w:rsid w:val="00581040"/>
    <w:rsid w:val="00584F33"/>
    <w:rsid w:val="005871D3"/>
    <w:rsid w:val="00597C24"/>
    <w:rsid w:val="005A3239"/>
    <w:rsid w:val="005A4D2E"/>
    <w:rsid w:val="005B0962"/>
    <w:rsid w:val="005B4DF5"/>
    <w:rsid w:val="005B6468"/>
    <w:rsid w:val="005C358E"/>
    <w:rsid w:val="005C4AD6"/>
    <w:rsid w:val="005D4B15"/>
    <w:rsid w:val="005D6767"/>
    <w:rsid w:val="005D7C9B"/>
    <w:rsid w:val="005E0929"/>
    <w:rsid w:val="005E46DE"/>
    <w:rsid w:val="006010C0"/>
    <w:rsid w:val="00601649"/>
    <w:rsid w:val="00603938"/>
    <w:rsid w:val="00603D4E"/>
    <w:rsid w:val="00604709"/>
    <w:rsid w:val="00605545"/>
    <w:rsid w:val="00607022"/>
    <w:rsid w:val="00607890"/>
    <w:rsid w:val="00610907"/>
    <w:rsid w:val="00614187"/>
    <w:rsid w:val="00614383"/>
    <w:rsid w:val="006145AD"/>
    <w:rsid w:val="006203FA"/>
    <w:rsid w:val="0062183F"/>
    <w:rsid w:val="006328F4"/>
    <w:rsid w:val="006332E1"/>
    <w:rsid w:val="00635212"/>
    <w:rsid w:val="0063619A"/>
    <w:rsid w:val="00636D8B"/>
    <w:rsid w:val="0065025B"/>
    <w:rsid w:val="006502A2"/>
    <w:rsid w:val="00655456"/>
    <w:rsid w:val="00660F9E"/>
    <w:rsid w:val="0066351D"/>
    <w:rsid w:val="00664DAE"/>
    <w:rsid w:val="0066771A"/>
    <w:rsid w:val="006754C1"/>
    <w:rsid w:val="00676FBB"/>
    <w:rsid w:val="00677D95"/>
    <w:rsid w:val="00677E99"/>
    <w:rsid w:val="00684FF2"/>
    <w:rsid w:val="00685791"/>
    <w:rsid w:val="0069302E"/>
    <w:rsid w:val="00696DCF"/>
    <w:rsid w:val="006A0AC6"/>
    <w:rsid w:val="006A56BA"/>
    <w:rsid w:val="006B5516"/>
    <w:rsid w:val="006C094B"/>
    <w:rsid w:val="006C10D6"/>
    <w:rsid w:val="006C2B94"/>
    <w:rsid w:val="006C3844"/>
    <w:rsid w:val="006C6C39"/>
    <w:rsid w:val="006C6FD1"/>
    <w:rsid w:val="006C7FAF"/>
    <w:rsid w:val="006D04AA"/>
    <w:rsid w:val="006D270A"/>
    <w:rsid w:val="006D307E"/>
    <w:rsid w:val="006D3D5F"/>
    <w:rsid w:val="006E253E"/>
    <w:rsid w:val="006E36FD"/>
    <w:rsid w:val="006E7ED9"/>
    <w:rsid w:val="006F3E4E"/>
    <w:rsid w:val="006F4E9B"/>
    <w:rsid w:val="006F52E7"/>
    <w:rsid w:val="006F5D7B"/>
    <w:rsid w:val="00700645"/>
    <w:rsid w:val="0070389E"/>
    <w:rsid w:val="00707166"/>
    <w:rsid w:val="00711762"/>
    <w:rsid w:val="0071283D"/>
    <w:rsid w:val="00713A8D"/>
    <w:rsid w:val="0071498A"/>
    <w:rsid w:val="00716BC9"/>
    <w:rsid w:val="00717582"/>
    <w:rsid w:val="00726694"/>
    <w:rsid w:val="007268B8"/>
    <w:rsid w:val="007314B4"/>
    <w:rsid w:val="007417EB"/>
    <w:rsid w:val="0075318D"/>
    <w:rsid w:val="007606F3"/>
    <w:rsid w:val="007613D3"/>
    <w:rsid w:val="007641C9"/>
    <w:rsid w:val="007671C3"/>
    <w:rsid w:val="00772720"/>
    <w:rsid w:val="007728B3"/>
    <w:rsid w:val="00777806"/>
    <w:rsid w:val="00780265"/>
    <w:rsid w:val="007851AC"/>
    <w:rsid w:val="00797720"/>
    <w:rsid w:val="007A06CA"/>
    <w:rsid w:val="007A09D1"/>
    <w:rsid w:val="007A18FF"/>
    <w:rsid w:val="007B337D"/>
    <w:rsid w:val="007C4873"/>
    <w:rsid w:val="007D0BD3"/>
    <w:rsid w:val="007D3BB5"/>
    <w:rsid w:val="007D4336"/>
    <w:rsid w:val="007D513C"/>
    <w:rsid w:val="007D7EC2"/>
    <w:rsid w:val="007E20B5"/>
    <w:rsid w:val="007E4B0A"/>
    <w:rsid w:val="007E73C1"/>
    <w:rsid w:val="007F2E3E"/>
    <w:rsid w:val="007F496B"/>
    <w:rsid w:val="007F65C4"/>
    <w:rsid w:val="007F7142"/>
    <w:rsid w:val="008012AB"/>
    <w:rsid w:val="008013FE"/>
    <w:rsid w:val="0080315A"/>
    <w:rsid w:val="0080778D"/>
    <w:rsid w:val="008141D1"/>
    <w:rsid w:val="008208E9"/>
    <w:rsid w:val="00821ACB"/>
    <w:rsid w:val="0082342B"/>
    <w:rsid w:val="00823BBF"/>
    <w:rsid w:val="00823C20"/>
    <w:rsid w:val="00827A1C"/>
    <w:rsid w:val="0083011B"/>
    <w:rsid w:val="008377C8"/>
    <w:rsid w:val="008419EA"/>
    <w:rsid w:val="0084293F"/>
    <w:rsid w:val="00844859"/>
    <w:rsid w:val="00856680"/>
    <w:rsid w:val="008579B8"/>
    <w:rsid w:val="0086014E"/>
    <w:rsid w:val="0087089A"/>
    <w:rsid w:val="008766B9"/>
    <w:rsid w:val="008800B8"/>
    <w:rsid w:val="00881776"/>
    <w:rsid w:val="0088316C"/>
    <w:rsid w:val="00896BA6"/>
    <w:rsid w:val="008A22FC"/>
    <w:rsid w:val="008A30B5"/>
    <w:rsid w:val="008A6DCF"/>
    <w:rsid w:val="008B471F"/>
    <w:rsid w:val="008B5BBD"/>
    <w:rsid w:val="008C0D0C"/>
    <w:rsid w:val="008C13D2"/>
    <w:rsid w:val="008C227F"/>
    <w:rsid w:val="008C564C"/>
    <w:rsid w:val="008D0982"/>
    <w:rsid w:val="008D4AD2"/>
    <w:rsid w:val="008D58DF"/>
    <w:rsid w:val="008E7430"/>
    <w:rsid w:val="008E7F80"/>
    <w:rsid w:val="008F2C82"/>
    <w:rsid w:val="008F3BE2"/>
    <w:rsid w:val="008F590E"/>
    <w:rsid w:val="00904A37"/>
    <w:rsid w:val="0090597A"/>
    <w:rsid w:val="00905D0B"/>
    <w:rsid w:val="009117A7"/>
    <w:rsid w:val="009141F6"/>
    <w:rsid w:val="009152A5"/>
    <w:rsid w:val="009218C9"/>
    <w:rsid w:val="0092252A"/>
    <w:rsid w:val="009231E5"/>
    <w:rsid w:val="009239D6"/>
    <w:rsid w:val="009314F3"/>
    <w:rsid w:val="00945383"/>
    <w:rsid w:val="00946E66"/>
    <w:rsid w:val="00953A94"/>
    <w:rsid w:val="00961C6A"/>
    <w:rsid w:val="009630E7"/>
    <w:rsid w:val="00964D33"/>
    <w:rsid w:val="00976634"/>
    <w:rsid w:val="009804EA"/>
    <w:rsid w:val="00981EB6"/>
    <w:rsid w:val="00983376"/>
    <w:rsid w:val="00993464"/>
    <w:rsid w:val="0099451E"/>
    <w:rsid w:val="00994977"/>
    <w:rsid w:val="009A10EC"/>
    <w:rsid w:val="009A1779"/>
    <w:rsid w:val="009A5A1A"/>
    <w:rsid w:val="009B18EA"/>
    <w:rsid w:val="009B3393"/>
    <w:rsid w:val="009B5413"/>
    <w:rsid w:val="009B59A6"/>
    <w:rsid w:val="009D4BE4"/>
    <w:rsid w:val="009E3465"/>
    <w:rsid w:val="009E3AC8"/>
    <w:rsid w:val="009E3E58"/>
    <w:rsid w:val="009E7DF4"/>
    <w:rsid w:val="009F3974"/>
    <w:rsid w:val="009F7B2C"/>
    <w:rsid w:val="00A01511"/>
    <w:rsid w:val="00A016E1"/>
    <w:rsid w:val="00A03E40"/>
    <w:rsid w:val="00A04BA0"/>
    <w:rsid w:val="00A05ACB"/>
    <w:rsid w:val="00A061BA"/>
    <w:rsid w:val="00A14545"/>
    <w:rsid w:val="00A14A44"/>
    <w:rsid w:val="00A21B73"/>
    <w:rsid w:val="00A22CCC"/>
    <w:rsid w:val="00A25AF8"/>
    <w:rsid w:val="00A268C5"/>
    <w:rsid w:val="00A26C27"/>
    <w:rsid w:val="00A4214F"/>
    <w:rsid w:val="00A42EFB"/>
    <w:rsid w:val="00A44426"/>
    <w:rsid w:val="00A45CFE"/>
    <w:rsid w:val="00A47154"/>
    <w:rsid w:val="00A47D00"/>
    <w:rsid w:val="00A47ED3"/>
    <w:rsid w:val="00A50853"/>
    <w:rsid w:val="00A51C70"/>
    <w:rsid w:val="00A5236F"/>
    <w:rsid w:val="00A53CF0"/>
    <w:rsid w:val="00A5678A"/>
    <w:rsid w:val="00A601F8"/>
    <w:rsid w:val="00A62CE4"/>
    <w:rsid w:val="00A63426"/>
    <w:rsid w:val="00A65365"/>
    <w:rsid w:val="00A732F4"/>
    <w:rsid w:val="00A73F88"/>
    <w:rsid w:val="00A73FFA"/>
    <w:rsid w:val="00A80814"/>
    <w:rsid w:val="00A82209"/>
    <w:rsid w:val="00A85529"/>
    <w:rsid w:val="00A93B42"/>
    <w:rsid w:val="00A97C18"/>
    <w:rsid w:val="00AA0FF8"/>
    <w:rsid w:val="00AA4722"/>
    <w:rsid w:val="00AA61E7"/>
    <w:rsid w:val="00AB56D8"/>
    <w:rsid w:val="00AB5C1C"/>
    <w:rsid w:val="00AC0A51"/>
    <w:rsid w:val="00AC2B69"/>
    <w:rsid w:val="00AC6ED1"/>
    <w:rsid w:val="00AD1FED"/>
    <w:rsid w:val="00AD4CE3"/>
    <w:rsid w:val="00AD7F24"/>
    <w:rsid w:val="00AE5034"/>
    <w:rsid w:val="00AF524E"/>
    <w:rsid w:val="00B00029"/>
    <w:rsid w:val="00B027AC"/>
    <w:rsid w:val="00B0662C"/>
    <w:rsid w:val="00B06B14"/>
    <w:rsid w:val="00B1196B"/>
    <w:rsid w:val="00B12169"/>
    <w:rsid w:val="00B126E0"/>
    <w:rsid w:val="00B1626C"/>
    <w:rsid w:val="00B21640"/>
    <w:rsid w:val="00B2305F"/>
    <w:rsid w:val="00B25BC4"/>
    <w:rsid w:val="00B33973"/>
    <w:rsid w:val="00B3450E"/>
    <w:rsid w:val="00B4007A"/>
    <w:rsid w:val="00B41CBF"/>
    <w:rsid w:val="00B426D0"/>
    <w:rsid w:val="00B45018"/>
    <w:rsid w:val="00B568DE"/>
    <w:rsid w:val="00B64BDA"/>
    <w:rsid w:val="00B70EB2"/>
    <w:rsid w:val="00B77DC5"/>
    <w:rsid w:val="00B84674"/>
    <w:rsid w:val="00B84EA6"/>
    <w:rsid w:val="00B86A80"/>
    <w:rsid w:val="00B9470D"/>
    <w:rsid w:val="00B9754F"/>
    <w:rsid w:val="00BA4388"/>
    <w:rsid w:val="00BB17C2"/>
    <w:rsid w:val="00BB42E1"/>
    <w:rsid w:val="00BC0E7A"/>
    <w:rsid w:val="00BC1DA4"/>
    <w:rsid w:val="00BC1FAB"/>
    <w:rsid w:val="00BC21A5"/>
    <w:rsid w:val="00BC2EF0"/>
    <w:rsid w:val="00BC366A"/>
    <w:rsid w:val="00BC630C"/>
    <w:rsid w:val="00BC6DD7"/>
    <w:rsid w:val="00BD0443"/>
    <w:rsid w:val="00BD2C43"/>
    <w:rsid w:val="00BD3963"/>
    <w:rsid w:val="00BD7E71"/>
    <w:rsid w:val="00BE142F"/>
    <w:rsid w:val="00BE4AC8"/>
    <w:rsid w:val="00BF1899"/>
    <w:rsid w:val="00C041FC"/>
    <w:rsid w:val="00C1091F"/>
    <w:rsid w:val="00C14487"/>
    <w:rsid w:val="00C14C6A"/>
    <w:rsid w:val="00C14CDC"/>
    <w:rsid w:val="00C16C89"/>
    <w:rsid w:val="00C200ED"/>
    <w:rsid w:val="00C21954"/>
    <w:rsid w:val="00C2421C"/>
    <w:rsid w:val="00C26ED5"/>
    <w:rsid w:val="00C316F3"/>
    <w:rsid w:val="00C3320C"/>
    <w:rsid w:val="00C34DAB"/>
    <w:rsid w:val="00C359A2"/>
    <w:rsid w:val="00C46153"/>
    <w:rsid w:val="00C47EBE"/>
    <w:rsid w:val="00C50CA6"/>
    <w:rsid w:val="00C5263D"/>
    <w:rsid w:val="00C61634"/>
    <w:rsid w:val="00C66B46"/>
    <w:rsid w:val="00C67F65"/>
    <w:rsid w:val="00C7338B"/>
    <w:rsid w:val="00C7503B"/>
    <w:rsid w:val="00C91207"/>
    <w:rsid w:val="00C92760"/>
    <w:rsid w:val="00C9699C"/>
    <w:rsid w:val="00C97386"/>
    <w:rsid w:val="00CA20F5"/>
    <w:rsid w:val="00CA2CC7"/>
    <w:rsid w:val="00CA4FB2"/>
    <w:rsid w:val="00CB0696"/>
    <w:rsid w:val="00CB675C"/>
    <w:rsid w:val="00CC2B69"/>
    <w:rsid w:val="00CC318E"/>
    <w:rsid w:val="00CD2C83"/>
    <w:rsid w:val="00CD63FD"/>
    <w:rsid w:val="00CD679A"/>
    <w:rsid w:val="00CE783F"/>
    <w:rsid w:val="00CF44D7"/>
    <w:rsid w:val="00CF4E7B"/>
    <w:rsid w:val="00CF7F63"/>
    <w:rsid w:val="00D01F2C"/>
    <w:rsid w:val="00D03B90"/>
    <w:rsid w:val="00D076CA"/>
    <w:rsid w:val="00D07C7A"/>
    <w:rsid w:val="00D120D3"/>
    <w:rsid w:val="00D21579"/>
    <w:rsid w:val="00D21793"/>
    <w:rsid w:val="00D24627"/>
    <w:rsid w:val="00D33893"/>
    <w:rsid w:val="00D41830"/>
    <w:rsid w:val="00D4719C"/>
    <w:rsid w:val="00D47AA9"/>
    <w:rsid w:val="00D51624"/>
    <w:rsid w:val="00D52663"/>
    <w:rsid w:val="00D57D64"/>
    <w:rsid w:val="00D6299C"/>
    <w:rsid w:val="00D70317"/>
    <w:rsid w:val="00D73510"/>
    <w:rsid w:val="00D73E1F"/>
    <w:rsid w:val="00D80484"/>
    <w:rsid w:val="00D849E8"/>
    <w:rsid w:val="00D851D7"/>
    <w:rsid w:val="00D85998"/>
    <w:rsid w:val="00D921A1"/>
    <w:rsid w:val="00D96DC5"/>
    <w:rsid w:val="00DA0338"/>
    <w:rsid w:val="00DA15A7"/>
    <w:rsid w:val="00DA47D7"/>
    <w:rsid w:val="00DA5B4E"/>
    <w:rsid w:val="00DA5E53"/>
    <w:rsid w:val="00DB39AD"/>
    <w:rsid w:val="00DC2D15"/>
    <w:rsid w:val="00DF0822"/>
    <w:rsid w:val="00E023C9"/>
    <w:rsid w:val="00E33054"/>
    <w:rsid w:val="00E42E8F"/>
    <w:rsid w:val="00E44E48"/>
    <w:rsid w:val="00E50973"/>
    <w:rsid w:val="00E546DF"/>
    <w:rsid w:val="00E54C54"/>
    <w:rsid w:val="00E616CB"/>
    <w:rsid w:val="00E62521"/>
    <w:rsid w:val="00E7332E"/>
    <w:rsid w:val="00E7491F"/>
    <w:rsid w:val="00E776D5"/>
    <w:rsid w:val="00E7784C"/>
    <w:rsid w:val="00E829CF"/>
    <w:rsid w:val="00E8405A"/>
    <w:rsid w:val="00E84150"/>
    <w:rsid w:val="00E871D5"/>
    <w:rsid w:val="00E90D3A"/>
    <w:rsid w:val="00EA19F6"/>
    <w:rsid w:val="00EA2872"/>
    <w:rsid w:val="00EA470B"/>
    <w:rsid w:val="00EA5D45"/>
    <w:rsid w:val="00EA7E7E"/>
    <w:rsid w:val="00EB6AA0"/>
    <w:rsid w:val="00EC1532"/>
    <w:rsid w:val="00ED1830"/>
    <w:rsid w:val="00ED2F41"/>
    <w:rsid w:val="00ED5A46"/>
    <w:rsid w:val="00EF551D"/>
    <w:rsid w:val="00EF6069"/>
    <w:rsid w:val="00EF76EE"/>
    <w:rsid w:val="00F01932"/>
    <w:rsid w:val="00F239A2"/>
    <w:rsid w:val="00F32399"/>
    <w:rsid w:val="00F40D25"/>
    <w:rsid w:val="00F434B2"/>
    <w:rsid w:val="00F43B59"/>
    <w:rsid w:val="00F44671"/>
    <w:rsid w:val="00F5441B"/>
    <w:rsid w:val="00F66ECE"/>
    <w:rsid w:val="00F67737"/>
    <w:rsid w:val="00F72824"/>
    <w:rsid w:val="00F77655"/>
    <w:rsid w:val="00F9689B"/>
    <w:rsid w:val="00FA67C5"/>
    <w:rsid w:val="00FB06DF"/>
    <w:rsid w:val="00FB0A60"/>
    <w:rsid w:val="00FB1CBE"/>
    <w:rsid w:val="00FB615C"/>
    <w:rsid w:val="00FC1305"/>
    <w:rsid w:val="00FC4027"/>
    <w:rsid w:val="00FC5ABF"/>
    <w:rsid w:val="00FD0F41"/>
    <w:rsid w:val="00FE1450"/>
    <w:rsid w:val="00FE4F0C"/>
    <w:rsid w:val="00FE7C60"/>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600E0"/>
  <w15:docId w15:val="{2BBD5038-4AB8-4CDB-AC65-08003B1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88"/>
    <w:pPr>
      <w:spacing w:before="120" w:after="120" w:line="276" w:lineRule="auto"/>
      <w:ind w:firstLine="284"/>
      <w:jc w:val="both"/>
    </w:pPr>
    <w:rPr>
      <w:rFonts w:ascii="Times New Roman" w:eastAsia="Times New Roman" w:hAnsi="Times New Roman" w:cs="Times New Roman"/>
      <w:szCs w:val="24"/>
      <w:lang w:val="en-US"/>
    </w:rPr>
  </w:style>
  <w:style w:type="paragraph" w:styleId="Heading1">
    <w:name w:val="heading 1"/>
    <w:basedOn w:val="Normal"/>
    <w:next w:val="Normal"/>
    <w:link w:val="Heading1Char"/>
    <w:autoRedefine/>
    <w:uiPriority w:val="9"/>
    <w:qFormat/>
    <w:rsid w:val="005E46DE"/>
    <w:pPr>
      <w:keepNext/>
      <w:keepLines/>
      <w:numPr>
        <w:numId w:val="4"/>
      </w:numPr>
      <w:contextualSpacing/>
      <w:jc w:val="left"/>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A20F5"/>
    <w:pPr>
      <w:keepNext/>
      <w:keepLines/>
      <w:numPr>
        <w:ilvl w:val="1"/>
        <w:numId w:val="3"/>
      </w:numPr>
      <w:ind w:left="681" w:hanging="397"/>
      <w:jc w:val="left"/>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84674"/>
    <w:pPr>
      <w:keepNext/>
      <w:keepLines/>
      <w:numPr>
        <w:ilvl w:val="2"/>
        <w:numId w:val="3"/>
      </w:numPr>
      <w:ind w:left="851" w:hanging="567"/>
      <w:jc w:val="left"/>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7851AC"/>
    <w:pPr>
      <w:keepNext/>
      <w:keepLines/>
      <w:numPr>
        <w:ilvl w:val="3"/>
        <w:numId w:val="3"/>
      </w:numPr>
      <w:ind w:left="1135" w:hanging="851"/>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772720"/>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2720"/>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2720"/>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272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272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CF44D7"/>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CF44D7"/>
    <w:pPr>
      <w:spacing w:after="80" w:line="200" w:lineRule="exact"/>
      <w:jc w:val="both"/>
    </w:pPr>
    <w:rPr>
      <w:rFonts w:ascii="Times New Roman" w:eastAsia="Times New Roman" w:hAnsi="Times New Roman" w:cs="Times New Roman"/>
      <w:sz w:val="17"/>
      <w:szCs w:val="20"/>
      <w:lang w:val="en"/>
    </w:rPr>
  </w:style>
  <w:style w:type="paragraph" w:customStyle="1" w:styleId="ElsAffiliation">
    <w:name w:val="Els_Affiliation"/>
    <w:link w:val="ElsAffiliationChar"/>
    <w:rsid w:val="00CF44D7"/>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CF44D7"/>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CF44D7"/>
    <w:pPr>
      <w:spacing w:after="0" w:line="240" w:lineRule="auto"/>
    </w:pPr>
    <w:rPr>
      <w:rFonts w:ascii="Times New Roman" w:eastAsia="Times New Roman" w:hAnsi="Times New Roman" w:cs="Times New Roman"/>
      <w:smallCaps/>
      <w:spacing w:val="24"/>
      <w:sz w:val="20"/>
      <w:szCs w:val="20"/>
      <w:lang w:val="en-US"/>
    </w:rPr>
  </w:style>
  <w:style w:type="paragraph" w:customStyle="1" w:styleId="ElsArticleTitle">
    <w:name w:val="Els_ArticleTitle"/>
    <w:next w:val="ElsAuthor"/>
    <w:rsid w:val="00CF44D7"/>
    <w:pPr>
      <w:spacing w:before="360" w:after="240" w:line="350" w:lineRule="exact"/>
    </w:pPr>
    <w:rPr>
      <w:rFonts w:ascii="Times New Roman" w:eastAsia="Times New Roman" w:hAnsi="Times New Roman" w:cs="Times New Roman"/>
      <w:sz w:val="30"/>
      <w:szCs w:val="20"/>
      <w:lang w:val="en-US"/>
    </w:rPr>
  </w:style>
  <w:style w:type="paragraph" w:customStyle="1" w:styleId="ElsAuthor">
    <w:name w:val="Els_Author"/>
    <w:next w:val="ElsAffiliation"/>
    <w:rsid w:val="00CF44D7"/>
    <w:pPr>
      <w:spacing w:line="290" w:lineRule="exact"/>
    </w:pPr>
    <w:rPr>
      <w:rFonts w:ascii="Times New Roman" w:eastAsia="Times New Roman" w:hAnsi="Times New Roman" w:cs="Times New Roman"/>
      <w:sz w:val="24"/>
      <w:szCs w:val="20"/>
      <w:lang w:val="en-US"/>
    </w:rPr>
  </w:style>
  <w:style w:type="paragraph" w:customStyle="1" w:styleId="ElsCorrespondingAuthor">
    <w:name w:val="Els_CorrespondingAuthor"/>
    <w:next w:val="ElsFootnote"/>
    <w:rsid w:val="00CF44D7"/>
    <w:pPr>
      <w:spacing w:before="120" w:after="0" w:line="200" w:lineRule="exact"/>
    </w:pPr>
    <w:rPr>
      <w:rFonts w:ascii="Times New Roman" w:eastAsia="Times New Roman" w:hAnsi="Times New Roman" w:cs="Times New Roman"/>
      <w:sz w:val="18"/>
      <w:szCs w:val="20"/>
      <w:lang w:val="en-US"/>
    </w:rPr>
  </w:style>
  <w:style w:type="paragraph" w:customStyle="1" w:styleId="ElsFootnote">
    <w:name w:val="Els_Footnote"/>
    <w:rsid w:val="00CF44D7"/>
    <w:pPr>
      <w:spacing w:before="120" w:after="0" w:line="200" w:lineRule="exact"/>
    </w:pPr>
    <w:rPr>
      <w:rFonts w:ascii="Times New Roman" w:eastAsia="Times New Roman" w:hAnsi="Times New Roman" w:cs="Times New Roman"/>
      <w:sz w:val="18"/>
      <w:szCs w:val="20"/>
      <w:lang w:val="en-US"/>
    </w:rPr>
  </w:style>
  <w:style w:type="paragraph" w:customStyle="1" w:styleId="ElsKeyword">
    <w:name w:val="Els_Keyword"/>
    <w:rsid w:val="00CF44D7"/>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CF44D7"/>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rsid w:val="00CF44D7"/>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rsid w:val="00CF44D7"/>
    <w:pPr>
      <w:keepNext/>
      <w:numPr>
        <w:numId w:val="2"/>
      </w:numPr>
      <w:spacing w:before="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rsid w:val="00CF44D7"/>
    <w:pPr>
      <w:numPr>
        <w:ilvl w:val="1"/>
        <w:numId w:val="2"/>
      </w:numPr>
      <w:spacing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rsid w:val="00CF44D7"/>
    <w:pPr>
      <w:numPr>
        <w:ilvl w:val="2"/>
        <w:numId w:val="2"/>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rsid w:val="00CF44D7"/>
    <w:pPr>
      <w:numPr>
        <w:ilvl w:val="3"/>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rsid w:val="00CF44D7"/>
    <w:pPr>
      <w:numPr>
        <w:ilvl w:val="4"/>
        <w:numId w:val="2"/>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AcknowledgementsHeading">
    <w:name w:val="Els_AcknowledgementsHeading"/>
    <w:next w:val="ElsParagraph"/>
    <w:rsid w:val="00CF44D7"/>
    <w:pPr>
      <w:spacing w:before="220" w:after="220" w:line="220" w:lineRule="exact"/>
    </w:pPr>
    <w:rPr>
      <w:rFonts w:ascii="Times New Roman" w:eastAsia="Times New Roman" w:hAnsi="Times New Roman" w:cs="Times New Roman"/>
      <w:b/>
      <w:sz w:val="20"/>
      <w:szCs w:val="20"/>
      <w:lang w:val="en-US"/>
    </w:rPr>
  </w:style>
  <w:style w:type="paragraph" w:customStyle="1" w:styleId="ElsReferencesHeading">
    <w:name w:val="Els_ReferencesHeading"/>
    <w:next w:val="ElsReferences"/>
    <w:link w:val="ElsReferencesHeadingChar"/>
    <w:rsid w:val="00CF44D7"/>
    <w:pPr>
      <w:keepNext/>
      <w:spacing w:before="240" w:after="240" w:line="240" w:lineRule="auto"/>
    </w:pPr>
    <w:rPr>
      <w:rFonts w:ascii="Times New Roman" w:eastAsia="Times New Roman" w:hAnsi="Times New Roman" w:cs="Times New Roman"/>
      <w:b/>
      <w:sz w:val="19"/>
      <w:szCs w:val="20"/>
      <w:lang w:val="en-US"/>
    </w:rPr>
  </w:style>
  <w:style w:type="paragraph" w:customStyle="1" w:styleId="ElsReferences">
    <w:name w:val="Els_References"/>
    <w:rsid w:val="00CF44D7"/>
    <w:pPr>
      <w:numPr>
        <w:numId w:val="1"/>
      </w:numPr>
      <w:spacing w:after="0" w:line="240" w:lineRule="auto"/>
    </w:pPr>
    <w:rPr>
      <w:rFonts w:ascii="Times New Roman" w:eastAsia="Times New Roman" w:hAnsi="Times New Roman" w:cs="Times New Roman"/>
      <w:sz w:val="16"/>
      <w:szCs w:val="20"/>
      <w:lang w:val="en-US"/>
    </w:rPr>
  </w:style>
  <w:style w:type="paragraph" w:customStyle="1" w:styleId="ElsTableCaption">
    <w:name w:val="Els_TableCaption"/>
    <w:next w:val="ElsParagraph"/>
    <w:rsid w:val="00CF44D7"/>
    <w:pPr>
      <w:keepNext/>
      <w:spacing w:after="0" w:line="240" w:lineRule="auto"/>
    </w:pPr>
    <w:rPr>
      <w:rFonts w:ascii="Times New Roman" w:eastAsia="Times New Roman" w:hAnsi="Times New Roman" w:cs="Times New Roman"/>
      <w:sz w:val="20"/>
      <w:szCs w:val="20"/>
      <w:lang w:val="en-US"/>
    </w:rPr>
  </w:style>
  <w:style w:type="paragraph" w:customStyle="1" w:styleId="ElsLegend">
    <w:name w:val="Els_Legend"/>
    <w:rsid w:val="00CF44D7"/>
    <w:pPr>
      <w:spacing w:after="120" w:line="180" w:lineRule="exact"/>
    </w:pPr>
    <w:rPr>
      <w:rFonts w:ascii="Times New Roman" w:eastAsia="Times New Roman" w:hAnsi="Times New Roman" w:cs="Times New Roman"/>
      <w:sz w:val="16"/>
      <w:szCs w:val="20"/>
      <w:lang w:val="en-US"/>
    </w:rPr>
  </w:style>
  <w:style w:type="paragraph" w:customStyle="1" w:styleId="ElsDisplayMath">
    <w:name w:val="Els_DisplayMath"/>
    <w:basedOn w:val="ElsParagraph"/>
    <w:next w:val="ElsParagraph"/>
    <w:rsid w:val="00CF44D7"/>
    <w:pPr>
      <w:spacing w:before="100" w:beforeAutospacing="1" w:after="100" w:afterAutospacing="1"/>
    </w:pPr>
  </w:style>
  <w:style w:type="paragraph" w:styleId="Header">
    <w:name w:val="header"/>
    <w:basedOn w:val="Normal"/>
    <w:link w:val="HeaderChar"/>
    <w:uiPriority w:val="99"/>
    <w:unhideWhenUsed/>
    <w:rsid w:val="00CF44D7"/>
    <w:pPr>
      <w:tabs>
        <w:tab w:val="center" w:pos="4536"/>
        <w:tab w:val="right" w:pos="9072"/>
      </w:tabs>
    </w:pPr>
  </w:style>
  <w:style w:type="character" w:customStyle="1" w:styleId="HeaderChar">
    <w:name w:val="Header Char"/>
    <w:basedOn w:val="DefaultParagraphFont"/>
    <w:link w:val="Header"/>
    <w:uiPriority w:val="99"/>
    <w:rsid w:val="00CF44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F44D7"/>
    <w:pPr>
      <w:tabs>
        <w:tab w:val="center" w:pos="4536"/>
        <w:tab w:val="right" w:pos="9072"/>
      </w:tabs>
    </w:pPr>
  </w:style>
  <w:style w:type="character" w:customStyle="1" w:styleId="FooterChar">
    <w:name w:val="Footer Char"/>
    <w:basedOn w:val="DefaultParagraphFont"/>
    <w:link w:val="Footer"/>
    <w:uiPriority w:val="99"/>
    <w:rsid w:val="00CF44D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E46DE"/>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uiPriority w:val="9"/>
    <w:rsid w:val="00CA20F5"/>
    <w:rPr>
      <w:rFonts w:ascii="Times New Roman" w:eastAsiaTheme="majorEastAsia" w:hAnsi="Times New Roman" w:cstheme="majorBidi"/>
      <w:b/>
      <w:szCs w:val="26"/>
      <w:lang w:val="en-US"/>
    </w:rPr>
  </w:style>
  <w:style w:type="character" w:customStyle="1" w:styleId="Heading3Char">
    <w:name w:val="Heading 3 Char"/>
    <w:basedOn w:val="DefaultParagraphFont"/>
    <w:link w:val="Heading3"/>
    <w:uiPriority w:val="9"/>
    <w:rsid w:val="00B84674"/>
    <w:rPr>
      <w:rFonts w:ascii="Times New Roman" w:eastAsiaTheme="majorEastAsia" w:hAnsi="Times New Roman" w:cstheme="majorBidi"/>
      <w:i/>
      <w:szCs w:val="24"/>
      <w:lang w:val="en-US"/>
    </w:rPr>
  </w:style>
  <w:style w:type="character" w:customStyle="1" w:styleId="Heading4Char">
    <w:name w:val="Heading 4 Char"/>
    <w:basedOn w:val="DefaultParagraphFont"/>
    <w:link w:val="Heading4"/>
    <w:uiPriority w:val="9"/>
    <w:semiHidden/>
    <w:rsid w:val="007851AC"/>
    <w:rPr>
      <w:rFonts w:ascii="Times New Roman" w:eastAsiaTheme="majorEastAsia" w:hAnsi="Times New Roman" w:cstheme="majorBidi"/>
      <w:i/>
      <w:iCs/>
      <w:szCs w:val="24"/>
      <w:lang w:val="en-US"/>
    </w:rPr>
  </w:style>
  <w:style w:type="character" w:customStyle="1" w:styleId="Heading5Char">
    <w:name w:val="Heading 5 Char"/>
    <w:basedOn w:val="DefaultParagraphFont"/>
    <w:link w:val="Heading5"/>
    <w:uiPriority w:val="9"/>
    <w:semiHidden/>
    <w:rsid w:val="00772720"/>
    <w:rPr>
      <w:rFonts w:asciiTheme="majorHAnsi" w:eastAsiaTheme="majorEastAsia" w:hAnsiTheme="majorHAnsi" w:cstheme="majorBidi"/>
      <w:color w:val="2F5496" w:themeColor="accent1" w:themeShade="BF"/>
      <w:szCs w:val="24"/>
      <w:lang w:val="en-US"/>
    </w:rPr>
  </w:style>
  <w:style w:type="character" w:customStyle="1" w:styleId="Heading6Char">
    <w:name w:val="Heading 6 Char"/>
    <w:basedOn w:val="DefaultParagraphFont"/>
    <w:link w:val="Heading6"/>
    <w:uiPriority w:val="9"/>
    <w:semiHidden/>
    <w:rsid w:val="00772720"/>
    <w:rPr>
      <w:rFonts w:asciiTheme="majorHAnsi" w:eastAsiaTheme="majorEastAsia" w:hAnsiTheme="majorHAnsi" w:cstheme="majorBidi"/>
      <w:color w:val="1F3763" w:themeColor="accent1" w:themeShade="7F"/>
      <w:szCs w:val="24"/>
      <w:lang w:val="en-US"/>
    </w:rPr>
  </w:style>
  <w:style w:type="character" w:customStyle="1" w:styleId="Heading7Char">
    <w:name w:val="Heading 7 Char"/>
    <w:basedOn w:val="DefaultParagraphFont"/>
    <w:link w:val="Heading7"/>
    <w:uiPriority w:val="9"/>
    <w:semiHidden/>
    <w:rsid w:val="00772720"/>
    <w:rPr>
      <w:rFonts w:asciiTheme="majorHAnsi" w:eastAsiaTheme="majorEastAsia" w:hAnsiTheme="majorHAnsi" w:cstheme="majorBidi"/>
      <w:i/>
      <w:iCs/>
      <w:color w:val="1F3763" w:themeColor="accent1" w:themeShade="7F"/>
      <w:szCs w:val="24"/>
      <w:lang w:val="en-US"/>
    </w:rPr>
  </w:style>
  <w:style w:type="character" w:customStyle="1" w:styleId="Heading8Char">
    <w:name w:val="Heading 8 Char"/>
    <w:basedOn w:val="DefaultParagraphFont"/>
    <w:link w:val="Heading8"/>
    <w:uiPriority w:val="9"/>
    <w:semiHidden/>
    <w:rsid w:val="007727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2720"/>
    <w:rPr>
      <w:rFonts w:asciiTheme="majorHAnsi" w:eastAsiaTheme="majorEastAsia" w:hAnsiTheme="majorHAnsi" w:cstheme="majorBidi"/>
      <w:i/>
      <w:iCs/>
      <w:color w:val="272727" w:themeColor="text1" w:themeTint="D8"/>
      <w:sz w:val="21"/>
      <w:szCs w:val="21"/>
      <w:lang w:val="en-US"/>
    </w:rPr>
  </w:style>
  <w:style w:type="paragraph" w:customStyle="1" w:styleId="Abstract">
    <w:name w:val="Abstract"/>
    <w:basedOn w:val="Normal"/>
    <w:link w:val="AbstractChar"/>
    <w:qFormat/>
    <w:rsid w:val="00BA4388"/>
    <w:pPr>
      <w:spacing w:after="0"/>
    </w:pPr>
  </w:style>
  <w:style w:type="paragraph" w:styleId="Title">
    <w:name w:val="Title"/>
    <w:basedOn w:val="Normal"/>
    <w:next w:val="Normal"/>
    <w:link w:val="TitleChar"/>
    <w:uiPriority w:val="10"/>
    <w:qFormat/>
    <w:rsid w:val="00584F33"/>
    <w:pPr>
      <w:spacing w:before="480" w:after="240"/>
      <w:ind w:firstLine="0"/>
      <w:contextualSpacing/>
      <w:jc w:val="center"/>
    </w:pPr>
    <w:rPr>
      <w:rFonts w:eastAsiaTheme="majorEastAsia" w:cstheme="majorBidi"/>
      <w:b/>
      <w:spacing w:val="-10"/>
      <w:kern w:val="28"/>
      <w:sz w:val="36"/>
      <w:szCs w:val="56"/>
    </w:rPr>
  </w:style>
  <w:style w:type="character" w:customStyle="1" w:styleId="AbstractChar">
    <w:name w:val="Abstract Char"/>
    <w:basedOn w:val="DefaultParagraphFont"/>
    <w:link w:val="Abstract"/>
    <w:rsid w:val="00BA4388"/>
    <w:rPr>
      <w:rFonts w:ascii="Times New Roman" w:eastAsia="Times New Roman" w:hAnsi="Times New Roman" w:cs="Times New Roman"/>
      <w:szCs w:val="24"/>
      <w:lang w:val="en-US"/>
    </w:rPr>
  </w:style>
  <w:style w:type="character" w:customStyle="1" w:styleId="TitleChar">
    <w:name w:val="Title Char"/>
    <w:basedOn w:val="DefaultParagraphFont"/>
    <w:link w:val="Title"/>
    <w:uiPriority w:val="10"/>
    <w:rsid w:val="00584F33"/>
    <w:rPr>
      <w:rFonts w:ascii="Times New Roman" w:eastAsiaTheme="majorEastAsia" w:hAnsi="Times New Roman" w:cstheme="majorBidi"/>
      <w:b/>
      <w:spacing w:val="-10"/>
      <w:kern w:val="28"/>
      <w:sz w:val="36"/>
      <w:szCs w:val="56"/>
      <w:lang w:val="en-US"/>
    </w:rPr>
  </w:style>
  <w:style w:type="paragraph" w:customStyle="1" w:styleId="Author">
    <w:name w:val="Author"/>
    <w:basedOn w:val="ElsAffiliation"/>
    <w:link w:val="AuthorChar"/>
    <w:qFormat/>
    <w:rsid w:val="00301B81"/>
    <w:pPr>
      <w:spacing w:before="240" w:after="120" w:line="240" w:lineRule="auto"/>
      <w:jc w:val="center"/>
    </w:pPr>
    <w:rPr>
      <w:i w:val="0"/>
      <w:sz w:val="24"/>
    </w:rPr>
  </w:style>
  <w:style w:type="paragraph" w:customStyle="1" w:styleId="Affilation">
    <w:name w:val="Affilation"/>
    <w:basedOn w:val="ElsAffiliation"/>
    <w:link w:val="AffilationChar"/>
    <w:qFormat/>
    <w:rsid w:val="00B027AC"/>
    <w:pPr>
      <w:spacing w:line="240" w:lineRule="auto"/>
      <w:jc w:val="center"/>
    </w:pPr>
    <w:rPr>
      <w:sz w:val="20"/>
      <w:vertAlign w:val="superscript"/>
    </w:rPr>
  </w:style>
  <w:style w:type="character" w:customStyle="1" w:styleId="ElsAffiliationChar">
    <w:name w:val="Els_Affiliation Char"/>
    <w:basedOn w:val="DefaultParagraphFont"/>
    <w:link w:val="ElsAffiliation"/>
    <w:rsid w:val="00823C20"/>
    <w:rPr>
      <w:rFonts w:ascii="Times New Roman" w:eastAsia="Times New Roman" w:hAnsi="Times New Roman" w:cs="Times New Roman"/>
      <w:i/>
      <w:sz w:val="16"/>
      <w:szCs w:val="20"/>
      <w:lang w:val="en-US"/>
    </w:rPr>
  </w:style>
  <w:style w:type="character" w:customStyle="1" w:styleId="AuthorChar">
    <w:name w:val="Author Char"/>
    <w:basedOn w:val="ElsAffiliationChar"/>
    <w:link w:val="Author"/>
    <w:rsid w:val="00301B81"/>
    <w:rPr>
      <w:rFonts w:ascii="Times New Roman" w:eastAsia="Times New Roman" w:hAnsi="Times New Roman" w:cs="Times New Roman"/>
      <w:i w:val="0"/>
      <w:sz w:val="24"/>
      <w:szCs w:val="20"/>
      <w:lang w:val="en-US"/>
    </w:rPr>
  </w:style>
  <w:style w:type="character" w:styleId="Hyperlink">
    <w:name w:val="Hyperlink"/>
    <w:basedOn w:val="DefaultParagraphFont"/>
    <w:uiPriority w:val="99"/>
    <w:unhideWhenUsed/>
    <w:rsid w:val="000F1838"/>
    <w:rPr>
      <w:color w:val="0563C1" w:themeColor="hyperlink"/>
      <w:u w:val="single"/>
    </w:rPr>
  </w:style>
  <w:style w:type="character" w:customStyle="1" w:styleId="AffilationChar">
    <w:name w:val="Affilation Char"/>
    <w:basedOn w:val="ElsAffiliationChar"/>
    <w:link w:val="Affilation"/>
    <w:rsid w:val="00B027AC"/>
    <w:rPr>
      <w:rFonts w:ascii="Times New Roman" w:eastAsia="Times New Roman" w:hAnsi="Times New Roman" w:cs="Times New Roman"/>
      <w:i/>
      <w:sz w:val="20"/>
      <w:szCs w:val="20"/>
      <w:vertAlign w:val="superscript"/>
      <w:lang w:val="en-US"/>
    </w:rPr>
  </w:style>
  <w:style w:type="character" w:customStyle="1" w:styleId="UnresolvedMention1">
    <w:name w:val="Unresolved Mention1"/>
    <w:basedOn w:val="DefaultParagraphFont"/>
    <w:uiPriority w:val="99"/>
    <w:semiHidden/>
    <w:unhideWhenUsed/>
    <w:rsid w:val="000F1838"/>
    <w:rPr>
      <w:color w:val="605E5C"/>
      <w:shd w:val="clear" w:color="auto" w:fill="E1DFDD"/>
    </w:rPr>
  </w:style>
  <w:style w:type="paragraph" w:styleId="NoSpacing">
    <w:name w:val="No Spacing"/>
    <w:link w:val="NoSpacingChar"/>
    <w:uiPriority w:val="1"/>
    <w:qFormat/>
    <w:rsid w:val="00EF76EE"/>
    <w:pPr>
      <w:spacing w:after="0" w:line="240" w:lineRule="auto"/>
      <w:jc w:val="both"/>
    </w:pPr>
    <w:rPr>
      <w:rFonts w:ascii="Times New Roman" w:eastAsia="Times New Roman" w:hAnsi="Times New Roman" w:cs="Times New Roman"/>
      <w:szCs w:val="24"/>
      <w:lang w:val="en-US"/>
    </w:rPr>
  </w:style>
  <w:style w:type="paragraph" w:styleId="Caption">
    <w:name w:val="caption"/>
    <w:basedOn w:val="Normal"/>
    <w:next w:val="Normal"/>
    <w:unhideWhenUsed/>
    <w:qFormat/>
    <w:rsid w:val="00E8405A"/>
    <w:pPr>
      <w:ind w:firstLine="0"/>
      <w:jc w:val="center"/>
    </w:pPr>
    <w:rPr>
      <w:b/>
      <w:iCs/>
      <w:sz w:val="20"/>
      <w:szCs w:val="18"/>
    </w:rPr>
  </w:style>
  <w:style w:type="paragraph" w:styleId="NormalWeb">
    <w:name w:val="Normal (Web)"/>
    <w:basedOn w:val="Normal"/>
    <w:uiPriority w:val="99"/>
    <w:unhideWhenUsed/>
    <w:rsid w:val="001D1030"/>
    <w:pPr>
      <w:spacing w:before="100" w:beforeAutospacing="1" w:after="100" w:afterAutospacing="1"/>
      <w:ind w:firstLine="0"/>
      <w:jc w:val="left"/>
    </w:pPr>
    <w:rPr>
      <w:sz w:val="24"/>
      <w:lang w:val="bs-Latn-BA" w:eastAsia="bs-Latn-BA"/>
    </w:rPr>
  </w:style>
  <w:style w:type="character" w:styleId="Strong">
    <w:name w:val="Strong"/>
    <w:basedOn w:val="DefaultParagraphFont"/>
    <w:uiPriority w:val="22"/>
    <w:qFormat/>
    <w:rsid w:val="001D1030"/>
    <w:rPr>
      <w:b/>
      <w:bCs/>
    </w:rPr>
  </w:style>
  <w:style w:type="character" w:styleId="Emphasis">
    <w:name w:val="Emphasis"/>
    <w:basedOn w:val="DefaultParagraphFont"/>
    <w:uiPriority w:val="20"/>
    <w:qFormat/>
    <w:rsid w:val="00605545"/>
    <w:rPr>
      <w:i/>
      <w:iCs/>
    </w:rPr>
  </w:style>
  <w:style w:type="paragraph" w:customStyle="1" w:styleId="Acknowledgments">
    <w:name w:val="Acknowledgments"/>
    <w:basedOn w:val="Normal"/>
    <w:link w:val="AcknowledgmentsChar"/>
    <w:rsid w:val="00A21B73"/>
    <w:rPr>
      <w:b/>
      <w:sz w:val="24"/>
    </w:rPr>
  </w:style>
  <w:style w:type="paragraph" w:customStyle="1" w:styleId="References">
    <w:name w:val="References"/>
    <w:basedOn w:val="ElsReferencesHeading"/>
    <w:link w:val="ReferencesChar"/>
    <w:qFormat/>
    <w:rsid w:val="00C14487"/>
    <w:pPr>
      <w:spacing w:before="0" w:after="120"/>
      <w:ind w:left="284" w:hanging="284"/>
      <w:jc w:val="both"/>
    </w:pPr>
    <w:rPr>
      <w:b w:val="0"/>
      <w:sz w:val="20"/>
    </w:rPr>
  </w:style>
  <w:style w:type="character" w:customStyle="1" w:styleId="AcknowledgmentsChar">
    <w:name w:val="Acknowledgments Char"/>
    <w:basedOn w:val="DefaultParagraphFont"/>
    <w:link w:val="Acknowledgments"/>
    <w:rsid w:val="00A21B73"/>
    <w:rPr>
      <w:rFonts w:ascii="Times New Roman" w:eastAsia="Times New Roman" w:hAnsi="Times New Roman" w:cs="Times New Roman"/>
      <w:b/>
      <w:sz w:val="24"/>
      <w:szCs w:val="24"/>
      <w:lang w:val="en-US"/>
    </w:rPr>
  </w:style>
  <w:style w:type="paragraph" w:customStyle="1" w:styleId="Keywords">
    <w:name w:val="Keywords"/>
    <w:basedOn w:val="Abstract"/>
    <w:link w:val="KeywordsChar"/>
    <w:qFormat/>
    <w:rsid w:val="00700645"/>
    <w:pPr>
      <w:spacing w:before="0" w:after="120"/>
    </w:pPr>
    <w:rPr>
      <w:i/>
    </w:rPr>
  </w:style>
  <w:style w:type="character" w:customStyle="1" w:styleId="ElsReferencesHeadingChar">
    <w:name w:val="Els_ReferencesHeading Char"/>
    <w:basedOn w:val="DefaultParagraphFont"/>
    <w:link w:val="ElsReferencesHeading"/>
    <w:rsid w:val="00A21B73"/>
    <w:rPr>
      <w:rFonts w:ascii="Times New Roman" w:eastAsia="Times New Roman" w:hAnsi="Times New Roman" w:cs="Times New Roman"/>
      <w:b/>
      <w:sz w:val="19"/>
      <w:szCs w:val="20"/>
      <w:lang w:val="en-US"/>
    </w:rPr>
  </w:style>
  <w:style w:type="character" w:customStyle="1" w:styleId="ReferencesChar">
    <w:name w:val="References Char"/>
    <w:basedOn w:val="ElsReferencesHeadingChar"/>
    <w:link w:val="References"/>
    <w:rsid w:val="00C14487"/>
    <w:rPr>
      <w:rFonts w:ascii="Times New Roman" w:eastAsia="Times New Roman" w:hAnsi="Times New Roman" w:cs="Times New Roman"/>
      <w:b w:val="0"/>
      <w:sz w:val="20"/>
      <w:szCs w:val="20"/>
      <w:lang w:val="en-US"/>
    </w:rPr>
  </w:style>
  <w:style w:type="paragraph" w:styleId="ListParagraph">
    <w:name w:val="List Paragraph"/>
    <w:basedOn w:val="Normal"/>
    <w:uiPriority w:val="34"/>
    <w:qFormat/>
    <w:rsid w:val="00BC1FAB"/>
    <w:pPr>
      <w:ind w:left="284" w:firstLine="0"/>
      <w:contextualSpacing/>
    </w:pPr>
    <w:rPr>
      <w:rFonts w:eastAsiaTheme="minorHAnsi" w:cstheme="minorBidi"/>
      <w:szCs w:val="22"/>
    </w:rPr>
  </w:style>
  <w:style w:type="paragraph" w:customStyle="1" w:styleId="Text">
    <w:name w:val="Text"/>
    <w:basedOn w:val="Normal"/>
    <w:link w:val="TextChar"/>
    <w:autoRedefine/>
    <w:rsid w:val="00424D69"/>
    <w:pPr>
      <w:widowControl w:val="0"/>
      <w:spacing w:after="0"/>
      <w:ind w:firstLine="0"/>
    </w:pPr>
    <w:rPr>
      <w:b/>
      <w:bCs/>
      <w:sz w:val="20"/>
      <w:szCs w:val="20"/>
    </w:rPr>
  </w:style>
  <w:style w:type="paragraph" w:customStyle="1" w:styleId="Tables">
    <w:name w:val="Tables"/>
    <w:basedOn w:val="Text"/>
    <w:link w:val="TablesChar"/>
    <w:rsid w:val="00424D69"/>
    <w:pPr>
      <w:jc w:val="center"/>
    </w:pPr>
  </w:style>
  <w:style w:type="paragraph" w:customStyle="1" w:styleId="IOPHeader">
    <w:name w:val="IOPHeader"/>
    <w:basedOn w:val="Header"/>
    <w:link w:val="IOPHeaderChar"/>
    <w:rsid w:val="007F65C4"/>
    <w:pPr>
      <w:pBdr>
        <w:bottom w:val="single" w:sz="4" w:space="1" w:color="auto"/>
      </w:pBdr>
      <w:tabs>
        <w:tab w:val="clear" w:pos="4536"/>
        <w:tab w:val="clear" w:pos="9072"/>
        <w:tab w:val="center" w:pos="4513"/>
        <w:tab w:val="right" w:pos="9026"/>
      </w:tabs>
      <w:spacing w:after="0"/>
      <w:ind w:firstLine="0"/>
      <w:jc w:val="left"/>
    </w:pPr>
    <w:rPr>
      <w:sz w:val="24"/>
      <w:lang w:val="en-GB"/>
    </w:rPr>
  </w:style>
  <w:style w:type="character" w:customStyle="1" w:styleId="TextChar">
    <w:name w:val="Text Char"/>
    <w:basedOn w:val="DefaultParagraphFont"/>
    <w:link w:val="Text"/>
    <w:rsid w:val="00424D69"/>
    <w:rPr>
      <w:rFonts w:ascii="Times New Roman" w:eastAsia="Times New Roman" w:hAnsi="Times New Roman" w:cs="Times New Roman"/>
      <w:b/>
      <w:bCs/>
      <w:sz w:val="20"/>
      <w:szCs w:val="20"/>
      <w:lang w:val="en-US"/>
    </w:rPr>
  </w:style>
  <w:style w:type="character" w:customStyle="1" w:styleId="TablesChar">
    <w:name w:val="Tables Char"/>
    <w:basedOn w:val="TextChar"/>
    <w:link w:val="Tables"/>
    <w:rsid w:val="00424D69"/>
    <w:rPr>
      <w:rFonts w:ascii="Times New Roman" w:eastAsia="Times New Roman" w:hAnsi="Times New Roman" w:cs="Times New Roman"/>
      <w:b/>
      <w:bCs/>
      <w:sz w:val="20"/>
      <w:szCs w:val="20"/>
      <w:lang w:val="en-US"/>
    </w:rPr>
  </w:style>
  <w:style w:type="character" w:customStyle="1" w:styleId="IOPHeaderChar">
    <w:name w:val="IOPHeader Char"/>
    <w:basedOn w:val="HeaderChar"/>
    <w:link w:val="IOPHeader"/>
    <w:rsid w:val="007F65C4"/>
    <w:rPr>
      <w:rFonts w:ascii="Times New Roman" w:eastAsia="Times New Roman" w:hAnsi="Times New Roman" w:cs="Times New Roman"/>
      <w:sz w:val="24"/>
      <w:szCs w:val="24"/>
      <w:lang w:val="en-GB"/>
    </w:rPr>
  </w:style>
  <w:style w:type="paragraph" w:customStyle="1" w:styleId="Els-table-text">
    <w:name w:val="Els-table-text"/>
    <w:rsid w:val="002938AE"/>
    <w:pPr>
      <w:spacing w:after="80" w:line="200" w:lineRule="exact"/>
    </w:pPr>
    <w:rPr>
      <w:rFonts w:ascii="Times New Roman" w:eastAsia="SimSun" w:hAnsi="Times New Roman" w:cs="Times New Roman"/>
      <w:sz w:val="16"/>
      <w:szCs w:val="20"/>
      <w:lang w:val="en-US"/>
    </w:rPr>
  </w:style>
  <w:style w:type="paragraph" w:styleId="FootnoteText">
    <w:name w:val="footnote text"/>
    <w:basedOn w:val="Normal"/>
    <w:link w:val="FootnoteTextChar"/>
    <w:uiPriority w:val="99"/>
    <w:unhideWhenUsed/>
    <w:rsid w:val="001D0108"/>
    <w:pPr>
      <w:spacing w:after="0"/>
    </w:pPr>
    <w:rPr>
      <w:sz w:val="20"/>
      <w:szCs w:val="20"/>
    </w:rPr>
  </w:style>
  <w:style w:type="character" w:customStyle="1" w:styleId="FootnoteTextChar">
    <w:name w:val="Footnote Text Char"/>
    <w:basedOn w:val="DefaultParagraphFont"/>
    <w:link w:val="FootnoteText"/>
    <w:uiPriority w:val="99"/>
    <w:rsid w:val="001D0108"/>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D0108"/>
    <w:rPr>
      <w:vertAlign w:val="superscript"/>
    </w:rPr>
  </w:style>
  <w:style w:type="table" w:styleId="TableGrid">
    <w:name w:val="Table Grid"/>
    <w:basedOn w:val="TableNormal"/>
    <w:uiPriority w:val="39"/>
    <w:rsid w:val="0021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34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26"/>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290361"/>
    <w:rPr>
      <w:color w:val="954F72" w:themeColor="followedHyperlink"/>
      <w:u w:val="single"/>
    </w:rPr>
  </w:style>
  <w:style w:type="character" w:customStyle="1" w:styleId="fontstyle01">
    <w:name w:val="fontstyle01"/>
    <w:basedOn w:val="DefaultParagraphFont"/>
    <w:rsid w:val="00CE783F"/>
    <w:rPr>
      <w:rFonts w:ascii="TimesNewRomanPSMT" w:hAnsi="TimesNewRomanPSMT" w:hint="default"/>
      <w:b w:val="0"/>
      <w:bCs w:val="0"/>
      <w:i w:val="0"/>
      <w:iCs w:val="0"/>
      <w:color w:val="000000"/>
      <w:sz w:val="16"/>
      <w:szCs w:val="16"/>
    </w:rPr>
  </w:style>
  <w:style w:type="character" w:styleId="IntenseEmphasis">
    <w:name w:val="Intense Emphasis"/>
    <w:basedOn w:val="DefaultParagraphFont"/>
    <w:uiPriority w:val="21"/>
    <w:qFormat/>
    <w:rsid w:val="00A03E40"/>
    <w:rPr>
      <w:i/>
      <w:iCs/>
      <w:color w:val="4472C4" w:themeColor="accent1"/>
    </w:rPr>
  </w:style>
  <w:style w:type="character" w:customStyle="1" w:styleId="KeywordsChar">
    <w:name w:val="Keywords Char"/>
    <w:basedOn w:val="AbstractChar"/>
    <w:link w:val="Keywords"/>
    <w:rsid w:val="00700645"/>
    <w:rPr>
      <w:rFonts w:ascii="Times New Roman" w:eastAsia="Times New Roman" w:hAnsi="Times New Roman" w:cs="Times New Roman"/>
      <w:i/>
      <w:szCs w:val="24"/>
      <w:lang w:val="en-US"/>
    </w:rPr>
  </w:style>
  <w:style w:type="paragraph" w:customStyle="1" w:styleId="PTTBodytext">
    <w:name w:val="PTT Bodytext"/>
    <w:basedOn w:val="Normal"/>
    <w:link w:val="PTTBodytextChar"/>
    <w:rsid w:val="0092252A"/>
    <w:pPr>
      <w:spacing w:before="0" w:after="0"/>
      <w:ind w:firstLine="567"/>
    </w:pPr>
    <w:rPr>
      <w:sz w:val="24"/>
      <w:szCs w:val="22"/>
      <w:lang w:val="x-none"/>
    </w:rPr>
  </w:style>
  <w:style w:type="character" w:customStyle="1" w:styleId="PTTBodytextChar">
    <w:name w:val="PTT Bodytext Char"/>
    <w:link w:val="PTTBodytext"/>
    <w:rsid w:val="0092252A"/>
    <w:rPr>
      <w:rFonts w:ascii="Times New Roman" w:eastAsia="Times New Roman" w:hAnsi="Times New Roman" w:cs="Times New Roman"/>
      <w:sz w:val="24"/>
      <w:lang w:val="x-none"/>
    </w:rPr>
  </w:style>
  <w:style w:type="table" w:customStyle="1" w:styleId="1">
    <w:name w:val="网格型1"/>
    <w:basedOn w:val="TableNormal"/>
    <w:next w:val="TableGrid"/>
    <w:rsid w:val="00777806"/>
    <w:pPr>
      <w:suppressAutoHyphens/>
      <w:overflowPunct w:val="0"/>
      <w:autoSpaceDE w:val="0"/>
      <w:autoSpaceDN w:val="0"/>
      <w:adjustRightInd w:val="0"/>
      <w:spacing w:after="0" w:line="240" w:lineRule="auto"/>
      <w:jc w:val="both"/>
      <w:textAlignment w:val="baseline"/>
    </w:pPr>
    <w:rPr>
      <w:rFonts w:ascii="Times New Roman" w:eastAsia="SimSu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
    <w:name w:val="Figures"/>
    <w:basedOn w:val="NoSpacing"/>
    <w:link w:val="FiguresChar"/>
    <w:qFormat/>
    <w:rsid w:val="00ED2F41"/>
    <w:rPr>
      <w:color w:val="FFFFFF" w:themeColor="background1"/>
    </w:rPr>
  </w:style>
  <w:style w:type="character" w:customStyle="1" w:styleId="NoSpacingChar">
    <w:name w:val="No Spacing Char"/>
    <w:basedOn w:val="DefaultParagraphFont"/>
    <w:link w:val="NoSpacing"/>
    <w:uiPriority w:val="1"/>
    <w:rsid w:val="00ED2F41"/>
    <w:rPr>
      <w:rFonts w:ascii="Times New Roman" w:eastAsia="Times New Roman" w:hAnsi="Times New Roman" w:cs="Times New Roman"/>
      <w:szCs w:val="24"/>
      <w:lang w:val="en-US"/>
    </w:rPr>
  </w:style>
  <w:style w:type="character" w:customStyle="1" w:styleId="FiguresChar">
    <w:name w:val="Figures Char"/>
    <w:basedOn w:val="NoSpacingChar"/>
    <w:link w:val="Figures"/>
    <w:rsid w:val="00ED2F41"/>
    <w:rPr>
      <w:rFonts w:ascii="Times New Roman" w:eastAsia="Times New Roman" w:hAnsi="Times New Roman" w:cs="Times New Roman"/>
      <w:color w:val="FFFFFF" w:themeColor="background1"/>
      <w:szCs w:val="24"/>
      <w:lang w:val="en-US"/>
    </w:rPr>
  </w:style>
  <w:style w:type="paragraph" w:customStyle="1" w:styleId="Footer1">
    <w:name w:val="Footer1"/>
    <w:basedOn w:val="FootnoteText"/>
    <w:link w:val="Footer1Char"/>
    <w:qFormat/>
    <w:rsid w:val="004C32E5"/>
    <w:pPr>
      <w:spacing w:before="0" w:line="240" w:lineRule="auto"/>
      <w:ind w:firstLine="0"/>
    </w:pPr>
    <w:rPr>
      <w:sz w:val="18"/>
      <w:szCs w:val="18"/>
    </w:rPr>
  </w:style>
  <w:style w:type="character" w:customStyle="1" w:styleId="Footer1Char">
    <w:name w:val="Footer1 Char"/>
    <w:basedOn w:val="FootnoteTextChar"/>
    <w:link w:val="Footer1"/>
    <w:rsid w:val="004C32E5"/>
    <w:rPr>
      <w:rFonts w:ascii="Times New Roman" w:eastAsia="Times New Roman" w:hAnsi="Times New Roman" w:cs="Times New Roman"/>
      <w:sz w:val="18"/>
      <w:szCs w:val="18"/>
      <w:lang w:val="en-US"/>
    </w:rPr>
  </w:style>
  <w:style w:type="paragraph" w:customStyle="1" w:styleId="Paragraph1">
    <w:name w:val="Paragraph 1"/>
    <w:basedOn w:val="Normal"/>
    <w:rsid w:val="00FB615C"/>
    <w:pPr>
      <w:spacing w:before="0" w:after="0" w:line="240" w:lineRule="auto"/>
      <w:ind w:firstLine="0"/>
    </w:pPr>
    <w:rPr>
      <w:sz w:val="24"/>
      <w:szCs w:val="20"/>
      <w:lang w:val="en-GB"/>
    </w:rPr>
  </w:style>
  <w:style w:type="paragraph" w:customStyle="1" w:styleId="Paragraph2">
    <w:name w:val="Paragraph 2"/>
    <w:basedOn w:val="Paragraph1"/>
    <w:rsid w:val="00FB615C"/>
    <w:pPr>
      <w:tabs>
        <w:tab w:val="left" w:pos="360"/>
      </w:tabs>
    </w:pPr>
  </w:style>
  <w:style w:type="paragraph" w:customStyle="1" w:styleId="abstract0">
    <w:name w:val="abstract"/>
    <w:basedOn w:val="Normal"/>
    <w:next w:val="Normal"/>
    <w:rsid w:val="002A6255"/>
    <w:pPr>
      <w:overflowPunct w:val="0"/>
      <w:autoSpaceDE w:val="0"/>
      <w:autoSpaceDN w:val="0"/>
      <w:adjustRightInd w:val="0"/>
      <w:spacing w:before="600" w:line="240" w:lineRule="auto"/>
      <w:ind w:left="567" w:right="567" w:firstLine="0"/>
      <w:textAlignment w:val="baseline"/>
    </w:pPr>
    <w:rPr>
      <w:sz w:val="18"/>
      <w:szCs w:val="20"/>
    </w:rPr>
  </w:style>
  <w:style w:type="paragraph" w:customStyle="1" w:styleId="AWP17abstract">
    <w:name w:val="AWP_1.7_abstract"/>
    <w:basedOn w:val="Normal"/>
    <w:next w:val="Normal"/>
    <w:qFormat/>
    <w:rsid w:val="008C13D2"/>
    <w:pPr>
      <w:adjustRightInd w:val="0"/>
      <w:snapToGrid w:val="0"/>
      <w:spacing w:before="240" w:after="0" w:line="260" w:lineRule="atLeast"/>
      <w:ind w:left="113" w:firstLine="0"/>
    </w:pPr>
    <w:rPr>
      <w:rFonts w:ascii="Palatino Linotype" w:hAnsi="Palatino Linotype"/>
      <w:color w:val="000000"/>
      <w:sz w:val="20"/>
      <w:szCs w:val="22"/>
      <w:lang w:eastAsia="de-DE" w:bidi="en-US"/>
    </w:rPr>
  </w:style>
  <w:style w:type="paragraph" w:customStyle="1" w:styleId="MHeading2">
    <w:name w:val="M_Heading2"/>
    <w:basedOn w:val="Normal"/>
    <w:qFormat/>
    <w:rsid w:val="008C13D2"/>
    <w:pPr>
      <w:kinsoku w:val="0"/>
      <w:overflowPunct w:val="0"/>
      <w:autoSpaceDE w:val="0"/>
      <w:autoSpaceDN w:val="0"/>
      <w:adjustRightInd w:val="0"/>
      <w:snapToGrid w:val="0"/>
      <w:spacing w:before="240" w:line="320" w:lineRule="atLeast"/>
      <w:ind w:firstLine="425"/>
    </w:pPr>
    <w:rPr>
      <w:rFonts w:ascii="Minion Pro" w:hAnsi="Minion Pro" w:cstheme="minorBidi"/>
      <w:i/>
      <w:snapToGrid w:val="0"/>
      <w:color w:val="000000"/>
      <w:sz w:val="24"/>
      <w:szCs w:val="20"/>
      <w:lang w:eastAsia="de-DE" w:bidi="en-US"/>
    </w:rPr>
  </w:style>
  <w:style w:type="paragraph" w:customStyle="1" w:styleId="AWP31text">
    <w:name w:val="AWP_3.1_text"/>
    <w:qFormat/>
    <w:rsid w:val="000600F3"/>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table" w:customStyle="1" w:styleId="TableGrid1">
    <w:name w:val="Table Grid1"/>
    <w:basedOn w:val="TableNormal"/>
    <w:next w:val="TableGrid"/>
    <w:uiPriority w:val="39"/>
    <w:rsid w:val="00B33973"/>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3615">
      <w:bodyDiv w:val="1"/>
      <w:marLeft w:val="0"/>
      <w:marRight w:val="0"/>
      <w:marTop w:val="0"/>
      <w:marBottom w:val="0"/>
      <w:divBdr>
        <w:top w:val="none" w:sz="0" w:space="0" w:color="auto"/>
        <w:left w:val="none" w:sz="0" w:space="0" w:color="auto"/>
        <w:bottom w:val="none" w:sz="0" w:space="0" w:color="auto"/>
        <w:right w:val="none" w:sz="0" w:space="0" w:color="auto"/>
      </w:divBdr>
    </w:div>
    <w:div w:id="300964821">
      <w:bodyDiv w:val="1"/>
      <w:marLeft w:val="0"/>
      <w:marRight w:val="0"/>
      <w:marTop w:val="0"/>
      <w:marBottom w:val="0"/>
      <w:divBdr>
        <w:top w:val="none" w:sz="0" w:space="0" w:color="auto"/>
        <w:left w:val="none" w:sz="0" w:space="0" w:color="auto"/>
        <w:bottom w:val="none" w:sz="0" w:space="0" w:color="auto"/>
        <w:right w:val="none" w:sz="0" w:space="0" w:color="auto"/>
      </w:divBdr>
    </w:div>
    <w:div w:id="396049837">
      <w:bodyDiv w:val="1"/>
      <w:marLeft w:val="0"/>
      <w:marRight w:val="0"/>
      <w:marTop w:val="0"/>
      <w:marBottom w:val="0"/>
      <w:divBdr>
        <w:top w:val="none" w:sz="0" w:space="0" w:color="auto"/>
        <w:left w:val="none" w:sz="0" w:space="0" w:color="auto"/>
        <w:bottom w:val="none" w:sz="0" w:space="0" w:color="auto"/>
        <w:right w:val="none" w:sz="0" w:space="0" w:color="auto"/>
      </w:divBdr>
    </w:div>
    <w:div w:id="400059105">
      <w:bodyDiv w:val="1"/>
      <w:marLeft w:val="0"/>
      <w:marRight w:val="0"/>
      <w:marTop w:val="0"/>
      <w:marBottom w:val="0"/>
      <w:divBdr>
        <w:top w:val="none" w:sz="0" w:space="0" w:color="auto"/>
        <w:left w:val="none" w:sz="0" w:space="0" w:color="auto"/>
        <w:bottom w:val="none" w:sz="0" w:space="0" w:color="auto"/>
        <w:right w:val="none" w:sz="0" w:space="0" w:color="auto"/>
      </w:divBdr>
    </w:div>
    <w:div w:id="520895323">
      <w:bodyDiv w:val="1"/>
      <w:marLeft w:val="0"/>
      <w:marRight w:val="0"/>
      <w:marTop w:val="0"/>
      <w:marBottom w:val="0"/>
      <w:divBdr>
        <w:top w:val="none" w:sz="0" w:space="0" w:color="auto"/>
        <w:left w:val="none" w:sz="0" w:space="0" w:color="auto"/>
        <w:bottom w:val="none" w:sz="0" w:space="0" w:color="auto"/>
        <w:right w:val="none" w:sz="0" w:space="0" w:color="auto"/>
      </w:divBdr>
    </w:div>
    <w:div w:id="537931254">
      <w:bodyDiv w:val="1"/>
      <w:marLeft w:val="0"/>
      <w:marRight w:val="0"/>
      <w:marTop w:val="0"/>
      <w:marBottom w:val="0"/>
      <w:divBdr>
        <w:top w:val="none" w:sz="0" w:space="0" w:color="auto"/>
        <w:left w:val="none" w:sz="0" w:space="0" w:color="auto"/>
        <w:bottom w:val="none" w:sz="0" w:space="0" w:color="auto"/>
        <w:right w:val="none" w:sz="0" w:space="0" w:color="auto"/>
      </w:divBdr>
    </w:div>
    <w:div w:id="552619352">
      <w:bodyDiv w:val="1"/>
      <w:marLeft w:val="0"/>
      <w:marRight w:val="0"/>
      <w:marTop w:val="0"/>
      <w:marBottom w:val="0"/>
      <w:divBdr>
        <w:top w:val="none" w:sz="0" w:space="0" w:color="auto"/>
        <w:left w:val="none" w:sz="0" w:space="0" w:color="auto"/>
        <w:bottom w:val="none" w:sz="0" w:space="0" w:color="auto"/>
        <w:right w:val="none" w:sz="0" w:space="0" w:color="auto"/>
      </w:divBdr>
    </w:div>
    <w:div w:id="683282314">
      <w:bodyDiv w:val="1"/>
      <w:marLeft w:val="0"/>
      <w:marRight w:val="0"/>
      <w:marTop w:val="0"/>
      <w:marBottom w:val="0"/>
      <w:divBdr>
        <w:top w:val="none" w:sz="0" w:space="0" w:color="auto"/>
        <w:left w:val="none" w:sz="0" w:space="0" w:color="auto"/>
        <w:bottom w:val="none" w:sz="0" w:space="0" w:color="auto"/>
        <w:right w:val="none" w:sz="0" w:space="0" w:color="auto"/>
      </w:divBdr>
      <w:divsChild>
        <w:div w:id="1193375326">
          <w:marLeft w:val="0"/>
          <w:marRight w:val="0"/>
          <w:marTop w:val="0"/>
          <w:marBottom w:val="0"/>
          <w:divBdr>
            <w:top w:val="none" w:sz="0" w:space="0" w:color="auto"/>
            <w:left w:val="none" w:sz="0" w:space="0" w:color="auto"/>
            <w:bottom w:val="none" w:sz="0" w:space="0" w:color="auto"/>
            <w:right w:val="none" w:sz="0" w:space="0" w:color="auto"/>
          </w:divBdr>
          <w:divsChild>
            <w:div w:id="1640263383">
              <w:marLeft w:val="0"/>
              <w:marRight w:val="0"/>
              <w:marTop w:val="0"/>
              <w:marBottom w:val="0"/>
              <w:divBdr>
                <w:top w:val="none" w:sz="0" w:space="0" w:color="auto"/>
                <w:left w:val="none" w:sz="0" w:space="0" w:color="auto"/>
                <w:bottom w:val="none" w:sz="0" w:space="0" w:color="auto"/>
                <w:right w:val="none" w:sz="0" w:space="0" w:color="auto"/>
              </w:divBdr>
              <w:divsChild>
                <w:div w:id="309016339">
                  <w:marLeft w:val="0"/>
                  <w:marRight w:val="0"/>
                  <w:marTop w:val="0"/>
                  <w:marBottom w:val="0"/>
                  <w:divBdr>
                    <w:top w:val="none" w:sz="0" w:space="0" w:color="auto"/>
                    <w:left w:val="none" w:sz="0" w:space="0" w:color="auto"/>
                    <w:bottom w:val="none" w:sz="0" w:space="0" w:color="auto"/>
                    <w:right w:val="none" w:sz="0" w:space="0" w:color="auto"/>
                  </w:divBdr>
                  <w:divsChild>
                    <w:div w:id="533272204">
                      <w:marLeft w:val="0"/>
                      <w:marRight w:val="0"/>
                      <w:marTop w:val="0"/>
                      <w:marBottom w:val="0"/>
                      <w:divBdr>
                        <w:top w:val="none" w:sz="0" w:space="0" w:color="auto"/>
                        <w:left w:val="none" w:sz="0" w:space="0" w:color="auto"/>
                        <w:bottom w:val="none" w:sz="0" w:space="0" w:color="auto"/>
                        <w:right w:val="none" w:sz="0" w:space="0" w:color="auto"/>
                      </w:divBdr>
                      <w:divsChild>
                        <w:div w:id="1739594000">
                          <w:marLeft w:val="0"/>
                          <w:marRight w:val="0"/>
                          <w:marTop w:val="0"/>
                          <w:marBottom w:val="0"/>
                          <w:divBdr>
                            <w:top w:val="none" w:sz="0" w:space="0" w:color="auto"/>
                            <w:left w:val="none" w:sz="0" w:space="0" w:color="auto"/>
                            <w:bottom w:val="none" w:sz="0" w:space="0" w:color="auto"/>
                            <w:right w:val="none" w:sz="0" w:space="0" w:color="auto"/>
                          </w:divBdr>
                          <w:divsChild>
                            <w:div w:id="681124629">
                              <w:marLeft w:val="0"/>
                              <w:marRight w:val="0"/>
                              <w:marTop w:val="0"/>
                              <w:marBottom w:val="0"/>
                              <w:divBdr>
                                <w:top w:val="none" w:sz="0" w:space="0" w:color="auto"/>
                                <w:left w:val="none" w:sz="0" w:space="0" w:color="auto"/>
                                <w:bottom w:val="none" w:sz="0" w:space="0" w:color="auto"/>
                                <w:right w:val="none" w:sz="0" w:space="0" w:color="auto"/>
                              </w:divBdr>
                              <w:divsChild>
                                <w:div w:id="1500929255">
                                  <w:marLeft w:val="0"/>
                                  <w:marRight w:val="0"/>
                                  <w:marTop w:val="0"/>
                                  <w:marBottom w:val="0"/>
                                  <w:divBdr>
                                    <w:top w:val="none" w:sz="0" w:space="0" w:color="auto"/>
                                    <w:left w:val="none" w:sz="0" w:space="0" w:color="auto"/>
                                    <w:bottom w:val="none" w:sz="0" w:space="0" w:color="auto"/>
                                    <w:right w:val="none" w:sz="0" w:space="0" w:color="auto"/>
                                  </w:divBdr>
                                  <w:divsChild>
                                    <w:div w:id="5182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66914">
                          <w:marLeft w:val="0"/>
                          <w:marRight w:val="0"/>
                          <w:marTop w:val="0"/>
                          <w:marBottom w:val="0"/>
                          <w:divBdr>
                            <w:top w:val="none" w:sz="0" w:space="0" w:color="auto"/>
                            <w:left w:val="none" w:sz="0" w:space="0" w:color="auto"/>
                            <w:bottom w:val="none" w:sz="0" w:space="0" w:color="auto"/>
                            <w:right w:val="none" w:sz="0" w:space="0" w:color="auto"/>
                          </w:divBdr>
                          <w:divsChild>
                            <w:div w:id="788473749">
                              <w:marLeft w:val="0"/>
                              <w:marRight w:val="0"/>
                              <w:marTop w:val="0"/>
                              <w:marBottom w:val="0"/>
                              <w:divBdr>
                                <w:top w:val="none" w:sz="0" w:space="0" w:color="auto"/>
                                <w:left w:val="none" w:sz="0" w:space="0" w:color="auto"/>
                                <w:bottom w:val="none" w:sz="0" w:space="0" w:color="auto"/>
                                <w:right w:val="none" w:sz="0" w:space="0" w:color="auto"/>
                              </w:divBdr>
                              <w:divsChild>
                                <w:div w:id="706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042123">
      <w:bodyDiv w:val="1"/>
      <w:marLeft w:val="0"/>
      <w:marRight w:val="0"/>
      <w:marTop w:val="0"/>
      <w:marBottom w:val="0"/>
      <w:divBdr>
        <w:top w:val="none" w:sz="0" w:space="0" w:color="auto"/>
        <w:left w:val="none" w:sz="0" w:space="0" w:color="auto"/>
        <w:bottom w:val="none" w:sz="0" w:space="0" w:color="auto"/>
        <w:right w:val="none" w:sz="0" w:space="0" w:color="auto"/>
      </w:divBdr>
    </w:div>
    <w:div w:id="1030911518">
      <w:bodyDiv w:val="1"/>
      <w:marLeft w:val="0"/>
      <w:marRight w:val="0"/>
      <w:marTop w:val="0"/>
      <w:marBottom w:val="0"/>
      <w:divBdr>
        <w:top w:val="none" w:sz="0" w:space="0" w:color="auto"/>
        <w:left w:val="none" w:sz="0" w:space="0" w:color="auto"/>
        <w:bottom w:val="none" w:sz="0" w:space="0" w:color="auto"/>
        <w:right w:val="none" w:sz="0" w:space="0" w:color="auto"/>
      </w:divBdr>
    </w:div>
    <w:div w:id="1092121831">
      <w:bodyDiv w:val="1"/>
      <w:marLeft w:val="0"/>
      <w:marRight w:val="0"/>
      <w:marTop w:val="0"/>
      <w:marBottom w:val="0"/>
      <w:divBdr>
        <w:top w:val="none" w:sz="0" w:space="0" w:color="auto"/>
        <w:left w:val="none" w:sz="0" w:space="0" w:color="auto"/>
        <w:bottom w:val="none" w:sz="0" w:space="0" w:color="auto"/>
        <w:right w:val="none" w:sz="0" w:space="0" w:color="auto"/>
      </w:divBdr>
    </w:div>
    <w:div w:id="1207329470">
      <w:bodyDiv w:val="1"/>
      <w:marLeft w:val="0"/>
      <w:marRight w:val="0"/>
      <w:marTop w:val="0"/>
      <w:marBottom w:val="0"/>
      <w:divBdr>
        <w:top w:val="none" w:sz="0" w:space="0" w:color="auto"/>
        <w:left w:val="none" w:sz="0" w:space="0" w:color="auto"/>
        <w:bottom w:val="none" w:sz="0" w:space="0" w:color="auto"/>
        <w:right w:val="none" w:sz="0" w:space="0" w:color="auto"/>
      </w:divBdr>
    </w:div>
    <w:div w:id="1265727836">
      <w:bodyDiv w:val="1"/>
      <w:marLeft w:val="0"/>
      <w:marRight w:val="0"/>
      <w:marTop w:val="0"/>
      <w:marBottom w:val="0"/>
      <w:divBdr>
        <w:top w:val="none" w:sz="0" w:space="0" w:color="auto"/>
        <w:left w:val="none" w:sz="0" w:space="0" w:color="auto"/>
        <w:bottom w:val="none" w:sz="0" w:space="0" w:color="auto"/>
        <w:right w:val="none" w:sz="0" w:space="0" w:color="auto"/>
      </w:divBdr>
    </w:div>
    <w:div w:id="1368260791">
      <w:bodyDiv w:val="1"/>
      <w:marLeft w:val="0"/>
      <w:marRight w:val="0"/>
      <w:marTop w:val="0"/>
      <w:marBottom w:val="0"/>
      <w:divBdr>
        <w:top w:val="none" w:sz="0" w:space="0" w:color="auto"/>
        <w:left w:val="none" w:sz="0" w:space="0" w:color="auto"/>
        <w:bottom w:val="none" w:sz="0" w:space="0" w:color="auto"/>
        <w:right w:val="none" w:sz="0" w:space="0" w:color="auto"/>
      </w:divBdr>
    </w:div>
    <w:div w:id="1375151439">
      <w:bodyDiv w:val="1"/>
      <w:marLeft w:val="0"/>
      <w:marRight w:val="0"/>
      <w:marTop w:val="0"/>
      <w:marBottom w:val="0"/>
      <w:divBdr>
        <w:top w:val="none" w:sz="0" w:space="0" w:color="auto"/>
        <w:left w:val="none" w:sz="0" w:space="0" w:color="auto"/>
        <w:bottom w:val="none" w:sz="0" w:space="0" w:color="auto"/>
        <w:right w:val="none" w:sz="0" w:space="0" w:color="auto"/>
      </w:divBdr>
    </w:div>
    <w:div w:id="1382755315">
      <w:bodyDiv w:val="1"/>
      <w:marLeft w:val="0"/>
      <w:marRight w:val="0"/>
      <w:marTop w:val="0"/>
      <w:marBottom w:val="0"/>
      <w:divBdr>
        <w:top w:val="none" w:sz="0" w:space="0" w:color="auto"/>
        <w:left w:val="none" w:sz="0" w:space="0" w:color="auto"/>
        <w:bottom w:val="none" w:sz="0" w:space="0" w:color="auto"/>
        <w:right w:val="none" w:sz="0" w:space="0" w:color="auto"/>
      </w:divBdr>
    </w:div>
    <w:div w:id="1446775773">
      <w:bodyDiv w:val="1"/>
      <w:marLeft w:val="0"/>
      <w:marRight w:val="0"/>
      <w:marTop w:val="0"/>
      <w:marBottom w:val="0"/>
      <w:divBdr>
        <w:top w:val="none" w:sz="0" w:space="0" w:color="auto"/>
        <w:left w:val="none" w:sz="0" w:space="0" w:color="auto"/>
        <w:bottom w:val="none" w:sz="0" w:space="0" w:color="auto"/>
        <w:right w:val="none" w:sz="0" w:space="0" w:color="auto"/>
      </w:divBdr>
    </w:div>
    <w:div w:id="1494295292">
      <w:bodyDiv w:val="1"/>
      <w:marLeft w:val="0"/>
      <w:marRight w:val="0"/>
      <w:marTop w:val="0"/>
      <w:marBottom w:val="0"/>
      <w:divBdr>
        <w:top w:val="none" w:sz="0" w:space="0" w:color="auto"/>
        <w:left w:val="none" w:sz="0" w:space="0" w:color="auto"/>
        <w:bottom w:val="none" w:sz="0" w:space="0" w:color="auto"/>
        <w:right w:val="none" w:sz="0" w:space="0" w:color="auto"/>
      </w:divBdr>
      <w:divsChild>
        <w:div w:id="766929211">
          <w:marLeft w:val="0"/>
          <w:marRight w:val="0"/>
          <w:marTop w:val="0"/>
          <w:marBottom w:val="0"/>
          <w:divBdr>
            <w:top w:val="none" w:sz="0" w:space="0" w:color="auto"/>
            <w:left w:val="none" w:sz="0" w:space="0" w:color="auto"/>
            <w:bottom w:val="none" w:sz="0" w:space="0" w:color="auto"/>
            <w:right w:val="none" w:sz="0" w:space="0" w:color="auto"/>
          </w:divBdr>
          <w:divsChild>
            <w:div w:id="41832061">
              <w:marLeft w:val="0"/>
              <w:marRight w:val="0"/>
              <w:marTop w:val="0"/>
              <w:marBottom w:val="0"/>
              <w:divBdr>
                <w:top w:val="none" w:sz="0" w:space="0" w:color="auto"/>
                <w:left w:val="none" w:sz="0" w:space="0" w:color="auto"/>
                <w:bottom w:val="none" w:sz="0" w:space="0" w:color="auto"/>
                <w:right w:val="none" w:sz="0" w:space="0" w:color="auto"/>
              </w:divBdr>
              <w:divsChild>
                <w:div w:id="1139691415">
                  <w:marLeft w:val="0"/>
                  <w:marRight w:val="0"/>
                  <w:marTop w:val="0"/>
                  <w:marBottom w:val="0"/>
                  <w:divBdr>
                    <w:top w:val="none" w:sz="0" w:space="0" w:color="auto"/>
                    <w:left w:val="none" w:sz="0" w:space="0" w:color="auto"/>
                    <w:bottom w:val="none" w:sz="0" w:space="0" w:color="auto"/>
                    <w:right w:val="none" w:sz="0" w:space="0" w:color="auto"/>
                  </w:divBdr>
                  <w:divsChild>
                    <w:div w:id="1547060864">
                      <w:marLeft w:val="0"/>
                      <w:marRight w:val="0"/>
                      <w:marTop w:val="0"/>
                      <w:marBottom w:val="0"/>
                      <w:divBdr>
                        <w:top w:val="none" w:sz="0" w:space="0" w:color="auto"/>
                        <w:left w:val="none" w:sz="0" w:space="0" w:color="auto"/>
                        <w:bottom w:val="none" w:sz="0" w:space="0" w:color="auto"/>
                        <w:right w:val="none" w:sz="0" w:space="0" w:color="auto"/>
                      </w:divBdr>
                      <w:divsChild>
                        <w:div w:id="1327972996">
                          <w:marLeft w:val="0"/>
                          <w:marRight w:val="0"/>
                          <w:marTop w:val="0"/>
                          <w:marBottom w:val="0"/>
                          <w:divBdr>
                            <w:top w:val="none" w:sz="0" w:space="0" w:color="auto"/>
                            <w:left w:val="none" w:sz="0" w:space="0" w:color="auto"/>
                            <w:bottom w:val="none" w:sz="0" w:space="0" w:color="auto"/>
                            <w:right w:val="none" w:sz="0" w:space="0" w:color="auto"/>
                          </w:divBdr>
                          <w:divsChild>
                            <w:div w:id="168178340">
                              <w:marLeft w:val="0"/>
                              <w:marRight w:val="0"/>
                              <w:marTop w:val="0"/>
                              <w:marBottom w:val="0"/>
                              <w:divBdr>
                                <w:top w:val="none" w:sz="0" w:space="0" w:color="auto"/>
                                <w:left w:val="none" w:sz="0" w:space="0" w:color="auto"/>
                                <w:bottom w:val="none" w:sz="0" w:space="0" w:color="auto"/>
                                <w:right w:val="none" w:sz="0" w:space="0" w:color="auto"/>
                              </w:divBdr>
                              <w:divsChild>
                                <w:div w:id="184293208">
                                  <w:marLeft w:val="0"/>
                                  <w:marRight w:val="0"/>
                                  <w:marTop w:val="0"/>
                                  <w:marBottom w:val="0"/>
                                  <w:divBdr>
                                    <w:top w:val="none" w:sz="0" w:space="0" w:color="auto"/>
                                    <w:left w:val="none" w:sz="0" w:space="0" w:color="auto"/>
                                    <w:bottom w:val="none" w:sz="0" w:space="0" w:color="auto"/>
                                    <w:right w:val="none" w:sz="0" w:space="0" w:color="auto"/>
                                  </w:divBdr>
                                  <w:divsChild>
                                    <w:div w:id="612397064">
                                      <w:marLeft w:val="0"/>
                                      <w:marRight w:val="0"/>
                                      <w:marTop w:val="0"/>
                                      <w:marBottom w:val="0"/>
                                      <w:divBdr>
                                        <w:top w:val="none" w:sz="0" w:space="0" w:color="auto"/>
                                        <w:left w:val="none" w:sz="0" w:space="0" w:color="auto"/>
                                        <w:bottom w:val="none" w:sz="0" w:space="0" w:color="auto"/>
                                        <w:right w:val="none" w:sz="0" w:space="0" w:color="auto"/>
                                      </w:divBdr>
                                      <w:divsChild>
                                        <w:div w:id="382565200">
                                          <w:marLeft w:val="0"/>
                                          <w:marRight w:val="0"/>
                                          <w:marTop w:val="0"/>
                                          <w:marBottom w:val="0"/>
                                          <w:divBdr>
                                            <w:top w:val="none" w:sz="0" w:space="0" w:color="auto"/>
                                            <w:left w:val="none" w:sz="0" w:space="0" w:color="auto"/>
                                            <w:bottom w:val="none" w:sz="0" w:space="0" w:color="auto"/>
                                            <w:right w:val="none" w:sz="0" w:space="0" w:color="auto"/>
                                          </w:divBdr>
                                          <w:divsChild>
                                            <w:div w:id="213123810">
                                              <w:marLeft w:val="0"/>
                                              <w:marRight w:val="0"/>
                                              <w:marTop w:val="0"/>
                                              <w:marBottom w:val="0"/>
                                              <w:divBdr>
                                                <w:top w:val="none" w:sz="0" w:space="0" w:color="auto"/>
                                                <w:left w:val="none" w:sz="0" w:space="0" w:color="auto"/>
                                                <w:bottom w:val="none" w:sz="0" w:space="0" w:color="auto"/>
                                                <w:right w:val="none" w:sz="0" w:space="0" w:color="auto"/>
                                              </w:divBdr>
                                              <w:divsChild>
                                                <w:div w:id="819997669">
                                                  <w:marLeft w:val="0"/>
                                                  <w:marRight w:val="0"/>
                                                  <w:marTop w:val="0"/>
                                                  <w:marBottom w:val="0"/>
                                                  <w:divBdr>
                                                    <w:top w:val="none" w:sz="0" w:space="0" w:color="auto"/>
                                                    <w:left w:val="none" w:sz="0" w:space="0" w:color="auto"/>
                                                    <w:bottom w:val="none" w:sz="0" w:space="0" w:color="auto"/>
                                                    <w:right w:val="none" w:sz="0" w:space="0" w:color="auto"/>
                                                  </w:divBdr>
                                                  <w:divsChild>
                                                    <w:div w:id="2033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4811">
                                          <w:marLeft w:val="0"/>
                                          <w:marRight w:val="0"/>
                                          <w:marTop w:val="0"/>
                                          <w:marBottom w:val="0"/>
                                          <w:divBdr>
                                            <w:top w:val="none" w:sz="0" w:space="0" w:color="auto"/>
                                            <w:left w:val="none" w:sz="0" w:space="0" w:color="auto"/>
                                            <w:bottom w:val="none" w:sz="0" w:space="0" w:color="auto"/>
                                            <w:right w:val="none" w:sz="0" w:space="0" w:color="auto"/>
                                          </w:divBdr>
                                          <w:divsChild>
                                            <w:div w:id="1389065921">
                                              <w:marLeft w:val="0"/>
                                              <w:marRight w:val="0"/>
                                              <w:marTop w:val="0"/>
                                              <w:marBottom w:val="0"/>
                                              <w:divBdr>
                                                <w:top w:val="none" w:sz="0" w:space="0" w:color="auto"/>
                                                <w:left w:val="none" w:sz="0" w:space="0" w:color="auto"/>
                                                <w:bottom w:val="none" w:sz="0" w:space="0" w:color="auto"/>
                                                <w:right w:val="none" w:sz="0" w:space="0" w:color="auto"/>
                                              </w:divBdr>
                                              <w:divsChild>
                                                <w:div w:id="16800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075877">
          <w:marLeft w:val="0"/>
          <w:marRight w:val="0"/>
          <w:marTop w:val="0"/>
          <w:marBottom w:val="0"/>
          <w:divBdr>
            <w:top w:val="none" w:sz="0" w:space="0" w:color="auto"/>
            <w:left w:val="none" w:sz="0" w:space="0" w:color="auto"/>
            <w:bottom w:val="none" w:sz="0" w:space="0" w:color="auto"/>
            <w:right w:val="none" w:sz="0" w:space="0" w:color="auto"/>
          </w:divBdr>
          <w:divsChild>
            <w:div w:id="1158233487">
              <w:marLeft w:val="0"/>
              <w:marRight w:val="0"/>
              <w:marTop w:val="0"/>
              <w:marBottom w:val="0"/>
              <w:divBdr>
                <w:top w:val="none" w:sz="0" w:space="0" w:color="auto"/>
                <w:left w:val="none" w:sz="0" w:space="0" w:color="auto"/>
                <w:bottom w:val="none" w:sz="0" w:space="0" w:color="auto"/>
                <w:right w:val="none" w:sz="0" w:space="0" w:color="auto"/>
              </w:divBdr>
              <w:divsChild>
                <w:div w:id="811168544">
                  <w:marLeft w:val="0"/>
                  <w:marRight w:val="0"/>
                  <w:marTop w:val="0"/>
                  <w:marBottom w:val="0"/>
                  <w:divBdr>
                    <w:top w:val="none" w:sz="0" w:space="0" w:color="auto"/>
                    <w:left w:val="none" w:sz="0" w:space="0" w:color="auto"/>
                    <w:bottom w:val="none" w:sz="0" w:space="0" w:color="auto"/>
                    <w:right w:val="none" w:sz="0" w:space="0" w:color="auto"/>
                  </w:divBdr>
                  <w:divsChild>
                    <w:div w:id="311568124">
                      <w:marLeft w:val="0"/>
                      <w:marRight w:val="0"/>
                      <w:marTop w:val="0"/>
                      <w:marBottom w:val="0"/>
                      <w:divBdr>
                        <w:top w:val="none" w:sz="0" w:space="0" w:color="auto"/>
                        <w:left w:val="none" w:sz="0" w:space="0" w:color="auto"/>
                        <w:bottom w:val="none" w:sz="0" w:space="0" w:color="auto"/>
                        <w:right w:val="none" w:sz="0" w:space="0" w:color="auto"/>
                      </w:divBdr>
                      <w:divsChild>
                        <w:div w:id="8070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56023">
      <w:bodyDiv w:val="1"/>
      <w:marLeft w:val="0"/>
      <w:marRight w:val="0"/>
      <w:marTop w:val="0"/>
      <w:marBottom w:val="0"/>
      <w:divBdr>
        <w:top w:val="none" w:sz="0" w:space="0" w:color="auto"/>
        <w:left w:val="none" w:sz="0" w:space="0" w:color="auto"/>
        <w:bottom w:val="none" w:sz="0" w:space="0" w:color="auto"/>
        <w:right w:val="none" w:sz="0" w:space="0" w:color="auto"/>
      </w:divBdr>
    </w:div>
    <w:div w:id="1635981336">
      <w:bodyDiv w:val="1"/>
      <w:marLeft w:val="0"/>
      <w:marRight w:val="0"/>
      <w:marTop w:val="0"/>
      <w:marBottom w:val="0"/>
      <w:divBdr>
        <w:top w:val="none" w:sz="0" w:space="0" w:color="auto"/>
        <w:left w:val="none" w:sz="0" w:space="0" w:color="auto"/>
        <w:bottom w:val="none" w:sz="0" w:space="0" w:color="auto"/>
        <w:right w:val="none" w:sz="0" w:space="0" w:color="auto"/>
      </w:divBdr>
    </w:div>
    <w:div w:id="1655644652">
      <w:bodyDiv w:val="1"/>
      <w:marLeft w:val="0"/>
      <w:marRight w:val="0"/>
      <w:marTop w:val="0"/>
      <w:marBottom w:val="0"/>
      <w:divBdr>
        <w:top w:val="none" w:sz="0" w:space="0" w:color="auto"/>
        <w:left w:val="none" w:sz="0" w:space="0" w:color="auto"/>
        <w:bottom w:val="none" w:sz="0" w:space="0" w:color="auto"/>
        <w:right w:val="none" w:sz="0" w:space="0" w:color="auto"/>
      </w:divBdr>
    </w:div>
    <w:div w:id="1731071759">
      <w:bodyDiv w:val="1"/>
      <w:marLeft w:val="0"/>
      <w:marRight w:val="0"/>
      <w:marTop w:val="0"/>
      <w:marBottom w:val="0"/>
      <w:divBdr>
        <w:top w:val="none" w:sz="0" w:space="0" w:color="auto"/>
        <w:left w:val="none" w:sz="0" w:space="0" w:color="auto"/>
        <w:bottom w:val="none" w:sz="0" w:space="0" w:color="auto"/>
        <w:right w:val="none" w:sz="0" w:space="0" w:color="auto"/>
      </w:divBdr>
    </w:div>
    <w:div w:id="1758356282">
      <w:bodyDiv w:val="1"/>
      <w:marLeft w:val="0"/>
      <w:marRight w:val="0"/>
      <w:marTop w:val="0"/>
      <w:marBottom w:val="0"/>
      <w:divBdr>
        <w:top w:val="none" w:sz="0" w:space="0" w:color="auto"/>
        <w:left w:val="none" w:sz="0" w:space="0" w:color="auto"/>
        <w:bottom w:val="none" w:sz="0" w:space="0" w:color="auto"/>
        <w:right w:val="none" w:sz="0" w:space="0" w:color="auto"/>
      </w:divBdr>
    </w:div>
    <w:div w:id="1771663469">
      <w:bodyDiv w:val="1"/>
      <w:marLeft w:val="0"/>
      <w:marRight w:val="0"/>
      <w:marTop w:val="0"/>
      <w:marBottom w:val="0"/>
      <w:divBdr>
        <w:top w:val="none" w:sz="0" w:space="0" w:color="auto"/>
        <w:left w:val="none" w:sz="0" w:space="0" w:color="auto"/>
        <w:bottom w:val="none" w:sz="0" w:space="0" w:color="auto"/>
        <w:right w:val="none" w:sz="0" w:space="0" w:color="auto"/>
      </w:divBdr>
    </w:div>
    <w:div w:id="1868593677">
      <w:bodyDiv w:val="1"/>
      <w:marLeft w:val="0"/>
      <w:marRight w:val="0"/>
      <w:marTop w:val="0"/>
      <w:marBottom w:val="0"/>
      <w:divBdr>
        <w:top w:val="none" w:sz="0" w:space="0" w:color="auto"/>
        <w:left w:val="none" w:sz="0" w:space="0" w:color="auto"/>
        <w:bottom w:val="none" w:sz="0" w:space="0" w:color="auto"/>
        <w:right w:val="none" w:sz="0" w:space="0" w:color="auto"/>
      </w:divBdr>
    </w:div>
    <w:div w:id="1937446319">
      <w:bodyDiv w:val="1"/>
      <w:marLeft w:val="0"/>
      <w:marRight w:val="0"/>
      <w:marTop w:val="0"/>
      <w:marBottom w:val="0"/>
      <w:divBdr>
        <w:top w:val="none" w:sz="0" w:space="0" w:color="auto"/>
        <w:left w:val="none" w:sz="0" w:space="0" w:color="auto"/>
        <w:bottom w:val="none" w:sz="0" w:space="0" w:color="auto"/>
        <w:right w:val="none" w:sz="0" w:space="0" w:color="auto"/>
      </w:divBdr>
    </w:div>
    <w:div w:id="1963421876">
      <w:bodyDiv w:val="1"/>
      <w:marLeft w:val="0"/>
      <w:marRight w:val="0"/>
      <w:marTop w:val="0"/>
      <w:marBottom w:val="0"/>
      <w:divBdr>
        <w:top w:val="none" w:sz="0" w:space="0" w:color="auto"/>
        <w:left w:val="none" w:sz="0" w:space="0" w:color="auto"/>
        <w:bottom w:val="none" w:sz="0" w:space="0" w:color="auto"/>
        <w:right w:val="none" w:sz="0" w:space="0" w:color="auto"/>
      </w:divBdr>
      <w:divsChild>
        <w:div w:id="1727073107">
          <w:marLeft w:val="0"/>
          <w:marRight w:val="0"/>
          <w:marTop w:val="0"/>
          <w:marBottom w:val="0"/>
          <w:divBdr>
            <w:top w:val="none" w:sz="0" w:space="0" w:color="auto"/>
            <w:left w:val="none" w:sz="0" w:space="0" w:color="auto"/>
            <w:bottom w:val="none" w:sz="0" w:space="0" w:color="auto"/>
            <w:right w:val="none" w:sz="0" w:space="0" w:color="auto"/>
          </w:divBdr>
          <w:divsChild>
            <w:div w:id="204291032">
              <w:marLeft w:val="0"/>
              <w:marRight w:val="0"/>
              <w:marTop w:val="0"/>
              <w:marBottom w:val="0"/>
              <w:divBdr>
                <w:top w:val="none" w:sz="0" w:space="0" w:color="auto"/>
                <w:left w:val="none" w:sz="0" w:space="0" w:color="auto"/>
                <w:bottom w:val="none" w:sz="0" w:space="0" w:color="auto"/>
                <w:right w:val="none" w:sz="0" w:space="0" w:color="auto"/>
              </w:divBdr>
              <w:divsChild>
                <w:div w:id="474370945">
                  <w:marLeft w:val="0"/>
                  <w:marRight w:val="0"/>
                  <w:marTop w:val="0"/>
                  <w:marBottom w:val="0"/>
                  <w:divBdr>
                    <w:top w:val="none" w:sz="0" w:space="0" w:color="auto"/>
                    <w:left w:val="none" w:sz="0" w:space="0" w:color="auto"/>
                    <w:bottom w:val="none" w:sz="0" w:space="0" w:color="auto"/>
                    <w:right w:val="none" w:sz="0" w:space="0" w:color="auto"/>
                  </w:divBdr>
                  <w:divsChild>
                    <w:div w:id="21132724">
                      <w:marLeft w:val="0"/>
                      <w:marRight w:val="0"/>
                      <w:marTop w:val="0"/>
                      <w:marBottom w:val="0"/>
                      <w:divBdr>
                        <w:top w:val="none" w:sz="0" w:space="0" w:color="auto"/>
                        <w:left w:val="none" w:sz="0" w:space="0" w:color="auto"/>
                        <w:bottom w:val="none" w:sz="0" w:space="0" w:color="auto"/>
                        <w:right w:val="none" w:sz="0" w:space="0" w:color="auto"/>
                      </w:divBdr>
                      <w:divsChild>
                        <w:div w:id="740714995">
                          <w:marLeft w:val="0"/>
                          <w:marRight w:val="0"/>
                          <w:marTop w:val="0"/>
                          <w:marBottom w:val="0"/>
                          <w:divBdr>
                            <w:top w:val="none" w:sz="0" w:space="0" w:color="auto"/>
                            <w:left w:val="none" w:sz="0" w:space="0" w:color="auto"/>
                            <w:bottom w:val="none" w:sz="0" w:space="0" w:color="auto"/>
                            <w:right w:val="none" w:sz="0" w:space="0" w:color="auto"/>
                          </w:divBdr>
                          <w:divsChild>
                            <w:div w:id="1288663239">
                              <w:marLeft w:val="0"/>
                              <w:marRight w:val="0"/>
                              <w:marTop w:val="0"/>
                              <w:marBottom w:val="0"/>
                              <w:divBdr>
                                <w:top w:val="none" w:sz="0" w:space="0" w:color="auto"/>
                                <w:left w:val="none" w:sz="0" w:space="0" w:color="auto"/>
                                <w:bottom w:val="none" w:sz="0" w:space="0" w:color="auto"/>
                                <w:right w:val="none" w:sz="0" w:space="0" w:color="auto"/>
                              </w:divBdr>
                              <w:divsChild>
                                <w:div w:id="164513672">
                                  <w:marLeft w:val="0"/>
                                  <w:marRight w:val="0"/>
                                  <w:marTop w:val="0"/>
                                  <w:marBottom w:val="0"/>
                                  <w:divBdr>
                                    <w:top w:val="none" w:sz="0" w:space="0" w:color="auto"/>
                                    <w:left w:val="none" w:sz="0" w:space="0" w:color="auto"/>
                                    <w:bottom w:val="none" w:sz="0" w:space="0" w:color="auto"/>
                                    <w:right w:val="none" w:sz="0" w:space="0" w:color="auto"/>
                                  </w:divBdr>
                                  <w:divsChild>
                                    <w:div w:id="19711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6039">
                          <w:marLeft w:val="0"/>
                          <w:marRight w:val="0"/>
                          <w:marTop w:val="0"/>
                          <w:marBottom w:val="0"/>
                          <w:divBdr>
                            <w:top w:val="none" w:sz="0" w:space="0" w:color="auto"/>
                            <w:left w:val="none" w:sz="0" w:space="0" w:color="auto"/>
                            <w:bottom w:val="none" w:sz="0" w:space="0" w:color="auto"/>
                            <w:right w:val="none" w:sz="0" w:space="0" w:color="auto"/>
                          </w:divBdr>
                          <w:divsChild>
                            <w:div w:id="1021052767">
                              <w:marLeft w:val="0"/>
                              <w:marRight w:val="0"/>
                              <w:marTop w:val="0"/>
                              <w:marBottom w:val="0"/>
                              <w:divBdr>
                                <w:top w:val="none" w:sz="0" w:space="0" w:color="auto"/>
                                <w:left w:val="none" w:sz="0" w:space="0" w:color="auto"/>
                                <w:bottom w:val="none" w:sz="0" w:space="0" w:color="auto"/>
                                <w:right w:val="none" w:sz="0" w:space="0" w:color="auto"/>
                              </w:divBdr>
                              <w:divsChild>
                                <w:div w:id="7757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848961">
      <w:bodyDiv w:val="1"/>
      <w:marLeft w:val="0"/>
      <w:marRight w:val="0"/>
      <w:marTop w:val="0"/>
      <w:marBottom w:val="0"/>
      <w:divBdr>
        <w:top w:val="none" w:sz="0" w:space="0" w:color="auto"/>
        <w:left w:val="none" w:sz="0" w:space="0" w:color="auto"/>
        <w:bottom w:val="none" w:sz="0" w:space="0" w:color="auto"/>
        <w:right w:val="none" w:sz="0" w:space="0" w:color="auto"/>
      </w:divBdr>
    </w:div>
    <w:div w:id="21132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esc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ippra.or.k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1C8CEE-DBA3-4164-B210-34311151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STEAM Journal</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 Journal</dc:title>
  <dc:subject>Click and type the title of paper and only capitalize first word</dc:subject>
  <dc:creator>Alem Čolaković</dc:creator>
  <cp:lastModifiedBy>Joyce Baraza</cp:lastModifiedBy>
  <cp:revision>4</cp:revision>
  <cp:lastPrinted>2023-04-14T13:42:00Z</cp:lastPrinted>
  <dcterms:created xsi:type="dcterms:W3CDTF">2026-07-07T06:57:00Z</dcterms:created>
  <dcterms:modified xsi:type="dcterms:W3CDTF">2026-07-07T07:02:00Z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3870282a-b512-3dc5-928f-6b13232f3e52</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http://www.zotero.org/styles/journal-of-king-saud-university-computer-and-information-sciences</vt:lpwstr>
  </property>
  <property fmtid="{D5CDD505-2E9C-101B-9397-08002B2CF9AE}" pid="16" name="Mendeley Recent Style Name 5_1">
    <vt:lpwstr>Journal of King Saud University - Computer and Information Sciences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http://www.zotero.org/styles/simulation-modelling-practice-and-theory</vt:lpwstr>
  </property>
  <property fmtid="{D5CDD505-2E9C-101B-9397-08002B2CF9AE}" pid="22" name="Mendeley Recent Style Name 8_1">
    <vt:lpwstr>Simulation Modelling Practice and Theory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9cefb353186b59a169a0987ef1c398a7290dfaebfb61f0913085e0cdfb859d31</vt:lpwstr>
  </property>
</Properties>
</file>