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16" w:rsidRDefault="007A1A16" w:rsidP="00D36BD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bidi="hi-IN"/>
        </w:rPr>
      </w:pPr>
      <w:r w:rsidRPr="00117749">
        <w:rPr>
          <w:rFonts w:ascii="Times New Roman" w:eastAsia="Times New Roman" w:hAnsi="Times New Roman" w:cs="Times New Roman"/>
          <w:b/>
          <w:bCs/>
          <w:kern w:val="36"/>
          <w:sz w:val="28"/>
          <w:szCs w:val="28"/>
          <w:lang w:bidi="hi-IN"/>
        </w:rPr>
        <w:t xml:space="preserve">Two </w:t>
      </w:r>
      <w:r w:rsidR="00BC7CB5" w:rsidRPr="00117749">
        <w:rPr>
          <w:rFonts w:ascii="Times New Roman" w:eastAsia="Times New Roman" w:hAnsi="Times New Roman" w:cs="Times New Roman"/>
          <w:b/>
          <w:bCs/>
          <w:kern w:val="36"/>
          <w:sz w:val="28"/>
          <w:szCs w:val="28"/>
          <w:lang w:bidi="hi-IN"/>
        </w:rPr>
        <w:t>India’s</w:t>
      </w:r>
      <w:r w:rsidRPr="00117749">
        <w:rPr>
          <w:rFonts w:ascii="Times New Roman" w:eastAsia="Times New Roman" w:hAnsi="Times New Roman" w:cs="Times New Roman"/>
          <w:b/>
          <w:bCs/>
          <w:kern w:val="36"/>
          <w:sz w:val="28"/>
          <w:szCs w:val="28"/>
          <w:lang w:bidi="hi-IN"/>
        </w:rPr>
        <w:t xml:space="preserve"> in One Curve: Evaluating the Hybrid V-K Economic Model (17th Century – 2025)</w:t>
      </w:r>
    </w:p>
    <w:p w:rsidR="00C97012" w:rsidRDefault="00C97012" w:rsidP="00C97012">
      <w:pPr>
        <w:jc w:val="center"/>
        <w:rPr>
          <w:rFonts w:ascii="Times New Roman" w:hAnsi="Times New Roman" w:cs="Times New Roman"/>
          <w:sz w:val="24"/>
          <w:szCs w:val="24"/>
        </w:rPr>
      </w:pPr>
      <w:r>
        <w:rPr>
          <w:rFonts w:ascii="Times New Roman" w:hAnsi="Times New Roman" w:cs="Times New Roman"/>
          <w:sz w:val="24"/>
          <w:szCs w:val="24"/>
        </w:rPr>
        <w:t/>
      </w:r>
      <w:r>
        <w:rPr>
          <w:rFonts w:ascii="Times New Roman" w:hAnsi="Times New Roman" w:cs="Times New Roman"/>
          <w:sz w:val="24"/>
          <w:szCs w:val="24"/>
        </w:rPr>
        <w:t/>
      </w:r>
      <w:bookmarkStart w:id="0" w:name="_GoBack"/>
      <w:bookmarkEnd w:id="0"/>
      <w:r>
        <w:rPr>
          <w:rFonts w:ascii="Times New Roman" w:hAnsi="Times New Roman" w:cs="Times New Roman"/>
          <w:sz w:val="24"/>
          <w:szCs w:val="24"/>
        </w:rPr>
        <w:t xml:space="preserve"/>
      </w:r>
      <w:proofErr w:type="gramStart"/>
      <w:r>
        <w:rPr>
          <w:rFonts w:ascii="Times New Roman" w:hAnsi="Times New Roman" w:cs="Times New Roman"/>
          <w:sz w:val="24"/>
          <w:szCs w:val="24"/>
        </w:rPr>
        <w:t xml:space="preserve"/>
      </w:r>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C97012" w:rsidRPr="00117749" w:rsidRDefault="00C97012" w:rsidP="00D36BD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bidi="hi-IN"/>
        </w:rPr>
      </w:pP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Abstract</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This paper proposes and analyzes a hybrid economic model for India, synthesizing a long-term V-shaped recovery with a modern K-shaped divergence. Using data from the Maddison Project Database, World Bank, Ministry of Statistics and </w:t>
      </w:r>
      <w:proofErr w:type="spellStart"/>
      <w:r w:rsidRPr="00D36BD2">
        <w:rPr>
          <w:rFonts w:ascii="Times New Roman" w:eastAsia="Times New Roman" w:hAnsi="Times New Roman" w:cs="Times New Roman"/>
          <w:sz w:val="24"/>
          <w:szCs w:val="24"/>
          <w:lang w:bidi="hi-IN"/>
        </w:rPr>
        <w:t>Programme</w:t>
      </w:r>
      <w:proofErr w:type="spellEnd"/>
      <w:r w:rsidRPr="00D36BD2">
        <w:rPr>
          <w:rFonts w:ascii="Times New Roman" w:eastAsia="Times New Roman" w:hAnsi="Times New Roman" w:cs="Times New Roman"/>
          <w:sz w:val="24"/>
          <w:szCs w:val="24"/>
          <w:lang w:bidi="hi-IN"/>
        </w:rPr>
        <w:t xml:space="preserve"> Implementation (</w:t>
      </w:r>
      <w:proofErr w:type="spellStart"/>
      <w:r w:rsidRPr="00D36BD2">
        <w:rPr>
          <w:rFonts w:ascii="Times New Roman" w:eastAsia="Times New Roman" w:hAnsi="Times New Roman" w:cs="Times New Roman"/>
          <w:sz w:val="24"/>
          <w:szCs w:val="24"/>
          <w:lang w:bidi="hi-IN"/>
        </w:rPr>
        <w:t>MoSPI</w:t>
      </w:r>
      <w:proofErr w:type="spellEnd"/>
      <w:r w:rsidRPr="00D36BD2">
        <w:rPr>
          <w:rFonts w:ascii="Times New Roman" w:eastAsia="Times New Roman" w:hAnsi="Times New Roman" w:cs="Times New Roman"/>
          <w:sz w:val="24"/>
          <w:szCs w:val="24"/>
          <w:lang w:bidi="hi-IN"/>
        </w:rPr>
        <w:t>), and the World Inequality Database (WID), we trace India's trajectory from a global economic hegemon in the 17th century (controlling ~24.4% of world GDP) to a colonial-era trough in 1947 (~4.2%). Post-independence, the model identifies a recovery phase that fractures around 1960, evolving into a K-shaped path where high-income sectors (Services, IT, Finance) follow an accelerated upward trajectory, while traditional sectors (Agriculture, Informal Labor) lag, creating significant income disparity by 2025. This paper visualizes this model, quantifies the divergence, and concludes with policy recommendations aimed at merging the divergent arms of the 'K' to foster inclusive and sustainable national growth.</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b/>
          <w:bCs/>
          <w:sz w:val="24"/>
          <w:szCs w:val="24"/>
          <w:lang w:bidi="hi-IN"/>
        </w:rPr>
        <w:t>Keywords:</w:t>
      </w:r>
      <w:r w:rsidRPr="00D36BD2">
        <w:rPr>
          <w:rFonts w:ascii="Times New Roman" w:eastAsia="Times New Roman" w:hAnsi="Times New Roman" w:cs="Times New Roman"/>
          <w:sz w:val="24"/>
          <w:szCs w:val="24"/>
          <w:lang w:bidi="hi-IN"/>
        </w:rPr>
        <w:t xml:space="preserve"> Indian Economy, Economic History, V-Shaped Recovery, K-Shaped Recovery, Hybrid V-K Model, Colonialism, Inequality, Inclusive Growth, Economic Policy.</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1. Introduction</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India's economic narrative is one of dramatic contrasts. It is the story of a nation that was once the world's foremost economic power, subsequently plunged into deep decline, and is now rising as a global geopolitical and economic force. Traditional economic models, often designed for short-term business cycles in industrialized nations, struggle to capture the complexity and long-</w:t>
      </w:r>
      <w:proofErr w:type="spellStart"/>
      <w:r w:rsidRPr="00D36BD2">
        <w:rPr>
          <w:rFonts w:ascii="Times New Roman" w:eastAsia="Times New Roman" w:hAnsi="Times New Roman" w:cs="Times New Roman"/>
          <w:sz w:val="24"/>
          <w:szCs w:val="24"/>
          <w:lang w:bidi="hi-IN"/>
        </w:rPr>
        <w:t>durée</w:t>
      </w:r>
      <w:proofErr w:type="spellEnd"/>
      <w:r w:rsidRPr="00D36BD2">
        <w:rPr>
          <w:rFonts w:ascii="Times New Roman" w:eastAsia="Times New Roman" w:hAnsi="Times New Roman" w:cs="Times New Roman"/>
          <w:sz w:val="24"/>
          <w:szCs w:val="24"/>
          <w:lang w:bidi="hi-IN"/>
        </w:rPr>
        <w:t xml:space="preserve"> of this journey. A simple narrative of "decline and rise" is insufficient, as it obscures the deep structural fractures that characterize modern India.</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This paper argues that India's economic history from the 17th century to the present is best understood through a Hybrid V and K-Shaped Model. This model integrates two distinct but sequential patterns:</w:t>
      </w:r>
    </w:p>
    <w:p w:rsidR="007A1A16" w:rsidRPr="00D36BD2" w:rsidRDefault="007A1A16" w:rsidP="00D36B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The Historical 'V' (1600–1960): This represents the macro-story of India's national economic fortunes. It charts a steep fall from global prominence during the colonial era, hitting a trough at independence, followed by a slow, initial, and unified struggle for recovery.</w:t>
      </w:r>
    </w:p>
    <w:p w:rsidR="007A1A16" w:rsidRPr="00D36BD2" w:rsidRDefault="007A1A16" w:rsidP="00D36B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The Structural 'K' (1960–2025): This represents the fracturing of the unified recovery path. As the economy modernized and liberalized, the benefits accrued disproportionately to capital-intensive and skill-intensive sectors, forming the upper arm of the 'K', while labor-intensive sectors and a large portion of the population were left on a slower, lower-growth trajectory, forming the lower arm.</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lastRenderedPageBreak/>
        <w:t>The central thesis is that while India has successfully navigated the 'V'—reversing the colonial decline and reclaiming its economic sovereignty—it remains dangerously entrenched in a 'K'. The aggregate growth figures of the 21st century mask a widening chasm of inequality. This paper will visualize this model, substantiate it with historical and contemporary data, and use it as a framework to propose policy interventions necessary to merge the arms of the 'K' and ensure that India's growth benefits all its citizens.</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2. Literature Review &amp; Theoretical Framework</w:t>
      </w:r>
    </w:p>
    <w:p w:rsidR="007A1A16" w:rsidRPr="00D36BD2"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2.1 Literature on India's Economic History</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The historiography of India's economic decline is dominated by the "drain of wealth" theory, most famously articulated by </w:t>
      </w:r>
      <w:proofErr w:type="spellStart"/>
      <w:r w:rsidRPr="00D36BD2">
        <w:rPr>
          <w:rFonts w:ascii="Times New Roman" w:eastAsia="Times New Roman" w:hAnsi="Times New Roman" w:cs="Times New Roman"/>
          <w:sz w:val="24"/>
          <w:szCs w:val="24"/>
          <w:lang w:bidi="hi-IN"/>
        </w:rPr>
        <w:t>Dadabhai</w:t>
      </w:r>
      <w:proofErr w:type="spellEnd"/>
      <w:r w:rsidRPr="00D36BD2">
        <w:rPr>
          <w:rFonts w:ascii="Times New Roman" w:eastAsia="Times New Roman" w:hAnsi="Times New Roman" w:cs="Times New Roman"/>
          <w:sz w:val="24"/>
          <w:szCs w:val="24"/>
          <w:lang w:bidi="hi-IN"/>
        </w:rPr>
        <w:t xml:space="preserve"> </w:t>
      </w:r>
      <w:proofErr w:type="spellStart"/>
      <w:r w:rsidRPr="00D36BD2">
        <w:rPr>
          <w:rFonts w:ascii="Times New Roman" w:eastAsia="Times New Roman" w:hAnsi="Times New Roman" w:cs="Times New Roman"/>
          <w:sz w:val="24"/>
          <w:szCs w:val="24"/>
          <w:lang w:bidi="hi-IN"/>
        </w:rPr>
        <w:t>Naoroji</w:t>
      </w:r>
      <w:proofErr w:type="spellEnd"/>
      <w:r w:rsidRPr="00D36BD2">
        <w:rPr>
          <w:rFonts w:ascii="Times New Roman" w:eastAsia="Times New Roman" w:hAnsi="Times New Roman" w:cs="Times New Roman"/>
          <w:sz w:val="24"/>
          <w:szCs w:val="24"/>
          <w:lang w:bidi="hi-IN"/>
        </w:rPr>
        <w:t xml:space="preserve"> and substantiated by the quantitative work of economic historians like Angus Maddison (2001). Maddison's data shows India's share of world GDP falling from 24.4% in 1700 to just 4.2% in 1950, a collapse attributed to deindustrialization, exploitative tax policies, and the subordination of the Indian economy to British imperial interests (</w:t>
      </w:r>
      <w:proofErr w:type="spellStart"/>
      <w:r w:rsidRPr="00D36BD2">
        <w:rPr>
          <w:rFonts w:ascii="Times New Roman" w:eastAsia="Times New Roman" w:hAnsi="Times New Roman" w:cs="Times New Roman"/>
          <w:sz w:val="24"/>
          <w:szCs w:val="24"/>
          <w:lang w:bidi="hi-IN"/>
        </w:rPr>
        <w:t>Tirthankar</w:t>
      </w:r>
      <w:proofErr w:type="spellEnd"/>
      <w:r w:rsidRPr="00D36BD2">
        <w:rPr>
          <w:rFonts w:ascii="Times New Roman" w:eastAsia="Times New Roman" w:hAnsi="Times New Roman" w:cs="Times New Roman"/>
          <w:sz w:val="24"/>
          <w:szCs w:val="24"/>
          <w:lang w:bidi="hi-IN"/>
        </w:rPr>
        <w:t xml:space="preserve"> Roy, 2000). The post-independence "Hindu rate of growth" (~3.5%) was first characterized by economist Raj Krishna, describing the period of state-led, socialist-inspired planning that yielded slow but stable growth.</w:t>
      </w:r>
    </w:p>
    <w:p w:rsidR="007A1A16" w:rsidRPr="00D36BD2"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2.2 Literature on Economic Recovery Shapes</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In modern macroeconomics, recovery shapes are used to describe the path of an economy following a recession. A V-shaped recovery implies a sharp but brief decline, followed by a quick and robust return to the pre-recession trend. A K-shaped recovery is a more recent concept, gaining prominence after the 2008 financial crisis and the COVID-19 pandemic. It describes a divergent recovery where different segments of the economy—divided by industry, wealth, or geography—recover at vastly different rates and magnitudes (</w:t>
      </w:r>
      <w:proofErr w:type="spellStart"/>
      <w:r w:rsidRPr="00D36BD2">
        <w:rPr>
          <w:rFonts w:ascii="Times New Roman" w:eastAsia="Times New Roman" w:hAnsi="Times New Roman" w:cs="Times New Roman"/>
          <w:sz w:val="24"/>
          <w:szCs w:val="24"/>
          <w:lang w:bidi="hi-IN"/>
        </w:rPr>
        <w:t>Papanastasiou</w:t>
      </w:r>
      <w:proofErr w:type="spellEnd"/>
      <w:r w:rsidRPr="00D36BD2">
        <w:rPr>
          <w:rFonts w:ascii="Times New Roman" w:eastAsia="Times New Roman" w:hAnsi="Times New Roman" w:cs="Times New Roman"/>
          <w:sz w:val="24"/>
          <w:szCs w:val="24"/>
          <w:lang w:bidi="hi-IN"/>
        </w:rPr>
        <w:t>, 2021).</w:t>
      </w:r>
    </w:p>
    <w:p w:rsidR="007A1A16" w:rsidRPr="00D36BD2"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2.3 The Hybrid V-K Theoretical Framework</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This paper synthesizes these concepts into a novel framework for long-term economic analysis. The Hybrid V-K Model posits that a nation's long-term trajectory can be characterized by an initial, overarching V-shaped movement in its aggregate economic power (e.g., share of world GDP), which then transitions into a K-shaped divergence in its internal structure. This model is particularly applicable to post-colonial nations undergoing rapid structural transformation, where the recovery of national aggregates masks deepening internal inequalities.</w:t>
      </w:r>
    </w:p>
    <w:p w:rsidR="001C03EB" w:rsidRPr="00D36BD2" w:rsidRDefault="001C03EB"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Research Gap</w:t>
      </w:r>
    </w:p>
    <w:p w:rsidR="001C03EB" w:rsidRPr="00D36BD2" w:rsidRDefault="001C03EB"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The existing literature on India's economic history primarily focuses on either the colonial-era decline and post-independence recovery (e.g., "drain of wealth" theory by </w:t>
      </w:r>
      <w:proofErr w:type="spellStart"/>
      <w:r w:rsidRPr="00D36BD2">
        <w:rPr>
          <w:rFonts w:ascii="Times New Roman" w:eastAsia="Times New Roman" w:hAnsi="Times New Roman" w:cs="Times New Roman"/>
          <w:sz w:val="24"/>
          <w:szCs w:val="24"/>
          <w:lang w:bidi="hi-IN"/>
        </w:rPr>
        <w:t>Naoroji</w:t>
      </w:r>
      <w:proofErr w:type="spellEnd"/>
      <w:r w:rsidRPr="00D36BD2">
        <w:rPr>
          <w:rFonts w:ascii="Times New Roman" w:eastAsia="Times New Roman" w:hAnsi="Times New Roman" w:cs="Times New Roman"/>
          <w:sz w:val="24"/>
          <w:szCs w:val="24"/>
          <w:lang w:bidi="hi-IN"/>
        </w:rPr>
        <w:t xml:space="preserve"> and Maddison's quantitative data) or short-term recovery patterns in modern macroeconomics, such as V-shaped recoveries post-recessions and K-shaped divergences observed in events like the 2008 financial crisis or COVID-19 pandemic. However, there is a notable gap in integrating these concepts into a comprehensive, long-term framework for post-colonial economies like India. Traditional models </w:t>
      </w:r>
      <w:r w:rsidRPr="00D36BD2">
        <w:rPr>
          <w:rFonts w:ascii="Times New Roman" w:eastAsia="Times New Roman" w:hAnsi="Times New Roman" w:cs="Times New Roman"/>
          <w:sz w:val="24"/>
          <w:szCs w:val="24"/>
          <w:lang w:bidi="hi-IN"/>
        </w:rPr>
        <w:lastRenderedPageBreak/>
        <w:t>often emphasize aggregate national growth metrics (e.g., GDP share) without adequately addressing the internal structural fractures and widening inequalities that emerge during modernization and liberalization. Specifically, no prior studies have synthesized the historical V-shaped trajectory of national economic power (from 17th-century hegemony to colonial trough and initial recovery) with the post-1960 K-shaped divergence between high-growth sectors (e.g., IT, finance) and lagging ones (e.g., agriculture, informal labor). This leaves a void in understanding how aggregate recovery masks deepening disparities, limiting the applicability of policy recommendations for inclusive growth in rapidly transforming economies.</w:t>
      </w:r>
    </w:p>
    <w:p w:rsidR="001C03EB" w:rsidRPr="00D36BD2" w:rsidRDefault="001C03EB" w:rsidP="00D36BD2">
      <w:pPr>
        <w:pStyle w:val="Heading3"/>
        <w:jc w:val="both"/>
        <w:rPr>
          <w:sz w:val="24"/>
          <w:szCs w:val="24"/>
        </w:rPr>
      </w:pPr>
      <w:r w:rsidRPr="00D36BD2">
        <w:rPr>
          <w:sz w:val="24"/>
          <w:szCs w:val="24"/>
        </w:rPr>
        <w:t>Research Objectives</w:t>
      </w:r>
    </w:p>
    <w:p w:rsidR="001C03EB" w:rsidRPr="00D36BD2"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To propose a novel Hybrid V-K Economic Model</w:t>
      </w:r>
    </w:p>
    <w:p w:rsidR="001C03EB" w:rsidRPr="00D36BD2"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To analyze and substantiate the model with historical and empirical data</w:t>
      </w:r>
    </w:p>
    <w:p w:rsidR="001C03EB" w:rsidRPr="00D36BD2"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To evaluate the implications of the K-shaped divergence</w:t>
      </w:r>
    </w:p>
    <w:p w:rsidR="001C03EB" w:rsidRPr="00D36BD2" w:rsidRDefault="001C03EB"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To formulate policy recommendations for inclusive growth</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3. Methodology</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This study employs a mixed-methods approach, combining historical narrative analysis with quantitative data synthesis.</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Historical Analysis: A review of key texts and data on India's economic performance under the Mughal Empire, British Raj, and post-independence governments provides the qualitative foundation for the 'V' phase. Quantitative Data Synthesis: The model is substantiated using data triangulated from four primary sources:</w:t>
      </w:r>
    </w:p>
    <w:p w:rsidR="007A1A16" w:rsidRPr="00D36BD2"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Maddison Project Database (2020 version): For historical world GDP share data from 1700 to 1950.</w:t>
      </w:r>
    </w:p>
    <w:p w:rsidR="007A1A16" w:rsidRPr="00D36BD2"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World Bank Open Data: For post-1960 data on GDP, sectoral contribution, and poverty rates.</w:t>
      </w:r>
    </w:p>
    <w:p w:rsidR="007A1A16" w:rsidRPr="00D36BD2"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Ministry of Statistics and </w:t>
      </w:r>
      <w:proofErr w:type="spellStart"/>
      <w:r w:rsidRPr="00D36BD2">
        <w:rPr>
          <w:rFonts w:ascii="Times New Roman" w:eastAsia="Times New Roman" w:hAnsi="Times New Roman" w:cs="Times New Roman"/>
          <w:sz w:val="24"/>
          <w:szCs w:val="24"/>
          <w:lang w:bidi="hi-IN"/>
        </w:rPr>
        <w:t>Programme</w:t>
      </w:r>
      <w:proofErr w:type="spellEnd"/>
      <w:r w:rsidRPr="00D36BD2">
        <w:rPr>
          <w:rFonts w:ascii="Times New Roman" w:eastAsia="Times New Roman" w:hAnsi="Times New Roman" w:cs="Times New Roman"/>
          <w:sz w:val="24"/>
          <w:szCs w:val="24"/>
          <w:lang w:bidi="hi-IN"/>
        </w:rPr>
        <w:t xml:space="preserve"> Implementation (</w:t>
      </w:r>
      <w:proofErr w:type="spellStart"/>
      <w:r w:rsidRPr="00D36BD2">
        <w:rPr>
          <w:rFonts w:ascii="Times New Roman" w:eastAsia="Times New Roman" w:hAnsi="Times New Roman" w:cs="Times New Roman"/>
          <w:sz w:val="24"/>
          <w:szCs w:val="24"/>
          <w:lang w:bidi="hi-IN"/>
        </w:rPr>
        <w:t>MoSPI</w:t>
      </w:r>
      <w:proofErr w:type="spellEnd"/>
      <w:r w:rsidRPr="00D36BD2">
        <w:rPr>
          <w:rFonts w:ascii="Times New Roman" w:eastAsia="Times New Roman" w:hAnsi="Times New Roman" w:cs="Times New Roman"/>
          <w:sz w:val="24"/>
          <w:szCs w:val="24"/>
          <w:lang w:bidi="hi-IN"/>
        </w:rPr>
        <w:t>), India: For detailed national accounts, sector-specific data, and income distribution metrics.</w:t>
      </w:r>
    </w:p>
    <w:p w:rsidR="007A1A16" w:rsidRPr="00D36BD2" w:rsidRDefault="007A1A16" w:rsidP="00D36B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World Inequality Database (WID): For data on wealth inequality (Top 10% vs. Bottom 50% share).</w:t>
      </w:r>
    </w:p>
    <w:p w:rsidR="001C03EB"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The analysis focuses on identifying inflection points and quantifying the magnitude of change at each stage of the Hybrid V-K model.</w:t>
      </w:r>
    </w:p>
    <w:p w:rsidR="00D36BD2" w:rsidRPr="00D36BD2" w:rsidRDefault="00D36BD2" w:rsidP="00D36BD2">
      <w:pPr>
        <w:spacing w:before="100" w:beforeAutospacing="1" w:after="100" w:afterAutospacing="1" w:line="240" w:lineRule="auto"/>
        <w:jc w:val="both"/>
        <w:rPr>
          <w:rFonts w:ascii="Times New Roman" w:eastAsia="Times New Roman" w:hAnsi="Times New Roman" w:cs="Times New Roman"/>
          <w:sz w:val="24"/>
          <w:szCs w:val="24"/>
          <w:lang w:bidi="hi-IN"/>
        </w:rPr>
      </w:pP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4. Analysis: The Hybrid V-K Trajectory of India</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7A1A16" w:rsidRPr="00D36BD2" w:rsidRDefault="00B1320E" w:rsidP="00D36BD2">
      <w:pPr>
        <w:spacing w:before="100" w:beforeAutospacing="1" w:after="100" w:afterAutospacing="1" w:line="240" w:lineRule="auto"/>
        <w:jc w:val="center"/>
        <w:outlineLvl w:val="1"/>
        <w:rPr>
          <w:rFonts w:ascii="Times New Roman" w:eastAsia="Times New Roman" w:hAnsi="Times New Roman" w:cs="Times New Roman"/>
          <w:b/>
          <w:bCs/>
          <w:sz w:val="24"/>
          <w:szCs w:val="24"/>
          <w:lang w:bidi="hi-IN"/>
        </w:rPr>
      </w:pPr>
      <w:r w:rsidRPr="00D36BD2">
        <w:rPr>
          <w:rFonts w:ascii="Times New Roman" w:hAnsi="Times New Roman" w:cs="Times New Roman"/>
          <w:noProof/>
          <w:sz w:val="24"/>
          <w:szCs w:val="24"/>
          <w:lang w:bidi="hi-IN"/>
        </w:rPr>
        <w:lastRenderedPageBreak/>
        <w:drawing>
          <wp:inline distT="0" distB="0" distL="0" distR="0" wp14:anchorId="2F38F82C" wp14:editId="379569C1">
            <wp:extent cx="4810898" cy="3905029"/>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47"/>
                    <a:stretch/>
                  </pic:blipFill>
                  <pic:spPr bwMode="auto">
                    <a:xfrm>
                      <a:off x="0" y="0"/>
                      <a:ext cx="4828281" cy="3919139"/>
                    </a:xfrm>
                    <a:prstGeom prst="rect">
                      <a:avLst/>
                    </a:prstGeom>
                    <a:ln>
                      <a:noFill/>
                    </a:ln>
                    <a:extLst>
                      <a:ext uri="{53640926-AAD7-44D8-BBD7-CCE9431645EC}">
                        <a14:shadowObscured xmlns:a14="http://schemas.microsoft.com/office/drawing/2010/main"/>
                      </a:ext>
                    </a:extLst>
                  </pic:spPr>
                </pic:pic>
              </a:graphicData>
            </a:graphic>
          </wp:inline>
        </w:drawing>
      </w:r>
    </w:p>
    <w:p w:rsidR="00B1320E" w:rsidRPr="00D36BD2" w:rsidRDefault="00B1320E" w:rsidP="00D36BD2">
      <w:pPr>
        <w:jc w:val="both"/>
        <w:rPr>
          <w:rFonts w:ascii="Times New Roman" w:hAnsi="Times New Roman" w:cs="Times New Roman"/>
          <w:sz w:val="24"/>
          <w:szCs w:val="24"/>
        </w:rPr>
      </w:pPr>
      <w:r w:rsidRPr="00D36BD2">
        <w:rPr>
          <w:rFonts w:ascii="Times New Roman" w:hAnsi="Times New Roman" w:cs="Times New Roman"/>
          <w:sz w:val="24"/>
          <w:szCs w:val="24"/>
        </w:rPr>
        <w:t>Figure: Hybrid V–K Growth Model of the Indian Economy (1500–2025). The V-shaped trend reflects long-term decline during colonial rule followed by post-independence recovery, while the K-shaped divergence after 1991 highlights unequal sectoral growth.</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BC7CB5" w:rsidRPr="00D36BD2" w:rsidRDefault="00D6093B" w:rsidP="00D36BD2">
      <w:pPr>
        <w:spacing w:before="100" w:beforeAutospacing="1" w:after="100" w:afterAutospacing="1" w:line="240" w:lineRule="auto"/>
        <w:jc w:val="center"/>
        <w:outlineLvl w:val="2"/>
        <w:rPr>
          <w:rFonts w:ascii="Times New Roman" w:eastAsia="Times New Roman" w:hAnsi="Times New Roman" w:cs="Times New Roman"/>
          <w:b/>
          <w:bCs/>
          <w:sz w:val="24"/>
          <w:szCs w:val="24"/>
          <w:lang w:bidi="hi-IN"/>
        </w:rPr>
      </w:pPr>
      <w:r w:rsidRPr="00D36BD2">
        <w:rPr>
          <w:rFonts w:ascii="Times New Roman" w:hAnsi="Times New Roman" w:cs="Times New Roman"/>
          <w:noProof/>
          <w:sz w:val="24"/>
          <w:szCs w:val="24"/>
          <w:lang w:bidi="hi-IN"/>
        </w:rPr>
        <w:drawing>
          <wp:inline distT="0" distB="0" distL="0" distR="0" wp14:anchorId="543095FA" wp14:editId="23319FCC">
            <wp:extent cx="5338119" cy="2405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7651" cy="2409675"/>
                    </a:xfrm>
                    <a:prstGeom prst="rect">
                      <a:avLst/>
                    </a:prstGeom>
                  </pic:spPr>
                </pic:pic>
              </a:graphicData>
            </a:graphic>
          </wp:inline>
        </w:drawing>
      </w:r>
    </w:p>
    <w:p w:rsidR="004A4529" w:rsidRPr="00D36BD2" w:rsidRDefault="004A4529"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p>
    <w:p w:rsidR="007A1A16" w:rsidRPr="00D36BD2"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lastRenderedPageBreak/>
        <w:t>4.1 The Historical 'V' (1600–1960): The Fall and Rise of a Nation</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This period defines the left side and the trough of the model, characterized by a catastrophic fall from global prominence and a painful, slow stabilization.</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The Peak (c. 1700): In the 17th century, under the Mughal Empire, India was arguably the world's largest economy. Maddison's research places its share of global GDP at approximately 24.4%. The economy was fueled by a dominant manufacturing base, particularly in textiles (muslin, calico), spices, and steel, which attracted vast amounts of bullion from Europe and Asia. The Decline (1757–1947): The "down" stroke of the 'V' represents the colonial era following the Battle of </w:t>
      </w:r>
      <w:proofErr w:type="spellStart"/>
      <w:r w:rsidRPr="00D36BD2">
        <w:rPr>
          <w:rFonts w:ascii="Times New Roman" w:eastAsia="Times New Roman" w:hAnsi="Times New Roman" w:cs="Times New Roman"/>
          <w:sz w:val="24"/>
          <w:szCs w:val="24"/>
          <w:lang w:bidi="hi-IN"/>
        </w:rPr>
        <w:t>Plassey</w:t>
      </w:r>
      <w:proofErr w:type="spellEnd"/>
      <w:r w:rsidRPr="00D36BD2">
        <w:rPr>
          <w:rFonts w:ascii="Times New Roman" w:eastAsia="Times New Roman" w:hAnsi="Times New Roman" w:cs="Times New Roman"/>
          <w:sz w:val="24"/>
          <w:szCs w:val="24"/>
          <w:lang w:bidi="hi-IN"/>
        </w:rPr>
        <w:t xml:space="preserve">. British policies systematically dismantled India's manufacturing capabilities. High tariffs were imposed on Indian textiles in Britain, while Indian markets were flooded with cheap, machine-made British goods. This led to deindustrialization on a massive scale. India transitioned from a net exporter of finished goods to an exporter of raw materials (cotton, jute, opium) and an importer of finished products. By 1950, shortly after independence, India’s share of global GDP had collapsed to ~4.2%. The Trough and Stabilization (1947–1960): This period marks the bottom of the 'V' and the beginning of the ascent. The </w:t>
      </w:r>
      <w:proofErr w:type="spellStart"/>
      <w:r w:rsidRPr="00D36BD2">
        <w:rPr>
          <w:rFonts w:ascii="Times New Roman" w:eastAsia="Times New Roman" w:hAnsi="Times New Roman" w:cs="Times New Roman"/>
          <w:sz w:val="24"/>
          <w:szCs w:val="24"/>
          <w:lang w:bidi="hi-IN"/>
        </w:rPr>
        <w:t>Nehruvian</w:t>
      </w:r>
      <w:proofErr w:type="spellEnd"/>
      <w:r w:rsidRPr="00D36BD2">
        <w:rPr>
          <w:rFonts w:ascii="Times New Roman" w:eastAsia="Times New Roman" w:hAnsi="Times New Roman" w:cs="Times New Roman"/>
          <w:sz w:val="24"/>
          <w:szCs w:val="24"/>
          <w:lang w:bidi="hi-IN"/>
        </w:rPr>
        <w:t xml:space="preserve"> era focused on state-led, import-substitution industrialization through Five-Year Plans. The goal was to build a heavy industrial base for economic self-sufficiency. Growth averaged ~3.5% annually. While this "Hindu Rate of Growth" was criticized as slow, it was sufficient to reverse the colonial-era contraction and stabilize the economy, creating a unified, albeit slow, recovery path.</w:t>
      </w:r>
    </w:p>
    <w:p w:rsidR="007A1A16" w:rsidRPr="00D36BD2" w:rsidRDefault="007A1A16" w:rsidP="00D36BD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4.2 The Structural 'K' (1960–2025): The Fracturing of the Dream</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Around 1960, the unified recovery path began to fracture. The seeds of the 'K' were sown by the Green Revolution (which boosted agricultural output but also created regional disparities) and solidified with the Liberalization of 1991, which unlocked the potential of the services sector.</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The Upper Arm: The Accelerated Trajectory: The upper arm of the 'K' represents the modernized, globalized, and formal economy. Sectors: Information Technology-Business Process Management (IT-BPM), Pharmaceuticals, Financial Services, and high-end Manufacturing. Growth Drivers: The 1991 liberalization unleashed this segment. The Services sector's contribution to GDP grew from ~30% in 1960 to over 55% in 2024. This segment is characterized by high productivity, global integration, and access to capital. Income Metric: The benefits are heavily concentrated. According to the World Inequality Database, the top 10% of the Indian population now holds approximately 65% of the total national wealth. This segment is projected to drive India to a $5 Trillion economy, powered by digitization, AI integration, and rising urban consumption. The Lower Arm: The Lagging Trajectory: The lower arm represents sectors and populations that did not benefit equally from structural transformation. Sectors: Traditional Agriculture, Informal Labor, and Micro, Small &amp; Medium Enterprises (MSMEs). The Disconnect: This is the core of the divergence. While Agriculture’s share of GDP has fallen to ~16% (2024), it still employs ~45% of the workforce. This massive productivity gap results in low per-capita incomes and rural distress. Inequality: The bottom 50% of the population holds a mere 6.4% of national wealth. While extreme poverty, as measured by the Multidimensional Poverty Index (MPI), has reduced significantly (from ~55% in 2005 to ~16% in 2021), a large "vulnerable" class remains just above </w:t>
      </w:r>
      <w:r w:rsidRPr="00D36BD2">
        <w:rPr>
          <w:rFonts w:ascii="Times New Roman" w:eastAsia="Times New Roman" w:hAnsi="Times New Roman" w:cs="Times New Roman"/>
          <w:sz w:val="24"/>
          <w:szCs w:val="24"/>
          <w:lang w:bidi="hi-IN"/>
        </w:rPr>
        <w:lastRenderedPageBreak/>
        <w:t>the poverty line, highly susceptible to economic shocks, as starkly revealed during the COVID-19 pandemic.</w:t>
      </w:r>
    </w:p>
    <w:p w:rsidR="00D36BD2" w:rsidRPr="00D36BD2" w:rsidRDefault="00D36BD2"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hAnsi="Times New Roman" w:cs="Times New Roman"/>
          <w:sz w:val="24"/>
          <w:szCs w:val="24"/>
        </w:rPr>
        <w:t>Table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87"/>
        <w:gridCol w:w="1223"/>
        <w:gridCol w:w="1910"/>
        <w:gridCol w:w="1318"/>
        <w:gridCol w:w="1222"/>
        <w:gridCol w:w="1751"/>
      </w:tblGrid>
      <w:tr w:rsidR="007A1A16" w:rsidRPr="00D36BD2" w:rsidTr="00BC7CB5">
        <w:trPr>
          <w:tblHeader/>
          <w:tblCellSpacing w:w="15" w:type="dxa"/>
        </w:trPr>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Era</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Year</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Share of World GDP (PPP)</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Dominant Sector(s)</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Top 10% Wealth Share</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Bottom 50% Wealth Share</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Key Policy/Event</w:t>
            </w:r>
          </w:p>
        </w:tc>
      </w:tr>
      <w:tr w:rsidR="007A1A16" w:rsidRPr="00D36BD2" w:rsidTr="00BC7CB5">
        <w:trPr>
          <w:tblCellSpacing w:w="15" w:type="dxa"/>
        </w:trPr>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Peak V</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1700</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~24.4%</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Agriculture, Textiles, Manufacturing</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N/A (Feudal Structure)</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N/A</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Mughal Era, Pre-colonial trade</w:t>
            </w:r>
          </w:p>
        </w:tc>
      </w:tr>
      <w:tr w:rsidR="007A1A16" w:rsidRPr="00D36BD2" w:rsidTr="00BC7CB5">
        <w:trPr>
          <w:tblCellSpacing w:w="15" w:type="dxa"/>
        </w:trPr>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Trough V</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1950</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~4.2%</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Agriculture</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~45% (est. from 1961)</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~11% (est. from 1961)</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End of Colonial Rule</w:t>
            </w:r>
          </w:p>
        </w:tc>
      </w:tr>
      <w:tr w:rsidR="007A1A16" w:rsidRPr="00D36BD2" w:rsidTr="00BC7CB5">
        <w:trPr>
          <w:tblCellSpacing w:w="15" w:type="dxa"/>
        </w:trPr>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Split Point</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1960</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~3.8%</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Agriculture</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~45%</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~11%</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Start of Green Revolution</w:t>
            </w:r>
          </w:p>
        </w:tc>
      </w:tr>
      <w:tr w:rsidR="007A1A16" w:rsidRPr="00D36BD2" w:rsidTr="00BC7CB5">
        <w:trPr>
          <w:tblCellSpacing w:w="15" w:type="dxa"/>
        </w:trPr>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K-Divergence</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1991</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~3.6%</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Transitioning to Services</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~50.5%</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~8.8%</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Economic Liberalization</w:t>
            </w:r>
          </w:p>
        </w:tc>
      </w:tr>
      <w:tr w:rsidR="007A1A16" w:rsidRPr="00D36BD2" w:rsidTr="00BC7CB5">
        <w:trPr>
          <w:tblCellSpacing w:w="15" w:type="dxa"/>
        </w:trPr>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Current / Projected</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2025</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~8.5%</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Services, Industry</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~65%</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~6.4%</w:t>
            </w:r>
          </w:p>
        </w:tc>
        <w:tc>
          <w:tcPr>
            <w:tcW w:w="0" w:type="auto"/>
            <w:vAlign w:val="center"/>
            <w:hideMark/>
          </w:tcPr>
          <w:p w:rsidR="007A1A16" w:rsidRPr="00D36BD2" w:rsidRDefault="007A1A16"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Digital India, $5T Goal</w:t>
            </w:r>
          </w:p>
        </w:tc>
      </w:tr>
    </w:tbl>
    <w:p w:rsidR="004A6C4F" w:rsidRPr="00D36BD2" w:rsidRDefault="004A6C4F" w:rsidP="00D36BD2">
      <w:pPr>
        <w:jc w:val="both"/>
        <w:rPr>
          <w:rFonts w:ascii="Times New Roman" w:hAnsi="Times New Roman" w:cs="Times New Roman"/>
          <w:sz w:val="24"/>
          <w:szCs w:val="24"/>
        </w:rPr>
      </w:pPr>
    </w:p>
    <w:p w:rsidR="007A1A16" w:rsidRPr="00D36BD2" w:rsidRDefault="007A1A16" w:rsidP="00D36BD2">
      <w:pPr>
        <w:pStyle w:val="NormalWeb"/>
        <w:jc w:val="both"/>
      </w:pPr>
      <w:r w:rsidRPr="00D36BD2">
        <w:t>Note: World GDP share data is primarily from Maddison Project Database and IMF projections. Wealth share data is from World Inequality Database. Early figures are estimates.</w:t>
      </w:r>
    </w:p>
    <w:p w:rsidR="007A1A16" w:rsidRPr="00D36BD2" w:rsidRDefault="007A1A16" w:rsidP="00D36BD2">
      <w:pPr>
        <w:pStyle w:val="Heading2"/>
        <w:jc w:val="both"/>
        <w:rPr>
          <w:sz w:val="24"/>
          <w:szCs w:val="24"/>
        </w:rPr>
      </w:pPr>
      <w:r w:rsidRPr="00D36BD2">
        <w:rPr>
          <w:sz w:val="24"/>
          <w:szCs w:val="24"/>
        </w:rPr>
        <w:t>5. Visualizing the Model and Data</w:t>
      </w:r>
    </w:p>
    <w:p w:rsidR="007A1A16" w:rsidRPr="00D36BD2" w:rsidRDefault="007A1A16" w:rsidP="00D36BD2">
      <w:pPr>
        <w:pStyle w:val="NormalWeb"/>
        <w:jc w:val="both"/>
      </w:pPr>
      <w:r w:rsidRPr="00D36BD2">
        <w:t>The Hybrid V-K model is best understood visually.</w:t>
      </w:r>
    </w:p>
    <w:p w:rsidR="007A1A16" w:rsidRPr="00D36BD2" w:rsidRDefault="007A1A16" w:rsidP="00D36BD2">
      <w:pPr>
        <w:pStyle w:val="NormalWeb"/>
        <w:jc w:val="both"/>
      </w:pPr>
      <w:r w:rsidRPr="00D36BD2">
        <w:t>[Figure 1: The Hybrid V-K Model of the Indian Economy (1600-2025)]</w:t>
      </w:r>
    </w:p>
    <w:p w:rsidR="007A1A16" w:rsidRPr="00D36BD2" w:rsidRDefault="007A1A16" w:rsidP="00D36BD2">
      <w:pPr>
        <w:pStyle w:val="NormalWeb"/>
        <w:jc w:val="both"/>
      </w:pPr>
      <w:r w:rsidRPr="00D36BD2">
        <w:t>(Description: A line graph with Time (1600-2025) on the X-axis and a composite metric of National Economic Power/Wealth on the Y-axis. The line starts high in 1600, declines sharply to a trough around 1960, forming the 'V'. From the trough, the line splits into two. The upper arm curves steeply upwards, representing the high-growth sectors. The lower arm shows a much flatter, slower upward trajectory, representing the lagging sectors. The gap between the two arms widens significantly over time, visually representing the K-shaped divergence.)</w:t>
      </w:r>
    </w:p>
    <w:p w:rsidR="007A1A16" w:rsidRPr="00D36BD2" w:rsidRDefault="007A1A16" w:rsidP="00057A9E">
      <w:pPr>
        <w:jc w:val="center"/>
        <w:rPr>
          <w:rFonts w:ascii="Times New Roman" w:hAnsi="Times New Roman" w:cs="Times New Roman"/>
          <w:sz w:val="24"/>
          <w:szCs w:val="24"/>
        </w:rPr>
      </w:pPr>
      <w:r w:rsidRPr="00D36BD2">
        <w:rPr>
          <w:rFonts w:ascii="Times New Roman" w:hAnsi="Times New Roman" w:cs="Times New Roman"/>
          <w:noProof/>
          <w:sz w:val="24"/>
          <w:szCs w:val="24"/>
          <w:lang w:bidi="hi-IN"/>
        </w:rPr>
        <w:lastRenderedPageBreak/>
        <w:drawing>
          <wp:inline distT="0" distB="0" distL="0" distR="0" wp14:anchorId="775F8AA9" wp14:editId="5BBC8D23">
            <wp:extent cx="5447801" cy="2949146"/>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7221" cy="2954245"/>
                    </a:xfrm>
                    <a:prstGeom prst="rect">
                      <a:avLst/>
                    </a:prstGeom>
                  </pic:spPr>
                </pic:pic>
              </a:graphicData>
            </a:graphic>
          </wp:inline>
        </w:drawing>
      </w:r>
    </w:p>
    <w:p w:rsidR="007A1A16" w:rsidRPr="00D36BD2" w:rsidRDefault="007A1A16" w:rsidP="00D36BD2">
      <w:pPr>
        <w:jc w:val="both"/>
        <w:rPr>
          <w:rFonts w:ascii="Times New Roman" w:hAnsi="Times New Roman" w:cs="Times New Roman"/>
          <w:sz w:val="24"/>
          <w:szCs w:val="24"/>
        </w:rPr>
      </w:pP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[Figure 2: Divergence of Wealth Share in Post-Liberalization India]</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(Description: A dual-line bar chart for the years 1991, 2005, 2015, and 2025. For each year, there are two bars: one showing the percentage of wealth held by the Top 10%, and the other by the Bottom 50%. The chart would visually show the Top 10% bar rising steadily and dramatically, while the Bottom 50% bar remains stagnant or even slightly decreases, illustrating the widening inequality.)</w:t>
      </w:r>
    </w:p>
    <w:p w:rsidR="00D36BD2" w:rsidRPr="00D36BD2" w:rsidRDefault="00D36BD2" w:rsidP="00D36BD2">
      <w:pPr>
        <w:pStyle w:val="Heading2"/>
        <w:jc w:val="both"/>
        <w:rPr>
          <w:sz w:val="24"/>
          <w:szCs w:val="24"/>
        </w:rPr>
      </w:pPr>
      <w:r w:rsidRPr="00D36BD2">
        <w:rPr>
          <w:sz w:val="24"/>
          <w:szCs w:val="24"/>
        </w:rPr>
        <w:t>Table 2. Long-Run Economic and Sectoral Development Indices for India (1500–2025)</w:t>
      </w:r>
    </w:p>
    <w:p w:rsidR="00D36BD2" w:rsidRPr="00D36BD2" w:rsidRDefault="00D36BD2" w:rsidP="00D36BD2">
      <w:pPr>
        <w:pStyle w:val="NormalWeb"/>
        <w:jc w:val="both"/>
      </w:pPr>
      <w:r w:rsidRPr="00D36BD2">
        <w:rPr>
          <w:rStyle w:val="Emphasis"/>
        </w:rPr>
        <w:t>(Index values normalized to long-run historical benchmarks, consistent with Maddison-style real output indexing and WID distributional framing)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3032"/>
        <w:gridCol w:w="2557"/>
        <w:gridCol w:w="3159"/>
      </w:tblGrid>
      <w:tr w:rsidR="00D36BD2" w:rsidRPr="00D36BD2" w:rsidTr="00D36BD2">
        <w:trPr>
          <w:tblHeade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Year</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Aggregate Economic Output Index</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Elite / High-Skill Sector Index</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Broad-based / Informal Sector Index</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1500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1600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95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1700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80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1800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50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1900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40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1950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45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1991</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55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60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55</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2000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65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75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60</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2010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75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90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65</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lastRenderedPageBreak/>
              <w:t>2020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85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110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70</w:t>
            </w:r>
          </w:p>
        </w:tc>
      </w:tr>
      <w:tr w:rsidR="00D36BD2" w:rsidRPr="00D36BD2" w:rsidTr="00D36BD2">
        <w:trPr>
          <w:tblCellSpacing w:w="15" w:type="dxa"/>
        </w:trPr>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2025</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90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120</w:t>
            </w:r>
          </w:p>
        </w:tc>
        <w:tc>
          <w:tcPr>
            <w:tcW w:w="0" w:type="auto"/>
            <w:vAlign w:val="center"/>
            <w:hideMark/>
          </w:tcPr>
          <w:p w:rsidR="00D36BD2" w:rsidRPr="00D36BD2" w:rsidRDefault="00D36BD2" w:rsidP="00D36BD2">
            <w:pPr>
              <w:spacing w:after="0"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72</w:t>
            </w:r>
          </w:p>
        </w:tc>
      </w:tr>
    </w:tbl>
    <w:p w:rsidR="00D36BD2" w:rsidRPr="00D36BD2" w:rsidRDefault="00D36BD2"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 (Source: </w:t>
      </w:r>
      <w:r w:rsidRPr="00D36BD2">
        <w:rPr>
          <w:rFonts w:ascii="Times New Roman" w:hAnsi="Times New Roman" w:cs="Times New Roman"/>
          <w:sz w:val="24"/>
          <w:szCs w:val="24"/>
        </w:rPr>
        <w:t>Author’s reconstruction and conceptual indexing based on historical GDP trends from the Maddison Project Database and distributional income and wealth patterns reported in the World Inequality Database (WID))</w:t>
      </w:r>
    </w:p>
    <w:p w:rsidR="00B1320E" w:rsidRPr="00D36BD2" w:rsidRDefault="00B1320E" w:rsidP="00057A9E">
      <w:pPr>
        <w:spacing w:before="100" w:beforeAutospacing="1" w:after="100" w:afterAutospacing="1" w:line="240" w:lineRule="auto"/>
        <w:jc w:val="center"/>
        <w:rPr>
          <w:rFonts w:ascii="Times New Roman" w:eastAsia="Times New Roman" w:hAnsi="Times New Roman" w:cs="Times New Roman"/>
          <w:sz w:val="24"/>
          <w:szCs w:val="24"/>
          <w:lang w:bidi="hi-IN"/>
        </w:rPr>
      </w:pPr>
      <w:r w:rsidRPr="00D36BD2">
        <w:rPr>
          <w:rFonts w:ascii="Times New Roman" w:hAnsi="Times New Roman" w:cs="Times New Roman"/>
          <w:noProof/>
          <w:sz w:val="24"/>
          <w:szCs w:val="24"/>
          <w:lang w:bidi="hi-IN"/>
        </w:rPr>
        <w:drawing>
          <wp:inline distT="0" distB="0" distL="0" distR="0" wp14:anchorId="02D886FB" wp14:editId="47BEEF26">
            <wp:extent cx="4777946" cy="3878282"/>
            <wp:effectExtent l="0" t="0" r="381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47"/>
                    <a:stretch/>
                  </pic:blipFill>
                  <pic:spPr bwMode="auto">
                    <a:xfrm>
                      <a:off x="0" y="0"/>
                      <a:ext cx="4793666" cy="3891042"/>
                    </a:xfrm>
                    <a:prstGeom prst="rect">
                      <a:avLst/>
                    </a:prstGeom>
                    <a:ln>
                      <a:noFill/>
                    </a:ln>
                    <a:extLst>
                      <a:ext uri="{53640926-AAD7-44D8-BBD7-CCE9431645EC}">
                        <a14:shadowObscured xmlns:a14="http://schemas.microsoft.com/office/drawing/2010/main"/>
                      </a:ext>
                    </a:extLst>
                  </pic:spPr>
                </pic:pic>
              </a:graphicData>
            </a:graphic>
          </wp:inline>
        </w:drawing>
      </w:r>
    </w:p>
    <w:p w:rsidR="00B1320E" w:rsidRPr="00B1320E"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B1320E">
        <w:rPr>
          <w:rFonts w:ascii="Times New Roman" w:eastAsia="Times New Roman" w:hAnsi="Times New Roman" w:cs="Times New Roman"/>
          <w:sz w:val="24"/>
          <w:szCs w:val="24"/>
          <w:lang w:bidi="hi-IN"/>
        </w:rPr>
        <w:t xml:space="preserve">As illustrated in </w:t>
      </w:r>
      <w:r w:rsidRPr="00D36BD2">
        <w:rPr>
          <w:rFonts w:ascii="Times New Roman" w:eastAsia="Times New Roman" w:hAnsi="Times New Roman" w:cs="Times New Roman"/>
          <w:i/>
          <w:iCs/>
          <w:sz w:val="24"/>
          <w:szCs w:val="24"/>
          <w:lang w:bidi="hi-IN"/>
        </w:rPr>
        <w:t>Figure: Hybrid V–K Growth Model of the Indian Economy (1500–2025)</w:t>
      </w:r>
      <w:r w:rsidRPr="00B1320E">
        <w:rPr>
          <w:rFonts w:ascii="Times New Roman" w:eastAsia="Times New Roman" w:hAnsi="Times New Roman" w:cs="Times New Roman"/>
          <w:sz w:val="24"/>
          <w:szCs w:val="24"/>
          <w:lang w:bidi="hi-IN"/>
        </w:rPr>
        <w:t>, India’s long-term economic trajectory follows a pronounced V-shaped pattern, marked by a sustained decline from the pre-colonial period through colonial rule and a gradual recovery after Independence. The overall economic index falls sharply between 1700 and 1900, reflecting deindustrialization, extraction-driven colonial policies, and the weakening of indigenous production systems. Post-1950, the aggregate trend shows recovery; however, this recovery is uneven across sectors.</w:t>
      </w:r>
    </w:p>
    <w:p w:rsidR="00B1320E" w:rsidRPr="00B1320E"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B1320E">
        <w:rPr>
          <w:rFonts w:ascii="Times New Roman" w:eastAsia="Times New Roman" w:hAnsi="Times New Roman" w:cs="Times New Roman"/>
          <w:sz w:val="24"/>
          <w:szCs w:val="24"/>
          <w:lang w:bidi="hi-IN"/>
        </w:rPr>
        <w:t xml:space="preserve">The post-1991 period reveals a distinct </w:t>
      </w:r>
      <w:r w:rsidRPr="00D36BD2">
        <w:rPr>
          <w:rFonts w:ascii="Times New Roman" w:eastAsia="Times New Roman" w:hAnsi="Times New Roman" w:cs="Times New Roman"/>
          <w:b/>
          <w:bCs/>
          <w:sz w:val="24"/>
          <w:szCs w:val="24"/>
          <w:lang w:bidi="hi-IN"/>
        </w:rPr>
        <w:t>K-shaped growth pattern</w:t>
      </w:r>
      <w:r w:rsidRPr="00B1320E">
        <w:rPr>
          <w:rFonts w:ascii="Times New Roman" w:eastAsia="Times New Roman" w:hAnsi="Times New Roman" w:cs="Times New Roman"/>
          <w:sz w:val="24"/>
          <w:szCs w:val="24"/>
          <w:lang w:bidi="hi-IN"/>
        </w:rPr>
        <w:t xml:space="preserve">, where economic gains are disproportionately concentrated in elite and high-skill sectors, while broad-based and informal sectors experience comparatively modest growth. As shown in the graph, the elite/high-skill sector exhibits a steep rise after 2000, significantly outpacing both the overall economy and the informal </w:t>
      </w:r>
      <w:r w:rsidRPr="00B1320E">
        <w:rPr>
          <w:rFonts w:ascii="Times New Roman" w:eastAsia="Times New Roman" w:hAnsi="Times New Roman" w:cs="Times New Roman"/>
          <w:sz w:val="24"/>
          <w:szCs w:val="24"/>
          <w:lang w:bidi="hi-IN"/>
        </w:rPr>
        <w:lastRenderedPageBreak/>
        <w:t xml:space="preserve">sector. In contrast, the broad-based and informal sector—representing traditional occupations, agriculture, and </w:t>
      </w:r>
      <w:proofErr w:type="spellStart"/>
      <w:r w:rsidRPr="00B1320E">
        <w:rPr>
          <w:rFonts w:ascii="Times New Roman" w:eastAsia="Times New Roman" w:hAnsi="Times New Roman" w:cs="Times New Roman"/>
          <w:sz w:val="24"/>
          <w:szCs w:val="24"/>
          <w:lang w:bidi="hi-IN"/>
        </w:rPr>
        <w:t>unorganised</w:t>
      </w:r>
      <w:proofErr w:type="spellEnd"/>
      <w:r w:rsidRPr="00B1320E">
        <w:rPr>
          <w:rFonts w:ascii="Times New Roman" w:eastAsia="Times New Roman" w:hAnsi="Times New Roman" w:cs="Times New Roman"/>
          <w:sz w:val="24"/>
          <w:szCs w:val="24"/>
          <w:lang w:bidi="hi-IN"/>
        </w:rPr>
        <w:t xml:space="preserve"> labor—shows only gradual improvement.</w:t>
      </w:r>
    </w:p>
    <w:p w:rsidR="00B1320E" w:rsidRPr="00B1320E"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B1320E">
        <w:rPr>
          <w:rFonts w:ascii="Times New Roman" w:eastAsia="Times New Roman" w:hAnsi="Times New Roman" w:cs="Times New Roman"/>
          <w:sz w:val="24"/>
          <w:szCs w:val="24"/>
          <w:lang w:bidi="hi-IN"/>
        </w:rPr>
        <w:t xml:space="preserve">This divergence aligns with contemporary wealth distribution patterns in India, where </w:t>
      </w:r>
      <w:r w:rsidRPr="00D36BD2">
        <w:rPr>
          <w:rFonts w:ascii="Times New Roman" w:eastAsia="Times New Roman" w:hAnsi="Times New Roman" w:cs="Times New Roman"/>
          <w:b/>
          <w:bCs/>
          <w:sz w:val="24"/>
          <w:szCs w:val="24"/>
          <w:lang w:bidi="hi-IN"/>
        </w:rPr>
        <w:t>approximately 10 percent of the population holds a disproportionately large share of total national wealth</w:t>
      </w:r>
      <w:r w:rsidRPr="00B1320E">
        <w:rPr>
          <w:rFonts w:ascii="Times New Roman" w:eastAsia="Times New Roman" w:hAnsi="Times New Roman" w:cs="Times New Roman"/>
          <w:sz w:val="24"/>
          <w:szCs w:val="24"/>
          <w:lang w:bidi="hi-IN"/>
        </w:rPr>
        <w:t xml:space="preserve">, while the remaining </w:t>
      </w:r>
      <w:r w:rsidRPr="00D36BD2">
        <w:rPr>
          <w:rFonts w:ascii="Times New Roman" w:eastAsia="Times New Roman" w:hAnsi="Times New Roman" w:cs="Times New Roman"/>
          <w:b/>
          <w:bCs/>
          <w:sz w:val="24"/>
          <w:szCs w:val="24"/>
          <w:lang w:bidi="hi-IN"/>
        </w:rPr>
        <w:t xml:space="preserve">90 percent—largely engaged in </w:t>
      </w:r>
      <w:proofErr w:type="spellStart"/>
      <w:r w:rsidRPr="00D36BD2">
        <w:rPr>
          <w:rFonts w:ascii="Times New Roman" w:eastAsia="Times New Roman" w:hAnsi="Times New Roman" w:cs="Times New Roman"/>
          <w:b/>
          <w:bCs/>
          <w:sz w:val="24"/>
          <w:szCs w:val="24"/>
          <w:lang w:bidi="hi-IN"/>
        </w:rPr>
        <w:t>unorganised</w:t>
      </w:r>
      <w:proofErr w:type="spellEnd"/>
      <w:r w:rsidRPr="00D36BD2">
        <w:rPr>
          <w:rFonts w:ascii="Times New Roman" w:eastAsia="Times New Roman" w:hAnsi="Times New Roman" w:cs="Times New Roman"/>
          <w:b/>
          <w:bCs/>
          <w:sz w:val="24"/>
          <w:szCs w:val="24"/>
          <w:lang w:bidi="hi-IN"/>
        </w:rPr>
        <w:t>, informal, and traditional forms of employment—controls a minimal share of economic resources</w:t>
      </w:r>
      <w:r w:rsidRPr="00B1320E">
        <w:rPr>
          <w:rFonts w:ascii="Times New Roman" w:eastAsia="Times New Roman" w:hAnsi="Times New Roman" w:cs="Times New Roman"/>
          <w:sz w:val="24"/>
          <w:szCs w:val="24"/>
          <w:lang w:bidi="hi-IN"/>
        </w:rPr>
        <w:t>. The graph visually reinforces this structural imbalance: while the aggregate economy appears to recover, the benefits accrue primarily to a narrow segment of the population integrated into capital-intensive, high-productivity sectors.</w:t>
      </w:r>
    </w:p>
    <w:p w:rsidR="00B1320E" w:rsidRPr="00B1320E" w:rsidRDefault="00B1320E"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B1320E">
        <w:rPr>
          <w:rFonts w:ascii="Times New Roman" w:eastAsia="Times New Roman" w:hAnsi="Times New Roman" w:cs="Times New Roman"/>
          <w:sz w:val="24"/>
          <w:szCs w:val="24"/>
          <w:lang w:bidi="hi-IN"/>
        </w:rPr>
        <w:t xml:space="preserve">Thus, the Hybrid V–K Growth Model demonstrates that India’s post-independence economic resurgence is not uniformly inclusive. Instead, it reflects </w:t>
      </w:r>
      <w:r w:rsidRPr="00D36BD2">
        <w:rPr>
          <w:rFonts w:ascii="Times New Roman" w:eastAsia="Times New Roman" w:hAnsi="Times New Roman" w:cs="Times New Roman"/>
          <w:b/>
          <w:bCs/>
          <w:sz w:val="24"/>
          <w:szCs w:val="24"/>
          <w:lang w:bidi="hi-IN"/>
        </w:rPr>
        <w:t>elite-driven accumulation alongside persistent stagnation among traditional and informal workers</w:t>
      </w:r>
      <w:r w:rsidRPr="00B1320E">
        <w:rPr>
          <w:rFonts w:ascii="Times New Roman" w:eastAsia="Times New Roman" w:hAnsi="Times New Roman" w:cs="Times New Roman"/>
          <w:sz w:val="24"/>
          <w:szCs w:val="24"/>
          <w:lang w:bidi="hi-IN"/>
        </w:rPr>
        <w:t>, suggesting that headline growth indicators mask deep-seated inequality. The K-shaped divergence after liberalization underscores the need to interpret economic growth not merely in terms of aggregate recovery, but through its distributional consequences across population groups and sectors.</w:t>
      </w:r>
    </w:p>
    <w:p w:rsidR="007A1A16" w:rsidRPr="00D36BD2" w:rsidRDefault="007A1A16" w:rsidP="00057A9E">
      <w:pPr>
        <w:jc w:val="center"/>
        <w:rPr>
          <w:rFonts w:ascii="Times New Roman" w:hAnsi="Times New Roman" w:cs="Times New Roman"/>
          <w:sz w:val="24"/>
          <w:szCs w:val="24"/>
        </w:rPr>
      </w:pPr>
      <w:r w:rsidRPr="00D36BD2">
        <w:rPr>
          <w:rFonts w:ascii="Times New Roman" w:hAnsi="Times New Roman" w:cs="Times New Roman"/>
          <w:noProof/>
          <w:sz w:val="24"/>
          <w:szCs w:val="24"/>
          <w:lang w:bidi="hi-IN"/>
        </w:rPr>
        <w:drawing>
          <wp:inline distT="0" distB="0" distL="0" distR="0" wp14:anchorId="5D5C8C9B" wp14:editId="007A3B49">
            <wp:extent cx="5494638" cy="30508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4090" cy="3056064"/>
                    </a:xfrm>
                    <a:prstGeom prst="rect">
                      <a:avLst/>
                    </a:prstGeom>
                  </pic:spPr>
                </pic:pic>
              </a:graphicData>
            </a:graphic>
          </wp:inline>
        </w:drawing>
      </w:r>
    </w:p>
    <w:p w:rsidR="007A1A16" w:rsidRPr="00D36BD2" w:rsidRDefault="007A1A16" w:rsidP="00D36BD2">
      <w:pPr>
        <w:jc w:val="both"/>
        <w:rPr>
          <w:rFonts w:ascii="Times New Roman" w:hAnsi="Times New Roman" w:cs="Times New Roman"/>
          <w:sz w:val="24"/>
          <w:szCs w:val="24"/>
        </w:rPr>
      </w:pPr>
    </w:p>
    <w:p w:rsidR="00057A9E" w:rsidRDefault="00057A9E"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057A9E" w:rsidRDefault="00057A9E"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057A9E" w:rsidRDefault="00057A9E"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057A9E" w:rsidRDefault="00057A9E"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lastRenderedPageBreak/>
        <w:t>6. Discussion: The Implications of Divergence</w:t>
      </w:r>
    </w:p>
    <w:p w:rsidR="00D6093B" w:rsidRPr="00D36BD2" w:rsidRDefault="00D6093B" w:rsidP="00057A9E">
      <w:pPr>
        <w:spacing w:before="100" w:beforeAutospacing="1" w:after="100" w:afterAutospacing="1" w:line="240" w:lineRule="auto"/>
        <w:jc w:val="center"/>
        <w:rPr>
          <w:rFonts w:ascii="Times New Roman" w:eastAsia="Times New Roman" w:hAnsi="Times New Roman" w:cs="Times New Roman"/>
          <w:sz w:val="24"/>
          <w:szCs w:val="24"/>
          <w:lang w:bidi="hi-IN"/>
        </w:rPr>
      </w:pPr>
      <w:r w:rsidRPr="00D36BD2">
        <w:rPr>
          <w:rFonts w:ascii="Times New Roman" w:hAnsi="Times New Roman" w:cs="Times New Roman"/>
          <w:noProof/>
          <w:sz w:val="24"/>
          <w:szCs w:val="24"/>
          <w:lang w:bidi="hi-IN"/>
        </w:rPr>
        <w:drawing>
          <wp:inline distT="0" distB="0" distL="0" distR="0" wp14:anchorId="6FC97098" wp14:editId="2C2A3269">
            <wp:extent cx="5725297" cy="36016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0241" cy="3604808"/>
                    </a:xfrm>
                    <a:prstGeom prst="rect">
                      <a:avLst/>
                    </a:prstGeom>
                  </pic:spPr>
                </pic:pic>
              </a:graphicData>
            </a:graphic>
          </wp:inline>
        </w:drawing>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The K-shaped divergence is not merely an economic statistic; it has profound social and political implications.</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Constrained Domestic Demand: A large population with low purchasing power limits the growth of the domestic consumer market, making the economy overly reliant on investment and exports. Social and Political Instability: High levels of perceived inequality can fuel social unrest, political polarization, and demand for populist, short-term solutions over long-term strategic planning. Human Capital Underutilization: The vast potential of millions of citizens in the lower arm of the 'K' remains untapped, representing a colossal loss of national productivity and innovation. Fragility: The economy becomes vulnerable to shocks. While the upper arm may be globally integrated and resilient, the lower arm is not, as seen during the migrant crisis and economic distress of the COVID-19 lockdown.</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7. Policy Recommendations: Merging the Arms of the 'K'</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For India to fulfill its potential, the focus must shift from aggregate GDP growth to inclusive, equitable growth. The goal is to implement policies that lift the lower arm of the 'K', strengthening it and gradually merging it with the upper arm into a single, unified upward trajectory.</w:t>
      </w:r>
    </w:p>
    <w:p w:rsidR="007A1A16" w:rsidRPr="00D36BD2"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Revitalize and Re-</w:t>
      </w:r>
      <w:proofErr w:type="gramStart"/>
      <w:r w:rsidRPr="00D36BD2">
        <w:rPr>
          <w:rFonts w:ascii="Times New Roman" w:eastAsia="Times New Roman" w:hAnsi="Times New Roman" w:cs="Times New Roman"/>
          <w:sz w:val="24"/>
          <w:szCs w:val="24"/>
          <w:lang w:bidi="hi-IN"/>
        </w:rPr>
        <w:t>structure</w:t>
      </w:r>
      <w:proofErr w:type="gramEnd"/>
      <w:r w:rsidRPr="00D36BD2">
        <w:rPr>
          <w:rFonts w:ascii="Times New Roman" w:eastAsia="Times New Roman" w:hAnsi="Times New Roman" w:cs="Times New Roman"/>
          <w:sz w:val="24"/>
          <w:szCs w:val="24"/>
          <w:lang w:bidi="hi-IN"/>
        </w:rPr>
        <w:t xml:space="preserve"> Agriculture: Beyond Subsidies: Shift from input subsidies to investment in infrastructure—cold storage, rural roads, and last-mile connectivity. Promote Food Processing: Develop clusters of food processing industries near agricultural zones to create non-farm rural employment, reduce post-harvest losses, and increase farmer </w:t>
      </w:r>
      <w:r w:rsidRPr="00D36BD2">
        <w:rPr>
          <w:rFonts w:ascii="Times New Roman" w:eastAsia="Times New Roman" w:hAnsi="Times New Roman" w:cs="Times New Roman"/>
          <w:sz w:val="24"/>
          <w:szCs w:val="24"/>
          <w:lang w:bidi="hi-IN"/>
        </w:rPr>
        <w:lastRenderedPageBreak/>
        <w:t>incomes. Crop Diversification: Incentivize farmers to move beyond water-intensive crops to high-value horticulture, pulses, and oilseeds, aligned with market demand and climate resilience.</w:t>
      </w:r>
    </w:p>
    <w:p w:rsidR="007A1A16" w:rsidRPr="00D36BD2"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Create a Mass-Scale, Labor-Intensive Manufacturing Boom: Learn from China's and Vietnam's Playbooks: India has missed the boat on export-oriented manufacturing. It's not too late. Focus on sectors where India has a natural advantage: textiles, pharmaceuticals, electronics assembly, and green energy components. MSME Support: Provide easier access to credit, technology upgradation funds, and simplify compliance for MSMEs, which are the largest employers. Labor Law Reform: Balance worker protections with the need for flexibility for firms to hire and scale. A more flexible labor market is crucial for attracting large-scale manufacturing investment.</w:t>
      </w:r>
    </w:p>
    <w:p w:rsidR="007A1A16" w:rsidRPr="00D36BD2"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Invest Aggressively in Human Capital for the Bottom 50%: Health: Increase public spending on primary healthcare to over 2.5% of GDP. A healthy population is a productive population. Focus on nutrition and sanitation. Education: Move beyond enrollment numbers to improve learning outcomes. Revamp the curriculum to emphasize vocational skills, digital literacy, and critical thinking from the secondary level onwards. Skill Development: Create a robust ecosystem for vocational training that is directly linked to the needs of local industries, ensuring employability.</w:t>
      </w:r>
    </w:p>
    <w:p w:rsidR="007A1A16" w:rsidRPr="00D36BD2" w:rsidRDefault="007A1A16" w:rsidP="00D36BD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Strengthen the Social Safety Net: Formalize the Informal Sector: Provide incentives for informal businesses to transition to the formal sector, granting workers access to social security (pension, health insurance). Expand MGNREGA: Strengthen and expand the Mahatma Gandhi National Rural Employment Guarantee Act, focusing on creating durable rural assets. Universal Basic Services: Work towards providing universal access to high-quality education, healthcare, water, and sanitation, which reduces vulnerability and empowers citizens to take economic risks.</w:t>
      </w: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t>8. Conclusion</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The Hybrid V and K-Shaped model offers a powerful and nuanced lens for viewing India's economic history. The 'V' successfully maps the reclamation of national sovereignty and the macroeconomic reversal of colonial decline. It is a story of resilience and recovery. However, the 'K' serves as a critical warning for the future. It reveals that the recovery is not yet inclusive.</w:t>
      </w:r>
    </w:p>
    <w:p w:rsidR="007A1A16" w:rsidRPr="00D36BD2" w:rsidRDefault="007A1A16" w:rsidP="00D36BD2">
      <w:p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While the aggregate numbers for 2025—high GDP growth, a $5 trillion economy, and enhanced geopolitical power—suggest a completed V-shaped recovery, the internal K-shaped divergence indicates that this prosperity is not yet shared by all. The challenge for India's policymakers is to recognize that the two arms of the 'K' are not independent; the long-term sustainability of the upper arm is fundamentally dependent on the strength of the lower one. A nation cannot truly prosper when a significant fraction of its citizens are left behind. Merging the arms of the 'K' through deliberate, focused, and sustained policy action is the defining economic and moral imperative for India in the decades to come.</w:t>
      </w:r>
    </w:p>
    <w:p w:rsidR="00BC7CB5" w:rsidRPr="00D36BD2" w:rsidRDefault="00BC7CB5" w:rsidP="00D36BD2">
      <w:pPr>
        <w:spacing w:before="100" w:beforeAutospacing="1" w:after="100" w:afterAutospacing="1" w:line="240" w:lineRule="auto"/>
        <w:jc w:val="both"/>
        <w:rPr>
          <w:rFonts w:ascii="Times New Roman" w:eastAsia="Times New Roman" w:hAnsi="Times New Roman" w:cs="Times New Roman"/>
          <w:sz w:val="24"/>
          <w:szCs w:val="24"/>
          <w:lang w:bidi="hi-IN"/>
        </w:rPr>
      </w:pPr>
    </w:p>
    <w:p w:rsidR="00057A9E" w:rsidRDefault="00057A9E"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p>
    <w:p w:rsidR="007A1A16" w:rsidRPr="00D36BD2" w:rsidRDefault="007A1A16" w:rsidP="00D36BD2">
      <w:pPr>
        <w:spacing w:before="100" w:beforeAutospacing="1" w:after="100" w:afterAutospacing="1" w:line="240" w:lineRule="auto"/>
        <w:jc w:val="both"/>
        <w:outlineLvl w:val="1"/>
        <w:rPr>
          <w:rFonts w:ascii="Times New Roman" w:eastAsia="Times New Roman" w:hAnsi="Times New Roman" w:cs="Times New Roman"/>
          <w:b/>
          <w:bCs/>
          <w:sz w:val="24"/>
          <w:szCs w:val="24"/>
          <w:lang w:bidi="hi-IN"/>
        </w:rPr>
      </w:pPr>
      <w:r w:rsidRPr="00D36BD2">
        <w:rPr>
          <w:rFonts w:ascii="Times New Roman" w:eastAsia="Times New Roman" w:hAnsi="Times New Roman" w:cs="Times New Roman"/>
          <w:b/>
          <w:bCs/>
          <w:sz w:val="24"/>
          <w:szCs w:val="24"/>
          <w:lang w:bidi="hi-IN"/>
        </w:rPr>
        <w:lastRenderedPageBreak/>
        <w:t>9. References</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Maddison Project Database, version 2020. (2020). University of Groningen.</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 xml:space="preserve">Ministry of Statistics and </w:t>
      </w:r>
      <w:proofErr w:type="spellStart"/>
      <w:r w:rsidRPr="00D36BD2">
        <w:rPr>
          <w:rFonts w:ascii="Times New Roman" w:eastAsia="Times New Roman" w:hAnsi="Times New Roman" w:cs="Times New Roman"/>
          <w:sz w:val="24"/>
          <w:szCs w:val="24"/>
          <w:lang w:bidi="hi-IN"/>
        </w:rPr>
        <w:t>Programme</w:t>
      </w:r>
      <w:proofErr w:type="spellEnd"/>
      <w:r w:rsidRPr="00D36BD2">
        <w:rPr>
          <w:rFonts w:ascii="Times New Roman" w:eastAsia="Times New Roman" w:hAnsi="Times New Roman" w:cs="Times New Roman"/>
          <w:sz w:val="24"/>
          <w:szCs w:val="24"/>
          <w:lang w:bidi="hi-IN"/>
        </w:rPr>
        <w:t xml:space="preserve"> Implementation (</w:t>
      </w:r>
      <w:proofErr w:type="spellStart"/>
      <w:r w:rsidRPr="00D36BD2">
        <w:rPr>
          <w:rFonts w:ascii="Times New Roman" w:eastAsia="Times New Roman" w:hAnsi="Times New Roman" w:cs="Times New Roman"/>
          <w:sz w:val="24"/>
          <w:szCs w:val="24"/>
          <w:lang w:bidi="hi-IN"/>
        </w:rPr>
        <w:t>MoSPI</w:t>
      </w:r>
      <w:proofErr w:type="spellEnd"/>
      <w:r w:rsidRPr="00D36BD2">
        <w:rPr>
          <w:rFonts w:ascii="Times New Roman" w:eastAsia="Times New Roman" w:hAnsi="Times New Roman" w:cs="Times New Roman"/>
          <w:sz w:val="24"/>
          <w:szCs w:val="24"/>
          <w:lang w:bidi="hi-IN"/>
        </w:rPr>
        <w:t>). (2024). National Accounts Statistics. Government of India.</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D36BD2">
        <w:rPr>
          <w:rFonts w:ascii="Times New Roman" w:eastAsia="Times New Roman" w:hAnsi="Times New Roman" w:cs="Times New Roman"/>
          <w:sz w:val="24"/>
          <w:szCs w:val="24"/>
          <w:lang w:bidi="hi-IN"/>
        </w:rPr>
        <w:t>Papanastasiou</w:t>
      </w:r>
      <w:proofErr w:type="spellEnd"/>
      <w:r w:rsidRPr="00D36BD2">
        <w:rPr>
          <w:rFonts w:ascii="Times New Roman" w:eastAsia="Times New Roman" w:hAnsi="Times New Roman" w:cs="Times New Roman"/>
          <w:sz w:val="24"/>
          <w:szCs w:val="24"/>
          <w:lang w:bidi="hi-IN"/>
        </w:rPr>
        <w:t>, D. (2021). K-Shaped Recoveries. International Monetary Fund (IMF) Blog.</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Roy, T. (2000). The Economic History of India 1857-1947. Oxford University Press.</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World Bank Open Data. (2024). World Bank Group.</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World Inequality Database (WID). (2024). Income and Wealth Inequality in India, 1922-2023.</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Krishnan, R. (1978). "The Growth Rate of the Indian Economy". In Indian Economic Review.</w:t>
      </w:r>
    </w:p>
    <w:p w:rsidR="007A1A16" w:rsidRPr="00D36BD2" w:rsidRDefault="007A1A16" w:rsidP="00D36BD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D36BD2">
        <w:rPr>
          <w:rFonts w:ascii="Times New Roman" w:eastAsia="Times New Roman" w:hAnsi="Times New Roman" w:cs="Times New Roman"/>
          <w:sz w:val="24"/>
          <w:szCs w:val="24"/>
          <w:lang w:bidi="hi-IN"/>
        </w:rPr>
        <w:t>Panagariya</w:t>
      </w:r>
      <w:proofErr w:type="spellEnd"/>
      <w:r w:rsidRPr="00D36BD2">
        <w:rPr>
          <w:rFonts w:ascii="Times New Roman" w:eastAsia="Times New Roman" w:hAnsi="Times New Roman" w:cs="Times New Roman"/>
          <w:sz w:val="24"/>
          <w:szCs w:val="24"/>
          <w:lang w:bidi="hi-IN"/>
        </w:rPr>
        <w:t>, A. (2008). India: The Emerging Giant. Oxford University Press.</w:t>
      </w:r>
    </w:p>
    <w:p w:rsidR="00C54978" w:rsidRDefault="007A1A16"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D36BD2">
        <w:rPr>
          <w:rFonts w:ascii="Times New Roman" w:eastAsia="Times New Roman" w:hAnsi="Times New Roman" w:cs="Times New Roman"/>
          <w:sz w:val="24"/>
          <w:szCs w:val="24"/>
          <w:lang w:bidi="hi-IN"/>
        </w:rPr>
        <w:t>International Monetary Fund (IMF). (2025). World Economic Outlook Database.</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Banerjee, A. V., &amp; </w:t>
      </w:r>
      <w:proofErr w:type="spellStart"/>
      <w:r w:rsidRPr="00C54978">
        <w:rPr>
          <w:rFonts w:ascii="Times New Roman" w:eastAsia="Times New Roman" w:hAnsi="Times New Roman" w:cs="Times New Roman"/>
          <w:sz w:val="24"/>
          <w:szCs w:val="24"/>
          <w:lang w:bidi="hi-IN"/>
        </w:rPr>
        <w:t>Duflo</w:t>
      </w:r>
      <w:proofErr w:type="spellEnd"/>
      <w:r w:rsidRPr="00C54978">
        <w:rPr>
          <w:rFonts w:ascii="Times New Roman" w:eastAsia="Times New Roman" w:hAnsi="Times New Roman" w:cs="Times New Roman"/>
          <w:sz w:val="24"/>
          <w:szCs w:val="24"/>
          <w:lang w:bidi="hi-IN"/>
        </w:rPr>
        <w:t xml:space="preserve">, E. (2019). </w:t>
      </w:r>
      <w:r w:rsidRPr="00C54978">
        <w:rPr>
          <w:rFonts w:ascii="Times New Roman" w:eastAsia="Times New Roman" w:hAnsi="Times New Roman" w:cs="Times New Roman"/>
          <w:i/>
          <w:iCs/>
          <w:sz w:val="24"/>
          <w:szCs w:val="24"/>
          <w:lang w:bidi="hi-IN"/>
        </w:rPr>
        <w:t>Good economics for hard times</w:t>
      </w:r>
      <w:r w:rsidRPr="00C54978">
        <w:rPr>
          <w:rFonts w:ascii="Times New Roman" w:eastAsia="Times New Roman" w:hAnsi="Times New Roman" w:cs="Times New Roman"/>
          <w:sz w:val="24"/>
          <w:szCs w:val="24"/>
          <w:lang w:bidi="hi-IN"/>
        </w:rPr>
        <w:t xml:space="preserve">. </w:t>
      </w:r>
      <w:proofErr w:type="spellStart"/>
      <w:r w:rsidRPr="00C54978">
        <w:rPr>
          <w:rFonts w:ascii="Times New Roman" w:eastAsia="Times New Roman" w:hAnsi="Times New Roman" w:cs="Times New Roman"/>
          <w:sz w:val="24"/>
          <w:szCs w:val="24"/>
          <w:lang w:bidi="hi-IN"/>
        </w:rPr>
        <w:t>PublicAffairs</w:t>
      </w:r>
      <w:proofErr w:type="spellEnd"/>
      <w:r w:rsidRPr="00C54978">
        <w:rPr>
          <w:rFonts w:ascii="Times New Roman" w:eastAsia="Times New Roman" w:hAnsi="Times New Roman" w:cs="Times New Roman"/>
          <w:sz w:val="24"/>
          <w:szCs w:val="24"/>
          <w:lang w:bidi="hi-IN"/>
        </w:rPr>
        <w:t>.</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C54978">
        <w:rPr>
          <w:rFonts w:ascii="Times New Roman" w:eastAsia="Times New Roman" w:hAnsi="Times New Roman" w:cs="Times New Roman"/>
          <w:sz w:val="24"/>
          <w:szCs w:val="24"/>
          <w:lang w:bidi="hi-IN"/>
        </w:rPr>
        <w:t>Basu</w:t>
      </w:r>
      <w:proofErr w:type="spellEnd"/>
      <w:r w:rsidRPr="00C54978">
        <w:rPr>
          <w:rFonts w:ascii="Times New Roman" w:eastAsia="Times New Roman" w:hAnsi="Times New Roman" w:cs="Times New Roman"/>
          <w:sz w:val="24"/>
          <w:szCs w:val="24"/>
          <w:lang w:bidi="hi-IN"/>
        </w:rPr>
        <w:t xml:space="preserve">, K. (2010). </w:t>
      </w:r>
      <w:r w:rsidRPr="00C54978">
        <w:rPr>
          <w:rFonts w:ascii="Times New Roman" w:eastAsia="Times New Roman" w:hAnsi="Times New Roman" w:cs="Times New Roman"/>
          <w:i/>
          <w:iCs/>
          <w:sz w:val="24"/>
          <w:szCs w:val="24"/>
          <w:lang w:bidi="hi-IN"/>
        </w:rPr>
        <w:t>Beyond the invisible hand: Groundwork for a new economics</w:t>
      </w:r>
      <w:r w:rsidRPr="00C54978">
        <w:rPr>
          <w:rFonts w:ascii="Times New Roman" w:eastAsia="Times New Roman" w:hAnsi="Times New Roman" w:cs="Times New Roman"/>
          <w:sz w:val="24"/>
          <w:szCs w:val="24"/>
          <w:lang w:bidi="hi-IN"/>
        </w:rPr>
        <w:t>. Princeton University Press.</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C54978">
        <w:rPr>
          <w:rFonts w:ascii="Times New Roman" w:eastAsia="Times New Roman" w:hAnsi="Times New Roman" w:cs="Times New Roman"/>
          <w:sz w:val="24"/>
          <w:szCs w:val="24"/>
          <w:lang w:bidi="hi-IN"/>
        </w:rPr>
        <w:t>Broadberry</w:t>
      </w:r>
      <w:proofErr w:type="spellEnd"/>
      <w:r w:rsidRPr="00C54978">
        <w:rPr>
          <w:rFonts w:ascii="Times New Roman" w:eastAsia="Times New Roman" w:hAnsi="Times New Roman" w:cs="Times New Roman"/>
          <w:sz w:val="24"/>
          <w:szCs w:val="24"/>
          <w:lang w:bidi="hi-IN"/>
        </w:rPr>
        <w:t xml:space="preserve">, S., </w:t>
      </w:r>
      <w:proofErr w:type="spellStart"/>
      <w:r w:rsidRPr="00C54978">
        <w:rPr>
          <w:rFonts w:ascii="Times New Roman" w:eastAsia="Times New Roman" w:hAnsi="Times New Roman" w:cs="Times New Roman"/>
          <w:sz w:val="24"/>
          <w:szCs w:val="24"/>
          <w:lang w:bidi="hi-IN"/>
        </w:rPr>
        <w:t>Custodis</w:t>
      </w:r>
      <w:proofErr w:type="spellEnd"/>
      <w:r w:rsidRPr="00C54978">
        <w:rPr>
          <w:rFonts w:ascii="Times New Roman" w:eastAsia="Times New Roman" w:hAnsi="Times New Roman" w:cs="Times New Roman"/>
          <w:sz w:val="24"/>
          <w:szCs w:val="24"/>
          <w:lang w:bidi="hi-IN"/>
        </w:rPr>
        <w:t xml:space="preserve">, J., &amp; Gupta, B. (2015). India and the great divergence: An Anglo-Indian comparison of GDP per capita, 1600–1871. </w:t>
      </w:r>
      <w:r w:rsidRPr="00C54978">
        <w:rPr>
          <w:rFonts w:ascii="Times New Roman" w:eastAsia="Times New Roman" w:hAnsi="Times New Roman" w:cs="Times New Roman"/>
          <w:i/>
          <w:iCs/>
          <w:sz w:val="24"/>
          <w:szCs w:val="24"/>
          <w:lang w:bidi="hi-IN"/>
        </w:rPr>
        <w:t>Explorations in Economic History, 55</w:t>
      </w:r>
      <w:r w:rsidRPr="00C54978">
        <w:rPr>
          <w:rFonts w:ascii="Times New Roman" w:eastAsia="Times New Roman" w:hAnsi="Times New Roman" w:cs="Times New Roman"/>
          <w:sz w:val="24"/>
          <w:szCs w:val="24"/>
          <w:lang w:bidi="hi-IN"/>
        </w:rPr>
        <w:t xml:space="preserve">, 58–75. </w:t>
      </w:r>
      <w:hyperlink r:id="rId12" w:history="1">
        <w:r w:rsidRPr="00ED0238">
          <w:rPr>
            <w:rStyle w:val="Hyperlink"/>
            <w:rFonts w:ascii="Times New Roman" w:eastAsia="Times New Roman" w:hAnsi="Times New Roman" w:cs="Times New Roman"/>
            <w:sz w:val="24"/>
            <w:szCs w:val="24"/>
            <w:lang w:bidi="hi-IN"/>
          </w:rPr>
          <w:t>https://doi.org/10.1016/j.eeh.2014.04.003</w:t>
        </w:r>
      </w:hyperlink>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Chancel, L., &amp; Piketty, T. (2019). Indian income inequality, 1922–2015: From British Raj to Billionaire Raj? </w:t>
      </w:r>
      <w:r w:rsidRPr="00C54978">
        <w:rPr>
          <w:rFonts w:ascii="Times New Roman" w:eastAsia="Times New Roman" w:hAnsi="Times New Roman" w:cs="Times New Roman"/>
          <w:i/>
          <w:iCs/>
          <w:sz w:val="24"/>
          <w:szCs w:val="24"/>
          <w:lang w:bidi="hi-IN"/>
        </w:rPr>
        <w:t>Review of Income and Wealth, 65</w:t>
      </w:r>
      <w:r w:rsidRPr="00C54978">
        <w:rPr>
          <w:rFonts w:ascii="Times New Roman" w:eastAsia="Times New Roman" w:hAnsi="Times New Roman" w:cs="Times New Roman"/>
          <w:sz w:val="24"/>
          <w:szCs w:val="24"/>
          <w:lang w:bidi="hi-IN"/>
        </w:rPr>
        <w:t xml:space="preserve">(S1), S33–S62. </w:t>
      </w:r>
      <w:hyperlink r:id="rId13" w:history="1">
        <w:r w:rsidRPr="00ED0238">
          <w:rPr>
            <w:rStyle w:val="Hyperlink"/>
            <w:rFonts w:ascii="Times New Roman" w:eastAsia="Times New Roman" w:hAnsi="Times New Roman" w:cs="Times New Roman"/>
            <w:sz w:val="24"/>
            <w:szCs w:val="24"/>
            <w:lang w:bidi="hi-IN"/>
          </w:rPr>
          <w:t>https://doi.org/10.1111/roiw.12439</w:t>
        </w:r>
      </w:hyperlink>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Deaton, A., &amp; </w:t>
      </w:r>
      <w:proofErr w:type="spellStart"/>
      <w:r w:rsidRPr="00C54978">
        <w:rPr>
          <w:rFonts w:ascii="Times New Roman" w:eastAsia="Times New Roman" w:hAnsi="Times New Roman" w:cs="Times New Roman"/>
          <w:sz w:val="24"/>
          <w:szCs w:val="24"/>
          <w:lang w:bidi="hi-IN"/>
        </w:rPr>
        <w:t>Drèze</w:t>
      </w:r>
      <w:proofErr w:type="spellEnd"/>
      <w:r w:rsidRPr="00C54978">
        <w:rPr>
          <w:rFonts w:ascii="Times New Roman" w:eastAsia="Times New Roman" w:hAnsi="Times New Roman" w:cs="Times New Roman"/>
          <w:sz w:val="24"/>
          <w:szCs w:val="24"/>
          <w:lang w:bidi="hi-IN"/>
        </w:rPr>
        <w:t xml:space="preserve">, J. (2002). Poverty and inequality in India: A re-examination. </w:t>
      </w:r>
      <w:r w:rsidRPr="00C54978">
        <w:rPr>
          <w:rFonts w:ascii="Times New Roman" w:eastAsia="Times New Roman" w:hAnsi="Times New Roman" w:cs="Times New Roman"/>
          <w:i/>
          <w:iCs/>
          <w:sz w:val="24"/>
          <w:szCs w:val="24"/>
          <w:lang w:bidi="hi-IN"/>
        </w:rPr>
        <w:t>Economic and Political Weekly, 37</w:t>
      </w:r>
      <w:r w:rsidRPr="00C54978">
        <w:rPr>
          <w:rFonts w:ascii="Times New Roman" w:eastAsia="Times New Roman" w:hAnsi="Times New Roman" w:cs="Times New Roman"/>
          <w:sz w:val="24"/>
          <w:szCs w:val="24"/>
          <w:lang w:bidi="hi-IN"/>
        </w:rPr>
        <w:t>(36), 3729–3748.</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Ghosh, J. (2016). The Indian economy since liberalization. </w:t>
      </w:r>
      <w:r w:rsidRPr="00C54978">
        <w:rPr>
          <w:rFonts w:ascii="Times New Roman" w:eastAsia="Times New Roman" w:hAnsi="Times New Roman" w:cs="Times New Roman"/>
          <w:i/>
          <w:iCs/>
          <w:sz w:val="24"/>
          <w:szCs w:val="24"/>
          <w:lang w:bidi="hi-IN"/>
        </w:rPr>
        <w:t>Indian Journal of Human Development, 10</w:t>
      </w:r>
      <w:r w:rsidRPr="00C54978">
        <w:rPr>
          <w:rFonts w:ascii="Times New Roman" w:eastAsia="Times New Roman" w:hAnsi="Times New Roman" w:cs="Times New Roman"/>
          <w:sz w:val="24"/>
          <w:szCs w:val="24"/>
          <w:lang w:bidi="hi-IN"/>
        </w:rPr>
        <w:t xml:space="preserve">(1), 1–24. </w:t>
      </w:r>
      <w:hyperlink r:id="rId14" w:history="1">
        <w:r w:rsidRPr="00ED0238">
          <w:rPr>
            <w:rStyle w:val="Hyperlink"/>
            <w:rFonts w:ascii="Times New Roman" w:eastAsia="Times New Roman" w:hAnsi="Times New Roman" w:cs="Times New Roman"/>
            <w:sz w:val="24"/>
            <w:szCs w:val="24"/>
            <w:lang w:bidi="hi-IN"/>
          </w:rPr>
          <w:t>https://doi.org/10.1177/0973703016648031</w:t>
        </w:r>
      </w:hyperlink>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Government of India. (2023). </w:t>
      </w:r>
      <w:r w:rsidRPr="00C54978">
        <w:rPr>
          <w:rFonts w:ascii="Times New Roman" w:eastAsia="Times New Roman" w:hAnsi="Times New Roman" w:cs="Times New Roman"/>
          <w:i/>
          <w:iCs/>
          <w:sz w:val="24"/>
          <w:szCs w:val="24"/>
          <w:lang w:bidi="hi-IN"/>
        </w:rPr>
        <w:t>Economic survey 2022–23</w:t>
      </w:r>
      <w:r w:rsidRPr="00C54978">
        <w:rPr>
          <w:rFonts w:ascii="Times New Roman" w:eastAsia="Times New Roman" w:hAnsi="Times New Roman" w:cs="Times New Roman"/>
          <w:sz w:val="24"/>
          <w:szCs w:val="24"/>
          <w:lang w:bidi="hi-IN"/>
        </w:rPr>
        <w:t>. Ministry of Finance.</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Harris, J. R., &amp; </w:t>
      </w:r>
      <w:proofErr w:type="spellStart"/>
      <w:r w:rsidRPr="00C54978">
        <w:rPr>
          <w:rFonts w:ascii="Times New Roman" w:eastAsia="Times New Roman" w:hAnsi="Times New Roman" w:cs="Times New Roman"/>
          <w:sz w:val="24"/>
          <w:szCs w:val="24"/>
          <w:lang w:bidi="hi-IN"/>
        </w:rPr>
        <w:t>Todaro</w:t>
      </w:r>
      <w:proofErr w:type="spellEnd"/>
      <w:r w:rsidRPr="00C54978">
        <w:rPr>
          <w:rFonts w:ascii="Times New Roman" w:eastAsia="Times New Roman" w:hAnsi="Times New Roman" w:cs="Times New Roman"/>
          <w:sz w:val="24"/>
          <w:szCs w:val="24"/>
          <w:lang w:bidi="hi-IN"/>
        </w:rPr>
        <w:t xml:space="preserve">, M. P. (1970). Migration, unemployment and development: A two-sector analysis. </w:t>
      </w:r>
      <w:r w:rsidRPr="00C54978">
        <w:rPr>
          <w:rFonts w:ascii="Times New Roman" w:eastAsia="Times New Roman" w:hAnsi="Times New Roman" w:cs="Times New Roman"/>
          <w:i/>
          <w:iCs/>
          <w:sz w:val="24"/>
          <w:szCs w:val="24"/>
          <w:lang w:bidi="hi-IN"/>
        </w:rPr>
        <w:t>American Economic Review, 60</w:t>
      </w:r>
      <w:r w:rsidRPr="00C54978">
        <w:rPr>
          <w:rFonts w:ascii="Times New Roman" w:eastAsia="Times New Roman" w:hAnsi="Times New Roman" w:cs="Times New Roman"/>
          <w:sz w:val="24"/>
          <w:szCs w:val="24"/>
          <w:lang w:bidi="hi-IN"/>
        </w:rPr>
        <w:t>(1), 126–142.</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Joshi, V., &amp; Little, I. M. D. (1996). </w:t>
      </w:r>
      <w:r w:rsidRPr="00C54978">
        <w:rPr>
          <w:rFonts w:ascii="Times New Roman" w:eastAsia="Times New Roman" w:hAnsi="Times New Roman" w:cs="Times New Roman"/>
          <w:i/>
          <w:iCs/>
          <w:sz w:val="24"/>
          <w:szCs w:val="24"/>
          <w:lang w:bidi="hi-IN"/>
        </w:rPr>
        <w:t>India’s economic reforms 1991–2001</w:t>
      </w:r>
      <w:r w:rsidRPr="00C54978">
        <w:rPr>
          <w:rFonts w:ascii="Times New Roman" w:eastAsia="Times New Roman" w:hAnsi="Times New Roman" w:cs="Times New Roman"/>
          <w:sz w:val="24"/>
          <w:szCs w:val="24"/>
          <w:lang w:bidi="hi-IN"/>
        </w:rPr>
        <w:t>. Oxford University Press.</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Kuznets, S. (1955). Economic growth and income inequality. </w:t>
      </w:r>
      <w:r w:rsidRPr="00C54978">
        <w:rPr>
          <w:rFonts w:ascii="Times New Roman" w:eastAsia="Times New Roman" w:hAnsi="Times New Roman" w:cs="Times New Roman"/>
          <w:i/>
          <w:iCs/>
          <w:sz w:val="24"/>
          <w:szCs w:val="24"/>
          <w:lang w:bidi="hi-IN"/>
        </w:rPr>
        <w:t>American Economic Review, 45</w:t>
      </w:r>
      <w:r w:rsidRPr="00C54978">
        <w:rPr>
          <w:rFonts w:ascii="Times New Roman" w:eastAsia="Times New Roman" w:hAnsi="Times New Roman" w:cs="Times New Roman"/>
          <w:sz w:val="24"/>
          <w:szCs w:val="24"/>
          <w:lang w:bidi="hi-IN"/>
        </w:rPr>
        <w:t>(1), 1–28.</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Lewis, W. A. (1954). Economic development with unlimited supplies of </w:t>
      </w:r>
      <w:proofErr w:type="spellStart"/>
      <w:r w:rsidRPr="00C54978">
        <w:rPr>
          <w:rFonts w:ascii="Times New Roman" w:eastAsia="Times New Roman" w:hAnsi="Times New Roman" w:cs="Times New Roman"/>
          <w:sz w:val="24"/>
          <w:szCs w:val="24"/>
          <w:lang w:bidi="hi-IN"/>
        </w:rPr>
        <w:t>labour</w:t>
      </w:r>
      <w:proofErr w:type="spellEnd"/>
      <w:r w:rsidRPr="00C54978">
        <w:rPr>
          <w:rFonts w:ascii="Times New Roman" w:eastAsia="Times New Roman" w:hAnsi="Times New Roman" w:cs="Times New Roman"/>
          <w:sz w:val="24"/>
          <w:szCs w:val="24"/>
          <w:lang w:bidi="hi-IN"/>
        </w:rPr>
        <w:t xml:space="preserve">. </w:t>
      </w:r>
      <w:r w:rsidRPr="00C54978">
        <w:rPr>
          <w:rFonts w:ascii="Times New Roman" w:eastAsia="Times New Roman" w:hAnsi="Times New Roman" w:cs="Times New Roman"/>
          <w:i/>
          <w:iCs/>
          <w:sz w:val="24"/>
          <w:szCs w:val="24"/>
          <w:lang w:bidi="hi-IN"/>
        </w:rPr>
        <w:t>The Manchester School, 22</w:t>
      </w:r>
      <w:r w:rsidRPr="00C54978">
        <w:rPr>
          <w:rFonts w:ascii="Times New Roman" w:eastAsia="Times New Roman" w:hAnsi="Times New Roman" w:cs="Times New Roman"/>
          <w:sz w:val="24"/>
          <w:szCs w:val="24"/>
          <w:lang w:bidi="hi-IN"/>
        </w:rPr>
        <w:t xml:space="preserve">(2), 139–191. </w:t>
      </w:r>
      <w:hyperlink r:id="rId15" w:history="1">
        <w:r w:rsidRPr="00ED0238">
          <w:rPr>
            <w:rStyle w:val="Hyperlink"/>
            <w:rFonts w:ascii="Times New Roman" w:eastAsia="Times New Roman" w:hAnsi="Times New Roman" w:cs="Times New Roman"/>
            <w:sz w:val="24"/>
            <w:szCs w:val="24"/>
            <w:lang w:bidi="hi-IN"/>
          </w:rPr>
          <w:t>https://doi.org/10.1111/j.1467-9957.1954.tb00021.x</w:t>
        </w:r>
      </w:hyperlink>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National Commission for Enterprises in the </w:t>
      </w:r>
      <w:proofErr w:type="spellStart"/>
      <w:r w:rsidRPr="00C54978">
        <w:rPr>
          <w:rFonts w:ascii="Times New Roman" w:eastAsia="Times New Roman" w:hAnsi="Times New Roman" w:cs="Times New Roman"/>
          <w:sz w:val="24"/>
          <w:szCs w:val="24"/>
          <w:lang w:bidi="hi-IN"/>
        </w:rPr>
        <w:t>Unorganised</w:t>
      </w:r>
      <w:proofErr w:type="spellEnd"/>
      <w:r w:rsidRPr="00C54978">
        <w:rPr>
          <w:rFonts w:ascii="Times New Roman" w:eastAsia="Times New Roman" w:hAnsi="Times New Roman" w:cs="Times New Roman"/>
          <w:sz w:val="24"/>
          <w:szCs w:val="24"/>
          <w:lang w:bidi="hi-IN"/>
        </w:rPr>
        <w:t xml:space="preserve"> Sector (NCEUS). (2009). </w:t>
      </w:r>
      <w:r w:rsidRPr="00C54978">
        <w:rPr>
          <w:rFonts w:ascii="Times New Roman" w:eastAsia="Times New Roman" w:hAnsi="Times New Roman" w:cs="Times New Roman"/>
          <w:i/>
          <w:iCs/>
          <w:sz w:val="24"/>
          <w:szCs w:val="24"/>
          <w:lang w:bidi="hi-IN"/>
        </w:rPr>
        <w:t>The challenge of employment in India</w:t>
      </w:r>
      <w:r w:rsidRPr="00C54978">
        <w:rPr>
          <w:rFonts w:ascii="Times New Roman" w:eastAsia="Times New Roman" w:hAnsi="Times New Roman" w:cs="Times New Roman"/>
          <w:sz w:val="24"/>
          <w:szCs w:val="24"/>
          <w:lang w:bidi="hi-IN"/>
        </w:rPr>
        <w:t>. Government of India.</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C54978">
        <w:rPr>
          <w:rFonts w:ascii="Times New Roman" w:eastAsia="Times New Roman" w:hAnsi="Times New Roman" w:cs="Times New Roman"/>
          <w:sz w:val="24"/>
          <w:szCs w:val="24"/>
          <w:lang w:bidi="hi-IN"/>
        </w:rPr>
        <w:t>Rodrik</w:t>
      </w:r>
      <w:proofErr w:type="spellEnd"/>
      <w:r w:rsidRPr="00C54978">
        <w:rPr>
          <w:rFonts w:ascii="Times New Roman" w:eastAsia="Times New Roman" w:hAnsi="Times New Roman" w:cs="Times New Roman"/>
          <w:sz w:val="24"/>
          <w:szCs w:val="24"/>
          <w:lang w:bidi="hi-IN"/>
        </w:rPr>
        <w:t xml:space="preserve">, D. (2016). Premature deindustrialization. </w:t>
      </w:r>
      <w:r w:rsidRPr="00C54978">
        <w:rPr>
          <w:rFonts w:ascii="Times New Roman" w:eastAsia="Times New Roman" w:hAnsi="Times New Roman" w:cs="Times New Roman"/>
          <w:i/>
          <w:iCs/>
          <w:sz w:val="24"/>
          <w:szCs w:val="24"/>
          <w:lang w:bidi="hi-IN"/>
        </w:rPr>
        <w:t>Journal of Economic Growth, 21</w:t>
      </w:r>
      <w:r w:rsidRPr="00C54978">
        <w:rPr>
          <w:rFonts w:ascii="Times New Roman" w:eastAsia="Times New Roman" w:hAnsi="Times New Roman" w:cs="Times New Roman"/>
          <w:sz w:val="24"/>
          <w:szCs w:val="24"/>
          <w:lang w:bidi="hi-IN"/>
        </w:rPr>
        <w:t xml:space="preserve">(1), 1–33. </w:t>
      </w:r>
      <w:hyperlink r:id="rId16" w:history="1">
        <w:r w:rsidRPr="00ED0238">
          <w:rPr>
            <w:rStyle w:val="Hyperlink"/>
            <w:rFonts w:ascii="Times New Roman" w:eastAsia="Times New Roman" w:hAnsi="Times New Roman" w:cs="Times New Roman"/>
            <w:sz w:val="24"/>
            <w:szCs w:val="24"/>
            <w:lang w:bidi="hi-IN"/>
          </w:rPr>
          <w:t>https://doi.org/10.1007/s10887-015-9122-3</w:t>
        </w:r>
      </w:hyperlink>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Sen, A. (1999). </w:t>
      </w:r>
      <w:r w:rsidRPr="00C54978">
        <w:rPr>
          <w:rFonts w:ascii="Times New Roman" w:eastAsia="Times New Roman" w:hAnsi="Times New Roman" w:cs="Times New Roman"/>
          <w:i/>
          <w:iCs/>
          <w:sz w:val="24"/>
          <w:szCs w:val="24"/>
          <w:lang w:bidi="hi-IN"/>
        </w:rPr>
        <w:t>Development as freedom</w:t>
      </w:r>
      <w:r w:rsidRPr="00C54978">
        <w:rPr>
          <w:rFonts w:ascii="Times New Roman" w:eastAsia="Times New Roman" w:hAnsi="Times New Roman" w:cs="Times New Roman"/>
          <w:sz w:val="24"/>
          <w:szCs w:val="24"/>
          <w:lang w:bidi="hi-IN"/>
        </w:rPr>
        <w:t>. Oxford University Press.</w:t>
      </w:r>
    </w:p>
    <w:p w:rsid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C54978">
        <w:rPr>
          <w:rFonts w:ascii="Times New Roman" w:eastAsia="Times New Roman" w:hAnsi="Times New Roman" w:cs="Times New Roman"/>
          <w:sz w:val="24"/>
          <w:szCs w:val="24"/>
          <w:lang w:bidi="hi-IN"/>
        </w:rPr>
        <w:t>Stiglitz</w:t>
      </w:r>
      <w:proofErr w:type="spellEnd"/>
      <w:r w:rsidRPr="00C54978">
        <w:rPr>
          <w:rFonts w:ascii="Times New Roman" w:eastAsia="Times New Roman" w:hAnsi="Times New Roman" w:cs="Times New Roman"/>
          <w:sz w:val="24"/>
          <w:szCs w:val="24"/>
          <w:lang w:bidi="hi-IN"/>
        </w:rPr>
        <w:t xml:space="preserve">, J. E. (2012). </w:t>
      </w:r>
      <w:r w:rsidRPr="00C54978">
        <w:rPr>
          <w:rFonts w:ascii="Times New Roman" w:eastAsia="Times New Roman" w:hAnsi="Times New Roman" w:cs="Times New Roman"/>
          <w:i/>
          <w:iCs/>
          <w:sz w:val="24"/>
          <w:szCs w:val="24"/>
          <w:lang w:bidi="hi-IN"/>
        </w:rPr>
        <w:t>The price of inequality</w:t>
      </w:r>
      <w:r w:rsidRPr="00C54978">
        <w:rPr>
          <w:rFonts w:ascii="Times New Roman" w:eastAsia="Times New Roman" w:hAnsi="Times New Roman" w:cs="Times New Roman"/>
          <w:sz w:val="24"/>
          <w:szCs w:val="24"/>
          <w:lang w:bidi="hi-IN"/>
        </w:rPr>
        <w:t>. W. W. Norton &amp; Company.</w:t>
      </w:r>
    </w:p>
    <w:p w:rsidR="00C54978" w:rsidRPr="00C54978" w:rsidRDefault="00C54978" w:rsidP="00C549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C54978">
        <w:rPr>
          <w:rFonts w:ascii="Times New Roman" w:eastAsia="Times New Roman" w:hAnsi="Times New Roman" w:cs="Times New Roman"/>
          <w:sz w:val="24"/>
          <w:szCs w:val="24"/>
          <w:lang w:bidi="hi-IN"/>
        </w:rPr>
        <w:t xml:space="preserve">World Inequality Lab. (2022). </w:t>
      </w:r>
      <w:r w:rsidRPr="00C54978">
        <w:rPr>
          <w:rFonts w:ascii="Times New Roman" w:eastAsia="Times New Roman" w:hAnsi="Times New Roman" w:cs="Times New Roman"/>
          <w:i/>
          <w:iCs/>
          <w:sz w:val="24"/>
          <w:szCs w:val="24"/>
          <w:lang w:bidi="hi-IN"/>
        </w:rPr>
        <w:t>World inequality report 2022</w:t>
      </w:r>
      <w:r w:rsidRPr="00C54978">
        <w:rPr>
          <w:rFonts w:ascii="Times New Roman" w:eastAsia="Times New Roman" w:hAnsi="Times New Roman" w:cs="Times New Roman"/>
          <w:sz w:val="24"/>
          <w:szCs w:val="24"/>
          <w:lang w:bidi="hi-IN"/>
        </w:rPr>
        <w:t>. Harvard University Press.</w:t>
      </w:r>
    </w:p>
    <w:p w:rsidR="00C54978" w:rsidRPr="00D36BD2" w:rsidRDefault="00C54978" w:rsidP="00C54978">
      <w:pPr>
        <w:spacing w:before="100" w:beforeAutospacing="1" w:after="100" w:afterAutospacing="1" w:line="240" w:lineRule="auto"/>
        <w:ind w:left="720"/>
        <w:jc w:val="both"/>
        <w:rPr>
          <w:rFonts w:ascii="Times New Roman" w:eastAsia="Times New Roman" w:hAnsi="Times New Roman" w:cs="Times New Roman"/>
          <w:sz w:val="24"/>
          <w:szCs w:val="24"/>
          <w:lang w:bidi="hi-IN"/>
        </w:rPr>
      </w:pPr>
    </w:p>
    <w:sectPr w:rsidR="00C54978" w:rsidRPr="00D36BD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0C" w:rsidRDefault="00F7780C" w:rsidP="00B1320E">
      <w:pPr>
        <w:spacing w:after="0" w:line="240" w:lineRule="auto"/>
      </w:pPr>
      <w:r>
        <w:separator/>
      </w:r>
    </w:p>
  </w:endnote>
  <w:endnote w:type="continuationSeparator" w:id="0">
    <w:p w:rsidR="00F7780C" w:rsidRDefault="00F7780C" w:rsidP="00B1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328599"/>
      <w:docPartObj>
        <w:docPartGallery w:val="Page Numbers (Bottom of Page)"/>
        <w:docPartUnique/>
      </w:docPartObj>
    </w:sdtPr>
    <w:sdtEndPr>
      <w:rPr>
        <w:noProof/>
      </w:rPr>
    </w:sdtEndPr>
    <w:sdtContent>
      <w:p w:rsidR="00476195" w:rsidRDefault="00476195">
        <w:pPr>
          <w:pStyle w:val="Footer"/>
          <w:jc w:val="right"/>
        </w:pPr>
        <w:r>
          <w:fldChar w:fldCharType="begin"/>
        </w:r>
        <w:r>
          <w:instrText xml:space="preserve"> PAGE   \* MERGEFORMAT </w:instrText>
        </w:r>
        <w:r>
          <w:fldChar w:fldCharType="separate"/>
        </w:r>
        <w:r w:rsidR="00C97012">
          <w:rPr>
            <w:noProof/>
          </w:rPr>
          <w:t>1</w:t>
        </w:r>
        <w:r>
          <w:rPr>
            <w:noProof/>
          </w:rPr>
          <w:fldChar w:fldCharType="end"/>
        </w:r>
      </w:p>
    </w:sdtContent>
  </w:sdt>
  <w:p w:rsidR="00476195" w:rsidRDefault="004761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0C" w:rsidRDefault="00F7780C" w:rsidP="00B1320E">
      <w:pPr>
        <w:spacing w:after="0" w:line="240" w:lineRule="auto"/>
      </w:pPr>
      <w:r>
        <w:separator/>
      </w:r>
    </w:p>
  </w:footnote>
  <w:footnote w:type="continuationSeparator" w:id="0">
    <w:p w:rsidR="00F7780C" w:rsidRDefault="00F7780C" w:rsidP="00B13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35E"/>
    <w:multiLevelType w:val="multilevel"/>
    <w:tmpl w:val="F7FC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7657E1"/>
    <w:multiLevelType w:val="multilevel"/>
    <w:tmpl w:val="2A26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B657A"/>
    <w:multiLevelType w:val="multilevel"/>
    <w:tmpl w:val="9B56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507087"/>
    <w:multiLevelType w:val="multilevel"/>
    <w:tmpl w:val="7578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AC1BAA"/>
    <w:multiLevelType w:val="multilevel"/>
    <w:tmpl w:val="E57E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16"/>
    <w:rsid w:val="00057A9E"/>
    <w:rsid w:val="00117749"/>
    <w:rsid w:val="001B7ABA"/>
    <w:rsid w:val="001C03EB"/>
    <w:rsid w:val="00364F66"/>
    <w:rsid w:val="00476195"/>
    <w:rsid w:val="004A4529"/>
    <w:rsid w:val="004A6C4F"/>
    <w:rsid w:val="007A1A16"/>
    <w:rsid w:val="00AE0BA2"/>
    <w:rsid w:val="00B06942"/>
    <w:rsid w:val="00B1320E"/>
    <w:rsid w:val="00BC7CB5"/>
    <w:rsid w:val="00C54978"/>
    <w:rsid w:val="00C97012"/>
    <w:rsid w:val="00D36BD2"/>
    <w:rsid w:val="00D6093B"/>
    <w:rsid w:val="00F32927"/>
    <w:rsid w:val="00F74D2C"/>
    <w:rsid w:val="00F778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F690"/>
  <w15:chartTrackingRefBased/>
  <w15:docId w15:val="{C6ED90A3-CCE4-4438-8FDD-FCCCAC30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1A16"/>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7A1A16"/>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7A1A16"/>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A16"/>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7A1A16"/>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7A1A16"/>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7A1A1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7A1A16"/>
    <w:rPr>
      <w:b/>
      <w:bCs/>
    </w:rPr>
  </w:style>
  <w:style w:type="paragraph" w:styleId="ListParagraph">
    <w:name w:val="List Paragraph"/>
    <w:basedOn w:val="Normal"/>
    <w:uiPriority w:val="34"/>
    <w:qFormat/>
    <w:rsid w:val="007A1A16"/>
    <w:pPr>
      <w:ind w:left="720"/>
      <w:contextualSpacing/>
    </w:pPr>
  </w:style>
  <w:style w:type="paragraph" w:styleId="Header">
    <w:name w:val="header"/>
    <w:basedOn w:val="Normal"/>
    <w:link w:val="HeaderChar"/>
    <w:uiPriority w:val="99"/>
    <w:unhideWhenUsed/>
    <w:rsid w:val="00B1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0E"/>
  </w:style>
  <w:style w:type="paragraph" w:styleId="Footer">
    <w:name w:val="footer"/>
    <w:basedOn w:val="Normal"/>
    <w:link w:val="FooterChar"/>
    <w:uiPriority w:val="99"/>
    <w:unhideWhenUsed/>
    <w:rsid w:val="00B13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0E"/>
  </w:style>
  <w:style w:type="character" w:styleId="Emphasis">
    <w:name w:val="Emphasis"/>
    <w:basedOn w:val="DefaultParagraphFont"/>
    <w:uiPriority w:val="20"/>
    <w:qFormat/>
    <w:rsid w:val="00B1320E"/>
    <w:rPr>
      <w:i/>
      <w:iCs/>
    </w:rPr>
  </w:style>
  <w:style w:type="character" w:styleId="Hyperlink">
    <w:name w:val="Hyperlink"/>
    <w:basedOn w:val="DefaultParagraphFont"/>
    <w:uiPriority w:val="99"/>
    <w:unhideWhenUsed/>
    <w:rsid w:val="00C54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0635">
      <w:bodyDiv w:val="1"/>
      <w:marLeft w:val="0"/>
      <w:marRight w:val="0"/>
      <w:marTop w:val="0"/>
      <w:marBottom w:val="0"/>
      <w:divBdr>
        <w:top w:val="none" w:sz="0" w:space="0" w:color="auto"/>
        <w:left w:val="none" w:sz="0" w:space="0" w:color="auto"/>
        <w:bottom w:val="none" w:sz="0" w:space="0" w:color="auto"/>
        <w:right w:val="none" w:sz="0" w:space="0" w:color="auto"/>
      </w:divBdr>
    </w:div>
    <w:div w:id="297997170">
      <w:bodyDiv w:val="1"/>
      <w:marLeft w:val="0"/>
      <w:marRight w:val="0"/>
      <w:marTop w:val="0"/>
      <w:marBottom w:val="0"/>
      <w:divBdr>
        <w:top w:val="none" w:sz="0" w:space="0" w:color="auto"/>
        <w:left w:val="none" w:sz="0" w:space="0" w:color="auto"/>
        <w:bottom w:val="none" w:sz="0" w:space="0" w:color="auto"/>
        <w:right w:val="none" w:sz="0" w:space="0" w:color="auto"/>
      </w:divBdr>
    </w:div>
    <w:div w:id="318266635">
      <w:bodyDiv w:val="1"/>
      <w:marLeft w:val="0"/>
      <w:marRight w:val="0"/>
      <w:marTop w:val="0"/>
      <w:marBottom w:val="0"/>
      <w:divBdr>
        <w:top w:val="none" w:sz="0" w:space="0" w:color="auto"/>
        <w:left w:val="none" w:sz="0" w:space="0" w:color="auto"/>
        <w:bottom w:val="none" w:sz="0" w:space="0" w:color="auto"/>
        <w:right w:val="none" w:sz="0" w:space="0" w:color="auto"/>
      </w:divBdr>
    </w:div>
    <w:div w:id="419639903">
      <w:bodyDiv w:val="1"/>
      <w:marLeft w:val="0"/>
      <w:marRight w:val="0"/>
      <w:marTop w:val="0"/>
      <w:marBottom w:val="0"/>
      <w:divBdr>
        <w:top w:val="none" w:sz="0" w:space="0" w:color="auto"/>
        <w:left w:val="none" w:sz="0" w:space="0" w:color="auto"/>
        <w:bottom w:val="none" w:sz="0" w:space="0" w:color="auto"/>
        <w:right w:val="none" w:sz="0" w:space="0" w:color="auto"/>
      </w:divBdr>
      <w:divsChild>
        <w:div w:id="1539925443">
          <w:marLeft w:val="0"/>
          <w:marRight w:val="0"/>
          <w:marTop w:val="0"/>
          <w:marBottom w:val="0"/>
          <w:divBdr>
            <w:top w:val="none" w:sz="0" w:space="0" w:color="auto"/>
            <w:left w:val="none" w:sz="0" w:space="0" w:color="auto"/>
            <w:bottom w:val="none" w:sz="0" w:space="0" w:color="auto"/>
            <w:right w:val="none" w:sz="0" w:space="0" w:color="auto"/>
          </w:divBdr>
          <w:divsChild>
            <w:div w:id="1732918425">
              <w:marLeft w:val="0"/>
              <w:marRight w:val="0"/>
              <w:marTop w:val="0"/>
              <w:marBottom w:val="0"/>
              <w:divBdr>
                <w:top w:val="none" w:sz="0" w:space="0" w:color="auto"/>
                <w:left w:val="none" w:sz="0" w:space="0" w:color="auto"/>
                <w:bottom w:val="none" w:sz="0" w:space="0" w:color="auto"/>
                <w:right w:val="none" w:sz="0" w:space="0" w:color="auto"/>
              </w:divBdr>
              <w:divsChild>
                <w:div w:id="17429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10969">
      <w:bodyDiv w:val="1"/>
      <w:marLeft w:val="0"/>
      <w:marRight w:val="0"/>
      <w:marTop w:val="0"/>
      <w:marBottom w:val="0"/>
      <w:divBdr>
        <w:top w:val="none" w:sz="0" w:space="0" w:color="auto"/>
        <w:left w:val="none" w:sz="0" w:space="0" w:color="auto"/>
        <w:bottom w:val="none" w:sz="0" w:space="0" w:color="auto"/>
        <w:right w:val="none" w:sz="0" w:space="0" w:color="auto"/>
      </w:divBdr>
    </w:div>
    <w:div w:id="757868553">
      <w:bodyDiv w:val="1"/>
      <w:marLeft w:val="0"/>
      <w:marRight w:val="0"/>
      <w:marTop w:val="0"/>
      <w:marBottom w:val="0"/>
      <w:divBdr>
        <w:top w:val="none" w:sz="0" w:space="0" w:color="auto"/>
        <w:left w:val="none" w:sz="0" w:space="0" w:color="auto"/>
        <w:bottom w:val="none" w:sz="0" w:space="0" w:color="auto"/>
        <w:right w:val="none" w:sz="0" w:space="0" w:color="auto"/>
      </w:divBdr>
    </w:div>
    <w:div w:id="791677940">
      <w:bodyDiv w:val="1"/>
      <w:marLeft w:val="0"/>
      <w:marRight w:val="0"/>
      <w:marTop w:val="0"/>
      <w:marBottom w:val="0"/>
      <w:divBdr>
        <w:top w:val="none" w:sz="0" w:space="0" w:color="auto"/>
        <w:left w:val="none" w:sz="0" w:space="0" w:color="auto"/>
        <w:bottom w:val="none" w:sz="0" w:space="0" w:color="auto"/>
        <w:right w:val="none" w:sz="0" w:space="0" w:color="auto"/>
      </w:divBdr>
    </w:div>
    <w:div w:id="953050948">
      <w:bodyDiv w:val="1"/>
      <w:marLeft w:val="0"/>
      <w:marRight w:val="0"/>
      <w:marTop w:val="0"/>
      <w:marBottom w:val="0"/>
      <w:divBdr>
        <w:top w:val="none" w:sz="0" w:space="0" w:color="auto"/>
        <w:left w:val="none" w:sz="0" w:space="0" w:color="auto"/>
        <w:bottom w:val="none" w:sz="0" w:space="0" w:color="auto"/>
        <w:right w:val="none" w:sz="0" w:space="0" w:color="auto"/>
      </w:divBdr>
    </w:div>
    <w:div w:id="1025055134">
      <w:bodyDiv w:val="1"/>
      <w:marLeft w:val="0"/>
      <w:marRight w:val="0"/>
      <w:marTop w:val="0"/>
      <w:marBottom w:val="0"/>
      <w:divBdr>
        <w:top w:val="none" w:sz="0" w:space="0" w:color="auto"/>
        <w:left w:val="none" w:sz="0" w:space="0" w:color="auto"/>
        <w:bottom w:val="none" w:sz="0" w:space="0" w:color="auto"/>
        <w:right w:val="none" w:sz="0" w:space="0" w:color="auto"/>
      </w:divBdr>
    </w:div>
    <w:div w:id="1131900670">
      <w:bodyDiv w:val="1"/>
      <w:marLeft w:val="0"/>
      <w:marRight w:val="0"/>
      <w:marTop w:val="0"/>
      <w:marBottom w:val="0"/>
      <w:divBdr>
        <w:top w:val="none" w:sz="0" w:space="0" w:color="auto"/>
        <w:left w:val="none" w:sz="0" w:space="0" w:color="auto"/>
        <w:bottom w:val="none" w:sz="0" w:space="0" w:color="auto"/>
        <w:right w:val="none" w:sz="0" w:space="0" w:color="auto"/>
      </w:divBdr>
    </w:div>
    <w:div w:id="1423338925">
      <w:bodyDiv w:val="1"/>
      <w:marLeft w:val="0"/>
      <w:marRight w:val="0"/>
      <w:marTop w:val="0"/>
      <w:marBottom w:val="0"/>
      <w:divBdr>
        <w:top w:val="none" w:sz="0" w:space="0" w:color="auto"/>
        <w:left w:val="none" w:sz="0" w:space="0" w:color="auto"/>
        <w:bottom w:val="none" w:sz="0" w:space="0" w:color="auto"/>
        <w:right w:val="none" w:sz="0" w:space="0" w:color="auto"/>
      </w:divBdr>
    </w:div>
    <w:div w:id="1459957848">
      <w:bodyDiv w:val="1"/>
      <w:marLeft w:val="0"/>
      <w:marRight w:val="0"/>
      <w:marTop w:val="0"/>
      <w:marBottom w:val="0"/>
      <w:divBdr>
        <w:top w:val="none" w:sz="0" w:space="0" w:color="auto"/>
        <w:left w:val="none" w:sz="0" w:space="0" w:color="auto"/>
        <w:bottom w:val="none" w:sz="0" w:space="0" w:color="auto"/>
        <w:right w:val="none" w:sz="0" w:space="0" w:color="auto"/>
      </w:divBdr>
    </w:div>
    <w:div w:id="1612201288">
      <w:bodyDiv w:val="1"/>
      <w:marLeft w:val="0"/>
      <w:marRight w:val="0"/>
      <w:marTop w:val="0"/>
      <w:marBottom w:val="0"/>
      <w:divBdr>
        <w:top w:val="none" w:sz="0" w:space="0" w:color="auto"/>
        <w:left w:val="none" w:sz="0" w:space="0" w:color="auto"/>
        <w:bottom w:val="none" w:sz="0" w:space="0" w:color="auto"/>
        <w:right w:val="none" w:sz="0" w:space="0" w:color="auto"/>
      </w:divBdr>
    </w:div>
    <w:div w:id="1654020581">
      <w:bodyDiv w:val="1"/>
      <w:marLeft w:val="0"/>
      <w:marRight w:val="0"/>
      <w:marTop w:val="0"/>
      <w:marBottom w:val="0"/>
      <w:divBdr>
        <w:top w:val="none" w:sz="0" w:space="0" w:color="auto"/>
        <w:left w:val="none" w:sz="0" w:space="0" w:color="auto"/>
        <w:bottom w:val="none" w:sz="0" w:space="0" w:color="auto"/>
        <w:right w:val="none" w:sz="0" w:space="0" w:color="auto"/>
      </w:divBdr>
    </w:div>
    <w:div w:id="1696232504">
      <w:bodyDiv w:val="1"/>
      <w:marLeft w:val="0"/>
      <w:marRight w:val="0"/>
      <w:marTop w:val="0"/>
      <w:marBottom w:val="0"/>
      <w:divBdr>
        <w:top w:val="none" w:sz="0" w:space="0" w:color="auto"/>
        <w:left w:val="none" w:sz="0" w:space="0" w:color="auto"/>
        <w:bottom w:val="none" w:sz="0" w:space="0" w:color="auto"/>
        <w:right w:val="none" w:sz="0" w:space="0" w:color="auto"/>
      </w:divBdr>
      <w:divsChild>
        <w:div w:id="1835029235">
          <w:marLeft w:val="0"/>
          <w:marRight w:val="0"/>
          <w:marTop w:val="0"/>
          <w:marBottom w:val="0"/>
          <w:divBdr>
            <w:top w:val="none" w:sz="0" w:space="0" w:color="auto"/>
            <w:left w:val="none" w:sz="0" w:space="0" w:color="auto"/>
            <w:bottom w:val="none" w:sz="0" w:space="0" w:color="auto"/>
            <w:right w:val="none" w:sz="0" w:space="0" w:color="auto"/>
          </w:divBdr>
          <w:divsChild>
            <w:div w:id="480662860">
              <w:marLeft w:val="0"/>
              <w:marRight w:val="0"/>
              <w:marTop w:val="0"/>
              <w:marBottom w:val="0"/>
              <w:divBdr>
                <w:top w:val="none" w:sz="0" w:space="0" w:color="auto"/>
                <w:left w:val="none" w:sz="0" w:space="0" w:color="auto"/>
                <w:bottom w:val="none" w:sz="0" w:space="0" w:color="auto"/>
                <w:right w:val="none" w:sz="0" w:space="0" w:color="auto"/>
              </w:divBdr>
              <w:divsChild>
                <w:div w:id="1451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roiw.124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eeh.2014.04.0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0887-015-91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111/j.1467-9957.1954.tb00021.x"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0973703016648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dc:creator>
  <cp:keywords/>
  <dc:description/>
  <cp:lastModifiedBy>acer</cp:lastModifiedBy>
  <cp:revision>3</cp:revision>
  <dcterms:created xsi:type="dcterms:W3CDTF">2026-05-29T04:44:00Z</dcterms:created>
  <dcterms:modified xsi:type="dcterms:W3CDTF">2026-05-29T04:47:00Z</dcterms:modified>
</cp:coreProperties>
</file>