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36"/>
          <w:szCs w:val="36"/>
          <w:rtl w:val="0"/>
        </w:rPr>
        <w:t xml:space="preserve">Effect of Lime (</w:t>
      </w:r>
      <w:r w:rsidDel="00000000" w:rsidR="00000000" w:rsidRPr="00000000">
        <w:rPr>
          <w:rFonts w:ascii="Times New Roman" w:cs="Times New Roman" w:eastAsia="Times New Roman" w:hAnsi="Times New Roman"/>
          <w:b w:val="1"/>
          <w:bCs w:val="1"/>
          <w:i w:val="1"/>
          <w:iCs w:val="1"/>
          <w:sz w:val="36"/>
          <w:szCs w:val="36"/>
          <w:rtl w:val="0"/>
        </w:rPr>
        <w:t xml:space="preserve">Citrus aurantifolia</w:t>
      </w:r>
      <w:r w:rsidDel="00000000" w:rsidR="00000000" w:rsidRPr="00000000">
        <w:rPr>
          <w:rFonts w:ascii="Times New Roman" w:cs="Times New Roman" w:eastAsia="Times New Roman" w:hAnsi="Times New Roman"/>
          <w:b w:val="1"/>
          <w:bCs w:val="1"/>
          <w:sz w:val="36"/>
          <w:szCs w:val="36"/>
          <w:rtl w:val="0"/>
        </w:rPr>
        <w:t xml:space="preserve">) Waste Powder Supplementation on </w:t>
      </w:r>
      <w:r w:rsidDel="00000000" w:rsidR="00000000" w:rsidRPr="00000000">
        <w:rPr>
          <w:rFonts w:ascii="Times New Roman" w:cs="Times New Roman" w:eastAsia="Times New Roman" w:hAnsi="Times New Roman"/>
          <w:b w:val="1"/>
          <w:bCs w:val="1"/>
          <w:i w:val="1"/>
          <w:iCs w:val="1"/>
          <w:sz w:val="36"/>
          <w:szCs w:val="36"/>
          <w:rtl w:val="0"/>
        </w:rPr>
        <w:t xml:space="preserve">In Vitro</w:t>
      </w:r>
      <w:r w:rsidDel="00000000" w:rsidR="00000000" w:rsidRPr="00000000">
        <w:rPr>
          <w:rFonts w:ascii="Times New Roman" w:cs="Times New Roman" w:eastAsia="Times New Roman" w:hAnsi="Times New Roman"/>
          <w:b w:val="1"/>
          <w:bCs w:val="1"/>
          <w:sz w:val="36"/>
          <w:szCs w:val="36"/>
          <w:rtl w:val="0"/>
        </w:rPr>
        <w:t xml:space="preserve"> Fermentability and Digestibility in Male Goats</w:t>
      </w:r>
      <w:r w:rsidDel="00000000" w:rsidR="00000000" w:rsidRPr="00000000">
        <w:rPr>
          <w:rtl w:val="0"/>
        </w:rPr>
      </w:r>
    </w:p>
    <w:p w:rsidR="00000000" w:rsidDel="00000000" w:rsidP="00000000" w:rsidRDefault="00000000" w:rsidRPr="00000000" w14:paraId="00000002">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200" w:before="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*Ervina Egi Putri</w:t>
      </w:r>
      <w:r w:rsidDel="00000000" w:rsidR="00000000" w:rsidRPr="00000000">
        <w:rPr>
          <w:rFonts w:ascii="Times New Roman" w:cs="Times New Roman" w:eastAsia="Times New Roman" w:hAnsi="Times New Roman"/>
          <w:b w:val="1"/>
          <w:bCs w:val="1"/>
          <w:sz w:val="24"/>
          <w:szCs w:val="24"/>
          <w:vertAlign w:val="super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 Iin Susilawati</w:t>
      </w:r>
      <w:r w:rsidDel="00000000" w:rsidR="00000000" w:rsidRPr="00000000">
        <w:rPr>
          <w:rFonts w:ascii="Times New Roman" w:cs="Times New Roman" w:eastAsia="Times New Roman" w:hAnsi="Times New Roman"/>
          <w:b w:val="1"/>
          <w:bCs w:val="1"/>
          <w:sz w:val="24"/>
          <w:szCs w:val="24"/>
          <w:vertAlign w:val="superscript"/>
          <w:rtl w:val="0"/>
        </w:rPr>
        <w:t xml:space="preserve">2</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Ujang Hidayat Tanuwiria</w:t>
      </w:r>
      <w:r w:rsidDel="00000000" w:rsidR="00000000" w:rsidRPr="00000000">
        <w:rPr>
          <w:rFonts w:ascii="Times New Roman" w:cs="Times New Roman" w:eastAsia="Times New Roman" w:hAnsi="Times New Roman"/>
          <w:b w:val="1"/>
          <w:bCs w:val="1"/>
          <w:sz w:val="24"/>
          <w:szCs w:val="24"/>
          <w:vertAlign w:val="superscript"/>
          <w:rtl w:val="0"/>
        </w:rPr>
        <w:t xml:space="preserve">2</w:t>
      </w:r>
      <w:r w:rsidDel="00000000" w:rsidR="00000000" w:rsidRPr="00000000">
        <w:rPr>
          <w:rtl w:val="0"/>
        </w:rPr>
      </w:r>
    </w:p>
    <w:p w:rsidR="00000000" w:rsidDel="00000000" w:rsidP="00000000" w:rsidRDefault="00000000" w:rsidRPr="00000000" w14:paraId="00000004">
      <w:pPr>
        <w:spacing w:after="0" w:before="0" w:line="240" w:lineRule="auto"/>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vertAlign w:val="superscript"/>
          <w:rtl w:val="0"/>
        </w:rPr>
        <w:t xml:space="preserve">1</w:t>
      </w:r>
      <w:r w:rsidDel="00000000" w:rsidR="00000000" w:rsidRPr="00000000">
        <w:rPr>
          <w:rFonts w:ascii="Times New Roman" w:cs="Times New Roman" w:eastAsia="Times New Roman" w:hAnsi="Times New Roman"/>
          <w:b w:val="1"/>
          <w:bCs w:val="1"/>
          <w:i w:val="1"/>
          <w:iCs w:val="1"/>
          <w:sz w:val="24"/>
          <w:szCs w:val="24"/>
          <w:rtl w:val="0"/>
        </w:rPr>
        <w:t xml:space="preserve">Undergraduate Student at Faculty of Animal Husbandry, Department of Animal Nutrition and Feed Technology, Padjadjaran University.</w:t>
      </w:r>
    </w:p>
    <w:p w:rsidR="00000000" w:rsidDel="00000000" w:rsidP="00000000" w:rsidRDefault="00000000" w:rsidRPr="00000000" w14:paraId="00000005">
      <w:pPr>
        <w:spacing w:after="0" w:before="0" w:line="240" w:lineRule="auto"/>
        <w:jc w:val="center"/>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06">
      <w:pPr>
        <w:spacing w:after="200" w:before="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i w:val="1"/>
          <w:iCs w:val="1"/>
          <w:sz w:val="24"/>
          <w:szCs w:val="24"/>
          <w:vertAlign w:val="superscript"/>
          <w:rtl w:val="0"/>
        </w:rPr>
        <w:t xml:space="preserve">2</w:t>
      </w:r>
      <w:r w:rsidDel="00000000" w:rsidR="00000000" w:rsidRPr="00000000">
        <w:rPr>
          <w:rFonts w:ascii="Times New Roman" w:cs="Times New Roman" w:eastAsia="Times New Roman" w:hAnsi="Times New Roman"/>
          <w:b w:val="1"/>
          <w:bCs w:val="1"/>
          <w:i w:val="1"/>
          <w:iCs w:val="1"/>
          <w:sz w:val="24"/>
          <w:szCs w:val="24"/>
          <w:rtl w:val="0"/>
        </w:rPr>
        <w:t xml:space="preserve">Lecturer at Faculty of Animal Husbandry, Department of Animal Nutrition and Feed Technology, Padjadjaran University, Sumedang, Indonesia</w:t>
      </w: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007">
      <w:pPr>
        <w:spacing w:after="0" w:before="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*Corresponding Author</w:t>
      </w:r>
    </w:p>
    <w:p w:rsidR="00000000" w:rsidDel="00000000" w:rsidP="00000000" w:rsidRDefault="00000000" w:rsidRPr="00000000" w14:paraId="00000008">
      <w:pPr>
        <w:spacing w:after="0" w:before="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ervina21001@mail.unpad.ac.id</w:t>
      </w:r>
    </w:p>
    <w:p w:rsidR="00000000" w:rsidDel="00000000" w:rsidP="00000000" w:rsidRDefault="00000000" w:rsidRPr="00000000" w14:paraId="00000009">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pStyle w:val="Heading3"/>
        <w:keepNext w:val="0"/>
        <w:keepLines w:val="0"/>
        <w:spacing w:after="200" w:before="0" w:line="240" w:lineRule="auto"/>
        <w:jc w:val="both"/>
        <w:rPr>
          <w:rFonts w:ascii="Times New Roman" w:cs="Times New Roman" w:eastAsia="Times New Roman" w:hAnsi="Times New Roman"/>
          <w:b w:val="1"/>
          <w:bCs w:val="1"/>
          <w:color w:val="000000"/>
        </w:rPr>
      </w:pPr>
      <w:bookmarkStart w:colFirst="0" w:colLast="0" w:name="_ohlpejfqovuv" w:id="0"/>
      <w:bookmarkEnd w:id="0"/>
      <w:r w:rsidDel="00000000" w:rsidR="00000000" w:rsidRPr="00000000">
        <w:rPr>
          <w:rFonts w:ascii="Times New Roman" w:cs="Times New Roman" w:eastAsia="Times New Roman" w:hAnsi="Times New Roman"/>
          <w:b w:val="1"/>
          <w:bCs w:val="1"/>
          <w:color w:val="000000"/>
          <w:rtl w:val="0"/>
        </w:rPr>
        <w:t xml:space="preserve">ABSTRACT</w:t>
      </w:r>
    </w:p>
    <w:p w:rsidR="00000000" w:rsidDel="00000000" w:rsidP="00000000" w:rsidRDefault="00000000" w:rsidRPr="00000000" w14:paraId="0000000B">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Goat production in tropical areas faces significant challenges due to seasonal forage scarcity and high feed costs, necessitating alternative feed resources. This study aimed to evaluate the effect of lime (</w:t>
      </w:r>
      <w:r w:rsidDel="00000000" w:rsidR="00000000" w:rsidRPr="00000000">
        <w:rPr>
          <w:rFonts w:ascii="Times New Roman" w:cs="Times New Roman" w:eastAsia="Times New Roman" w:hAnsi="Times New Roman"/>
          <w:i w:val="1"/>
          <w:iCs w:val="1"/>
          <w:sz w:val="24"/>
          <w:szCs w:val="24"/>
          <w:rtl w:val="0"/>
        </w:rPr>
        <w:t xml:space="preserve">Citrus aurantifolia</w:t>
      </w:r>
      <w:r w:rsidDel="00000000" w:rsidR="00000000" w:rsidRPr="00000000">
        <w:rPr>
          <w:rFonts w:ascii="Times New Roman" w:cs="Times New Roman" w:eastAsia="Times New Roman" w:hAnsi="Times New Roman"/>
          <w:sz w:val="24"/>
          <w:szCs w:val="24"/>
          <w:rtl w:val="0"/>
        </w:rPr>
        <w:t xml:space="preserve">) peel meal supplementation on the digestibility and fermentability of male goat rations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The experiment was conducted using a Completely Randomized Design with five supplementation levels: R0 (0%), R1 (5%), R2 (10%), R3 (15%), and R4 (20%) using a basal diet of Taiwan Napier grass and concentrate. The parameters evaluated included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dry matter digestibility (IVDMD),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organic matter digestibility (IVOMD), total volatile fatty acids (total VFAs) concentration, and rumen ammonia-nitrogen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The results showed that the treatments significantly affected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&lt; 0.05) all parameters. The R3 treatment (15%) provided the most optimal results, yielding the highest IVDMD (64.08%), maximum IVOMD (72.06%), peak total VFA (171.89 mM), and ideal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(10.08 mM). This efficiency was triggered by a substrate shift, where the high crude fiber of Taiwan Napier grass (27.12%) was substituted by lime peel meal which had lower crude fiber (11.92%), thereby reducing the total lignin proportion of the ration and optimizing fermentation. However, the 20% level (R4) induced a threshold effect that decreased the IVOMD (64.24%) and total VFA (141.92 mM) values due to the accumulation of bioactive compounds (saponins and limonene) that began to inhibit microbial activity. In conclusion, supplementing male goat rations with 15% lime peel waste meal optimizes rumen fermentation and feed digestibility, offering a sustainable alternative feed strategy to mitigate feed price instability.  </w:t>
      </w:r>
      <w:r w:rsidDel="00000000" w:rsidR="00000000" w:rsidRPr="00000000">
        <w:rPr>
          <w:rtl w:val="0"/>
        </w:rPr>
      </w:r>
    </w:p>
    <w:p w:rsidR="00000000" w:rsidDel="00000000" w:rsidP="00000000" w:rsidRDefault="00000000" w:rsidRPr="00000000" w14:paraId="0000000C">
      <w:pPr>
        <w:spacing w:after="20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Citrus aurantifolia</w:t>
      </w:r>
      <w:r w:rsidDel="00000000" w:rsidR="00000000" w:rsidRPr="00000000">
        <w:rPr>
          <w:rFonts w:ascii="Times New Roman" w:cs="Times New Roman" w:eastAsia="Times New Roman" w:hAnsi="Times New Roman"/>
          <w:sz w:val="24"/>
          <w:szCs w:val="24"/>
          <w:rtl w:val="0"/>
        </w:rPr>
        <w:t xml:space="preserve">, Rumen Fermentation, Digestibility, Goat,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D">
      <w:pPr>
        <w:pStyle w:val="Heading3"/>
        <w:keepNext w:val="0"/>
        <w:keepLines w:val="0"/>
        <w:spacing w:after="200" w:before="0" w:line="240" w:lineRule="auto"/>
        <w:jc w:val="both"/>
        <w:rPr>
          <w:rFonts w:ascii="Times New Roman" w:cs="Times New Roman" w:eastAsia="Times New Roman" w:hAnsi="Times New Roman"/>
          <w:b w:val="1"/>
          <w:bCs w:val="1"/>
          <w:color w:val="000000"/>
        </w:rPr>
      </w:pPr>
      <w:bookmarkStart w:colFirst="0" w:colLast="0" w:name="_sk9l5jxddpr" w:id="1"/>
      <w:bookmarkEnd w:id="1"/>
      <w:r w:rsidDel="00000000" w:rsidR="00000000" w:rsidRPr="00000000">
        <w:rPr>
          <w:rFonts w:ascii="Times New Roman" w:cs="Times New Roman" w:eastAsia="Times New Roman" w:hAnsi="Times New Roman"/>
          <w:b w:val="1"/>
          <w:bCs w:val="1"/>
          <w:color w:val="000000"/>
          <w:rtl w:val="0"/>
        </w:rPr>
        <w:t xml:space="preserve">INTRODUCTION</w:t>
      </w:r>
    </w:p>
    <w:p w:rsidR="00000000" w:rsidDel="00000000" w:rsidP="00000000" w:rsidRDefault="00000000" w:rsidRPr="00000000" w14:paraId="0000000E">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Goats are a livestock commodity widely found in Indonesia and play a strategic role in developing national food security. According to the Indonesian Central Bureau of Statistics (2025), the goat population in West Java accounts for 5.46% of the national total, equivalent to 864,027 heads out of 15,824,305 heads across Indonesia. However, this large population size is not yet directly proportional to optimal productivity. This gap is primarily driven by constraints frequently encountered by farmers during the rearing process, such as limitations in forage quantity and quality during the dry season, as well as fluctuations in feed ingredient prices. This uncertainty often forces farmers to provide suboptimal feed without considering the fulfillment of the livestock's nutritional requirements. </w:t>
      </w:r>
    </w:p>
    <w:p w:rsidR="00000000" w:rsidDel="00000000" w:rsidP="00000000" w:rsidRDefault="00000000" w:rsidRPr="00000000" w14:paraId="0000000F">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Efforts that can be made to minimize the impact of such price fluctuations include optimizing the utilization of local alternative feed ingredients available year-round. Recently, numerous studies have highlighted agro-industrial waste as a potential alternative raw material. Agro-industrial waste is considered a viable alternative given its abundant availability at competitive prices due to its status as a by-product. </w:t>
      </w:r>
    </w:p>
    <w:p w:rsidR="00000000" w:rsidDel="00000000" w:rsidP="00000000" w:rsidRDefault="00000000" w:rsidRPr="00000000" w14:paraId="0000001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Indonesia, as a tropical country, possesses various types of agro-industrial products available year-round, one of which is lime. Lime (</w:t>
      </w:r>
      <w:r w:rsidDel="00000000" w:rsidR="00000000" w:rsidRPr="00000000">
        <w:rPr>
          <w:rFonts w:ascii="Times New Roman" w:cs="Times New Roman" w:eastAsia="Times New Roman" w:hAnsi="Times New Roman"/>
          <w:i w:val="1"/>
          <w:iCs w:val="1"/>
          <w:sz w:val="24"/>
          <w:szCs w:val="24"/>
          <w:rtl w:val="0"/>
        </w:rPr>
        <w:t xml:space="preserve">Citrus aurantifolia</w:t>
      </w:r>
      <w:r w:rsidDel="00000000" w:rsidR="00000000" w:rsidRPr="00000000">
        <w:rPr>
          <w:rFonts w:ascii="Times New Roman" w:cs="Times New Roman" w:eastAsia="Times New Roman" w:hAnsi="Times New Roman"/>
          <w:sz w:val="24"/>
          <w:szCs w:val="24"/>
          <w:rtl w:val="0"/>
        </w:rPr>
        <w:t xml:space="preserve">) is a type of horticultural crop that can be cultivated across various regions in Indonesia. Lime production in Indonesia reached 33,511 tons in 2021 and increased to 53,457 tons in 2022 (Ernawati et al., 2023). Meanwhile, from 2021 to 2022, West Java produced 1,117 tons and 3,500 tons of lime, respectively (BPS Jabar, 2024). These data indicate that West Java contributed 3.33% to the total national production in 2021 and 6.55% in 2022. During the 2023–2025 period, West Java consecutively produced 4,944 tons, 3,558 tons, and 9,732 tons of lime (BPS Jabar, 2026). Based on the data obtained from the Central Bureau of Statistics of West Java Province, lime production in this region exhibits an increasing trend. The amount of lime peel waste generated in Indonesia is estimated to reach 85,323.49 tons of dry matter, originating from household waste and the food industry (Sari, 2023). This fact strengthens the potential utilization of this agro-industrial waste as an alternative feed for livestock, given that the success of an alternative feed ingredient is determined not only by its nutritional content but also by its supply sustainability. </w:t>
      </w:r>
    </w:p>
    <w:p w:rsidR="00000000" w:rsidDel="00000000" w:rsidP="00000000" w:rsidRDefault="00000000" w:rsidRPr="00000000" w14:paraId="0000001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Lime peel is a by-product of the citrus juice industry that has potential as a feed additive due to its bioactive compound content. According to Adindaputri et al. (2013), lime peel contains flavonoids such as naringin, hesperidin, naringenin, hesperetin, rutin, nobiletin, and tangeretin. Quantitatively, Hindun (2017) stated that the flavonoid content is 0.667% w/w with an IC50 value of 42.11 mg/mL. In addition to flavonoids, there are also essential oils, tannins, saponins, phenols, and alkaloids (Pratiwi et al., 2013). On the other hand, the primary compound components making up the essential oil group in lime peel are limonene (40.44%), 𝛽-pinene (23.59%), and citral (6.93%) (Putri et al., 2023). Based on previous studies, these compounds contained in lime peel are known to manipulate the rumen environment, thereby proving beneficial in optimizing fermentability and digestibility in livestock. Although the potential of lime peel is recognized as beneficial for ruminants, information regarding the optimal supplementation level in male goats remains very limited. Therefore, this study is essential to evaluate the fermentability and digestibility responses at various levels of lime peel waste meal supplementation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2">
      <w:pPr>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pStyle w:val="Heading3"/>
        <w:keepNext w:val="0"/>
        <w:keepLines w:val="0"/>
        <w:spacing w:after="200" w:before="0" w:line="240" w:lineRule="auto"/>
        <w:jc w:val="both"/>
        <w:rPr>
          <w:rFonts w:ascii="Times New Roman" w:cs="Times New Roman" w:eastAsia="Times New Roman" w:hAnsi="Times New Roman"/>
          <w:b w:val="1"/>
          <w:bCs w:val="1"/>
          <w:color w:val="000000"/>
        </w:rPr>
      </w:pPr>
      <w:bookmarkStart w:colFirst="0" w:colLast="0" w:name="_wa52tcqaikv9" w:id="2"/>
      <w:bookmarkEnd w:id="2"/>
      <w:r w:rsidDel="00000000" w:rsidR="00000000" w:rsidRPr="00000000">
        <w:rPr>
          <w:rFonts w:ascii="Times New Roman" w:cs="Times New Roman" w:eastAsia="Times New Roman" w:hAnsi="Times New Roman"/>
          <w:b w:val="1"/>
          <w:bCs w:val="1"/>
          <w:color w:val="000000"/>
          <w:rtl w:val="0"/>
        </w:rPr>
        <w:t xml:space="preserve">MATERIALS AND METHODS</w:t>
      </w:r>
    </w:p>
    <w:p w:rsidR="00000000" w:rsidDel="00000000" w:rsidP="00000000" w:rsidRDefault="00000000" w:rsidRPr="00000000" w14:paraId="00000014">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was conducted at the Laboratory of Ruminant Nutrition and Feed Chemistry, Faculty of Animal Husbandry, Padjadjaran University, Indonesia, over a period of four months.</w:t>
      </w:r>
    </w:p>
    <w:p w:rsidR="00000000" w:rsidDel="00000000" w:rsidP="00000000" w:rsidRDefault="00000000" w:rsidRPr="00000000" w14:paraId="00000015">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Ethical approval:</w:t>
      </w:r>
      <w:r w:rsidDel="00000000" w:rsidR="00000000" w:rsidRPr="00000000">
        <w:rPr>
          <w:rFonts w:ascii="Times New Roman" w:cs="Times New Roman" w:eastAsia="Times New Roman" w:hAnsi="Times New Roman"/>
          <w:sz w:val="24"/>
          <w:szCs w:val="24"/>
          <w:rtl w:val="0"/>
        </w:rPr>
        <w:t xml:space="preserve"> The methodology for the present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experiment was approved by the Padjadjaran University research committee. There is no need for any ethical approval as no living animal organs were harmed or used in these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trials.</w:t>
      </w:r>
      <w:r w:rsidDel="00000000" w:rsidR="00000000" w:rsidRPr="00000000">
        <w:rPr>
          <w:rtl w:val="0"/>
        </w:rPr>
      </w:r>
    </w:p>
    <w:p w:rsidR="00000000" w:rsidDel="00000000" w:rsidP="00000000" w:rsidRDefault="00000000" w:rsidRPr="00000000" w14:paraId="0000001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Feed Sample Preparation</w:t>
      </w:r>
      <w:r w:rsidDel="00000000" w:rsidR="00000000" w:rsidRPr="00000000">
        <w:rPr>
          <w:rtl w:val="0"/>
        </w:rPr>
      </w:r>
    </w:p>
    <w:p w:rsidR="00000000" w:rsidDel="00000000" w:rsidP="00000000" w:rsidRDefault="00000000" w:rsidRPr="00000000" w14:paraId="00000017">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experimental samples used consisted of chopped 40-day-old Taiwan Napier grass, a basal ration, and dried, ground lime peel. </w:t>
      </w:r>
    </w:p>
    <w:p w:rsidR="00000000" w:rsidDel="00000000" w:rsidP="00000000" w:rsidRDefault="00000000" w:rsidRPr="00000000" w14:paraId="00000018">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Table 1. </w:t>
      </w:r>
      <w:r w:rsidDel="00000000" w:rsidR="00000000" w:rsidRPr="00000000">
        <w:rPr>
          <w:rFonts w:ascii="Times New Roman" w:cs="Times New Roman" w:eastAsia="Times New Roman" w:hAnsi="Times New Roman"/>
          <w:sz w:val="24"/>
          <w:szCs w:val="24"/>
          <w:rtl w:val="0"/>
        </w:rPr>
        <w:t xml:space="preserve">Fiber Fraction of Lime Peel</w:t>
      </w:r>
    </w:p>
    <w:tbl>
      <w:tblPr>
        <w:tblStyle w:val="Table1"/>
        <w:tblW w:w="5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2040"/>
        <w:tblGridChange w:id="0">
          <w:tblGrid>
            <w:gridCol w:w="3300"/>
            <w:gridCol w:w="204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Parameter</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 DM)</w:t>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 Detergent Fiber (ADF)</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18.67</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 Detergent Fiber (NDF)</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24.16</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Lignin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Cellulose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14.51</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Hemicellulose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5.49</w:t>
            </w:r>
          </w:p>
        </w:tc>
      </w:tr>
    </w:tbl>
    <w:p w:rsidR="00000000" w:rsidDel="00000000" w:rsidP="00000000" w:rsidRDefault="00000000" w:rsidRPr="00000000" w14:paraId="00000025">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Source: Van Soest Analysis at Laboratory of Ruminant Animal Nutrition and Feed Chemistry Padjadjaran University (2024)</w:t>
      </w:r>
      <w:r w:rsidDel="00000000" w:rsidR="00000000" w:rsidRPr="00000000">
        <w:rPr>
          <w:rtl w:val="0"/>
        </w:rPr>
      </w:r>
    </w:p>
    <w:p w:rsidR="00000000" w:rsidDel="00000000" w:rsidP="00000000" w:rsidRDefault="00000000" w:rsidRPr="00000000" w14:paraId="00000026">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Table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Feed Ingredient Composition of The Basal Ration</w:t>
      </w:r>
    </w:p>
    <w:tbl>
      <w:tblPr>
        <w:tblStyle w:val="Table2"/>
        <w:tblW w:w="8025.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152"/>
        <w:gridCol w:w="1152"/>
        <w:gridCol w:w="1152"/>
        <w:gridCol w:w="1152"/>
        <w:gridCol w:w="1152"/>
        <w:tblGridChange w:id="0">
          <w:tblGrid>
            <w:gridCol w:w="2265"/>
            <w:gridCol w:w="1152"/>
            <w:gridCol w:w="1152"/>
            <w:gridCol w:w="1152"/>
            <w:gridCol w:w="1152"/>
            <w:gridCol w:w="1152"/>
          </w:tblGrid>
        </w:tblGridChange>
      </w:tblGrid>
      <w:tr>
        <w:trPr>
          <w:cantSplit w:val="0"/>
          <w:trHeight w:val="440" w:hRule="atLeast"/>
          <w:tblHeader w:val="0"/>
        </w:trPr>
        <w:tc>
          <w:tcPr>
            <w:vMerge w:val="restart"/>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 Ingredient</w:t>
            </w:r>
          </w:p>
        </w:tc>
        <w:tc>
          <w:tcPr>
            <w:gridSpan w:val="5"/>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 Substances (%)</w:t>
            </w:r>
          </w:p>
        </w:tc>
      </w:tr>
      <w:tr>
        <w:trPr>
          <w:cantSplit w:val="0"/>
          <w:trHeight w:val="440" w:hRule="atLeast"/>
          <w:tblHeader w:val="0"/>
        </w:trPr>
        <w:tc>
          <w:tcPr>
            <w:vMerge w:val="continue"/>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Moisture</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Ash</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Ether Extract</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Crude Protein</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Crude Fiber</w:t>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Tofu Dregs</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5.62</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3.31</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2.59</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20.53</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14.38</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 Bean Meal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47.08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Cassava Dregs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Palm Kernel Meal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Rice Bran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15.23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10.98</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Meal</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8.49</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8.25</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1.37</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24.36</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6.37</w:t>
            </w:r>
          </w:p>
        </w:tc>
      </w:tr>
    </w:tbl>
    <w:p w:rsidR="00000000" w:rsidDel="00000000" w:rsidP="00000000" w:rsidRDefault="00000000" w:rsidRPr="00000000" w14:paraId="00000057">
      <w:pPr>
        <w:spacing w:after="20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Source: Proximate Analysis at Biotechnology Center, IPB University (2024)</w:t>
      </w:r>
    </w:p>
    <w:p w:rsidR="00000000" w:rsidDel="00000000" w:rsidP="00000000" w:rsidRDefault="00000000" w:rsidRPr="00000000" w14:paraId="00000058">
      <w:pPr>
        <w:spacing w:after="20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4"/>
          <w:szCs w:val="24"/>
          <w:rtl w:val="0"/>
        </w:rPr>
        <w:t xml:space="preserve">Table 3. </w:t>
      </w:r>
      <w:r w:rsidDel="00000000" w:rsidR="00000000" w:rsidRPr="00000000">
        <w:rPr>
          <w:rFonts w:ascii="Times New Roman" w:cs="Times New Roman" w:eastAsia="Times New Roman" w:hAnsi="Times New Roman"/>
          <w:sz w:val="24"/>
          <w:szCs w:val="24"/>
          <w:rtl w:val="0"/>
        </w:rPr>
        <w:t xml:space="preserve">Feed Composition</w:t>
      </w:r>
      <w:r w:rsidDel="00000000" w:rsidR="00000000" w:rsidRPr="00000000">
        <w:rPr>
          <w:rtl w:val="0"/>
        </w:rPr>
      </w:r>
    </w:p>
    <w:tbl>
      <w:tblPr>
        <w:tblStyle w:val="Table3"/>
        <w:tblW w:w="8064.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1152"/>
        <w:gridCol w:w="1152"/>
        <w:gridCol w:w="1152"/>
        <w:gridCol w:w="1152"/>
        <w:gridCol w:w="1152"/>
        <w:tblGridChange w:id="0">
          <w:tblGrid>
            <w:gridCol w:w="2304"/>
            <w:gridCol w:w="1152"/>
            <w:gridCol w:w="1152"/>
            <w:gridCol w:w="1152"/>
            <w:gridCol w:w="1152"/>
            <w:gridCol w:w="1152"/>
          </w:tblGrid>
        </w:tblGridChange>
      </w:tblGrid>
      <w:tr>
        <w:trPr>
          <w:cantSplit w:val="0"/>
          <w:trHeight w:val="440" w:hRule="atLeast"/>
          <w:tblHeader w:val="0"/>
        </w:trPr>
        <w:tc>
          <w:tcPr>
            <w:vMerge w:val="restart"/>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5"/>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 Substances (%)</w:t>
            </w:r>
          </w:p>
        </w:tc>
      </w:tr>
      <w:tr>
        <w:trPr>
          <w:cantSplit w:val="0"/>
          <w:trHeight w:val="440" w:hRule="atLeast"/>
          <w:tblHeader w:val="0"/>
        </w:trPr>
        <w:tc>
          <w:tcPr>
            <w:vMerge w:val="continue"/>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Moisture</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Ash</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Ether Extract</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Crude Protein</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Crude Fiber</w:t>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Basal Ration</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8.18</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6.41</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4.38</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16.99</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11.89</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Taiwan Napier Grass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17.30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27.12</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Lime Peel</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9.30</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5.70</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0.89</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10.34</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11.92</w:t>
            </w:r>
          </w:p>
        </w:tc>
      </w:tr>
    </w:tbl>
    <w:p w:rsidR="00000000" w:rsidDel="00000000" w:rsidP="00000000" w:rsidRDefault="00000000" w:rsidRPr="00000000" w14:paraId="00000077">
      <w:pPr>
        <w:spacing w:after="20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Source: Proximate Analysis at Biotechnology Center, IPB University (2024)</w:t>
      </w:r>
      <w:r w:rsidDel="00000000" w:rsidR="00000000" w:rsidRPr="00000000">
        <w:rPr>
          <w:rtl w:val="0"/>
        </w:rPr>
      </w:r>
    </w:p>
    <w:p w:rsidR="00000000" w:rsidDel="00000000" w:rsidP="00000000" w:rsidRDefault="00000000" w:rsidRPr="00000000" w14:paraId="00000078">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Table 4. </w:t>
      </w:r>
      <w:r w:rsidDel="00000000" w:rsidR="00000000" w:rsidRPr="00000000">
        <w:rPr>
          <w:rFonts w:ascii="Times New Roman" w:cs="Times New Roman" w:eastAsia="Times New Roman" w:hAnsi="Times New Roman"/>
          <w:sz w:val="24"/>
          <w:szCs w:val="24"/>
          <w:rtl w:val="0"/>
        </w:rPr>
        <w:t xml:space="preserve">Feed Proportions in The Treatment Groups</w:t>
      </w:r>
    </w:p>
    <w:tbl>
      <w:tblPr>
        <w:tblStyle w:val="Table4"/>
        <w:tblW w:w="48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152"/>
        <w:gridCol w:w="1152"/>
        <w:gridCol w:w="1152"/>
        <w:tblGridChange w:id="0">
          <w:tblGrid>
            <w:gridCol w:w="1440"/>
            <w:gridCol w:w="1152"/>
            <w:gridCol w:w="1152"/>
            <w:gridCol w:w="1152"/>
          </w:tblGrid>
        </w:tblGridChange>
      </w:tblGrid>
      <w:tr>
        <w:trPr>
          <w:cantSplit w:val="0"/>
          <w:trHeight w:val="440" w:hRule="atLeast"/>
          <w:tblHeader w:val="0"/>
        </w:trPr>
        <w:tc>
          <w:tcPr>
            <w:vMerge w:val="restart"/>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Treatment</w:t>
            </w:r>
          </w:p>
        </w:tc>
        <w:tc>
          <w:tcPr>
            <w:gridSpan w:val="3"/>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 Ingredient (%)</w:t>
            </w:r>
          </w:p>
        </w:tc>
      </w:tr>
      <w:tr>
        <w:trPr>
          <w:cantSplit w:val="0"/>
          <w:trHeight w:val="440" w:hRule="atLeast"/>
          <w:tblHeader w:val="0"/>
        </w:trPr>
        <w:tc>
          <w:tcPr>
            <w:vMerge w:val="continue"/>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Grass</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Basal Ration</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Lime Peel</w:t>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R0</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R4</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bl>
    <w:p w:rsidR="00000000" w:rsidDel="00000000" w:rsidP="00000000" w:rsidRDefault="00000000" w:rsidRPr="00000000" w14:paraId="00000095">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Description of Treatment:</w:t>
      </w:r>
    </w:p>
    <w:p w:rsidR="00000000" w:rsidDel="00000000" w:rsidP="00000000" w:rsidRDefault="00000000" w:rsidRPr="00000000" w14:paraId="00000096">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R0 = 60% grass + 40% basal ration + 0% lime peel </w:t>
      </w:r>
    </w:p>
    <w:p w:rsidR="00000000" w:rsidDel="00000000" w:rsidP="00000000" w:rsidRDefault="00000000" w:rsidRPr="00000000" w14:paraId="00000097">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R1 = 55% grass + 40% basal ration + 5% lime peel</w:t>
      </w:r>
    </w:p>
    <w:p w:rsidR="00000000" w:rsidDel="00000000" w:rsidP="00000000" w:rsidRDefault="00000000" w:rsidRPr="00000000" w14:paraId="00000098">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R2 = 50% grass + 40% basal ration + 10% lime peel</w:t>
      </w:r>
    </w:p>
    <w:p w:rsidR="00000000" w:rsidDel="00000000" w:rsidP="00000000" w:rsidRDefault="00000000" w:rsidRPr="00000000" w14:paraId="00000099">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R3 = 45% grass + 40% basal ration + 15% lime peel</w:t>
      </w:r>
    </w:p>
    <w:p w:rsidR="00000000" w:rsidDel="00000000" w:rsidP="00000000" w:rsidRDefault="00000000" w:rsidRPr="00000000" w14:paraId="0000009A">
      <w:pPr>
        <w:spacing w:after="200" w:before="0" w:line="24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sz w:val="20"/>
          <w:szCs w:val="20"/>
          <w:rtl w:val="0"/>
        </w:rPr>
        <w:t xml:space="preserve">R4 = 40% grass + 40% basal ration + 20% lime peel</w:t>
      </w:r>
      <w:r w:rsidDel="00000000" w:rsidR="00000000" w:rsidRPr="00000000">
        <w:rPr>
          <w:rtl w:val="0"/>
        </w:rPr>
      </w:r>
    </w:p>
    <w:p w:rsidR="00000000" w:rsidDel="00000000" w:rsidP="00000000" w:rsidRDefault="00000000" w:rsidRPr="00000000" w14:paraId="0000009B">
      <w:pPr>
        <w:pStyle w:val="Heading3"/>
        <w:keepNext w:val="0"/>
        <w:keepLines w:val="0"/>
        <w:spacing w:after="200" w:before="0" w:line="240" w:lineRule="auto"/>
        <w:jc w:val="both"/>
        <w:rPr>
          <w:rFonts w:ascii="Times New Roman" w:cs="Times New Roman" w:eastAsia="Times New Roman" w:hAnsi="Times New Roman"/>
          <w:sz w:val="24"/>
          <w:szCs w:val="24"/>
        </w:rPr>
      </w:pPr>
      <w:bookmarkStart w:colFirst="0" w:colLast="0" w:name="_vlz4ba4q6ykv" w:id="3"/>
      <w:bookmarkEnd w:id="3"/>
      <w:r w:rsidDel="00000000" w:rsidR="00000000" w:rsidRPr="00000000">
        <w:rPr>
          <w:rFonts w:ascii="Times New Roman" w:cs="Times New Roman" w:eastAsia="Times New Roman" w:hAnsi="Times New Roman"/>
          <w:b w:val="1"/>
          <w:bCs w:val="1"/>
          <w:color w:val="000000"/>
          <w:sz w:val="24"/>
          <w:szCs w:val="24"/>
          <w:rtl w:val="0"/>
        </w:rPr>
        <w:t xml:space="preserve">Table 5. </w:t>
      </w:r>
      <w:r w:rsidDel="00000000" w:rsidR="00000000" w:rsidRPr="00000000">
        <w:rPr>
          <w:rFonts w:ascii="Times New Roman" w:cs="Times New Roman" w:eastAsia="Times New Roman" w:hAnsi="Times New Roman"/>
          <w:color w:val="000000"/>
          <w:sz w:val="24"/>
          <w:szCs w:val="24"/>
          <w:rtl w:val="0"/>
        </w:rPr>
        <w:t xml:space="preserve">Nutrient Profile of The Dietary Treatments</w:t>
      </w:r>
      <w:r w:rsidDel="00000000" w:rsidR="00000000" w:rsidRPr="00000000">
        <w:rPr>
          <w:rtl w:val="0"/>
        </w:rPr>
      </w:r>
    </w:p>
    <w:tbl>
      <w:tblPr>
        <w:tblStyle w:val="Table5"/>
        <w:tblW w:w="7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152"/>
        <w:gridCol w:w="1152"/>
        <w:gridCol w:w="1152"/>
        <w:gridCol w:w="1152"/>
        <w:gridCol w:w="1152"/>
        <w:tblGridChange w:id="0">
          <w:tblGrid>
            <w:gridCol w:w="1440"/>
            <w:gridCol w:w="1152"/>
            <w:gridCol w:w="1152"/>
            <w:gridCol w:w="1152"/>
            <w:gridCol w:w="1152"/>
            <w:gridCol w:w="1152"/>
          </w:tblGrid>
        </w:tblGridChange>
      </w:tblGrid>
      <w:tr>
        <w:trPr>
          <w:cantSplit w:val="0"/>
          <w:trHeight w:val="440" w:hRule="atLeast"/>
          <w:tblHeader w:val="0"/>
        </w:trPr>
        <w:tc>
          <w:tcPr>
            <w:vMerge w:val="restart"/>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Treatment</w:t>
            </w:r>
          </w:p>
        </w:tc>
        <w:tc>
          <w:tcPr>
            <w:gridSpan w:val="5"/>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Nutrient Content (%)</w:t>
            </w:r>
          </w:p>
        </w:tc>
      </w:tr>
      <w:tr>
        <w:trPr>
          <w:cantSplit w:val="0"/>
          <w:trHeight w:val="440" w:hRule="atLeast"/>
          <w:tblHeader w:val="0"/>
        </w:trPr>
        <w:tc>
          <w:tcPr>
            <w:vMerge w:val="continue"/>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Moisture</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Ash</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Ether Extract</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Crude Protein</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Crude Fiber</w:t>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R0</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7.46</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12.94</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2.69</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14.74</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21.03</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20.27</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19.51</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18.75</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R4</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7.92</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10.62</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14.16</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17.99</w:t>
            </w:r>
          </w:p>
        </w:tc>
      </w:tr>
    </w:tbl>
    <w:p w:rsidR="00000000" w:rsidDel="00000000" w:rsidP="00000000" w:rsidRDefault="00000000" w:rsidRPr="00000000" w14:paraId="000000C6">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200" w:before="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In Vitro</w:t>
      </w:r>
      <w:r w:rsidDel="00000000" w:rsidR="00000000" w:rsidRPr="00000000">
        <w:rPr>
          <w:rFonts w:ascii="Times New Roman" w:cs="Times New Roman" w:eastAsia="Times New Roman" w:hAnsi="Times New Roman"/>
          <w:b w:val="1"/>
          <w:bCs w:val="1"/>
          <w:sz w:val="24"/>
          <w:szCs w:val="24"/>
          <w:rtl w:val="0"/>
        </w:rPr>
        <w:t xml:space="preserve"> Running Refers to Tilley and Terry (1963) Method</w:t>
      </w:r>
    </w:p>
    <w:p w:rsidR="00000000" w:rsidDel="00000000" w:rsidP="00000000" w:rsidRDefault="00000000" w:rsidRPr="00000000" w14:paraId="000000C8">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study was conducted using the Tilley and Terry (1963) method, with observations made on total VFA concentration, NH₃ production, dry matter digestibility (IVDMD), and organic matter digestibility (IVOMD). Rumen fluid was collected from three freshly slaughtered male goats, while the artificial saliva was prepared following McDougall's (1947) formulation. The chemical components used included 9.8 g NaHCO₃, 9.3 g Na₂HPO₄·7H₂O, 0.57 g KCl, 0.47 g NaCl, 0.06 g MgSO₄, and 0.04 g CaCl₂. All chemicals were added into a beaker glass, then distilled water was added to a final volume of 1000 mL and stirred using a magnetic stirrer until completely homogeneous.</w:t>
      </w:r>
    </w:p>
    <w:p w:rsidR="00000000" w:rsidDel="00000000" w:rsidP="00000000" w:rsidRDefault="00000000" w:rsidRPr="00000000" w14:paraId="000000C9">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of 0.5 grams of each sample was weighed into individual fermentation tubes, following the proportions of grass, basal ration, and lime peel as shown in Table 4. Each tube was then filled with 10 mL of a McDougall solution and rumen fluid in a 4:1 ratio, followed by the addition of carbon dioxide (CO₂) gas before sealing. The fermentation tubes containing the samples and rumen fluid were incubated in a water bath at 38–40 °C for 48 hours. During incubation, the tubes were shaken every three hours to simulate the peristaltic movements of the goat digestive tract. After 48 hours, the pH of each solution was measured, and 3–5 drops of saturated HgCl₂ solution were added to terminate rumen microbial activity. The contents were then centrifuged at 3000 rpm for 10 minutes to separate the residue from the supernatant. The supernatant was used for the analysis of NH₃ and VFA production. Meanwhile, for the digestibility analysis, the remaining residue underwent the second stage (abomasum phase) by adding a pepsin solution containing 2.47 g/L of pepsin (p.a.) and 20 mL/L of HCl in distilled water, followed by an additional 48 hours of incubation. </w:t>
      </w:r>
      <w:r w:rsidDel="00000000" w:rsidR="00000000" w:rsidRPr="00000000">
        <w:rPr>
          <w:rtl w:val="0"/>
        </w:rPr>
      </w:r>
    </w:p>
    <w:p w:rsidR="00000000" w:rsidDel="00000000" w:rsidP="00000000" w:rsidRDefault="00000000" w:rsidRPr="00000000" w14:paraId="000000CA">
      <w:pPr>
        <w:spacing w:after="200" w:before="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Observed Variables</w:t>
      </w:r>
    </w:p>
    <w:p w:rsidR="00000000" w:rsidDel="00000000" w:rsidP="00000000" w:rsidRDefault="00000000" w:rsidRPr="00000000" w14:paraId="000000CB">
      <w:pPr>
        <w:spacing w:after="200" w:before="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Digestibility of Dry Matter (DM) and Digestibility of Organic Matter (OM)</w:t>
      </w:r>
    </w:p>
    <w:p w:rsidR="00000000" w:rsidDel="00000000" w:rsidP="00000000" w:rsidRDefault="00000000" w:rsidRPr="00000000" w14:paraId="000000CC">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initial 48-hour incubation period, the solution was centrifuged at 3000 rpm for 10 minutes to separate the supernatant from the residue. The supernatant was discarded, and the residue was retained. Subsequently, 50 mL of pepsin solution was added to each fermentation tube, and the samples were incubated for another 48 hours with manual shaking every six hours. Following the second incubation period, the fermentation tubes were opened, and the entire contents were filtered using pre-weighed Whatman No. 41 filter paper to separate the residue from the digested solution. Any residue remaining on the walls of the fermentation tubes was rinsed with distilled water to ensure complete recovery of the sample.</w:t>
      </w:r>
    </w:p>
    <w:p w:rsidR="00000000" w:rsidDel="00000000" w:rsidP="00000000" w:rsidRDefault="00000000" w:rsidRPr="00000000" w14:paraId="000000CD">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filter paper containing the residue was placed in a pre-weighed aluminum dish and dried in an oven at 105°C for 24 hours. After drying, the dish was placed in a desiccator for 15 minutes. The aluminum dish containing the dried residue was then weighed to determine the final dry matter weight. Subsequently, the residue was transferred into a pre-weighed porcelain crucible and dried again in an oven at 105°C for another 24 hours. After drying, the crucible was placed in a desiccator for at least 15 minutes until it cooled to room temperature. The crucible and residue were then weighed to obtain the post-oven dry weight of the sample for dry matter digestibility calculation.</w:t>
      </w:r>
    </w:p>
    <w:p w:rsidR="00000000" w:rsidDel="00000000" w:rsidP="00000000" w:rsidRDefault="00000000" w:rsidRPr="00000000" w14:paraId="000000CE">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dried samples were then ashed in a muffle furnace at 600°C for 4–6 hours. After cooling in a desiccator, the samples were weighed to determine the organic matter content.</w:t>
      </w:r>
    </w:p>
    <w:p w:rsidR="00000000" w:rsidDel="00000000" w:rsidP="00000000" w:rsidRDefault="00000000" w:rsidRPr="00000000" w14:paraId="000000CF">
      <w:pPr>
        <w:spacing w:after="200" w:before="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Total Volatile Fatty Acids (VFA) Concentration</w:t>
      </w:r>
    </w:p>
    <w:p w:rsidR="00000000" w:rsidDel="00000000" w:rsidP="00000000" w:rsidRDefault="00000000" w:rsidRPr="00000000" w14:paraId="000000D0">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VFA concentration was measured using the Markham steam distillation technique (1942). A 5 mL aliquot of supernatant was placed into the steam distillation apparatus, followed by the addition of 1 mL of H₂SO₄, then the apparatus was sealed. Distillation continued until all VFA had evaporated and condensed into an Erlenmeyer flask, reaching a total volume of 200 mL. After condensation, 3–5 drops of phenolphthalein indicator were added and mixed by gently swirling the flask. The solution was then titrated with 0.5 N HCl until the pink color disappeared, indicating the endpoint. The volume of HCl used was recorded for further calculation.</w:t>
      </w:r>
    </w:p>
    <w:p w:rsidR="00000000" w:rsidDel="00000000" w:rsidP="00000000" w:rsidRDefault="00000000" w:rsidRPr="00000000" w14:paraId="000000D1">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VFA production was calculated using the following formula:</w:t>
      </w:r>
    </w:p>
    <w:p w:rsidR="00000000" w:rsidDel="00000000" w:rsidP="00000000" w:rsidRDefault="00000000" w:rsidRPr="00000000" w14:paraId="000000D2">
      <w:pPr>
        <w:spacing w:after="200" w:before="0" w:line="240" w:lineRule="auto"/>
        <w:jc w:val="center"/>
        <w:rPr>
          <w:rFonts w:ascii="Times New Roman" w:cs="Times New Roman" w:eastAsia="Times New Roman" w:hAnsi="Times New Roman"/>
          <w:i w:val="1"/>
          <w:iCs w:val="1"/>
          <w:sz w:val="24"/>
          <w:szCs w:val="24"/>
        </w:rPr>
      </w:pPr>
      <w:r w:rsidDel="00000000" w:rsidR="00000000" w:rsidRPr="00000000">
        <w:rPr>
          <w:rFonts w:ascii="Caudex" w:cs="Caudex" w:eastAsia="Caudex" w:hAnsi="Caudex"/>
          <w:i w:val="1"/>
          <w:iCs w:val="1"/>
          <w:sz w:val="24"/>
          <w:szCs w:val="24"/>
          <w:rtl w:val="0"/>
        </w:rPr>
        <w:t xml:space="preserve">VFAtotal (mM) = (a − b) N HCl ⨉ </w:t>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1000</m:t>
            </m:r>
          </m:num>
          <m:den>
            <m:r>
              <w:rPr>
                <w:rFonts w:ascii="Times New Roman" w:cs="Times New Roman" w:eastAsia="Times New Roman" w:hAnsi="Times New Roman"/>
                <w:sz w:val="24"/>
                <w:szCs w:val="24"/>
              </w:rPr>
              <m:t xml:space="preserve">5</m:t>
            </m:r>
          </m:den>
        </m:f>
      </m:oMath>
      <w:r w:rsidDel="00000000" w:rsidR="00000000" w:rsidRPr="00000000">
        <w:rPr>
          <w:rtl w:val="0"/>
        </w:rPr>
      </w:r>
    </w:p>
    <w:p w:rsidR="00000000" w:rsidDel="00000000" w:rsidP="00000000" w:rsidRDefault="00000000" w:rsidRPr="00000000" w14:paraId="000000D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a = Volume of blank titrant (5 mL NaOH)</w:t>
      </w:r>
    </w:p>
    <w:p w:rsidR="00000000" w:rsidDel="00000000" w:rsidP="00000000" w:rsidRDefault="00000000" w:rsidRPr="00000000" w14:paraId="000000D4">
      <w:pPr>
        <w:spacing w:after="200" w:before="0" w:line="240" w:lineRule="auto"/>
        <w:ind w:left="6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 Volume of sample titrant Ammonia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production</w:t>
      </w:r>
      <w:r w:rsidDel="00000000" w:rsidR="00000000" w:rsidRPr="00000000">
        <w:rPr>
          <w:rtl w:val="0"/>
        </w:rPr>
      </w:r>
    </w:p>
    <w:p w:rsidR="00000000" w:rsidDel="00000000" w:rsidP="00000000" w:rsidRDefault="00000000" w:rsidRPr="00000000" w14:paraId="000000D5">
      <w:pPr>
        <w:spacing w:after="200" w:before="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Ammonia (NH</w:t>
      </w:r>
      <w:r w:rsidDel="00000000" w:rsidR="00000000" w:rsidRPr="00000000">
        <w:rPr>
          <w:rFonts w:ascii="Times New Roman" w:cs="Times New Roman" w:eastAsia="Times New Roman" w:hAnsi="Times New Roman"/>
          <w:b w:val="1"/>
          <w:bCs w:val="1"/>
          <w:sz w:val="24"/>
          <w:szCs w:val="24"/>
          <w:vertAlign w:val="subscript"/>
          <w:rtl w:val="0"/>
        </w:rPr>
        <w:t xml:space="preserve">3</w:t>
      </w:r>
      <w:r w:rsidDel="00000000" w:rsidR="00000000" w:rsidRPr="00000000">
        <w:rPr>
          <w:rFonts w:ascii="Times New Roman" w:cs="Times New Roman" w:eastAsia="Times New Roman" w:hAnsi="Times New Roman"/>
          <w:b w:val="1"/>
          <w:bCs w:val="1"/>
          <w:sz w:val="24"/>
          <w:szCs w:val="24"/>
          <w:rtl w:val="0"/>
        </w:rPr>
        <w:t xml:space="preserve">) Concentration</w:t>
      </w:r>
    </w:p>
    <w:p w:rsidR="00000000" w:rsidDel="00000000" w:rsidP="00000000" w:rsidRDefault="00000000" w:rsidRPr="00000000" w14:paraId="000000D6">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NH₃ analysis was carried out using the Conway microdiffusion method. Conway dishes and their lids were prepared and sealed with petroleum jelly around the rims. A total of 1 mL of supernatant was added to the outer compartment (left side) of the Conway dish, while 1 mL of boric acid solution containing methyl red and bromocresol green indicators was placed in the central well. The dish was then tightly sealed and gently shaken to mix the Na₂CO₃ solution with the supernatant. The Conway dishes were left to stand at room temperature for 24 hours. After incubation, the contents of the central well were titrated with 0.005 N H₂SO₄ until the color changed from blue to pink.</w:t>
      </w:r>
    </w:p>
    <w:p w:rsidR="00000000" w:rsidDel="00000000" w:rsidP="00000000" w:rsidRDefault="00000000" w:rsidRPr="00000000" w14:paraId="000000D7">
      <w:pPr>
        <w:spacing w:after="20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production was calculated using the following formula:</w:t>
      </w:r>
    </w:p>
    <w:p w:rsidR="00000000" w:rsidDel="00000000" w:rsidP="00000000" w:rsidRDefault="00000000" w:rsidRPr="00000000" w14:paraId="000000D8">
      <w:pPr>
        <w:spacing w:after="200" w:before="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NH</w:t>
      </w:r>
      <w:r w:rsidDel="00000000" w:rsidR="00000000" w:rsidRPr="00000000">
        <w:rPr>
          <w:rFonts w:ascii="Times New Roman" w:cs="Times New Roman" w:eastAsia="Times New Roman" w:hAnsi="Times New Roman"/>
          <w:i w:val="1"/>
          <w:iCs w:val="1"/>
          <w:sz w:val="24"/>
          <w:szCs w:val="24"/>
          <w:vertAlign w:val="subscript"/>
          <w:rtl w:val="0"/>
        </w:rPr>
        <w:t xml:space="preserve">3 </w:t>
      </w:r>
      <w:r w:rsidDel="00000000" w:rsidR="00000000" w:rsidRPr="00000000">
        <w:rPr>
          <w:rFonts w:ascii="Times New Roman" w:cs="Times New Roman" w:eastAsia="Times New Roman" w:hAnsi="Times New Roman"/>
          <w:i w:val="1"/>
          <w:iCs w:val="1"/>
          <w:sz w:val="24"/>
          <w:szCs w:val="24"/>
          <w:rtl w:val="0"/>
        </w:rPr>
        <w:t xml:space="preserve">(mM) = (V H</w:t>
      </w:r>
      <w:r w:rsidDel="00000000" w:rsidR="00000000" w:rsidRPr="00000000">
        <w:rPr>
          <w:rFonts w:ascii="Times New Roman" w:cs="Times New Roman" w:eastAsia="Times New Roman" w:hAnsi="Times New Roman"/>
          <w:i w:val="1"/>
          <w:iCs w:val="1"/>
          <w:sz w:val="24"/>
          <w:szCs w:val="24"/>
          <w:vertAlign w:val="subscript"/>
          <w:rtl w:val="0"/>
        </w:rPr>
        <w:t xml:space="preserve">2</w:t>
      </w:r>
      <w:r w:rsidDel="00000000" w:rsidR="00000000" w:rsidRPr="00000000">
        <w:rPr>
          <w:rFonts w:ascii="Times New Roman" w:cs="Times New Roman" w:eastAsia="Times New Roman" w:hAnsi="Times New Roman"/>
          <w:i w:val="1"/>
          <w:iCs w:val="1"/>
          <w:sz w:val="24"/>
          <w:szCs w:val="24"/>
          <w:rtl w:val="0"/>
        </w:rPr>
        <w:t xml:space="preserve">SO</w:t>
      </w:r>
      <w:r w:rsidDel="00000000" w:rsidR="00000000" w:rsidRPr="00000000">
        <w:rPr>
          <w:rFonts w:ascii="Times New Roman" w:cs="Times New Roman" w:eastAsia="Times New Roman" w:hAnsi="Times New Roman"/>
          <w:i w:val="1"/>
          <w:iCs w:val="1"/>
          <w:sz w:val="24"/>
          <w:szCs w:val="24"/>
          <w:vertAlign w:val="subscript"/>
          <w:rtl w:val="0"/>
        </w:rPr>
        <w:t xml:space="preserve">4</w:t>
      </w:r>
      <w:r w:rsidDel="00000000" w:rsidR="00000000" w:rsidRPr="00000000">
        <w:rPr>
          <w:rFonts w:ascii="Cardo" w:cs="Cardo" w:eastAsia="Cardo" w:hAnsi="Cardo"/>
          <w:i w:val="1"/>
          <w:iCs w:val="1"/>
          <w:sz w:val="24"/>
          <w:szCs w:val="24"/>
          <w:rtl w:val="0"/>
        </w:rPr>
        <w:t xml:space="preserve"> ⨉ N H</w:t>
      </w:r>
      <w:r w:rsidDel="00000000" w:rsidR="00000000" w:rsidRPr="00000000">
        <w:rPr>
          <w:rFonts w:ascii="Times New Roman" w:cs="Times New Roman" w:eastAsia="Times New Roman" w:hAnsi="Times New Roman"/>
          <w:i w:val="1"/>
          <w:iCs w:val="1"/>
          <w:sz w:val="24"/>
          <w:szCs w:val="24"/>
          <w:vertAlign w:val="subscript"/>
          <w:rtl w:val="0"/>
        </w:rPr>
        <w:t xml:space="preserve">2</w:t>
      </w:r>
      <w:r w:rsidDel="00000000" w:rsidR="00000000" w:rsidRPr="00000000">
        <w:rPr>
          <w:rFonts w:ascii="Times New Roman" w:cs="Times New Roman" w:eastAsia="Times New Roman" w:hAnsi="Times New Roman"/>
          <w:i w:val="1"/>
          <w:iCs w:val="1"/>
          <w:sz w:val="24"/>
          <w:szCs w:val="24"/>
          <w:rtl w:val="0"/>
        </w:rPr>
        <w:t xml:space="preserve">SO</w:t>
      </w:r>
      <w:r w:rsidDel="00000000" w:rsidR="00000000" w:rsidRPr="00000000">
        <w:rPr>
          <w:rFonts w:ascii="Times New Roman" w:cs="Times New Roman" w:eastAsia="Times New Roman" w:hAnsi="Times New Roman"/>
          <w:i w:val="1"/>
          <w:iCs w:val="1"/>
          <w:sz w:val="24"/>
          <w:szCs w:val="24"/>
          <w:vertAlign w:val="subscript"/>
          <w:rtl w:val="0"/>
        </w:rPr>
        <w:t xml:space="preserve">4</w:t>
      </w:r>
      <w:r w:rsidDel="00000000" w:rsidR="00000000" w:rsidRPr="00000000">
        <w:rPr>
          <w:rFonts w:ascii="Cardo" w:cs="Cardo" w:eastAsia="Cardo" w:hAnsi="Cardo"/>
          <w:i w:val="1"/>
          <w:iCs w:val="1"/>
          <w:sz w:val="24"/>
          <w:szCs w:val="24"/>
          <w:rtl w:val="0"/>
        </w:rPr>
        <w:t xml:space="preserve"> ⨉ 1000) mM</w:t>
      </w:r>
    </w:p>
    <w:p w:rsidR="00000000" w:rsidDel="00000000" w:rsidP="00000000" w:rsidRDefault="00000000" w:rsidRPr="00000000" w14:paraId="000000D9">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V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Volume of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used for titration (mL)</w:t>
      </w:r>
    </w:p>
    <w:p w:rsidR="00000000" w:rsidDel="00000000" w:rsidP="00000000" w:rsidRDefault="00000000" w:rsidRPr="00000000" w14:paraId="000000DA">
      <w:pPr>
        <w:spacing w:after="200" w:before="0" w:line="240" w:lineRule="auto"/>
        <w:ind w:left="6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Normality of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DB">
      <w:pPr>
        <w:spacing w:after="200" w:before="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Statistical Analysis</w:t>
      </w:r>
    </w:p>
    <w:p w:rsidR="00000000" w:rsidDel="00000000" w:rsidP="00000000" w:rsidRDefault="00000000" w:rsidRPr="00000000" w14:paraId="000000DC">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were analyzed using Analysis of Variance (ANOVA) to determine the effect of treatments, followed by Duncan’s Multiple Range Test (DMRT) to identify significant differences among treatment means.</w:t>
      </w:r>
      <w:r w:rsidDel="00000000" w:rsidR="00000000" w:rsidRPr="00000000">
        <w:rPr>
          <w:rtl w:val="0"/>
        </w:rPr>
      </w:r>
    </w:p>
    <w:p w:rsidR="00000000" w:rsidDel="00000000" w:rsidP="00000000" w:rsidRDefault="00000000" w:rsidRPr="00000000" w14:paraId="000000DD">
      <w:pPr>
        <w:pStyle w:val="Heading3"/>
        <w:keepNext w:val="0"/>
        <w:keepLines w:val="0"/>
        <w:spacing w:after="200" w:before="0" w:line="240" w:lineRule="auto"/>
        <w:jc w:val="both"/>
        <w:rPr>
          <w:rFonts w:ascii="Times New Roman" w:cs="Times New Roman" w:eastAsia="Times New Roman" w:hAnsi="Times New Roman"/>
          <w:b w:val="1"/>
          <w:bCs w:val="1"/>
          <w:color w:val="000000"/>
        </w:rPr>
      </w:pPr>
      <w:bookmarkStart w:colFirst="0" w:colLast="0" w:name="_hrz1rak2tgov" w:id="4"/>
      <w:bookmarkEnd w:id="4"/>
      <w:r w:rsidDel="00000000" w:rsidR="00000000" w:rsidRPr="00000000">
        <w:rPr>
          <w:rFonts w:ascii="Times New Roman" w:cs="Times New Roman" w:eastAsia="Times New Roman" w:hAnsi="Times New Roman"/>
          <w:b w:val="1"/>
          <w:bCs w:val="1"/>
          <w:color w:val="000000"/>
          <w:rtl w:val="0"/>
        </w:rPr>
        <w:t xml:space="preserve">RESULTS AND DISCUSSION</w:t>
      </w:r>
    </w:p>
    <w:p w:rsidR="00000000" w:rsidDel="00000000" w:rsidP="00000000" w:rsidRDefault="00000000" w:rsidRPr="00000000" w14:paraId="000000DE">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study regarding the evaluated parameters, including IVDMD, IVOMD, total VFAs, and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are presented in Table 6.</w:t>
      </w:r>
    </w:p>
    <w:p w:rsidR="00000000" w:rsidDel="00000000" w:rsidP="00000000" w:rsidRDefault="00000000" w:rsidRPr="00000000" w14:paraId="000000DF">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Table 6.</w:t>
      </w:r>
      <w:r w:rsidDel="00000000" w:rsidR="00000000" w:rsidRPr="00000000">
        <w:rPr>
          <w:rFonts w:ascii="Times New Roman" w:cs="Times New Roman" w:eastAsia="Times New Roman" w:hAnsi="Times New Roman"/>
          <w:sz w:val="24"/>
          <w:szCs w:val="24"/>
          <w:rtl w:val="0"/>
        </w:rPr>
        <w:t xml:space="preserve"> Result of Lime Peel Treatment on IVDMD, IVOMD, VFAt, and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tbl>
      <w:tblPr>
        <w:tblStyle w:val="Table6"/>
        <w:tblpPr w:leftFromText="180" w:rightFromText="180" w:topFromText="180" w:bottomFromText="180" w:vertAnchor="text" w:horzAnchor="text" w:tblpX="-150" w:tblpY="0"/>
        <w:tblW w:w="10036.8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84"/>
        <w:gridCol w:w="1656"/>
        <w:gridCol w:w="1742.4"/>
        <w:gridCol w:w="1656"/>
        <w:gridCol w:w="1742.4"/>
        <w:gridCol w:w="1656"/>
        <w:tblGridChange w:id="0">
          <w:tblGrid>
            <w:gridCol w:w="1584"/>
            <w:gridCol w:w="1656"/>
            <w:gridCol w:w="1742.4"/>
            <w:gridCol w:w="1656"/>
            <w:gridCol w:w="1742.4"/>
            <w:gridCol w:w="1656"/>
          </w:tblGrid>
        </w:tblGridChange>
      </w:tblGrid>
      <w:tr>
        <w:trPr>
          <w:cantSplit w:val="0"/>
          <w:trHeight w:val="440" w:hRule="atLeast"/>
          <w:tblHeader w:val="0"/>
        </w:trPr>
        <w:tc>
          <w:tcPr>
            <w:vMerge w:val="restart"/>
            <w:tcBorders>
              <w:left w:color="000000" w:space="0" w:sz="0" w:val="nil"/>
              <w:right w:color="000000" w:space="0" w:sz="0" w:val="nil"/>
            </w:tcBorders>
            <w:vAlign w:val="center"/>
          </w:tcPr>
          <w:p w:rsidR="00000000" w:rsidDel="00000000" w:rsidP="00000000" w:rsidRDefault="00000000" w:rsidRPr="00000000" w14:paraId="000000E0">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Parameter</w:t>
            </w:r>
          </w:p>
        </w:tc>
        <w:tc>
          <w:tcPr>
            <w:gridSpan w:val="5"/>
            <w:tcBorders>
              <w:left w:color="000000" w:space="0" w:sz="0" w:val="nil"/>
            </w:tcBorders>
            <w:vAlign w:val="center"/>
          </w:tcPr>
          <w:p w:rsidR="00000000" w:rsidDel="00000000" w:rsidP="00000000" w:rsidRDefault="00000000" w:rsidRPr="00000000" w14:paraId="000000E1">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Treatment</w:t>
            </w:r>
          </w:p>
        </w:tc>
      </w:tr>
      <w:tr>
        <w:trPr>
          <w:cantSplit w:val="0"/>
          <w:trHeight w:val="440" w:hRule="atLeast"/>
          <w:tblHeader w:val="0"/>
        </w:trPr>
        <w:tc>
          <w:tcPr>
            <w:vMerge w:val="continue"/>
            <w:tcBorders>
              <w:left w:color="000000" w:space="0" w:sz="0" w:val="nil"/>
              <w:right w:color="000000" w:space="0" w:sz="0" w:val="nil"/>
            </w:tcBorders>
            <w:vAlign w:val="center"/>
          </w:tcPr>
          <w:p w:rsidR="00000000" w:rsidDel="00000000" w:rsidP="00000000" w:rsidRDefault="00000000" w:rsidRPr="00000000" w14:paraId="000000E6">
            <w:pPr>
              <w:widowControl w:val="0"/>
              <w:spacing w:after="0" w:before="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E7">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R0</w:t>
            </w:r>
          </w:p>
        </w:tc>
        <w:tc>
          <w:tcPr>
            <w:tcBorders>
              <w:left w:color="000000" w:space="0" w:sz="0" w:val="nil"/>
              <w:right w:color="000000" w:space="0" w:sz="0" w:val="nil"/>
            </w:tcBorders>
            <w:vAlign w:val="center"/>
          </w:tcPr>
          <w:p w:rsidR="00000000" w:rsidDel="00000000" w:rsidP="00000000" w:rsidRDefault="00000000" w:rsidRPr="00000000" w14:paraId="000000E8">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R1</w:t>
            </w:r>
          </w:p>
        </w:tc>
        <w:tc>
          <w:tcPr>
            <w:tcBorders>
              <w:left w:color="000000" w:space="0" w:sz="0" w:val="nil"/>
              <w:right w:color="000000" w:space="0" w:sz="0" w:val="nil"/>
            </w:tcBorders>
            <w:vAlign w:val="center"/>
          </w:tcPr>
          <w:p w:rsidR="00000000" w:rsidDel="00000000" w:rsidP="00000000" w:rsidRDefault="00000000" w:rsidRPr="00000000" w14:paraId="000000E9">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R2</w:t>
            </w:r>
          </w:p>
        </w:tc>
        <w:tc>
          <w:tcPr>
            <w:tcBorders>
              <w:left w:color="000000" w:space="0" w:sz="0" w:val="nil"/>
              <w:right w:color="000000" w:space="0" w:sz="0" w:val="nil"/>
            </w:tcBorders>
            <w:vAlign w:val="center"/>
          </w:tcPr>
          <w:p w:rsidR="00000000" w:rsidDel="00000000" w:rsidP="00000000" w:rsidRDefault="00000000" w:rsidRPr="00000000" w14:paraId="000000EA">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R3</w:t>
            </w:r>
          </w:p>
        </w:tc>
        <w:tc>
          <w:tcPr>
            <w:tcBorders>
              <w:left w:color="000000" w:space="0" w:sz="0" w:val="nil"/>
              <w:right w:color="000000" w:space="0" w:sz="0" w:val="nil"/>
            </w:tcBorders>
            <w:vAlign w:val="center"/>
          </w:tcPr>
          <w:p w:rsidR="00000000" w:rsidDel="00000000" w:rsidP="00000000" w:rsidRDefault="00000000" w:rsidRPr="00000000" w14:paraId="000000EB">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R4</w:t>
            </w:r>
          </w:p>
        </w:tc>
      </w:tr>
      <w:tr>
        <w:trPr>
          <w:cantSplit w:val="0"/>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0EC">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IVDMD (%)</w:t>
            </w:r>
          </w:p>
        </w:tc>
        <w:tc>
          <w:tcPr>
            <w:tcBorders>
              <w:left w:color="000000" w:space="0" w:sz="0" w:val="nil"/>
              <w:bottom w:color="000000" w:space="0" w:sz="0" w:val="nil"/>
              <w:right w:color="000000" w:space="0" w:sz="0" w:val="nil"/>
            </w:tcBorders>
          </w:tcPr>
          <w:p w:rsidR="00000000" w:rsidDel="00000000" w:rsidP="00000000" w:rsidRDefault="00000000" w:rsidRPr="00000000" w14:paraId="000000ED">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60.05</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0.70</w:t>
            </w:r>
          </w:p>
        </w:tc>
        <w:tc>
          <w:tcPr>
            <w:tcBorders>
              <w:left w:color="000000" w:space="0" w:sz="0" w:val="nil"/>
              <w:bottom w:color="000000" w:space="0" w:sz="0" w:val="nil"/>
              <w:right w:color="000000" w:space="0" w:sz="0" w:val="nil"/>
            </w:tcBorders>
          </w:tcPr>
          <w:p w:rsidR="00000000" w:rsidDel="00000000" w:rsidP="00000000" w:rsidRDefault="00000000" w:rsidRPr="00000000" w14:paraId="000000EE">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62.04</w:t>
            </w:r>
            <w:r w:rsidDel="00000000" w:rsidR="00000000" w:rsidRPr="00000000">
              <w:rPr>
                <w:rFonts w:ascii="Times New Roman" w:cs="Times New Roman" w:eastAsia="Times New Roman" w:hAnsi="Times New Roman"/>
                <w:sz w:val="24"/>
                <w:szCs w:val="24"/>
                <w:vertAlign w:val="superscript"/>
                <w:rtl w:val="0"/>
              </w:rPr>
              <w:t xml:space="preserve">c</w:t>
            </w:r>
            <w:r w:rsidDel="00000000" w:rsidR="00000000" w:rsidRPr="00000000">
              <w:rPr>
                <w:rFonts w:ascii="Times New Roman" w:cs="Times New Roman" w:eastAsia="Times New Roman" w:hAnsi="Times New Roman"/>
                <w:sz w:val="24"/>
                <w:szCs w:val="24"/>
                <w:rtl w:val="0"/>
              </w:rPr>
              <w:t xml:space="preserve"> ±0.96</w:t>
            </w:r>
          </w:p>
        </w:tc>
        <w:tc>
          <w:tcPr>
            <w:tcBorders>
              <w:left w:color="000000" w:space="0" w:sz="0" w:val="nil"/>
              <w:bottom w:color="000000" w:space="0" w:sz="0" w:val="nil"/>
              <w:right w:color="000000" w:space="0" w:sz="0" w:val="nil"/>
            </w:tcBorders>
          </w:tcPr>
          <w:p w:rsidR="00000000" w:rsidDel="00000000" w:rsidP="00000000" w:rsidRDefault="00000000" w:rsidRPr="00000000" w14:paraId="000000EF">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63.15</w:t>
            </w:r>
            <w:r w:rsidDel="00000000" w:rsidR="00000000" w:rsidRPr="00000000">
              <w:rPr>
                <w:rFonts w:ascii="Times New Roman" w:cs="Times New Roman" w:eastAsia="Times New Roman" w:hAnsi="Times New Roman"/>
                <w:sz w:val="24"/>
                <w:szCs w:val="24"/>
                <w:vertAlign w:val="superscript"/>
                <w:rtl w:val="0"/>
              </w:rPr>
              <w:t xml:space="preserve">cd</w:t>
            </w:r>
            <w:r w:rsidDel="00000000" w:rsidR="00000000" w:rsidRPr="00000000">
              <w:rPr>
                <w:rFonts w:ascii="Times New Roman" w:cs="Times New Roman" w:eastAsia="Times New Roman" w:hAnsi="Times New Roman"/>
                <w:sz w:val="24"/>
                <w:szCs w:val="24"/>
                <w:rtl w:val="0"/>
              </w:rPr>
              <w:t xml:space="preserve"> ± 0.72</w:t>
            </w:r>
          </w:p>
        </w:tc>
        <w:tc>
          <w:tcPr>
            <w:tcBorders>
              <w:left w:color="000000" w:space="0" w:sz="0" w:val="nil"/>
              <w:bottom w:color="000000" w:space="0" w:sz="0" w:val="nil"/>
              <w:right w:color="000000" w:space="0" w:sz="0" w:val="nil"/>
            </w:tcBorders>
          </w:tcPr>
          <w:p w:rsidR="00000000" w:rsidDel="00000000" w:rsidP="00000000" w:rsidRDefault="00000000" w:rsidRPr="00000000" w14:paraId="000000F0">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64.08</w:t>
            </w:r>
            <w:r w:rsidDel="00000000" w:rsidR="00000000" w:rsidRPr="00000000">
              <w:rPr>
                <w:rFonts w:ascii="Times New Roman" w:cs="Times New Roman" w:eastAsia="Times New Roman" w:hAnsi="Times New Roman"/>
                <w:sz w:val="24"/>
                <w:szCs w:val="24"/>
                <w:vertAlign w:val="superscript"/>
                <w:rtl w:val="0"/>
              </w:rPr>
              <w:t xml:space="preserve">d</w:t>
            </w:r>
            <w:r w:rsidDel="00000000" w:rsidR="00000000" w:rsidRPr="00000000">
              <w:rPr>
                <w:rFonts w:ascii="Times New Roman" w:cs="Times New Roman" w:eastAsia="Times New Roman" w:hAnsi="Times New Roman"/>
                <w:sz w:val="24"/>
                <w:szCs w:val="24"/>
                <w:rtl w:val="0"/>
              </w:rPr>
              <w:t xml:space="preserve"> ± 1.72</w:t>
            </w:r>
          </w:p>
        </w:tc>
        <w:tc>
          <w:tcPr>
            <w:tcBorders>
              <w:left w:color="000000" w:space="0" w:sz="0" w:val="nil"/>
              <w:bottom w:color="000000" w:space="0" w:sz="0" w:val="nil"/>
              <w:right w:color="000000" w:space="0" w:sz="0" w:val="nil"/>
            </w:tcBorders>
          </w:tcPr>
          <w:p w:rsidR="00000000" w:rsidDel="00000000" w:rsidP="00000000" w:rsidRDefault="00000000" w:rsidRPr="00000000" w14:paraId="000000F1">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57.35</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1.04</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2">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IVOMD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3">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66.09</w:t>
            </w:r>
            <w:r w:rsidDel="00000000" w:rsidR="00000000" w:rsidRPr="00000000">
              <w:rPr>
                <w:rFonts w:ascii="Times New Roman" w:cs="Times New Roman" w:eastAsia="Times New Roman" w:hAnsi="Times New Roman"/>
                <w:sz w:val="24"/>
                <w:szCs w:val="24"/>
                <w:vertAlign w:val="superscript"/>
                <w:rtl w:val="0"/>
              </w:rPr>
              <w:t xml:space="preserve">ab</w:t>
            </w:r>
            <w:r w:rsidDel="00000000" w:rsidR="00000000" w:rsidRPr="00000000">
              <w:rPr>
                <w:rFonts w:ascii="Times New Roman" w:cs="Times New Roman" w:eastAsia="Times New Roman" w:hAnsi="Times New Roman"/>
                <w:sz w:val="24"/>
                <w:szCs w:val="24"/>
                <w:rtl w:val="0"/>
              </w:rPr>
              <w:t xml:space="preserve"> ± 0.67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4">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67.39</w:t>
            </w:r>
            <w:r w:rsidDel="00000000" w:rsidR="00000000" w:rsidRPr="00000000">
              <w:rPr>
                <w:rFonts w:ascii="Times New Roman" w:cs="Times New Roman" w:eastAsia="Times New Roman" w:hAnsi="Times New Roman"/>
                <w:sz w:val="24"/>
                <w:szCs w:val="24"/>
                <w:vertAlign w:val="superscript"/>
                <w:rtl w:val="0"/>
              </w:rPr>
              <w:t xml:space="preserve">bc</w:t>
            </w:r>
            <w:r w:rsidDel="00000000" w:rsidR="00000000" w:rsidRPr="00000000">
              <w:rPr>
                <w:rFonts w:ascii="Times New Roman" w:cs="Times New Roman" w:eastAsia="Times New Roman" w:hAnsi="Times New Roman"/>
                <w:sz w:val="24"/>
                <w:szCs w:val="24"/>
                <w:rtl w:val="0"/>
              </w:rPr>
              <w:t xml:space="preserve"> ± 1.38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5">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69.82</w:t>
            </w:r>
            <w:r w:rsidDel="00000000" w:rsidR="00000000" w:rsidRPr="00000000">
              <w:rPr>
                <w:rFonts w:ascii="Times New Roman" w:cs="Times New Roman" w:eastAsia="Times New Roman" w:hAnsi="Times New Roman"/>
                <w:sz w:val="24"/>
                <w:szCs w:val="24"/>
                <w:vertAlign w:val="superscript"/>
                <w:rtl w:val="0"/>
              </w:rPr>
              <w:t xml:space="preserve">cd</w:t>
            </w:r>
            <w:r w:rsidDel="00000000" w:rsidR="00000000" w:rsidRPr="00000000">
              <w:rPr>
                <w:rFonts w:ascii="Times New Roman" w:cs="Times New Roman" w:eastAsia="Times New Roman" w:hAnsi="Times New Roman"/>
                <w:sz w:val="24"/>
                <w:szCs w:val="24"/>
                <w:rtl w:val="0"/>
              </w:rPr>
              <w:t xml:space="preserve"> ± 1.46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6">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72.06</w:t>
            </w:r>
            <w:r w:rsidDel="00000000" w:rsidR="00000000" w:rsidRPr="00000000">
              <w:rPr>
                <w:rFonts w:ascii="Times New Roman" w:cs="Times New Roman" w:eastAsia="Times New Roman" w:hAnsi="Times New Roman"/>
                <w:sz w:val="24"/>
                <w:szCs w:val="24"/>
                <w:vertAlign w:val="superscript"/>
                <w:rtl w:val="0"/>
              </w:rPr>
              <w:t xml:space="preserve">d</w:t>
            </w:r>
            <w:r w:rsidDel="00000000" w:rsidR="00000000" w:rsidRPr="00000000">
              <w:rPr>
                <w:rFonts w:ascii="Times New Roman" w:cs="Times New Roman" w:eastAsia="Times New Roman" w:hAnsi="Times New Roman"/>
                <w:sz w:val="24"/>
                <w:szCs w:val="24"/>
                <w:rtl w:val="0"/>
              </w:rPr>
              <w:t xml:space="preserve"> ± 2.33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7">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64.24</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3.29</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8">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VFAt (mM)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9">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165.27</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1.99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A">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137.05</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15.75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B">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162.39</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9.84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C">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171.89</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12.54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D">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141.92</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3.81</w:t>
            </w:r>
          </w:p>
        </w:tc>
      </w:tr>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FE">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(mM)</w:t>
            </w:r>
          </w:p>
        </w:tc>
        <w:tc>
          <w:tcPr>
            <w:tcBorders>
              <w:top w:color="000000" w:space="0" w:sz="0" w:val="nil"/>
              <w:left w:color="000000" w:space="0" w:sz="0" w:val="nil"/>
              <w:right w:color="000000" w:space="0" w:sz="0" w:val="nil"/>
            </w:tcBorders>
          </w:tcPr>
          <w:p w:rsidR="00000000" w:rsidDel="00000000" w:rsidP="00000000" w:rsidRDefault="00000000" w:rsidRPr="00000000" w14:paraId="000000FF">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0.51</w:t>
            </w:r>
          </w:p>
        </w:tc>
        <w:tc>
          <w:tcPr>
            <w:tcBorders>
              <w:top w:color="000000" w:space="0" w:sz="0" w:val="nil"/>
              <w:left w:color="000000" w:space="0" w:sz="0" w:val="nil"/>
              <w:right w:color="000000" w:space="0" w:sz="0" w:val="nil"/>
            </w:tcBorders>
          </w:tcPr>
          <w:p w:rsidR="00000000" w:rsidDel="00000000" w:rsidP="00000000" w:rsidRDefault="00000000" w:rsidRPr="00000000" w14:paraId="00000100">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11.22</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0.50</w:t>
            </w:r>
          </w:p>
        </w:tc>
        <w:tc>
          <w:tcPr>
            <w:tcBorders>
              <w:top w:color="000000" w:space="0" w:sz="0" w:val="nil"/>
              <w:left w:color="000000" w:space="0" w:sz="0" w:val="nil"/>
              <w:right w:color="000000" w:space="0" w:sz="0" w:val="nil"/>
            </w:tcBorders>
          </w:tcPr>
          <w:p w:rsidR="00000000" w:rsidDel="00000000" w:rsidP="00000000" w:rsidRDefault="00000000" w:rsidRPr="00000000" w14:paraId="00000101">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10.16</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0.46</w:t>
            </w:r>
          </w:p>
        </w:tc>
        <w:tc>
          <w:tcPr>
            <w:tcBorders>
              <w:top w:color="000000" w:space="0" w:sz="0" w:val="nil"/>
              <w:left w:color="000000" w:space="0" w:sz="0" w:val="nil"/>
              <w:right w:color="000000" w:space="0" w:sz="0" w:val="nil"/>
            </w:tcBorders>
          </w:tcPr>
          <w:p w:rsidR="00000000" w:rsidDel="00000000" w:rsidP="00000000" w:rsidRDefault="00000000" w:rsidRPr="00000000" w14:paraId="00000102">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10.08</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0.32</w:t>
            </w:r>
          </w:p>
        </w:tc>
        <w:tc>
          <w:tcPr>
            <w:tcBorders>
              <w:top w:color="000000" w:space="0" w:sz="0" w:val="nil"/>
              <w:left w:color="000000" w:space="0" w:sz="0" w:val="nil"/>
              <w:right w:color="000000" w:space="0" w:sz="0" w:val="nil"/>
            </w:tcBorders>
          </w:tcPr>
          <w:p w:rsidR="00000000" w:rsidDel="00000000" w:rsidP="00000000" w:rsidRDefault="00000000" w:rsidRPr="00000000" w14:paraId="00000103">
            <w:pPr>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10.15</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0.41</w:t>
            </w:r>
          </w:p>
        </w:tc>
      </w:tr>
    </w:tbl>
    <w:p w:rsidR="00000000" w:rsidDel="00000000" w:rsidP="00000000" w:rsidRDefault="00000000" w:rsidRPr="00000000" w14:paraId="00000104">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5">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6">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7">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8">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9">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A">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B">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C">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D">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E">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0F">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10">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11">
      <w:pPr>
        <w:spacing w:after="0" w:before="0" w:line="240" w:lineRule="auto"/>
        <w:jc w:val="both"/>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112">
      <w:pPr>
        <w:spacing w:after="20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abcd</w:t>
      </w:r>
      <w:r w:rsidDel="00000000" w:rsidR="00000000" w:rsidRPr="00000000">
        <w:rPr>
          <w:rFonts w:ascii="Times New Roman" w:cs="Times New Roman" w:eastAsia="Times New Roman" w:hAnsi="Times New Roman"/>
          <w:sz w:val="20"/>
          <w:szCs w:val="20"/>
          <w:rtl w:val="0"/>
        </w:rPr>
        <w:t xml:space="preserve"> Means within the same row with different superscript letters are significantly different (</w:t>
      </w:r>
      <w:r w:rsidDel="00000000" w:rsidR="00000000" w:rsidRPr="00000000">
        <w:rPr>
          <w:rFonts w:ascii="Times New Roman" w:cs="Times New Roman" w:eastAsia="Times New Roman" w:hAnsi="Times New Roman"/>
          <w:i w:val="1"/>
          <w:iCs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 &lt; 0.05)</w:t>
      </w:r>
      <w:r w:rsidDel="00000000" w:rsidR="00000000" w:rsidRPr="00000000">
        <w:rPr>
          <w:rtl w:val="0"/>
        </w:rPr>
      </w:r>
    </w:p>
    <w:p w:rsidR="00000000" w:rsidDel="00000000" w:rsidP="00000000" w:rsidRDefault="00000000" w:rsidRPr="00000000" w14:paraId="00000113">
      <w:pPr>
        <w:pStyle w:val="Heading3"/>
        <w:keepNext w:val="0"/>
        <w:keepLines w:val="0"/>
        <w:spacing w:after="200" w:before="0" w:line="240" w:lineRule="auto"/>
        <w:jc w:val="both"/>
        <w:rPr>
          <w:rFonts w:ascii="Times New Roman" w:cs="Times New Roman" w:eastAsia="Times New Roman" w:hAnsi="Times New Roman"/>
          <w:b w:val="1"/>
          <w:bCs w:val="1"/>
          <w:color w:val="000000"/>
          <w:sz w:val="24"/>
          <w:szCs w:val="24"/>
        </w:rPr>
      </w:pPr>
      <w:bookmarkStart w:colFirst="0" w:colLast="0" w:name="_mndfrji7iruv" w:id="5"/>
      <w:bookmarkEnd w:id="5"/>
      <w:r w:rsidDel="00000000" w:rsidR="00000000" w:rsidRPr="00000000">
        <w:rPr>
          <w:rFonts w:ascii="Times New Roman" w:cs="Times New Roman" w:eastAsia="Times New Roman" w:hAnsi="Times New Roman"/>
          <w:b w:val="1"/>
          <w:bCs w:val="1"/>
          <w:color w:val="000000"/>
          <w:sz w:val="24"/>
          <w:szCs w:val="24"/>
          <w:rtl w:val="0"/>
        </w:rPr>
        <w:t xml:space="preserve">Dry Matter Digestibility</w:t>
      </w:r>
    </w:p>
    <w:p w:rsidR="00000000" w:rsidDel="00000000" w:rsidP="00000000" w:rsidRDefault="00000000" w:rsidRPr="00000000" w14:paraId="00000114">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Table 6, the addition of lime peel waste meal significantly affected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&lt; 0.05) the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dry matter digestibility (IVDMD) of male goats. Overall, the IVDMD values across all treatments were categorized within a good digestibility range, with the R3 treatment (15%) yielding the highest IVDMD value of 64.08%. This figure represents a 2.28% increase compared to the control treatment (R0). Nevertheless, the IVDMD value in the R4 treatment (20%) decreased to 57.35%, showing a negative difference of 2.7% relative to the control treatment.</w:t>
      </w:r>
    </w:p>
    <w:p w:rsidR="00000000" w:rsidDel="00000000" w:rsidP="00000000" w:rsidRDefault="00000000" w:rsidRPr="00000000" w14:paraId="00000115">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increase in digestibility values up to the 15% lime peel addition level (R3) is closely related to a shift in the substrate components contained within the ration. The inclusion of Taiwan Napier grass (</w:t>
      </w:r>
      <w:r w:rsidDel="00000000" w:rsidR="00000000" w:rsidRPr="00000000">
        <w:rPr>
          <w:rFonts w:ascii="Times New Roman" w:cs="Times New Roman" w:eastAsia="Times New Roman" w:hAnsi="Times New Roman"/>
          <w:i w:val="1"/>
          <w:iCs w:val="1"/>
          <w:sz w:val="24"/>
          <w:szCs w:val="24"/>
          <w:rtl w:val="0"/>
        </w:rPr>
        <w:t xml:space="preserve">Pennisetum purpureum</w:t>
      </w:r>
      <w:r w:rsidDel="00000000" w:rsidR="00000000" w:rsidRPr="00000000">
        <w:rPr>
          <w:rFonts w:ascii="Times New Roman" w:cs="Times New Roman" w:eastAsia="Times New Roman" w:hAnsi="Times New Roman"/>
          <w:sz w:val="24"/>
          <w:szCs w:val="24"/>
          <w:rtl w:val="0"/>
        </w:rPr>
        <w:t xml:space="preserve">), which contains 27.12% crude fiber, was gradually reduced and substituted with lime peel meal that possessed a lower crude fiber content of 11.92% (Table 3 and Table 5). This phenomenon aligns with the statement by Wahyuni et al. (2014), who noted that feeds with high crude fiber content tend to have low IVDMD values. This occurs because such feeds are relatively difficult for rumen microbes to digest.</w:t>
      </w:r>
    </w:p>
    <w:p w:rsidR="00000000" w:rsidDel="00000000" w:rsidP="00000000" w:rsidRDefault="00000000" w:rsidRPr="00000000" w14:paraId="00000116">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Crude fiber consists of several fractional components, one of which is lignin, an indigestible element for livestock. Lignin can form lignocellulose and lignohemicellulose complexes that hinder enzymatic access to the substrate (Stypinski et al., 2024). A reduction in the crude fiber composition of the ration can decrease the total lignin component, thereby enhancing the accessibility of rumen microbial enzymes to degrade the feed. Furthermore, lignin is known to have a negative regulation with the flavonoid compounds contained in lime peel. In their study, Wang et al. (2024) revealed that lignin and flavonoids compete for the same precursor substrate, namely  </w:t>
      </w:r>
      <w:r w:rsidDel="00000000" w:rsidR="00000000" w:rsidRPr="00000000">
        <w:rPr>
          <w:rFonts w:ascii="Times New Roman" w:cs="Times New Roman" w:eastAsia="Times New Roman" w:hAnsi="Times New Roman"/>
          <w:i w:val="1"/>
          <w:iCs w:val="1"/>
          <w:sz w:val="24"/>
          <w:szCs w:val="24"/>
          <w:rtl w:val="0"/>
        </w:rPr>
        <w:t xml:space="preserve">p-Coumaroyl-CoA</w:t>
      </w:r>
      <w:r w:rsidDel="00000000" w:rsidR="00000000" w:rsidRPr="00000000">
        <w:rPr>
          <w:rFonts w:ascii="Times New Roman" w:cs="Times New Roman" w:eastAsia="Times New Roman" w:hAnsi="Times New Roman"/>
          <w:sz w:val="24"/>
          <w:szCs w:val="24"/>
          <w:rtl w:val="0"/>
        </w:rPr>
        <w:t xml:space="preserve">. Therefore, flavonoid compounds are beneficial in suppressing lignin levels in the ration.</w:t>
      </w:r>
    </w:p>
    <w:p w:rsidR="00000000" w:rsidDel="00000000" w:rsidP="00000000" w:rsidRDefault="00000000" w:rsidRPr="00000000" w14:paraId="00000117">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lime peel contains saponins, which are well-known defaunation agents. The saponin content in lime peel is suspected to function optimally at the 15% level, suppressing the protozoa population without disrupting the activity of cellulolytic bacteria. A decline in the protozoa population can reduce predation on rumen bacteria, allowing the cellulolytic bacterial population to work more optimally in degrading the feed. The IVDMD value in R3, which reached 64.08%, is categorized as high-quality feed, aligning with the statement by Tillman et al. (1991) that rations with a digestibility above 60% can efficiently meet the production needs of livestock. The decrease in the IVDMD value at the 20% level (R4) indicates an accumulation of bioactive compounds that exceeded the threshold tolerance limit, thereby disrupting the fermentation process by rumen microbes.</w:t>
      </w:r>
      <w:r w:rsidDel="00000000" w:rsidR="00000000" w:rsidRPr="00000000">
        <w:rPr>
          <w:rtl w:val="0"/>
        </w:rPr>
      </w:r>
    </w:p>
    <w:p w:rsidR="00000000" w:rsidDel="00000000" w:rsidP="00000000" w:rsidRDefault="00000000" w:rsidRPr="00000000" w14:paraId="00000118">
      <w:pPr>
        <w:spacing w:after="200" w:before="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Organic Matter Digestibility</w:t>
      </w:r>
    </w:p>
    <w:p w:rsidR="00000000" w:rsidDel="00000000" w:rsidP="00000000" w:rsidRDefault="00000000" w:rsidRPr="00000000" w14:paraId="00000119">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Table 6, the addition of lime peel waste meal significantly affected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&lt; 0.05) the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organic matter digestibility (IVOMD) of male goats. Overall, the IVOMD values across all treatments were categorized within a good digestibility range, with the R3 treatment (15%) yielding the highest IVOMD value of 72.06%. This figure represents a 5.97% increase compared to the control treatment (R0). Nevertheless, the IVOMD value in the R4 treatment (20%) decreased drastically to 64.24%, showing a negative difference of 1.85% relative to the control treatment.</w:t>
      </w:r>
    </w:p>
    <w:p w:rsidR="00000000" w:rsidDel="00000000" w:rsidP="00000000" w:rsidRDefault="00000000" w:rsidRPr="00000000" w14:paraId="0000011A">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Noach and Yunus (2021) stated that normal IVOMD values range from 53.93% to 63.19%. The R3 treatment successfully achieved a value of 72.06%, demonstrating performance that exceeded the normal range. Although the ash supply originating from Taiwan Napier grass was gradually reduced and replaced by lime peel meal with a relatively lower ash content (Table 3 and Table 5), the total organic matter digestibility actually increased up to the 15% addition level. This phenomenon represents an excellent level of feed efficiency and reflects an optimized fermentation process.</w:t>
      </w:r>
    </w:p>
    <w:p w:rsidR="00000000" w:rsidDel="00000000" w:rsidP="00000000" w:rsidRDefault="00000000" w:rsidRPr="00000000" w14:paraId="0000011B">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success in degrading organic matter up to 72.06% serves as physical evidence of excellent synchronization within the rumen. The abundance of this degraded organic matter has a direct implication on the availability of fermentation products, as demonstrated by the highest peak in total VFA concentration (171.89 mM) as an instant energy source, alongside the availability of ammonia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within the optimum upper limit range (10.08 mM) for microbial protein synthesis. </w:t>
      </w:r>
      <w:r w:rsidDel="00000000" w:rsidR="00000000" w:rsidRPr="00000000">
        <w:rPr>
          <w:rtl w:val="0"/>
        </w:rPr>
      </w:r>
    </w:p>
    <w:p w:rsidR="00000000" w:rsidDel="00000000" w:rsidP="00000000" w:rsidRDefault="00000000" w:rsidRPr="00000000" w14:paraId="0000011C">
      <w:pPr>
        <w:spacing w:after="200" w:before="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Volatile Fatty Acid (VFA)</w:t>
      </w:r>
    </w:p>
    <w:p w:rsidR="00000000" w:rsidDel="00000000" w:rsidP="00000000" w:rsidRDefault="00000000" w:rsidRPr="00000000" w14:paraId="0000011D">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Table 6, the addition of lime peel waste meal significantly affected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&lt; 0.05) the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total VFA concentration of male goats. Overall, the total VFA concentrations across all treatments were categorized within a good fermentability level. Although fluctuations occurred in certain treatments, the addition of lime peel up to the 15% level (R3) successfully yielded the highest achievement at 171.89 mM. This figure represents a 4.01% increase compared to the control treatment (R0). Meanwhile, after the total VFA concentration peaked at the 15% level (R3), a drastic decrease occurred at the 20% supplementation level to 141.92 mM. At the 20% level, there was a 17.44% reduction from the peak total VFA concentration, and the concentration at this level was relatively lower than that of the control treatment.</w:t>
      </w:r>
    </w:p>
    <w:p w:rsidR="00000000" w:rsidDel="00000000" w:rsidP="00000000" w:rsidRDefault="00000000" w:rsidRPr="00000000" w14:paraId="0000011E">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Sutardi (1980), the optimum VFA concentration to support rumen microbial growth ranges from 80 to 160 mM. Although the total VFA concentration in the R3 treatment exceeded this reference value, the IVDMD and IVOMD data for the R3 treatment were precisely at the peak of their increasing trend. This proves that the fermentation process proceeded optimally without any indication of rumen microbial activity disruption. The degraded organic matter was abundantly available as a raw material for microbial fermentation, thereby triggering a massive surge in total VFA concentration.</w:t>
      </w:r>
    </w:p>
    <w:p w:rsidR="00000000" w:rsidDel="00000000" w:rsidP="00000000" w:rsidRDefault="00000000" w:rsidRPr="00000000" w14:paraId="0000011F">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Conversely, the 20% supplementation level indicated the occurrence of a threshold effect. The bioactive compound content in lime peel, such as saponins and essential oils (particularly </w:t>
      </w:r>
      <w:r w:rsidDel="00000000" w:rsidR="00000000" w:rsidRPr="00000000">
        <w:rPr>
          <w:rFonts w:ascii="Times New Roman" w:cs="Times New Roman" w:eastAsia="Times New Roman" w:hAnsi="Times New Roman"/>
          <w:i w:val="1"/>
          <w:iCs w:val="1"/>
          <w:sz w:val="24"/>
          <w:szCs w:val="24"/>
          <w:rtl w:val="0"/>
        </w:rPr>
        <w:t xml:space="preserve">limonene</w:t>
      </w:r>
      <w:r w:rsidDel="00000000" w:rsidR="00000000" w:rsidRPr="00000000">
        <w:rPr>
          <w:rFonts w:ascii="Times New Roman" w:cs="Times New Roman" w:eastAsia="Times New Roman" w:hAnsi="Times New Roman"/>
          <w:sz w:val="24"/>
          <w:szCs w:val="24"/>
          <w:rtl w:val="0"/>
        </w:rPr>
        <w:t xml:space="preserve">), is suspected to have reached a toxicity accumulation level that began to inhibit rumen microbial activity, thereby suppressing the rate of carbohydrate fermentation.</w:t>
      </w:r>
      <w:r w:rsidDel="00000000" w:rsidR="00000000" w:rsidRPr="00000000">
        <w:rPr>
          <w:rtl w:val="0"/>
        </w:rPr>
      </w:r>
    </w:p>
    <w:p w:rsidR="00000000" w:rsidDel="00000000" w:rsidP="00000000" w:rsidRDefault="00000000" w:rsidRPr="00000000" w14:paraId="00000120">
      <w:pPr>
        <w:spacing w:after="200" w:before="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Ammonia (NH</w:t>
      </w:r>
      <w:r w:rsidDel="00000000" w:rsidR="00000000" w:rsidRPr="00000000">
        <w:rPr>
          <w:rFonts w:ascii="Times New Roman" w:cs="Times New Roman" w:eastAsia="Times New Roman" w:hAnsi="Times New Roman"/>
          <w:b w:val="1"/>
          <w:bCs w:val="1"/>
          <w:sz w:val="24"/>
          <w:szCs w:val="24"/>
          <w:vertAlign w:val="subscript"/>
          <w:rtl w:val="0"/>
        </w:rPr>
        <w:t xml:space="preserve">3</w:t>
      </w: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121">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Table 6, the addition of lime peel waste meal significantly affected (</w:t>
      </w:r>
      <w:r w:rsidDel="00000000" w:rsidR="00000000" w:rsidRPr="00000000">
        <w:rPr>
          <w:rFonts w:ascii="Times New Roman" w:cs="Times New Roman" w:eastAsia="Times New Roman" w:hAnsi="Times New Roman"/>
          <w:i w:val="1"/>
          <w:iCs w:val="1"/>
          <w:sz w:val="24"/>
          <w:szCs w:val="24"/>
          <w:rtl w:val="0"/>
        </w:rPr>
        <w:t xml:space="preserve">P </w:t>
      </w:r>
      <w:r w:rsidDel="00000000" w:rsidR="00000000" w:rsidRPr="00000000">
        <w:rPr>
          <w:rFonts w:ascii="Times New Roman" w:cs="Times New Roman" w:eastAsia="Times New Roman" w:hAnsi="Times New Roman"/>
          <w:sz w:val="24"/>
          <w:szCs w:val="24"/>
          <w:rtl w:val="0"/>
        </w:rPr>
        <w:t xml:space="preserve">&lt; 0.05) the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concentration of male goats. Overall, the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concentrations across all treatments were within the normal range, spanning from 10.08 to 11.22 mM. The results of the study indicated that the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concentration exhibited a dynamic yet stable fluctuation across treatments.</w:t>
      </w:r>
    </w:p>
    <w:p w:rsidR="00000000" w:rsidDel="00000000" w:rsidP="00000000" w:rsidRDefault="00000000" w:rsidRPr="00000000" w14:paraId="00000122">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Sutardi (1979), the optimum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concentration produced in the rumen ranges between 4 and 12 mM. The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concentration generated by each treatment remained stable around the upper limit of the reference range, despite a gradual decline in crude protein (CP) content originating from the grass (Table 3 and Table 5). Taiwan Napier grass, which has a CP content of 13.24%, was progressively substituted with lime peel containing lower CP at 10.34%. This phenomenon demonstrates that the inclusion of lime peel up to the 20% level did not disrupt the protein degradation process, but rather triggered efficient microbial protein synthesis within the rumen.</w:t>
      </w:r>
    </w:p>
    <w:p w:rsidR="00000000" w:rsidDel="00000000" w:rsidP="00000000" w:rsidRDefault="00000000" w:rsidRPr="00000000" w14:paraId="00000123">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Efficient protein synthesis can be achieved through a high level of organic matter digestibility. As stated by Kalpikorini et al. (2024), IVOMD encompasses dietary nutrients such as carbohydrates, proteins, lipids, and vitamins. A good organic matter digestibility level allows for sufficient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availability to meet the requirements of protein fermentation by rumen microbes. Furthermore, lime peel also contains tannins, which are known to form tannin-protein complexes (</w:t>
      </w:r>
      <w:r w:rsidDel="00000000" w:rsidR="00000000" w:rsidRPr="00000000">
        <w:rPr>
          <w:rFonts w:ascii="Times New Roman" w:cs="Times New Roman" w:eastAsia="Times New Roman" w:hAnsi="Times New Roman"/>
          <w:i w:val="1"/>
          <w:iCs w:val="1"/>
          <w:sz w:val="24"/>
          <w:szCs w:val="24"/>
          <w:rtl w:val="0"/>
        </w:rPr>
        <w:t xml:space="preserve">bypass protein</w:t>
      </w:r>
      <w:r w:rsidDel="00000000" w:rsidR="00000000" w:rsidRPr="00000000">
        <w:rPr>
          <w:rFonts w:ascii="Times New Roman" w:cs="Times New Roman" w:eastAsia="Times New Roman" w:hAnsi="Times New Roman"/>
          <w:sz w:val="24"/>
          <w:szCs w:val="24"/>
          <w:rtl w:val="0"/>
        </w:rPr>
        <w:t xml:space="preserve">) that can be directly absorbed post-ruminally by the livestock without undergoing rumen degradation.</w:t>
      </w:r>
      <w:r w:rsidDel="00000000" w:rsidR="00000000" w:rsidRPr="00000000">
        <w:rPr>
          <w:rtl w:val="0"/>
        </w:rPr>
      </w:r>
    </w:p>
    <w:p w:rsidR="00000000" w:rsidDel="00000000" w:rsidP="00000000" w:rsidRDefault="00000000" w:rsidRPr="00000000" w14:paraId="00000124">
      <w:pPr>
        <w:pStyle w:val="Heading3"/>
        <w:keepNext w:val="0"/>
        <w:keepLines w:val="0"/>
        <w:spacing w:after="200" w:before="0" w:line="240" w:lineRule="auto"/>
        <w:jc w:val="both"/>
        <w:rPr>
          <w:rFonts w:ascii="Times New Roman" w:cs="Times New Roman" w:eastAsia="Times New Roman" w:hAnsi="Times New Roman"/>
          <w:b w:val="1"/>
          <w:bCs w:val="1"/>
          <w:color w:val="000000"/>
        </w:rPr>
      </w:pPr>
      <w:bookmarkStart w:colFirst="0" w:colLast="0" w:name="_yh7nxsnwikak" w:id="6"/>
      <w:bookmarkEnd w:id="6"/>
      <w:r w:rsidDel="00000000" w:rsidR="00000000" w:rsidRPr="00000000">
        <w:rPr>
          <w:rFonts w:ascii="Times New Roman" w:cs="Times New Roman" w:eastAsia="Times New Roman" w:hAnsi="Times New Roman"/>
          <w:b w:val="1"/>
          <w:bCs w:val="1"/>
          <w:color w:val="000000"/>
          <w:rtl w:val="0"/>
        </w:rPr>
        <w:t xml:space="preserve">CONCLUSION</w:t>
      </w:r>
    </w:p>
    <w:p w:rsidR="00000000" w:rsidDel="00000000" w:rsidP="00000000" w:rsidRDefault="00000000" w:rsidRPr="00000000" w14:paraId="00000125">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addition of lime (</w:t>
      </w:r>
      <w:r w:rsidDel="00000000" w:rsidR="00000000" w:rsidRPr="00000000">
        <w:rPr>
          <w:rFonts w:ascii="Times New Roman" w:cs="Times New Roman" w:eastAsia="Times New Roman" w:hAnsi="Times New Roman"/>
          <w:i w:val="1"/>
          <w:iCs w:val="1"/>
          <w:sz w:val="24"/>
          <w:szCs w:val="24"/>
          <w:rtl w:val="0"/>
        </w:rPr>
        <w:t xml:space="preserve">Citrus aurantifolia</w:t>
      </w:r>
      <w:r w:rsidDel="00000000" w:rsidR="00000000" w:rsidRPr="00000000">
        <w:rPr>
          <w:rFonts w:ascii="Times New Roman" w:cs="Times New Roman" w:eastAsia="Times New Roman" w:hAnsi="Times New Roman"/>
          <w:sz w:val="24"/>
          <w:szCs w:val="24"/>
          <w:rtl w:val="0"/>
        </w:rPr>
        <w:t xml:space="preserve">) peel waste meal up to the 15% level (R3 treatment) represents the best and most optimal supplementation level for enhancing the digestibility and fermentability of male goat rations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At this optimal level, the highest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dry matter digestibility (IVDMD) was achieved at 64.08%, with a maximum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organic matter digestibility (IVOMD) of 72.06%, and a peak total VFA concentration reaching 171.89 mM, while maintaining an ideal ammonia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concentration at 10.08 mM. This performance enhancement was driven by a shift in feed substrate quality, where the high crude fiber portion of Taiwan Napier grass was progressively substituted by lime peel waste meal, which possessed a relatively lower crude fiber content. This substitution indirectly decreased the total lignin proportion of the ration and created an efficient energy-nitrogen synchronization for rumen microbial activity. Furthermore, supplementation beyond the 15% level (i.e., the 20% level in the R4 treatment) exhibited a threshold effect that reduced both the fermentation rate and digestibility due to the accumulation of bioactive compounds (essential oils and saponins) exceeding the tolerance limit of rumen microbes. </w:t>
      </w:r>
    </w:p>
    <w:p w:rsidR="00000000" w:rsidDel="00000000" w:rsidP="00000000" w:rsidRDefault="00000000" w:rsidRPr="00000000" w14:paraId="00000126">
      <w:pPr>
        <w:spacing w:after="200" w:before="0"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7">
      <w:pPr>
        <w:spacing w:after="200" w:before="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ACKNOWLEDGEMENT</w:t>
      </w:r>
    </w:p>
    <w:p w:rsidR="00000000" w:rsidDel="00000000" w:rsidP="00000000" w:rsidRDefault="00000000" w:rsidRPr="00000000" w14:paraId="00000128">
      <w:pPr>
        <w:spacing w:after="20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funding for this research project was generously provided by the Academic Leadership Grant (ALG) through Grant Number (5413/UN6.3.1/PT.00/2024). The authors highly appreciate this crucial support, which made the completion of this work possible. </w:t>
      </w:r>
      <w:r w:rsidDel="00000000" w:rsidR="00000000" w:rsidRPr="00000000">
        <w:rPr>
          <w:rtl w:val="0"/>
        </w:rPr>
      </w:r>
    </w:p>
    <w:p w:rsidR="00000000" w:rsidDel="00000000" w:rsidP="00000000" w:rsidRDefault="00000000" w:rsidRPr="00000000" w14:paraId="00000129">
      <w:pPr>
        <w:spacing w:after="0" w:before="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REFERENCES</w:t>
      </w:r>
    </w:p>
    <w:p w:rsidR="00000000" w:rsidDel="00000000" w:rsidP="00000000" w:rsidRDefault="00000000" w:rsidRPr="00000000" w14:paraId="0000012A">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Adindaputri, Z. U., Purwanti, N., &amp; Wahyudi, I. A. (2013). Pengaruh Ekstrak Jeruk Nipis (</w:t>
      </w:r>
      <w:r w:rsidDel="00000000" w:rsidR="00000000" w:rsidRPr="00000000">
        <w:rPr>
          <w:rFonts w:ascii="Times New Roman" w:cs="Times New Roman" w:eastAsia="Times New Roman" w:hAnsi="Times New Roman"/>
          <w:i w:val="1"/>
          <w:iCs w:val="1"/>
          <w:sz w:val="24"/>
          <w:szCs w:val="24"/>
          <w:rtl w:val="0"/>
        </w:rPr>
        <w:t xml:space="preserve">Citrus aurantifolia Swingle</w:t>
      </w:r>
      <w:r w:rsidDel="00000000" w:rsidR="00000000" w:rsidRPr="00000000">
        <w:rPr>
          <w:rFonts w:ascii="Times New Roman" w:cs="Times New Roman" w:eastAsia="Times New Roman" w:hAnsi="Times New Roman"/>
          <w:sz w:val="24"/>
          <w:szCs w:val="24"/>
          <w:rtl w:val="0"/>
        </w:rPr>
        <w:t xml:space="preserve">) Konsentrasi 10% terhadap Aktivitas Enzim Glukosiltransferase </w:t>
      </w:r>
      <w:r w:rsidDel="00000000" w:rsidR="00000000" w:rsidRPr="00000000">
        <w:rPr>
          <w:rFonts w:ascii="Times New Roman" w:cs="Times New Roman" w:eastAsia="Times New Roman" w:hAnsi="Times New Roman"/>
          <w:i w:val="1"/>
          <w:iCs w:val="1"/>
          <w:sz w:val="24"/>
          <w:szCs w:val="24"/>
          <w:rtl w:val="0"/>
        </w:rPr>
        <w:t xml:space="preserve">Streptococcus mutans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Maj Ked Gi</w:t>
      </w:r>
      <w:r w:rsidDel="00000000" w:rsidR="00000000" w:rsidRPr="00000000">
        <w:rPr>
          <w:rFonts w:ascii="Times New Roman" w:cs="Times New Roman" w:eastAsia="Times New Roman" w:hAnsi="Times New Roman"/>
          <w:sz w:val="24"/>
          <w:szCs w:val="24"/>
          <w:rtl w:val="0"/>
        </w:rPr>
        <w:t xml:space="preserve">, 20(2), 126-131.</w:t>
      </w:r>
    </w:p>
    <w:p w:rsidR="00000000" w:rsidDel="00000000" w:rsidP="00000000" w:rsidRDefault="00000000" w:rsidRPr="00000000" w14:paraId="0000012B">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Akbar, M., Islamiyati, R., Mustabi, J., &amp; Indrawirawan. Kandungan Tanin, VFA, dan Amonia pada Sistem Rumen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Daun Maja (</w:t>
      </w:r>
      <w:r w:rsidDel="00000000" w:rsidR="00000000" w:rsidRPr="00000000">
        <w:rPr>
          <w:rFonts w:ascii="Times New Roman" w:cs="Times New Roman" w:eastAsia="Times New Roman" w:hAnsi="Times New Roman"/>
          <w:i w:val="1"/>
          <w:iCs w:val="1"/>
          <w:sz w:val="24"/>
          <w:szCs w:val="24"/>
          <w:rtl w:val="0"/>
        </w:rPr>
        <w:t xml:space="preserve">Aegle marmelos</w:t>
      </w:r>
      <w:r w:rsidDel="00000000" w:rsidR="00000000" w:rsidRPr="00000000">
        <w:rPr>
          <w:rFonts w:ascii="Times New Roman" w:cs="Times New Roman" w:eastAsia="Times New Roman" w:hAnsi="Times New Roman"/>
          <w:sz w:val="24"/>
          <w:szCs w:val="24"/>
          <w:rtl w:val="0"/>
        </w:rPr>
        <w:t xml:space="preserve">) dan Daun Gamal (</w:t>
      </w:r>
      <w:r w:rsidDel="00000000" w:rsidR="00000000" w:rsidRPr="00000000">
        <w:rPr>
          <w:rFonts w:ascii="Times New Roman" w:cs="Times New Roman" w:eastAsia="Times New Roman" w:hAnsi="Times New Roman"/>
          <w:i w:val="1"/>
          <w:iCs w:val="1"/>
          <w:sz w:val="24"/>
          <w:szCs w:val="24"/>
          <w:rtl w:val="0"/>
        </w:rPr>
        <w:t xml:space="preserve">Gliricidia sepium</w:t>
      </w:r>
      <w:r w:rsidDel="00000000" w:rsidR="00000000" w:rsidRPr="00000000">
        <w:rPr>
          <w:rFonts w:ascii="Times New Roman" w:cs="Times New Roman" w:eastAsia="Times New Roman" w:hAnsi="Times New Roman"/>
          <w:sz w:val="24"/>
          <w:szCs w:val="24"/>
          <w:rtl w:val="0"/>
        </w:rPr>
        <w:t xml:space="preserve">). Buletin Nutrisi dan Makanan Ternak, 17(1), 28-40.</w:t>
      </w:r>
    </w:p>
    <w:p w:rsidR="00000000" w:rsidDel="00000000" w:rsidP="00000000" w:rsidRDefault="00000000" w:rsidRPr="00000000" w14:paraId="0000012C">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Arora, S. P. (1995). Pencernaan Mikroba pada Ruminansia. Gadjah Mada University Press, Yogyakarta.</w:t>
      </w:r>
    </w:p>
    <w:p w:rsidR="00000000" w:rsidDel="00000000" w:rsidP="00000000" w:rsidRDefault="00000000" w:rsidRPr="00000000" w14:paraId="0000012D">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Badan Pusat Statistik Provinsi Jawa Barat. (2026). </w:t>
      </w:r>
      <w:r w:rsidDel="00000000" w:rsidR="00000000" w:rsidRPr="00000000">
        <w:rPr>
          <w:rFonts w:ascii="Times New Roman" w:cs="Times New Roman" w:eastAsia="Times New Roman" w:hAnsi="Times New Roman"/>
          <w:i w:val="1"/>
          <w:iCs w:val="1"/>
          <w:sz w:val="24"/>
          <w:szCs w:val="24"/>
          <w:rtl w:val="0"/>
        </w:rPr>
        <w:t xml:space="preserve">Provinsi Jawa Barat Dalam Angka </w:t>
      </w:r>
      <w:r w:rsidDel="00000000" w:rsidR="00000000" w:rsidRPr="00000000">
        <w:rPr>
          <w:rFonts w:ascii="Times New Roman" w:cs="Times New Roman" w:eastAsia="Times New Roman" w:hAnsi="Times New Roman"/>
          <w:sz w:val="24"/>
          <w:szCs w:val="24"/>
          <w:rtl w:val="0"/>
        </w:rPr>
        <w:t xml:space="preserve">(Vol.51). BPS Provinsi Jawa Barat.</w:t>
      </w:r>
    </w:p>
    <w:p w:rsidR="00000000" w:rsidDel="00000000" w:rsidP="00000000" w:rsidRDefault="00000000" w:rsidRPr="00000000" w14:paraId="0000012E">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Badan Pusat Statistik Provinsi Jawa Barat. (2024). </w:t>
      </w:r>
      <w:r w:rsidDel="00000000" w:rsidR="00000000" w:rsidRPr="00000000">
        <w:rPr>
          <w:rFonts w:ascii="Times New Roman" w:cs="Times New Roman" w:eastAsia="Times New Roman" w:hAnsi="Times New Roman"/>
          <w:i w:val="1"/>
          <w:iCs w:val="1"/>
          <w:sz w:val="24"/>
          <w:szCs w:val="24"/>
          <w:rtl w:val="0"/>
        </w:rPr>
        <w:t xml:space="preserve">Provinsi Jawa Barat Dalam Angka </w:t>
      </w:r>
      <w:r w:rsidDel="00000000" w:rsidR="00000000" w:rsidRPr="00000000">
        <w:rPr>
          <w:rFonts w:ascii="Times New Roman" w:cs="Times New Roman" w:eastAsia="Times New Roman" w:hAnsi="Times New Roman"/>
          <w:sz w:val="24"/>
          <w:szCs w:val="24"/>
          <w:rtl w:val="0"/>
        </w:rPr>
        <w:t xml:space="preserve">(Vol.49). BPS Provinsi Jawa Barat.</w:t>
      </w:r>
    </w:p>
    <w:p w:rsidR="00000000" w:rsidDel="00000000" w:rsidP="00000000" w:rsidRDefault="00000000" w:rsidRPr="00000000" w14:paraId="0000012F">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Badan Pusat Statistik Provinsi Jawa Timur. (2023). Produksi Tanaman Biofarmaka Jeruk Nipis dan Serai Menurut Kabupaten/Kota dan Tanaman di Provinsi Jawa Timur.</w:t>
      </w:r>
    </w:p>
    <w:p w:rsidR="00000000" w:rsidDel="00000000" w:rsidP="00000000" w:rsidRDefault="00000000" w:rsidRPr="00000000" w14:paraId="00000130">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Broderick, G. (2006). Improving Nitrogen Utilization in The rumen of The Lactating Dairy Cow. </w:t>
      </w:r>
      <w:r w:rsidDel="00000000" w:rsidR="00000000" w:rsidRPr="00000000">
        <w:rPr>
          <w:rFonts w:ascii="Times New Roman" w:cs="Times New Roman" w:eastAsia="Times New Roman" w:hAnsi="Times New Roman"/>
          <w:i w:val="1"/>
          <w:iCs w:val="1"/>
          <w:sz w:val="24"/>
          <w:szCs w:val="24"/>
          <w:rtl w:val="0"/>
        </w:rPr>
        <w:t xml:space="preserve">Florida Ruminant Nutrition Symposium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1">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Conway, E. J. (1950). Microdiffusion Analysis and Volumetric Error. 3rd Ed. Crostay Loskwood and Sows Ltd., London.</w:t>
      </w:r>
    </w:p>
    <w:p w:rsidR="00000000" w:rsidDel="00000000" w:rsidP="00000000" w:rsidRDefault="00000000" w:rsidRPr="00000000" w14:paraId="00000132">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Damayanti, G. (2018). Kualitas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Cairan Rumen Kambing dengan pakan Rumput Lapangan yang Disuplementasi Ekstrak Ampas Serai Wangi (</w:t>
      </w:r>
      <w:r w:rsidDel="00000000" w:rsidR="00000000" w:rsidRPr="00000000">
        <w:rPr>
          <w:rFonts w:ascii="Times New Roman" w:cs="Times New Roman" w:eastAsia="Times New Roman" w:hAnsi="Times New Roman"/>
          <w:i w:val="1"/>
          <w:iCs w:val="1"/>
          <w:sz w:val="24"/>
          <w:szCs w:val="24"/>
          <w:rtl w:val="0"/>
        </w:rPr>
        <w:t xml:space="preserve">Cymbopogon nardus 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3">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Dewhurst, R.J., A.J.F. Webster, F. Waiman and P.J.S. Dewey. 1986. Prediction of The True Metabolisable Energy Concentration in Forages for Ruminants. </w:t>
      </w:r>
      <w:r w:rsidDel="00000000" w:rsidR="00000000" w:rsidRPr="00000000">
        <w:rPr>
          <w:rFonts w:ascii="Times New Roman" w:cs="Times New Roman" w:eastAsia="Times New Roman" w:hAnsi="Times New Roman"/>
          <w:i w:val="1"/>
          <w:iCs w:val="1"/>
          <w:sz w:val="24"/>
          <w:szCs w:val="24"/>
          <w:rtl w:val="0"/>
        </w:rPr>
        <w:t xml:space="preserve">Anim. Prod</w:t>
      </w:r>
      <w:r w:rsidDel="00000000" w:rsidR="00000000" w:rsidRPr="00000000">
        <w:rPr>
          <w:rFonts w:ascii="Times New Roman" w:cs="Times New Roman" w:eastAsia="Times New Roman" w:hAnsi="Times New Roman"/>
          <w:sz w:val="24"/>
          <w:szCs w:val="24"/>
          <w:rtl w:val="0"/>
        </w:rPr>
        <w:t xml:space="preserve">. 43: 183-194.</w:t>
      </w:r>
    </w:p>
    <w:p w:rsidR="00000000" w:rsidDel="00000000" w:rsidP="00000000" w:rsidRDefault="00000000" w:rsidRPr="00000000" w14:paraId="00000134">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Dinas Tanaman Pangan dan Hortikultura. (2024). Produksi Jeruk Nipis Berdasarkan Kabupaten/Kota di Jawa Barat.</w:t>
      </w:r>
    </w:p>
    <w:p w:rsidR="00000000" w:rsidDel="00000000" w:rsidP="00000000" w:rsidRDefault="00000000" w:rsidRPr="00000000" w14:paraId="00000135">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Dwiyanti, R. D., Nailah, H., Muhlisin, A., &amp; Lutpiatina, L. (2018). Efektivitas Air Perasan Jeruk Nipis (Citrus aurantifolia) dalam Menghambat Pertumbuhan Escherichia coli. </w:t>
      </w:r>
      <w:r w:rsidDel="00000000" w:rsidR="00000000" w:rsidRPr="00000000">
        <w:rPr>
          <w:rFonts w:ascii="Times New Roman" w:cs="Times New Roman" w:eastAsia="Times New Roman" w:hAnsi="Times New Roman"/>
          <w:i w:val="1"/>
          <w:iCs w:val="1"/>
          <w:sz w:val="24"/>
          <w:szCs w:val="24"/>
          <w:rtl w:val="0"/>
        </w:rPr>
        <w:t xml:space="preserve">Jurnal Skala Kesehatan</w:t>
      </w:r>
      <w:r w:rsidDel="00000000" w:rsidR="00000000" w:rsidRPr="00000000">
        <w:rPr>
          <w:rFonts w:ascii="Times New Roman" w:cs="Times New Roman" w:eastAsia="Times New Roman" w:hAnsi="Times New Roman"/>
          <w:sz w:val="24"/>
          <w:szCs w:val="24"/>
          <w:rtl w:val="0"/>
        </w:rPr>
        <w:t xml:space="preserve">, 9(2).</w:t>
      </w:r>
    </w:p>
    <w:p w:rsidR="00000000" w:rsidDel="00000000" w:rsidP="00000000" w:rsidRDefault="00000000" w:rsidRPr="00000000" w14:paraId="00000136">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Ernawati, H. R., Suharjon., Fika, W., Sutopo., Rahmaniar, D., Husni, I., &amp; Yunimar. (2023). </w:t>
      </w:r>
      <w:r w:rsidDel="00000000" w:rsidR="00000000" w:rsidRPr="00000000">
        <w:rPr>
          <w:rFonts w:ascii="Times New Roman" w:cs="Times New Roman" w:eastAsia="Times New Roman" w:hAnsi="Times New Roman"/>
          <w:i w:val="1"/>
          <w:iCs w:val="1"/>
          <w:sz w:val="24"/>
          <w:szCs w:val="24"/>
          <w:rtl w:val="0"/>
        </w:rPr>
        <w:t xml:space="preserve">Budidaya Jeruk Nipis Citrus aurantifolia</w:t>
      </w:r>
      <w:r w:rsidDel="00000000" w:rsidR="00000000" w:rsidRPr="00000000">
        <w:rPr>
          <w:rFonts w:ascii="Times New Roman" w:cs="Times New Roman" w:eastAsia="Times New Roman" w:hAnsi="Times New Roman"/>
          <w:sz w:val="24"/>
          <w:szCs w:val="24"/>
          <w:rtl w:val="0"/>
        </w:rPr>
        <w:t xml:space="preserve">. Jakarta: Pertanian Press.</w:t>
      </w:r>
    </w:p>
    <w:p w:rsidR="00000000" w:rsidDel="00000000" w:rsidP="00000000" w:rsidRDefault="00000000" w:rsidRPr="00000000" w14:paraId="00000137">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Farda, F. T., Salsabilla, N. S., Erwanto., Liman., Mirandy, M., Sirat, P., &amp; Muhtarudin. (2024). Kadar VFA dan NH3 dalam Cairan Rumen Kambing Rambon Jantan dengan Penambahan Tepung Bungkil Kedelai, Zinc, dan Chromium dalam Ransum. </w:t>
      </w:r>
      <w:r w:rsidDel="00000000" w:rsidR="00000000" w:rsidRPr="00000000">
        <w:rPr>
          <w:rFonts w:ascii="Times New Roman" w:cs="Times New Roman" w:eastAsia="Times New Roman" w:hAnsi="Times New Roman"/>
          <w:i w:val="1"/>
          <w:iCs w:val="1"/>
          <w:sz w:val="24"/>
          <w:szCs w:val="24"/>
          <w:rtl w:val="0"/>
        </w:rPr>
        <w:t xml:space="preserve">Wahana Peternakan</w:t>
      </w:r>
      <w:r w:rsidDel="00000000" w:rsidR="00000000" w:rsidRPr="00000000">
        <w:rPr>
          <w:rFonts w:ascii="Times New Roman" w:cs="Times New Roman" w:eastAsia="Times New Roman" w:hAnsi="Times New Roman"/>
          <w:sz w:val="24"/>
          <w:szCs w:val="24"/>
          <w:rtl w:val="0"/>
        </w:rPr>
        <w:t xml:space="preserve">, 8(3).</w:t>
      </w:r>
    </w:p>
    <w:p w:rsidR="00000000" w:rsidDel="00000000" w:rsidP="00000000" w:rsidRDefault="00000000" w:rsidRPr="00000000" w14:paraId="00000138">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Filasari, O., Christiyanto, M., Nuswantara, L. K., &amp; Pangestu, E. (2019). Produksi Volatile Fatty Acids dan Amonia (NH3) Hijauan Pakan Kambing secara In Vitro. </w:t>
      </w:r>
      <w:r w:rsidDel="00000000" w:rsidR="00000000" w:rsidRPr="00000000">
        <w:rPr>
          <w:rFonts w:ascii="Times New Roman" w:cs="Times New Roman" w:eastAsia="Times New Roman" w:hAnsi="Times New Roman"/>
          <w:i w:val="1"/>
          <w:iCs w:val="1"/>
          <w:sz w:val="24"/>
          <w:szCs w:val="24"/>
          <w:rtl w:val="0"/>
        </w:rPr>
        <w:t xml:space="preserve">Jurnal Litbang Provinsi Jawa Tengah</w:t>
      </w:r>
      <w:r w:rsidDel="00000000" w:rsidR="00000000" w:rsidRPr="00000000">
        <w:rPr>
          <w:rFonts w:ascii="Times New Roman" w:cs="Times New Roman" w:eastAsia="Times New Roman" w:hAnsi="Times New Roman"/>
          <w:sz w:val="24"/>
          <w:szCs w:val="24"/>
          <w:rtl w:val="0"/>
        </w:rPr>
        <w:t xml:space="preserve">, 17(1), 111-115.</w:t>
      </w:r>
    </w:p>
    <w:p w:rsidR="00000000" w:rsidDel="00000000" w:rsidP="00000000" w:rsidRDefault="00000000" w:rsidRPr="00000000" w14:paraId="00000139">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Getachew, G., DePeters, E., &amp; Robinson, P. (2004). In Vitro Gas Production Provides Effective Method for Assessing Ruminant Feeds. </w:t>
      </w:r>
      <w:r w:rsidDel="00000000" w:rsidR="00000000" w:rsidRPr="00000000">
        <w:rPr>
          <w:rFonts w:ascii="Times New Roman" w:cs="Times New Roman" w:eastAsia="Times New Roman" w:hAnsi="Times New Roman"/>
          <w:i w:val="1"/>
          <w:iCs w:val="1"/>
          <w:sz w:val="24"/>
          <w:szCs w:val="24"/>
          <w:rtl w:val="0"/>
        </w:rPr>
        <w:t xml:space="preserve">California Agriculture</w:t>
      </w:r>
      <w:r w:rsidDel="00000000" w:rsidR="00000000" w:rsidRPr="00000000">
        <w:rPr>
          <w:rFonts w:ascii="Times New Roman" w:cs="Times New Roman" w:eastAsia="Times New Roman" w:hAnsi="Times New Roman"/>
          <w:sz w:val="24"/>
          <w:szCs w:val="24"/>
          <w:rtl w:val="0"/>
        </w:rPr>
        <w:t xml:space="preserve">, 58, 54-58.</w:t>
      </w:r>
    </w:p>
    <w:p w:rsidR="00000000" w:rsidDel="00000000" w:rsidP="00000000" w:rsidRDefault="00000000" w:rsidRPr="00000000" w14:paraId="0000013A">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Haokip, S. W., Sheikh, KH. A., Das, S., Devi, O. B., Singh, Y. D., Wangchu, L., &amp; Heisnam, P. (2023). Unraveling physicochemical profiles and bioactivities of citrus peel essential oils: a comprehensive review. </w:t>
      </w:r>
      <w:r w:rsidDel="00000000" w:rsidR="00000000" w:rsidRPr="00000000">
        <w:rPr>
          <w:rFonts w:ascii="Times New Roman" w:cs="Times New Roman" w:eastAsia="Times New Roman" w:hAnsi="Times New Roman"/>
          <w:i w:val="1"/>
          <w:iCs w:val="1"/>
          <w:sz w:val="24"/>
          <w:szCs w:val="24"/>
          <w:rtl w:val="0"/>
        </w:rPr>
        <w:t xml:space="preserve">European Food Research and Technology</w:t>
      </w:r>
      <w:r w:rsidDel="00000000" w:rsidR="00000000" w:rsidRPr="00000000">
        <w:rPr>
          <w:rFonts w:ascii="Times New Roman" w:cs="Times New Roman" w:eastAsia="Times New Roman" w:hAnsi="Times New Roman"/>
          <w:sz w:val="24"/>
          <w:szCs w:val="24"/>
          <w:rtl w:val="0"/>
        </w:rPr>
        <w:t xml:space="preserve">, 249(11), 2821–2834. </w:t>
      </w:r>
      <w:hyperlink r:id="rId6">
        <w:r w:rsidDel="00000000" w:rsidR="00000000" w:rsidRPr="00000000">
          <w:rPr>
            <w:rFonts w:ascii="Times New Roman" w:cs="Times New Roman" w:eastAsia="Times New Roman" w:hAnsi="Times New Roman"/>
            <w:color w:val="1155cc"/>
            <w:sz w:val="24"/>
            <w:szCs w:val="24"/>
            <w:u w:val="single"/>
            <w:rtl w:val="0"/>
          </w:rPr>
          <w:t xml:space="preserve">https://doi.org/10.1007/s00217-023-04330-w</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3B">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Hapsari, N. S., D, W., Harjanti dan A. Muktiani. (2018). Fermentabilitas pakan dengan imbuhan ekstrak daun babadotan (Ageratum conyzoides) dan jahe (Zingiber officinale) pada sapi perah secara in vitro. </w:t>
      </w:r>
      <w:r w:rsidDel="00000000" w:rsidR="00000000" w:rsidRPr="00000000">
        <w:rPr>
          <w:rFonts w:ascii="Times New Roman" w:cs="Times New Roman" w:eastAsia="Times New Roman" w:hAnsi="Times New Roman"/>
          <w:i w:val="1"/>
          <w:iCs w:val="1"/>
          <w:sz w:val="24"/>
          <w:szCs w:val="24"/>
          <w:rtl w:val="0"/>
        </w:rPr>
        <w:t xml:space="preserve">Agripet</w:t>
      </w:r>
      <w:r w:rsidDel="00000000" w:rsidR="00000000" w:rsidRPr="00000000">
        <w:rPr>
          <w:rFonts w:ascii="Times New Roman" w:cs="Times New Roman" w:eastAsia="Times New Roman" w:hAnsi="Times New Roman"/>
          <w:sz w:val="24"/>
          <w:szCs w:val="24"/>
          <w:rtl w:val="0"/>
        </w:rPr>
        <w:t xml:space="preserve"> 18 (1):1- 9.</w:t>
      </w:r>
    </w:p>
    <w:p w:rsidR="00000000" w:rsidDel="00000000" w:rsidP="00000000" w:rsidRDefault="00000000" w:rsidRPr="00000000" w14:paraId="0000013C">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Hindratiningrum. N., M. D. Bata dan S. A. Santosa. (2011). Produk Fermentasi Rumen dan Produksi Protein Mikroba Sapi Lokal yang Diberi Pakan Jerami Amoniasi dan Beberapa Bahan Pakan Sumber Energi. </w:t>
      </w:r>
      <w:r w:rsidDel="00000000" w:rsidR="00000000" w:rsidRPr="00000000">
        <w:rPr>
          <w:rFonts w:ascii="Times New Roman" w:cs="Times New Roman" w:eastAsia="Times New Roman" w:hAnsi="Times New Roman"/>
          <w:i w:val="1"/>
          <w:iCs w:val="1"/>
          <w:sz w:val="24"/>
          <w:szCs w:val="24"/>
          <w:rtl w:val="0"/>
        </w:rPr>
        <w:t xml:space="preserve">Agripet</w:t>
      </w:r>
      <w:r w:rsidDel="00000000" w:rsidR="00000000" w:rsidRPr="00000000">
        <w:rPr>
          <w:rFonts w:ascii="Times New Roman" w:cs="Times New Roman" w:eastAsia="Times New Roman" w:hAnsi="Times New Roman"/>
          <w:sz w:val="24"/>
          <w:szCs w:val="24"/>
          <w:rtl w:val="0"/>
        </w:rPr>
        <w:t xml:space="preserve">. 11(2): 29-34.</w:t>
      </w:r>
    </w:p>
    <w:p w:rsidR="00000000" w:rsidDel="00000000" w:rsidP="00000000" w:rsidRDefault="00000000" w:rsidRPr="00000000" w14:paraId="0000013D">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Hindun, S. D. (2017). Potensi Limbah Kulit Jeruk Nipis (</w:t>
      </w:r>
      <w:r w:rsidDel="00000000" w:rsidR="00000000" w:rsidRPr="00000000">
        <w:rPr>
          <w:rFonts w:ascii="Times New Roman" w:cs="Times New Roman" w:eastAsia="Times New Roman" w:hAnsi="Times New Roman"/>
          <w:i w:val="1"/>
          <w:iCs w:val="1"/>
          <w:sz w:val="24"/>
          <w:szCs w:val="24"/>
          <w:rtl w:val="0"/>
        </w:rPr>
        <w:t xml:space="preserve">Citrus aurantifolia</w:t>
      </w:r>
      <w:r w:rsidDel="00000000" w:rsidR="00000000" w:rsidRPr="00000000">
        <w:rPr>
          <w:rFonts w:ascii="Times New Roman" w:cs="Times New Roman" w:eastAsia="Times New Roman" w:hAnsi="Times New Roman"/>
          <w:sz w:val="24"/>
          <w:szCs w:val="24"/>
          <w:rtl w:val="0"/>
        </w:rPr>
        <w:t xml:space="preserve">) Sebagai Inhibitor Tirosinase. I</w:t>
      </w:r>
      <w:r w:rsidDel="00000000" w:rsidR="00000000" w:rsidRPr="00000000">
        <w:rPr>
          <w:rFonts w:ascii="Times New Roman" w:cs="Times New Roman" w:eastAsia="Times New Roman" w:hAnsi="Times New Roman"/>
          <w:i w:val="1"/>
          <w:iCs w:val="1"/>
          <w:sz w:val="24"/>
          <w:szCs w:val="24"/>
          <w:rtl w:val="0"/>
        </w:rPr>
        <w:t xml:space="preserve">ndonesian Journal of Pharmaceutical Science and Technology</w:t>
      </w:r>
      <w:r w:rsidDel="00000000" w:rsidR="00000000" w:rsidRPr="00000000">
        <w:rPr>
          <w:rFonts w:ascii="Times New Roman" w:cs="Times New Roman" w:eastAsia="Times New Roman" w:hAnsi="Times New Roman"/>
          <w:sz w:val="24"/>
          <w:szCs w:val="24"/>
          <w:rtl w:val="0"/>
        </w:rPr>
        <w:t xml:space="preserve">, 4(2), 64.</w:t>
      </w:r>
    </w:p>
    <w:p w:rsidR="00000000" w:rsidDel="00000000" w:rsidP="00000000" w:rsidRDefault="00000000" w:rsidRPr="00000000" w14:paraId="0000013E">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Ibnu, T. (2021). Analisis Keanekaragaman Bakteri dan Arkea pada Cairan Rumen Kambing Kacang yang Diberi Pakan Rumput Gajah (</w:t>
      </w:r>
      <w:r w:rsidDel="00000000" w:rsidR="00000000" w:rsidRPr="00000000">
        <w:rPr>
          <w:rFonts w:ascii="Times New Roman" w:cs="Times New Roman" w:eastAsia="Times New Roman" w:hAnsi="Times New Roman"/>
          <w:i w:val="1"/>
          <w:iCs w:val="1"/>
          <w:sz w:val="24"/>
          <w:szCs w:val="24"/>
          <w:rtl w:val="0"/>
        </w:rPr>
        <w:t xml:space="preserve">Pennisetum purpureum</w:t>
      </w:r>
      <w:r w:rsidDel="00000000" w:rsidR="00000000" w:rsidRPr="00000000">
        <w:rPr>
          <w:rFonts w:ascii="Times New Roman" w:cs="Times New Roman" w:eastAsia="Times New Roman" w:hAnsi="Times New Roman"/>
          <w:sz w:val="24"/>
          <w:szCs w:val="24"/>
          <w:rtl w:val="0"/>
        </w:rPr>
        <w:t xml:space="preserve">) dan Serai Wangi (</w:t>
      </w:r>
      <w:r w:rsidDel="00000000" w:rsidR="00000000" w:rsidRPr="00000000">
        <w:rPr>
          <w:rFonts w:ascii="Times New Roman" w:cs="Times New Roman" w:eastAsia="Times New Roman" w:hAnsi="Times New Roman"/>
          <w:i w:val="1"/>
          <w:iCs w:val="1"/>
          <w:sz w:val="24"/>
          <w:szCs w:val="24"/>
          <w:rtl w:val="0"/>
        </w:rPr>
        <w:t xml:space="preserve">Cymbopogon nardus L</w:t>
      </w:r>
      <w:r w:rsidDel="00000000" w:rsidR="00000000" w:rsidRPr="00000000">
        <w:rPr>
          <w:rFonts w:ascii="Times New Roman" w:cs="Times New Roman" w:eastAsia="Times New Roman" w:hAnsi="Times New Roman"/>
          <w:sz w:val="24"/>
          <w:szCs w:val="24"/>
          <w:rtl w:val="0"/>
        </w:rPr>
        <w:t xml:space="preserve">.) dengan Metode Next Generation Sequencing (NGS).</w:t>
      </w:r>
    </w:p>
    <w:p w:rsidR="00000000" w:rsidDel="00000000" w:rsidP="00000000" w:rsidRDefault="00000000" w:rsidRPr="00000000" w14:paraId="0000013F">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Jena, K., Kleden, M. M., &amp; Benu, I. (2020). Kecernaan Nutrien dan Parameter Rumen Pakan Konsentrat yang Mengandung Tepung Daun Kersen sebagai Pengganti Jagung secara In Vitro. </w:t>
      </w:r>
      <w:r w:rsidDel="00000000" w:rsidR="00000000" w:rsidRPr="00000000">
        <w:rPr>
          <w:rFonts w:ascii="Times New Roman" w:cs="Times New Roman" w:eastAsia="Times New Roman" w:hAnsi="Times New Roman"/>
          <w:i w:val="1"/>
          <w:iCs w:val="1"/>
          <w:sz w:val="24"/>
          <w:szCs w:val="24"/>
          <w:rtl w:val="0"/>
        </w:rPr>
        <w:t xml:space="preserve">Jurnal Nukleus Peternakan</w:t>
      </w:r>
      <w:r w:rsidDel="00000000" w:rsidR="00000000" w:rsidRPr="00000000">
        <w:rPr>
          <w:rFonts w:ascii="Times New Roman" w:cs="Times New Roman" w:eastAsia="Times New Roman" w:hAnsi="Times New Roman"/>
          <w:sz w:val="24"/>
          <w:szCs w:val="24"/>
          <w:rtl w:val="0"/>
        </w:rPr>
        <w:t xml:space="preserve">, 7(2), 118-129.</w:t>
      </w:r>
    </w:p>
    <w:p w:rsidR="00000000" w:rsidDel="00000000" w:rsidP="00000000" w:rsidRDefault="00000000" w:rsidRPr="00000000" w14:paraId="00000140">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Kalpikorini, D. A., Suhartati, F. M., &amp; Syamsi, A. N. (2024). Kecernaan Bahan Kering dan Bahan Organik Pakan Berbasis Indeks Sinkronisasi Protein dan Energi secara In Vitro. </w:t>
      </w:r>
      <w:r w:rsidDel="00000000" w:rsidR="00000000" w:rsidRPr="00000000">
        <w:rPr>
          <w:rFonts w:ascii="Times New Roman" w:cs="Times New Roman" w:eastAsia="Times New Roman" w:hAnsi="Times New Roman"/>
          <w:i w:val="1"/>
          <w:iCs w:val="1"/>
          <w:sz w:val="24"/>
          <w:szCs w:val="24"/>
          <w:rtl w:val="0"/>
        </w:rPr>
        <w:t xml:space="preserve">Journal of Animal Science and Technology</w:t>
      </w:r>
      <w:r w:rsidDel="00000000" w:rsidR="00000000" w:rsidRPr="00000000">
        <w:rPr>
          <w:rFonts w:ascii="Times New Roman" w:cs="Times New Roman" w:eastAsia="Times New Roman" w:hAnsi="Times New Roman"/>
          <w:sz w:val="24"/>
          <w:szCs w:val="24"/>
          <w:rtl w:val="0"/>
        </w:rPr>
        <w:t xml:space="preserve">, 6(2).</w:t>
      </w:r>
    </w:p>
    <w:p w:rsidR="00000000" w:rsidDel="00000000" w:rsidP="00000000" w:rsidRDefault="00000000" w:rsidRPr="00000000" w14:paraId="00000141">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Lativa., Rahayu, K., &amp; Sanjaya, R. (2025). Pelatihan Perhitungan Harga Pokok dan Harga Jual Ternak Kambing di Desa Ciwangi Kecamatan Blubur Limbangan Kabupaten Garut Jawa Barat. </w:t>
      </w:r>
      <w:r w:rsidDel="00000000" w:rsidR="00000000" w:rsidRPr="00000000">
        <w:rPr>
          <w:rFonts w:ascii="Times New Roman" w:cs="Times New Roman" w:eastAsia="Times New Roman" w:hAnsi="Times New Roman"/>
          <w:i w:val="1"/>
          <w:iCs w:val="1"/>
          <w:sz w:val="24"/>
          <w:szCs w:val="24"/>
          <w:rtl w:val="0"/>
        </w:rPr>
        <w:t xml:space="preserve">Prosiding SENANTIAS: Seminar Nasional Hasil Penelitian dan PkM</w:t>
      </w:r>
      <w:r w:rsidDel="00000000" w:rsidR="00000000" w:rsidRPr="00000000">
        <w:rPr>
          <w:rFonts w:ascii="Times New Roman" w:cs="Times New Roman" w:eastAsia="Times New Roman" w:hAnsi="Times New Roman"/>
          <w:sz w:val="24"/>
          <w:szCs w:val="24"/>
          <w:rtl w:val="0"/>
        </w:rPr>
        <w:t xml:space="preserve">, 6(1).</w:t>
      </w:r>
    </w:p>
    <w:p w:rsidR="00000000" w:rsidDel="00000000" w:rsidP="00000000" w:rsidRDefault="00000000" w:rsidRPr="00000000" w14:paraId="00000142">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S. S., J. K. Ha, &amp; K. J. Cheng. (2000). Relative Contributions of Bacteria, Protozoa and Fungi to In Vitro Degradation of Orchard Grass Cell Walls and Their Interactions. </w:t>
      </w:r>
      <w:r w:rsidDel="00000000" w:rsidR="00000000" w:rsidRPr="00000000">
        <w:rPr>
          <w:rFonts w:ascii="Times New Roman" w:cs="Times New Roman" w:eastAsia="Times New Roman" w:hAnsi="Times New Roman"/>
          <w:i w:val="1"/>
          <w:iCs w:val="1"/>
          <w:sz w:val="24"/>
          <w:szCs w:val="24"/>
          <w:rtl w:val="0"/>
        </w:rPr>
        <w:t xml:space="preserve">Appl. Environ. Microbiol</w:t>
      </w:r>
      <w:r w:rsidDel="00000000" w:rsidR="00000000" w:rsidRPr="00000000">
        <w:rPr>
          <w:rFonts w:ascii="Times New Roman" w:cs="Times New Roman" w:eastAsia="Times New Roman" w:hAnsi="Times New Roman"/>
          <w:sz w:val="24"/>
          <w:szCs w:val="24"/>
          <w:rtl w:val="0"/>
        </w:rPr>
        <w:t xml:space="preserve">. 6: 3807-3813</w:t>
      </w:r>
    </w:p>
    <w:p w:rsidR="00000000" w:rsidDel="00000000" w:rsidP="00000000" w:rsidRDefault="00000000" w:rsidRPr="00000000" w14:paraId="00000143">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Mahyuddin, P. (2008). Relationship Between Chemical Component and In Vitro Digestibility of Tropical Grasses. </w:t>
      </w:r>
      <w:r w:rsidDel="00000000" w:rsidR="00000000" w:rsidRPr="00000000">
        <w:rPr>
          <w:rFonts w:ascii="Times New Roman" w:cs="Times New Roman" w:eastAsia="Times New Roman" w:hAnsi="Times New Roman"/>
          <w:i w:val="1"/>
          <w:iCs w:val="1"/>
          <w:sz w:val="24"/>
          <w:szCs w:val="24"/>
          <w:rtl w:val="0"/>
        </w:rPr>
        <w:t xml:space="preserve">HAYATI Journal of Bioscience</w:t>
      </w:r>
      <w:r w:rsidDel="00000000" w:rsidR="00000000" w:rsidRPr="00000000">
        <w:rPr>
          <w:rFonts w:ascii="Times New Roman" w:cs="Times New Roman" w:eastAsia="Times New Roman" w:hAnsi="Times New Roman"/>
          <w:sz w:val="24"/>
          <w:szCs w:val="24"/>
          <w:rtl w:val="0"/>
        </w:rPr>
        <w:t xml:space="preserve">, 15(2), 85-89.</w:t>
      </w:r>
    </w:p>
    <w:p w:rsidR="00000000" w:rsidDel="00000000" w:rsidP="00000000" w:rsidRDefault="00000000" w:rsidRPr="00000000" w14:paraId="00000144">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Mardalena. (2015). Evaluasi Serbuk Kulit Nenas Sebagai Sumber Antioksidan Dalam Ransum Kambing Perah Peranakan Etawah Secara </w:t>
      </w:r>
      <w:r w:rsidDel="00000000" w:rsidR="00000000" w:rsidRPr="00000000">
        <w:rPr>
          <w:rFonts w:ascii="Times New Roman" w:cs="Times New Roman" w:eastAsia="Times New Roman" w:hAnsi="Times New Roman"/>
          <w:i w:val="1"/>
          <w:iCs w:val="1"/>
          <w:sz w:val="24"/>
          <w:szCs w:val="24"/>
          <w:rtl w:val="0"/>
        </w:rPr>
        <w:t xml:space="preserve">In-Vitro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Jurnal Ilmu-Ilmu Peternakan</w:t>
      </w:r>
      <w:r w:rsidDel="00000000" w:rsidR="00000000" w:rsidRPr="00000000">
        <w:rPr>
          <w:rFonts w:ascii="Times New Roman" w:cs="Times New Roman" w:eastAsia="Times New Roman" w:hAnsi="Times New Roman"/>
          <w:sz w:val="24"/>
          <w:szCs w:val="24"/>
          <w:rtl w:val="0"/>
        </w:rPr>
        <w:t xml:space="preserve">, 18(1).</w:t>
      </w:r>
    </w:p>
    <w:p w:rsidR="00000000" w:rsidDel="00000000" w:rsidP="00000000" w:rsidRDefault="00000000" w:rsidRPr="00000000" w14:paraId="00000145">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Markham, R. (1942).  A steam distillation apparatus suitable for micro‑Kjeldahl analysis. </w:t>
      </w:r>
      <w:r w:rsidDel="00000000" w:rsidR="00000000" w:rsidRPr="00000000">
        <w:rPr>
          <w:rFonts w:ascii="Times New Roman" w:cs="Times New Roman" w:eastAsia="Times New Roman" w:hAnsi="Times New Roman"/>
          <w:i w:val="1"/>
          <w:iCs w:val="1"/>
          <w:sz w:val="24"/>
          <w:szCs w:val="24"/>
          <w:rtl w:val="0"/>
        </w:rPr>
        <w:t xml:space="preserve">Biochemical Journal</w:t>
      </w:r>
      <w:r w:rsidDel="00000000" w:rsidR="00000000" w:rsidRPr="00000000">
        <w:rPr>
          <w:rFonts w:ascii="Times New Roman" w:cs="Times New Roman" w:eastAsia="Times New Roman" w:hAnsi="Times New Roman"/>
          <w:sz w:val="24"/>
          <w:szCs w:val="24"/>
          <w:rtl w:val="0"/>
        </w:rPr>
        <w:t xml:space="preserve">, 36, 790–791</w:t>
      </w:r>
    </w:p>
    <w:p w:rsidR="00000000" w:rsidDel="00000000" w:rsidP="00000000" w:rsidRDefault="00000000" w:rsidRPr="00000000" w14:paraId="00000146">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Masruroh, S., Prayitno, C. H., &amp; Suwarno. (2013). Populasi Protozoa dan Produksi Gas Total dari Rumen Kambing Perah yang Pakannya Disuplementasi Ekstrak Herbal secara In Vitro. </w:t>
      </w:r>
      <w:r w:rsidDel="00000000" w:rsidR="00000000" w:rsidRPr="00000000">
        <w:rPr>
          <w:rFonts w:ascii="Times New Roman" w:cs="Times New Roman" w:eastAsia="Times New Roman" w:hAnsi="Times New Roman"/>
          <w:i w:val="1"/>
          <w:iCs w:val="1"/>
          <w:sz w:val="24"/>
          <w:szCs w:val="24"/>
          <w:rtl w:val="0"/>
        </w:rPr>
        <w:t xml:space="preserve">Jurnal Ilmiah Peternakan</w:t>
      </w:r>
      <w:r w:rsidDel="00000000" w:rsidR="00000000" w:rsidRPr="00000000">
        <w:rPr>
          <w:rFonts w:ascii="Times New Roman" w:cs="Times New Roman" w:eastAsia="Times New Roman" w:hAnsi="Times New Roman"/>
          <w:sz w:val="24"/>
          <w:szCs w:val="24"/>
          <w:rtl w:val="0"/>
        </w:rPr>
        <w:t xml:space="preserve">, 1(2), 420-429.</w:t>
      </w:r>
    </w:p>
    <w:p w:rsidR="00000000" w:rsidDel="00000000" w:rsidP="00000000" w:rsidRDefault="00000000" w:rsidRPr="00000000" w14:paraId="00000147">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McDonald, P., Edwards, R. A., &amp; Greenhalgh, J. F. D. Morgan, CA, Sinclair, LA and Wilkinson, RG (2010). </w:t>
      </w:r>
      <w:r w:rsidDel="00000000" w:rsidR="00000000" w:rsidRPr="00000000">
        <w:rPr>
          <w:rFonts w:ascii="Times New Roman" w:cs="Times New Roman" w:eastAsia="Times New Roman" w:hAnsi="Times New Roman"/>
          <w:i w:val="1"/>
          <w:iCs w:val="1"/>
          <w:sz w:val="24"/>
          <w:szCs w:val="24"/>
          <w:rtl w:val="0"/>
        </w:rPr>
        <w:t xml:space="preserve">Animal Nutrition</w:t>
      </w:r>
      <w:r w:rsidDel="00000000" w:rsidR="00000000" w:rsidRPr="00000000">
        <w:rPr>
          <w:rFonts w:ascii="Times New Roman" w:cs="Times New Roman" w:eastAsia="Times New Roman" w:hAnsi="Times New Roman"/>
          <w:sz w:val="24"/>
          <w:szCs w:val="24"/>
          <w:rtl w:val="0"/>
        </w:rPr>
        <w:t xml:space="preserve">. Seventh Edition. United Kingdom, Pearson.</w:t>
      </w:r>
    </w:p>
    <w:p w:rsidR="00000000" w:rsidDel="00000000" w:rsidP="00000000" w:rsidRDefault="00000000" w:rsidRPr="00000000" w14:paraId="00000148">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McDougall, E. I. (1948). Studies on ruminant saliva. I. The composition and output of sheep’s saliva. </w:t>
      </w:r>
      <w:r w:rsidDel="00000000" w:rsidR="00000000" w:rsidRPr="00000000">
        <w:rPr>
          <w:rFonts w:ascii="Times New Roman" w:cs="Times New Roman" w:eastAsia="Times New Roman" w:hAnsi="Times New Roman"/>
          <w:i w:val="1"/>
          <w:iCs w:val="1"/>
          <w:sz w:val="24"/>
          <w:szCs w:val="24"/>
          <w:rtl w:val="0"/>
        </w:rPr>
        <w:t xml:space="preserve">Biochemical Journal</w:t>
      </w:r>
      <w:r w:rsidDel="00000000" w:rsidR="00000000" w:rsidRPr="00000000">
        <w:rPr>
          <w:rFonts w:ascii="Times New Roman" w:cs="Times New Roman" w:eastAsia="Times New Roman" w:hAnsi="Times New Roman"/>
          <w:sz w:val="24"/>
          <w:szCs w:val="24"/>
          <w:rtl w:val="0"/>
        </w:rPr>
        <w:t xml:space="preserve">, 43(1), 99–109</w:t>
      </w:r>
    </w:p>
    <w:p w:rsidR="00000000" w:rsidDel="00000000" w:rsidP="00000000" w:rsidRDefault="00000000" w:rsidRPr="00000000" w14:paraId="00000149">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Michaiowski, T. (2005). Chapter 3 Rumen Protozoa in The Growing Domestic Ruminant. </w:t>
      </w:r>
      <w:r w:rsidDel="00000000" w:rsidR="00000000" w:rsidRPr="00000000">
        <w:rPr>
          <w:rFonts w:ascii="Times New Roman" w:cs="Times New Roman" w:eastAsia="Times New Roman" w:hAnsi="Times New Roman"/>
          <w:i w:val="1"/>
          <w:iCs w:val="1"/>
          <w:sz w:val="24"/>
          <w:szCs w:val="24"/>
          <w:rtl w:val="0"/>
        </w:rPr>
        <w:t xml:space="preserve">Biology of Growing Animals</w:t>
      </w:r>
      <w:r w:rsidDel="00000000" w:rsidR="00000000" w:rsidRPr="00000000">
        <w:rPr>
          <w:rFonts w:ascii="Times New Roman" w:cs="Times New Roman" w:eastAsia="Times New Roman" w:hAnsi="Times New Roman"/>
          <w:sz w:val="24"/>
          <w:szCs w:val="24"/>
          <w:rtl w:val="0"/>
        </w:rPr>
        <w:t xml:space="preserve">, 2, 54-74.</w:t>
      </w:r>
    </w:p>
    <w:p w:rsidR="00000000" w:rsidDel="00000000" w:rsidP="00000000" w:rsidRDefault="00000000" w:rsidRPr="00000000" w14:paraId="0000014A">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Mochtisar, Y. (2020). Karakteristik Kondisi Rumen Kambing Kacang yang Diberi Ekstrak Fermentasi pelepah Kelapa Sawit.</w:t>
      </w:r>
    </w:p>
    <w:p w:rsidR="00000000" w:rsidDel="00000000" w:rsidP="00000000" w:rsidRDefault="00000000" w:rsidRPr="00000000" w14:paraId="0000014B">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Research Council (NRC). (2001). Nutrient Requirement of Dairy Cattle. Seventh Revised ed. </w:t>
      </w:r>
      <w:r w:rsidDel="00000000" w:rsidR="00000000" w:rsidRPr="00000000">
        <w:rPr>
          <w:rFonts w:ascii="Times New Roman" w:cs="Times New Roman" w:eastAsia="Times New Roman" w:hAnsi="Times New Roman"/>
          <w:i w:val="1"/>
          <w:iCs w:val="1"/>
          <w:sz w:val="24"/>
          <w:szCs w:val="24"/>
          <w:rtl w:val="0"/>
        </w:rPr>
        <w:t xml:space="preserve">Washington, D.C. : National Academy Press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C">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 K., Atabany, A., Muladno., &amp; Jayanegara, A. (2015). Produksi Gas Metan Ruminansia Sapi perah dengan Pakan Berbeda serta Pengaruhnya terhadap Produksi dan Kualitas Susu. </w:t>
      </w:r>
      <w:r w:rsidDel="00000000" w:rsidR="00000000" w:rsidRPr="00000000">
        <w:rPr>
          <w:rFonts w:ascii="Times New Roman" w:cs="Times New Roman" w:eastAsia="Times New Roman" w:hAnsi="Times New Roman"/>
          <w:i w:val="1"/>
          <w:iCs w:val="1"/>
          <w:sz w:val="24"/>
          <w:szCs w:val="24"/>
          <w:rtl w:val="0"/>
        </w:rPr>
        <w:t xml:space="preserve">Jurnal Ilmu produksi dan Teknologi Hasil Peternakan</w:t>
      </w:r>
      <w:r w:rsidDel="00000000" w:rsidR="00000000" w:rsidRPr="00000000">
        <w:rPr>
          <w:rFonts w:ascii="Times New Roman" w:cs="Times New Roman" w:eastAsia="Times New Roman" w:hAnsi="Times New Roman"/>
          <w:sz w:val="24"/>
          <w:szCs w:val="24"/>
          <w:rtl w:val="0"/>
        </w:rPr>
        <w:t xml:space="preserve">, 3(2).</w:t>
      </w:r>
    </w:p>
    <w:p w:rsidR="00000000" w:rsidDel="00000000" w:rsidP="00000000" w:rsidRDefault="00000000" w:rsidRPr="00000000" w14:paraId="0000014D">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Orskov, E. R. (1992). Protein Nutritional in Ruminant. </w:t>
      </w:r>
      <w:r w:rsidDel="00000000" w:rsidR="00000000" w:rsidRPr="00000000">
        <w:rPr>
          <w:rFonts w:ascii="Times New Roman" w:cs="Times New Roman" w:eastAsia="Times New Roman" w:hAnsi="Times New Roman"/>
          <w:i w:val="1"/>
          <w:iCs w:val="1"/>
          <w:sz w:val="24"/>
          <w:szCs w:val="24"/>
          <w:rtl w:val="0"/>
        </w:rPr>
        <w:t xml:space="preserve">Academic Press</w:t>
      </w:r>
      <w:r w:rsidDel="00000000" w:rsidR="00000000" w:rsidRPr="00000000">
        <w:rPr>
          <w:rFonts w:ascii="Times New Roman" w:cs="Times New Roman" w:eastAsia="Times New Roman" w:hAnsi="Times New Roman"/>
          <w:sz w:val="24"/>
          <w:szCs w:val="24"/>
          <w:rtl w:val="0"/>
        </w:rPr>
        <w:t xml:space="preserve">, London</w:t>
      </w:r>
    </w:p>
    <w:p w:rsidR="00000000" w:rsidDel="00000000" w:rsidP="00000000" w:rsidRDefault="00000000" w:rsidRPr="00000000" w14:paraId="0000014E">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Pratiwi, D., Suswati, I., &amp; Abdullah, M. (2013). Efek Anti Bakteri Ekstrak Kulit Jeruk Nipis (Citrus aurantifolia) terhadap Salmonella typhi Secara In Vitro. </w:t>
      </w:r>
      <w:r w:rsidDel="00000000" w:rsidR="00000000" w:rsidRPr="00000000">
        <w:rPr>
          <w:rFonts w:ascii="Times New Roman" w:cs="Times New Roman" w:eastAsia="Times New Roman" w:hAnsi="Times New Roman"/>
          <w:i w:val="1"/>
          <w:iCs w:val="1"/>
          <w:sz w:val="24"/>
          <w:szCs w:val="24"/>
          <w:rtl w:val="0"/>
        </w:rPr>
        <w:t xml:space="preserve">SAINTIKA MEDIA: Jurnal Ilmu Kesehatan dan Kedokteran Keluarga</w:t>
      </w:r>
      <w:r w:rsidDel="00000000" w:rsidR="00000000" w:rsidRPr="00000000">
        <w:rPr>
          <w:rFonts w:ascii="Times New Roman" w:cs="Times New Roman" w:eastAsia="Times New Roman" w:hAnsi="Times New Roman"/>
          <w:sz w:val="24"/>
          <w:szCs w:val="24"/>
          <w:rtl w:val="0"/>
        </w:rPr>
        <w:t xml:space="preserve">, 9(2), 110-115.</w:t>
      </w:r>
    </w:p>
    <w:p w:rsidR="00000000" w:rsidDel="00000000" w:rsidP="00000000" w:rsidRDefault="00000000" w:rsidRPr="00000000" w14:paraId="0000014F">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Prawirokusumo, S. 1993. </w:t>
      </w:r>
      <w:r w:rsidDel="00000000" w:rsidR="00000000" w:rsidRPr="00000000">
        <w:rPr>
          <w:rFonts w:ascii="Times New Roman" w:cs="Times New Roman" w:eastAsia="Times New Roman" w:hAnsi="Times New Roman"/>
          <w:i w:val="1"/>
          <w:iCs w:val="1"/>
          <w:sz w:val="24"/>
          <w:szCs w:val="24"/>
          <w:rtl w:val="0"/>
        </w:rPr>
        <w:t xml:space="preserve">Ilmu Gizi Komparatif</w:t>
      </w:r>
      <w:r w:rsidDel="00000000" w:rsidR="00000000" w:rsidRPr="00000000">
        <w:rPr>
          <w:rFonts w:ascii="Times New Roman" w:cs="Times New Roman" w:eastAsia="Times New Roman" w:hAnsi="Times New Roman"/>
          <w:sz w:val="24"/>
          <w:szCs w:val="24"/>
          <w:rtl w:val="0"/>
        </w:rPr>
        <w:t xml:space="preserve">. BPPE. Universitas Gajah Mada. Yogyakarta.</w:t>
      </w:r>
    </w:p>
    <w:p w:rsidR="00000000" w:rsidDel="00000000" w:rsidP="00000000" w:rsidRDefault="00000000" w:rsidRPr="00000000" w14:paraId="00000150">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Pudjiati., Rianto, E., &amp; Lestari, C. M. S. (2019). Pemanfaatan Protein pada Kambing Kacang Lepas Sapih yang Diberi Pakan dengan Kandungan Protein dan Total Digestible Nutrient yang Berbeda. Skripsi, Universitas Diponegoro.</w:t>
      </w:r>
    </w:p>
    <w:p w:rsidR="00000000" w:rsidDel="00000000" w:rsidP="00000000" w:rsidRDefault="00000000" w:rsidRPr="00000000" w14:paraId="00000151">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Puspitasari, R., Muladno., Atabany, A., &amp; Salundik. (2015). Produksi Gas Metana (CH4) dari Feses Sapi FH Laktasi dengan Pakan Rumput Gajah dna Jerami Padi. </w:t>
      </w:r>
      <w:r w:rsidDel="00000000" w:rsidR="00000000" w:rsidRPr="00000000">
        <w:rPr>
          <w:rFonts w:ascii="Times New Roman" w:cs="Times New Roman" w:eastAsia="Times New Roman" w:hAnsi="Times New Roman"/>
          <w:i w:val="1"/>
          <w:iCs w:val="1"/>
          <w:sz w:val="24"/>
          <w:szCs w:val="24"/>
          <w:rtl w:val="0"/>
        </w:rPr>
        <w:t xml:space="preserve">Jurnal Ilmu Produksi dan Teknologi Hasil Peternakan</w:t>
      </w:r>
      <w:r w:rsidDel="00000000" w:rsidR="00000000" w:rsidRPr="00000000">
        <w:rPr>
          <w:rFonts w:ascii="Times New Roman" w:cs="Times New Roman" w:eastAsia="Times New Roman" w:hAnsi="Times New Roman"/>
          <w:sz w:val="24"/>
          <w:szCs w:val="24"/>
          <w:rtl w:val="0"/>
        </w:rPr>
        <w:t xml:space="preserve">, 3(1).</w:t>
      </w:r>
    </w:p>
    <w:p w:rsidR="00000000" w:rsidDel="00000000" w:rsidP="00000000" w:rsidRDefault="00000000" w:rsidRPr="00000000" w14:paraId="00000152">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Putri, F. D., Nurjanah, S., Widyasanti, A., &amp; Nuranjani, F. (2023). Ekstraksi Minyak Atsiri Kulit Jeruk Nipis (</w:t>
      </w:r>
      <w:r w:rsidDel="00000000" w:rsidR="00000000" w:rsidRPr="00000000">
        <w:rPr>
          <w:rFonts w:ascii="Times New Roman" w:cs="Times New Roman" w:eastAsia="Times New Roman" w:hAnsi="Times New Roman"/>
          <w:i w:val="1"/>
          <w:iCs w:val="1"/>
          <w:sz w:val="24"/>
          <w:szCs w:val="24"/>
          <w:rtl w:val="0"/>
        </w:rPr>
        <w:t xml:space="preserve">Citrus Aurantifolia (Christm) Swingle</w:t>
      </w:r>
      <w:r w:rsidDel="00000000" w:rsidR="00000000" w:rsidRPr="00000000">
        <w:rPr>
          <w:rFonts w:ascii="Times New Roman" w:cs="Times New Roman" w:eastAsia="Times New Roman" w:hAnsi="Times New Roman"/>
          <w:sz w:val="24"/>
          <w:szCs w:val="24"/>
          <w:rtl w:val="0"/>
        </w:rPr>
        <w:t xml:space="preserve">) dengan Perbedaan Waktu Pengeringan. </w:t>
      </w:r>
      <w:r w:rsidDel="00000000" w:rsidR="00000000" w:rsidRPr="00000000">
        <w:rPr>
          <w:rFonts w:ascii="Times New Roman" w:cs="Times New Roman" w:eastAsia="Times New Roman" w:hAnsi="Times New Roman"/>
          <w:i w:val="1"/>
          <w:iCs w:val="1"/>
          <w:sz w:val="24"/>
          <w:szCs w:val="24"/>
          <w:rtl w:val="0"/>
        </w:rPr>
        <w:t xml:space="preserve">TEKNOTAN</w:t>
      </w:r>
      <w:r w:rsidDel="00000000" w:rsidR="00000000" w:rsidRPr="00000000">
        <w:rPr>
          <w:rFonts w:ascii="Times New Roman" w:cs="Times New Roman" w:eastAsia="Times New Roman" w:hAnsi="Times New Roman"/>
          <w:sz w:val="24"/>
          <w:szCs w:val="24"/>
          <w:rtl w:val="0"/>
        </w:rPr>
        <w:t xml:space="preserve">, 17(3).</w:t>
      </w:r>
    </w:p>
    <w:p w:rsidR="00000000" w:rsidDel="00000000" w:rsidP="00000000" w:rsidRDefault="00000000" w:rsidRPr="00000000" w14:paraId="00000153">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Rahmawati, P. D., Pangestu, E., Nuswantara, L. K., &amp; Christiyanto, M. (2021). Kecernaan Bahan Kering, Bahan Organik, Lemak Kasar, dan Nilai Total Digestible Nutrient Hijauan pakan Kambing. </w:t>
      </w:r>
      <w:r w:rsidDel="00000000" w:rsidR="00000000" w:rsidRPr="00000000">
        <w:rPr>
          <w:rFonts w:ascii="Times New Roman" w:cs="Times New Roman" w:eastAsia="Times New Roman" w:hAnsi="Times New Roman"/>
          <w:i w:val="1"/>
          <w:iCs w:val="1"/>
          <w:sz w:val="24"/>
          <w:szCs w:val="24"/>
          <w:rtl w:val="0"/>
        </w:rPr>
        <w:t xml:space="preserve">Jurnal Agripet,</w:t>
      </w:r>
      <w:r w:rsidDel="00000000" w:rsidR="00000000" w:rsidRPr="00000000">
        <w:rPr>
          <w:rFonts w:ascii="Times New Roman" w:cs="Times New Roman" w:eastAsia="Times New Roman" w:hAnsi="Times New Roman"/>
          <w:sz w:val="24"/>
          <w:szCs w:val="24"/>
          <w:rtl w:val="0"/>
        </w:rPr>
        <w:t xml:space="preserve"> 21(1), 71-77.</w:t>
      </w:r>
    </w:p>
    <w:p w:rsidR="00000000" w:rsidDel="00000000" w:rsidP="00000000" w:rsidRDefault="00000000" w:rsidRPr="00000000" w14:paraId="00000154">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Rifa’i, M. (2020). Kecernaan Nutrien Kambing Kacang yang Diberi Ekstrak Fermentasi Pelepah Kelapa Sawit.</w:t>
      </w:r>
    </w:p>
    <w:p w:rsidR="00000000" w:rsidDel="00000000" w:rsidP="00000000" w:rsidRDefault="00000000" w:rsidRPr="00000000" w14:paraId="00000155">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Ruiz, B., &amp; Flotats, X. (2014). Citrus Essential Oils and Their Influence on The Anaerobic Digestion Process: an Overview. </w:t>
      </w:r>
      <w:r w:rsidDel="00000000" w:rsidR="00000000" w:rsidRPr="00000000">
        <w:rPr>
          <w:rFonts w:ascii="Times New Roman" w:cs="Times New Roman" w:eastAsia="Times New Roman" w:hAnsi="Times New Roman"/>
          <w:i w:val="1"/>
          <w:iCs w:val="1"/>
          <w:sz w:val="24"/>
          <w:szCs w:val="24"/>
          <w:rtl w:val="0"/>
        </w:rPr>
        <w:t xml:space="preserve">Waste Management</w:t>
      </w:r>
      <w:r w:rsidDel="00000000" w:rsidR="00000000" w:rsidRPr="00000000">
        <w:rPr>
          <w:rFonts w:ascii="Times New Roman" w:cs="Times New Roman" w:eastAsia="Times New Roman" w:hAnsi="Times New Roman"/>
          <w:sz w:val="24"/>
          <w:szCs w:val="24"/>
          <w:rtl w:val="0"/>
        </w:rPr>
        <w:t xml:space="preserve">, 34(11), 2063–2079. </w:t>
      </w:r>
      <w:hyperlink r:id="rId7">
        <w:r w:rsidDel="00000000" w:rsidR="00000000" w:rsidRPr="00000000">
          <w:rPr>
            <w:rFonts w:ascii="Times New Roman" w:cs="Times New Roman" w:eastAsia="Times New Roman" w:hAnsi="Times New Roman"/>
            <w:color w:val="1155cc"/>
            <w:sz w:val="24"/>
            <w:szCs w:val="24"/>
            <w:u w:val="single"/>
            <w:rtl w:val="0"/>
          </w:rPr>
          <w:t xml:space="preserve">https://doi.org/10.1016/j.wasman.2014.06.026</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6">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Sa’dan, M. F., Hidayat, R., &amp; Tanuwiria, U. H. (2021). Pengaruh Proteksi Protein Bungkil Kedelai dengan Cairan Batang Pisang terhadap Konsentrasi Amonia dan </w:t>
      </w:r>
      <w:r w:rsidDel="00000000" w:rsidR="00000000" w:rsidRPr="00000000">
        <w:rPr>
          <w:rFonts w:ascii="Times New Roman" w:cs="Times New Roman" w:eastAsia="Times New Roman" w:hAnsi="Times New Roman"/>
          <w:i w:val="1"/>
          <w:iCs w:val="1"/>
          <w:sz w:val="24"/>
          <w:szCs w:val="24"/>
          <w:rtl w:val="0"/>
        </w:rPr>
        <w:t xml:space="preserve">Undegraded Dietary Protein (UDP)</w:t>
      </w:r>
      <w:r w:rsidDel="00000000" w:rsidR="00000000" w:rsidRPr="00000000">
        <w:rPr>
          <w:rFonts w:ascii="Times New Roman" w:cs="Times New Roman" w:eastAsia="Times New Roman" w:hAnsi="Times New Roman"/>
          <w:sz w:val="24"/>
          <w:szCs w:val="24"/>
          <w:rtl w:val="0"/>
        </w:rPr>
        <w:t xml:space="preserve"> pada Rumen Domba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Jurnal Nutrisi Ternak Tropis dan Ilmu Pakan (JNTTIP)</w:t>
      </w:r>
      <w:r w:rsidDel="00000000" w:rsidR="00000000" w:rsidRPr="00000000">
        <w:rPr>
          <w:rFonts w:ascii="Times New Roman" w:cs="Times New Roman" w:eastAsia="Times New Roman" w:hAnsi="Times New Roman"/>
          <w:sz w:val="24"/>
          <w:szCs w:val="24"/>
          <w:rtl w:val="0"/>
        </w:rPr>
        <w:t xml:space="preserve">, 3(1), 10-19.</w:t>
      </w:r>
      <w:r w:rsidDel="00000000" w:rsidR="00000000" w:rsidRPr="00000000">
        <w:rPr>
          <w:rtl w:val="0"/>
        </w:rPr>
      </w:r>
    </w:p>
    <w:p w:rsidR="00000000" w:rsidDel="00000000" w:rsidP="00000000" w:rsidRDefault="00000000" w:rsidRPr="00000000" w14:paraId="00000157">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Samii, S. S., Wallace, N., Nagaraja, T. G., Engstrom, M. A., Miesner, M. D., Armendariz, C. K., &amp; Titgemeyer, E. C. (2016). Effects of Limonene on Ruminal </w:t>
      </w:r>
      <w:r w:rsidDel="00000000" w:rsidR="00000000" w:rsidRPr="00000000">
        <w:rPr>
          <w:rFonts w:ascii="Times New Roman" w:cs="Times New Roman" w:eastAsia="Times New Roman" w:hAnsi="Times New Roman"/>
          <w:i w:val="1"/>
          <w:iCs w:val="1"/>
          <w:sz w:val="24"/>
          <w:szCs w:val="24"/>
          <w:rtl w:val="0"/>
        </w:rPr>
        <w:t xml:space="preserve">Fusobacterium necrophorum</w:t>
      </w:r>
      <w:r w:rsidDel="00000000" w:rsidR="00000000" w:rsidRPr="00000000">
        <w:rPr>
          <w:rFonts w:ascii="Times New Roman" w:cs="Times New Roman" w:eastAsia="Times New Roman" w:hAnsi="Times New Roman"/>
          <w:sz w:val="24"/>
          <w:szCs w:val="24"/>
          <w:rtl w:val="0"/>
        </w:rPr>
        <w:t xml:space="preserve"> Concentrations, Fermentation, and Lysine Degradation in Cattle. </w:t>
      </w:r>
      <w:r w:rsidDel="00000000" w:rsidR="00000000" w:rsidRPr="00000000">
        <w:rPr>
          <w:rFonts w:ascii="Times New Roman" w:cs="Times New Roman" w:eastAsia="Times New Roman" w:hAnsi="Times New Roman"/>
          <w:i w:val="1"/>
          <w:iCs w:val="1"/>
          <w:sz w:val="24"/>
          <w:szCs w:val="24"/>
          <w:rtl w:val="0"/>
        </w:rPr>
        <w:t xml:space="preserve">Journal of Animal Science</w:t>
      </w:r>
      <w:r w:rsidDel="00000000" w:rsidR="00000000" w:rsidRPr="00000000">
        <w:rPr>
          <w:rFonts w:ascii="Times New Roman" w:cs="Times New Roman" w:eastAsia="Times New Roman" w:hAnsi="Times New Roman"/>
          <w:sz w:val="24"/>
          <w:szCs w:val="24"/>
          <w:rtl w:val="0"/>
        </w:rPr>
        <w:t xml:space="preserve">, 94(8), 3326-3335.</w:t>
      </w:r>
    </w:p>
    <w:p w:rsidR="00000000" w:rsidDel="00000000" w:rsidP="00000000" w:rsidRDefault="00000000" w:rsidRPr="00000000" w14:paraId="00000158">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Sari, R. (2023). Dukung SDG’s 15, FF UNAIR Edukasi Masyarakat untuk Manfaatkan Limbah Jeruk Nipis. </w:t>
      </w:r>
      <w:r w:rsidDel="00000000" w:rsidR="00000000" w:rsidRPr="00000000">
        <w:rPr>
          <w:rFonts w:ascii="Times New Roman" w:cs="Times New Roman" w:eastAsia="Times New Roman" w:hAnsi="Times New Roman"/>
          <w:i w:val="1"/>
          <w:iCs w:val="1"/>
          <w:sz w:val="24"/>
          <w:szCs w:val="24"/>
          <w:rtl w:val="0"/>
        </w:rPr>
        <w:t xml:space="preserve">Laporan Pengabdian Masyarakat Fakultas Farmasi UNAIR</w:t>
      </w:r>
      <w:r w:rsidDel="00000000" w:rsidR="00000000" w:rsidRPr="00000000">
        <w:rPr>
          <w:rFonts w:ascii="Times New Roman" w:cs="Times New Roman" w:eastAsia="Times New Roman" w:hAnsi="Times New Roman"/>
          <w:sz w:val="24"/>
          <w:szCs w:val="24"/>
          <w:rtl w:val="0"/>
        </w:rPr>
        <w:t xml:space="preserve">. Diakses 25 Juni 2025, pada </w:t>
      </w:r>
      <w:hyperlink r:id="rId8">
        <w:r w:rsidDel="00000000" w:rsidR="00000000" w:rsidRPr="00000000">
          <w:rPr>
            <w:rFonts w:ascii="Times New Roman" w:cs="Times New Roman" w:eastAsia="Times New Roman" w:hAnsi="Times New Roman"/>
            <w:color w:val="0000ff"/>
            <w:sz w:val="24"/>
            <w:szCs w:val="24"/>
            <w:u w:val="single"/>
            <w:rtl w:val="0"/>
          </w:rPr>
          <w:t xml:space="preserve">https://ff.unair.ac.id/wrt/2075/dukung-sdgs-15-ff-unair-edukasi-masyarakat-untuk-manfaatkan-limbah-jeruk-nipis</w:t>
        </w:r>
      </w:hyperlink>
      <w:r w:rsidDel="00000000" w:rsidR="00000000" w:rsidRPr="00000000">
        <w:rPr>
          <w:rtl w:val="0"/>
        </w:rPr>
      </w:r>
    </w:p>
    <w:p w:rsidR="00000000" w:rsidDel="00000000" w:rsidP="00000000" w:rsidRDefault="00000000" w:rsidRPr="00000000" w14:paraId="00000159">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Seresinhe, T., Madushika, S. A. C., Seresinhe, Y., Lal, P. K., &amp; Ørskov, E. R. (2012). Using Gas Production Technique Effects of Tropical High Tannin Non Legume and Low Tannin Legume Browse Mixtures on Fermentation Parameters and Methanogenesis. </w:t>
      </w:r>
      <w:r w:rsidDel="00000000" w:rsidR="00000000" w:rsidRPr="00000000">
        <w:rPr>
          <w:rFonts w:ascii="Times New Roman" w:cs="Times New Roman" w:eastAsia="Times New Roman" w:hAnsi="Times New Roman"/>
          <w:i w:val="1"/>
          <w:iCs w:val="1"/>
          <w:sz w:val="24"/>
          <w:szCs w:val="24"/>
          <w:rtl w:val="0"/>
        </w:rPr>
        <w:t xml:space="preserve">Asian Aust. J. Anim. Sci.</w:t>
      </w:r>
      <w:r w:rsidDel="00000000" w:rsidR="00000000" w:rsidRPr="00000000">
        <w:rPr>
          <w:rFonts w:ascii="Times New Roman" w:cs="Times New Roman" w:eastAsia="Times New Roman" w:hAnsi="Times New Roman"/>
          <w:sz w:val="24"/>
          <w:szCs w:val="24"/>
          <w:rtl w:val="0"/>
        </w:rPr>
        <w:t xml:space="preserve"> 25(10): 1404 - 1410</w:t>
      </w:r>
    </w:p>
    <w:p w:rsidR="00000000" w:rsidDel="00000000" w:rsidP="00000000" w:rsidRDefault="00000000" w:rsidRPr="00000000" w14:paraId="0000015A">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Setiawan, M. E. (2022). Evaluasi Nilai Kecernaan Bahan Kering, Bahan Organik, dan Protein Kasar secara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Ransum yang Disuplementasi dengan probiotik LIPP.</w:t>
      </w:r>
    </w:p>
    <w:p w:rsidR="00000000" w:rsidDel="00000000" w:rsidP="00000000" w:rsidRDefault="00000000" w:rsidRPr="00000000" w14:paraId="0000015B">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Soebarinoto, S. Chuzaemi dan Mashudi. 1991. </w:t>
      </w:r>
      <w:r w:rsidDel="00000000" w:rsidR="00000000" w:rsidRPr="00000000">
        <w:rPr>
          <w:rFonts w:ascii="Times New Roman" w:cs="Times New Roman" w:eastAsia="Times New Roman" w:hAnsi="Times New Roman"/>
          <w:i w:val="1"/>
          <w:iCs w:val="1"/>
          <w:sz w:val="24"/>
          <w:szCs w:val="24"/>
          <w:rtl w:val="0"/>
        </w:rPr>
        <w:t xml:space="preserve">Ilmu Gizi Ruminansia</w:t>
      </w:r>
      <w:r w:rsidDel="00000000" w:rsidR="00000000" w:rsidRPr="00000000">
        <w:rPr>
          <w:rFonts w:ascii="Times New Roman" w:cs="Times New Roman" w:eastAsia="Times New Roman" w:hAnsi="Times New Roman"/>
          <w:sz w:val="24"/>
          <w:szCs w:val="24"/>
          <w:rtl w:val="0"/>
        </w:rPr>
        <w:t xml:space="preserve">. Jurusan Nutrisi Makanan Ternak. Fakultas Peternakan Brawijaya Malang.</w:t>
      </w:r>
    </w:p>
    <w:p w:rsidR="00000000" w:rsidDel="00000000" w:rsidP="00000000" w:rsidRDefault="00000000" w:rsidRPr="00000000" w14:paraId="0000015C">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Soeharsono. (2010). </w:t>
      </w:r>
      <w:r w:rsidDel="00000000" w:rsidR="00000000" w:rsidRPr="00000000">
        <w:rPr>
          <w:rFonts w:ascii="Times New Roman" w:cs="Times New Roman" w:eastAsia="Times New Roman" w:hAnsi="Times New Roman"/>
          <w:i w:val="1"/>
          <w:iCs w:val="1"/>
          <w:sz w:val="24"/>
          <w:szCs w:val="24"/>
          <w:rtl w:val="0"/>
        </w:rPr>
        <w:t xml:space="preserve">Bionomika ternak</w:t>
      </w:r>
      <w:r w:rsidDel="00000000" w:rsidR="00000000" w:rsidRPr="00000000">
        <w:rPr>
          <w:rFonts w:ascii="Times New Roman" w:cs="Times New Roman" w:eastAsia="Times New Roman" w:hAnsi="Times New Roman"/>
          <w:sz w:val="24"/>
          <w:szCs w:val="24"/>
          <w:rtl w:val="0"/>
        </w:rPr>
        <w:t xml:space="preserve">. Bandung: Widya Pajajaran. </w:t>
      </w:r>
    </w:p>
    <w:p w:rsidR="00000000" w:rsidDel="00000000" w:rsidP="00000000" w:rsidRDefault="00000000" w:rsidRPr="00000000" w14:paraId="0000015D">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Stypinski, J. D., Weiss, W. P., Carroll, A. L., &amp; Kononoff, P. J. (2024). Effect of Acid Detergent Lignin Concentration for Diets Formulated to be Similar in Neutral Detergent Fiber Content on Energy Utilization in Lactating Jersey Cows. </w:t>
      </w:r>
      <w:r w:rsidDel="00000000" w:rsidR="00000000" w:rsidRPr="00000000">
        <w:rPr>
          <w:rFonts w:ascii="Times New Roman" w:cs="Times New Roman" w:eastAsia="Times New Roman" w:hAnsi="Times New Roman"/>
          <w:i w:val="1"/>
          <w:iCs w:val="1"/>
          <w:sz w:val="24"/>
          <w:szCs w:val="24"/>
          <w:rtl w:val="0"/>
        </w:rPr>
        <w:t xml:space="preserve">Journal of Dairy Science</w:t>
      </w:r>
      <w:r w:rsidDel="00000000" w:rsidR="00000000" w:rsidRPr="00000000">
        <w:rPr>
          <w:rFonts w:ascii="Times New Roman" w:cs="Times New Roman" w:eastAsia="Times New Roman" w:hAnsi="Times New Roman"/>
          <w:sz w:val="24"/>
          <w:szCs w:val="24"/>
          <w:rtl w:val="0"/>
        </w:rPr>
        <w:t xml:space="preserve">, 107(8), 5699–5708. </w:t>
      </w:r>
      <w:hyperlink r:id="rId9">
        <w:r w:rsidDel="00000000" w:rsidR="00000000" w:rsidRPr="00000000">
          <w:rPr>
            <w:rFonts w:ascii="Times New Roman" w:cs="Times New Roman" w:eastAsia="Times New Roman" w:hAnsi="Times New Roman"/>
            <w:color w:val="1155cc"/>
            <w:sz w:val="24"/>
            <w:szCs w:val="24"/>
            <w:u w:val="single"/>
            <w:rtl w:val="0"/>
          </w:rPr>
          <w:t xml:space="preserve">https://doi.org/10.3168/jds.2023-24318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5E">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Suryani, N. N., Budiasa, I. K. M., &amp; Astawa, I. P. A. (2014). Fermentasi Rumen dan Sintesis Protein Mikroba Kambing Peranakan Ettawa yang Diberi Pakan dengan Komposisi Hijauan Beragam dan Level Konsentrat Berbeda. </w:t>
      </w:r>
      <w:r w:rsidDel="00000000" w:rsidR="00000000" w:rsidRPr="00000000">
        <w:rPr>
          <w:rFonts w:ascii="Times New Roman" w:cs="Times New Roman" w:eastAsia="Times New Roman" w:hAnsi="Times New Roman"/>
          <w:i w:val="1"/>
          <w:iCs w:val="1"/>
          <w:sz w:val="24"/>
          <w:szCs w:val="24"/>
          <w:rtl w:val="0"/>
        </w:rPr>
        <w:t xml:space="preserve">Majalah Ilmiah Peternakan</w:t>
      </w:r>
      <w:r w:rsidDel="00000000" w:rsidR="00000000" w:rsidRPr="00000000">
        <w:rPr>
          <w:rFonts w:ascii="Times New Roman" w:cs="Times New Roman" w:eastAsia="Times New Roman" w:hAnsi="Times New Roman"/>
          <w:sz w:val="24"/>
          <w:szCs w:val="24"/>
          <w:rtl w:val="0"/>
        </w:rPr>
        <w:t xml:space="preserve">, 17(2).</w:t>
      </w:r>
    </w:p>
    <w:p w:rsidR="00000000" w:rsidDel="00000000" w:rsidP="00000000" w:rsidRDefault="00000000" w:rsidRPr="00000000" w14:paraId="0000015F">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Susilo, E., Nuswantara. LK., dan Pangestu, E. (2019). Evaluasi Bahan Pakan Hasil Samping Industri Pertanian Berdasarkan Parameter Fermentabilitas Ruminal secara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Jurnal Sain Peternakan Indonesia,</w:t>
      </w:r>
      <w:r w:rsidDel="00000000" w:rsidR="00000000" w:rsidRPr="00000000">
        <w:rPr>
          <w:rFonts w:ascii="Times New Roman" w:cs="Times New Roman" w:eastAsia="Times New Roman" w:hAnsi="Times New Roman"/>
          <w:sz w:val="24"/>
          <w:szCs w:val="24"/>
          <w:rtl w:val="0"/>
        </w:rPr>
        <w:t xml:space="preserve"> 14(2), 128-136.</w:t>
      </w:r>
    </w:p>
    <w:p w:rsidR="00000000" w:rsidDel="00000000" w:rsidP="00000000" w:rsidRDefault="00000000" w:rsidRPr="00000000" w14:paraId="00000160">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Sutardi, T. (1977). Ikhtisar ruminologi. </w:t>
      </w:r>
      <w:r w:rsidDel="00000000" w:rsidR="00000000" w:rsidRPr="00000000">
        <w:rPr>
          <w:rFonts w:ascii="Times New Roman" w:cs="Times New Roman" w:eastAsia="Times New Roman" w:hAnsi="Times New Roman"/>
          <w:i w:val="1"/>
          <w:iCs w:val="1"/>
          <w:sz w:val="24"/>
          <w:szCs w:val="24"/>
          <w:rtl w:val="0"/>
        </w:rPr>
        <w:t xml:space="preserve">Bahan penataran kursus peternakan sapi perah di Kayu Ambon</w:t>
      </w:r>
      <w:r w:rsidDel="00000000" w:rsidR="00000000" w:rsidRPr="00000000">
        <w:rPr>
          <w:rFonts w:ascii="Times New Roman" w:cs="Times New Roman" w:eastAsia="Times New Roman" w:hAnsi="Times New Roman"/>
          <w:sz w:val="24"/>
          <w:szCs w:val="24"/>
          <w:rtl w:val="0"/>
        </w:rPr>
        <w:t xml:space="preserve">. Lembang. Bogor: Departemen Ilmu Makanan Ternak Fakultas Peternakan Institut Pertanian Bogor.</w:t>
      </w:r>
    </w:p>
    <w:p w:rsidR="00000000" w:rsidDel="00000000" w:rsidP="00000000" w:rsidRDefault="00000000" w:rsidRPr="00000000" w14:paraId="00000161">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Sutardi, T. (1979). Ketahanan Protein Bahan Makanan Terhadap Degradasi Mikroba Rumen dan Populasi Protozoa Rumen dan Pemanfaatnya bagi Produktivitas Ternak. </w:t>
      </w:r>
      <w:r w:rsidDel="00000000" w:rsidR="00000000" w:rsidRPr="00000000">
        <w:rPr>
          <w:rFonts w:ascii="Times New Roman" w:cs="Times New Roman" w:eastAsia="Times New Roman" w:hAnsi="Times New Roman"/>
          <w:i w:val="1"/>
          <w:iCs w:val="1"/>
          <w:sz w:val="24"/>
          <w:szCs w:val="24"/>
          <w:rtl w:val="0"/>
        </w:rPr>
        <w:t xml:space="preserve">Prosiding Seminar Penelitian dan Pengembangan Peternakan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2">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Sutardi, T. (1980).  </w:t>
      </w:r>
      <w:r w:rsidDel="00000000" w:rsidR="00000000" w:rsidRPr="00000000">
        <w:rPr>
          <w:rFonts w:ascii="Times New Roman" w:cs="Times New Roman" w:eastAsia="Times New Roman" w:hAnsi="Times New Roman"/>
          <w:i w:val="1"/>
          <w:iCs w:val="1"/>
          <w:sz w:val="24"/>
          <w:szCs w:val="24"/>
          <w:rtl w:val="0"/>
        </w:rPr>
        <w:t xml:space="preserve">Landasan Ilmu Nutrisi. Jilid I</w:t>
      </w:r>
      <w:r w:rsidDel="00000000" w:rsidR="00000000" w:rsidRPr="00000000">
        <w:rPr>
          <w:rFonts w:ascii="Times New Roman" w:cs="Times New Roman" w:eastAsia="Times New Roman" w:hAnsi="Times New Roman"/>
          <w:sz w:val="24"/>
          <w:szCs w:val="24"/>
          <w:rtl w:val="0"/>
        </w:rPr>
        <w:t xml:space="preserve">. Departemen Ilmu Makanan Ternak Fakultas Peternakan Institut Pertanian Bogor: Bogor. </w:t>
      </w:r>
    </w:p>
    <w:p w:rsidR="00000000" w:rsidDel="00000000" w:rsidP="00000000" w:rsidRDefault="00000000" w:rsidRPr="00000000" w14:paraId="00000163">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Tilley, J. M. A., &amp; R. A. Terry. (1963).  A Two-Stage Technique for The In Vitro Digestion of Forage Crops. </w:t>
      </w:r>
      <w:r w:rsidDel="00000000" w:rsidR="00000000" w:rsidRPr="00000000">
        <w:rPr>
          <w:rFonts w:ascii="Times New Roman" w:cs="Times New Roman" w:eastAsia="Times New Roman" w:hAnsi="Times New Roman"/>
          <w:i w:val="1"/>
          <w:iCs w:val="1"/>
          <w:sz w:val="24"/>
          <w:szCs w:val="24"/>
          <w:rtl w:val="0"/>
        </w:rPr>
        <w:t xml:space="preserve">J. British Grass Soc</w:t>
      </w:r>
      <w:r w:rsidDel="00000000" w:rsidR="00000000" w:rsidRPr="00000000">
        <w:rPr>
          <w:rFonts w:ascii="Times New Roman" w:cs="Times New Roman" w:eastAsia="Times New Roman" w:hAnsi="Times New Roman"/>
          <w:sz w:val="24"/>
          <w:szCs w:val="24"/>
          <w:rtl w:val="0"/>
        </w:rPr>
        <w:t xml:space="preserve">. 18: 104 – 111.</w:t>
      </w:r>
    </w:p>
    <w:p w:rsidR="00000000" w:rsidDel="00000000" w:rsidP="00000000" w:rsidRDefault="00000000" w:rsidRPr="00000000" w14:paraId="00000164">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Tillman, A. D., Hartadi, H., Reksohardiprodjo, S., Prawirokusumo, S., Lendosoekodjo, S. (1998). </w:t>
      </w:r>
      <w:r w:rsidDel="00000000" w:rsidR="00000000" w:rsidRPr="00000000">
        <w:rPr>
          <w:rFonts w:ascii="Times New Roman" w:cs="Times New Roman" w:eastAsia="Times New Roman" w:hAnsi="Times New Roman"/>
          <w:i w:val="1"/>
          <w:iCs w:val="1"/>
          <w:sz w:val="24"/>
          <w:szCs w:val="24"/>
          <w:rtl w:val="0"/>
        </w:rPr>
        <w:t xml:space="preserve">Ilmu Makanan Ternak Dasar</w:t>
      </w:r>
      <w:r w:rsidDel="00000000" w:rsidR="00000000" w:rsidRPr="00000000">
        <w:rPr>
          <w:rFonts w:ascii="Times New Roman" w:cs="Times New Roman" w:eastAsia="Times New Roman" w:hAnsi="Times New Roman"/>
          <w:sz w:val="24"/>
          <w:szCs w:val="24"/>
          <w:rtl w:val="0"/>
        </w:rPr>
        <w:t xml:space="preserve">. Gadjah Mada University Press: Yogyakarta.</w:t>
      </w:r>
    </w:p>
    <w:p w:rsidR="00000000" w:rsidDel="00000000" w:rsidP="00000000" w:rsidRDefault="00000000" w:rsidRPr="00000000" w14:paraId="00000165">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 Soest, P.J. (1994) </w:t>
      </w:r>
      <w:r w:rsidDel="00000000" w:rsidR="00000000" w:rsidRPr="00000000">
        <w:rPr>
          <w:rFonts w:ascii="Times New Roman" w:cs="Times New Roman" w:eastAsia="Times New Roman" w:hAnsi="Times New Roman"/>
          <w:i w:val="1"/>
          <w:iCs w:val="1"/>
          <w:sz w:val="24"/>
          <w:szCs w:val="24"/>
          <w:rtl w:val="0"/>
        </w:rPr>
        <w:t xml:space="preserve">Nutritional ecology of the ruminant</w:t>
      </w:r>
      <w:r w:rsidDel="00000000" w:rsidR="00000000" w:rsidRPr="00000000">
        <w:rPr>
          <w:rFonts w:ascii="Times New Roman" w:cs="Times New Roman" w:eastAsia="Times New Roman" w:hAnsi="Times New Roman"/>
          <w:sz w:val="24"/>
          <w:szCs w:val="24"/>
          <w:rtl w:val="0"/>
        </w:rPr>
        <w:t xml:space="preserve">. 2nd Edition, Cornell University Press, Ithaca, 476.</w:t>
      </w:r>
    </w:p>
    <w:p w:rsidR="00000000" w:rsidDel="00000000" w:rsidP="00000000" w:rsidRDefault="00000000" w:rsidRPr="00000000" w14:paraId="00000166">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Wahyuni, I. M. D., Muktiani, A., &amp; Christiyanto, M. (2014). Kecernaan bahan kering dan bahan organik dan degradabilitas serat pada pakan yang disuplementasi tanin dan saponin. Jurnal Agripet, 14(2), 115–124. </w:t>
      </w:r>
      <w:hyperlink r:id="rId10">
        <w:r w:rsidDel="00000000" w:rsidR="00000000" w:rsidRPr="00000000">
          <w:rPr>
            <w:rFonts w:ascii="Times New Roman" w:cs="Times New Roman" w:eastAsia="Times New Roman" w:hAnsi="Times New Roman"/>
            <w:sz w:val="24"/>
            <w:szCs w:val="24"/>
            <w:rtl w:val="0"/>
          </w:rPr>
          <w:t xml:space="preserve">https://doi.org/10.17969/agripet.v14i2.1886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7">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 E., Muetzel, S., Hoffmann, E., Makkar, H. P. S., &amp; Becker, K. (2005). Saponins containing methanol extract of Sapindus rarak affect microbial fermentation, microbial activity, and microbial community structure in vitro. </w:t>
      </w:r>
      <w:r w:rsidDel="00000000" w:rsidR="00000000" w:rsidRPr="00000000">
        <w:rPr>
          <w:rFonts w:ascii="Times New Roman" w:cs="Times New Roman" w:eastAsia="Times New Roman" w:hAnsi="Times New Roman"/>
          <w:i w:val="1"/>
          <w:iCs w:val="1"/>
          <w:sz w:val="24"/>
          <w:szCs w:val="24"/>
          <w:rtl w:val="0"/>
        </w:rPr>
        <w:t xml:space="preserve">Animal Feed Science and Technology</w:t>
      </w:r>
      <w:r w:rsidDel="00000000" w:rsidR="00000000" w:rsidRPr="00000000">
        <w:rPr>
          <w:rFonts w:ascii="Times New Roman" w:cs="Times New Roman" w:eastAsia="Times New Roman" w:hAnsi="Times New Roman"/>
          <w:sz w:val="24"/>
          <w:szCs w:val="24"/>
          <w:rtl w:val="0"/>
        </w:rPr>
        <w:t xml:space="preserve">, 121(1-2), 159-174.</w:t>
      </w:r>
    </w:p>
    <w:p w:rsidR="00000000" w:rsidDel="00000000" w:rsidP="00000000" w:rsidRDefault="00000000" w:rsidRPr="00000000" w14:paraId="00000168">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Yanuartono., Nururrozi, A., Indarjulianto, S., Purnamaningsih, A. (2019). Peran Protozoa pada Pencernaan Ruminansia dan Dampak Terhadap Lingkungan. </w:t>
      </w:r>
      <w:r w:rsidDel="00000000" w:rsidR="00000000" w:rsidRPr="00000000">
        <w:rPr>
          <w:rFonts w:ascii="Times New Roman" w:cs="Times New Roman" w:eastAsia="Times New Roman" w:hAnsi="Times New Roman"/>
          <w:i w:val="1"/>
          <w:iCs w:val="1"/>
          <w:sz w:val="24"/>
          <w:szCs w:val="24"/>
          <w:rtl w:val="0"/>
        </w:rPr>
        <w:t xml:space="preserve">Ternak Tropika: Journal of tropical Animal Production</w:t>
      </w:r>
      <w:r w:rsidDel="00000000" w:rsidR="00000000" w:rsidRPr="00000000">
        <w:rPr>
          <w:rFonts w:ascii="Times New Roman" w:cs="Times New Roman" w:eastAsia="Times New Roman" w:hAnsi="Times New Roman"/>
          <w:sz w:val="24"/>
          <w:szCs w:val="24"/>
          <w:rtl w:val="0"/>
        </w:rPr>
        <w:t xml:space="preserve">, 20(1), 16-28.</w:t>
      </w:r>
    </w:p>
    <w:p w:rsidR="00000000" w:rsidDel="00000000" w:rsidP="00000000" w:rsidRDefault="00000000" w:rsidRPr="00000000" w14:paraId="00000169">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Yanza, Y. R., Setiawan, M. A., Fitri, A., Tanuwiria, U. H., Hidayat, C., Ramadhani, F., Hidayat, R., Fidriyanto, R., Harahap, R. P., Niderkorn, V., Respati, A. N., Jayanegara, A., Olorunlowu, S. A., Lagoda, J., Cieslak, A., &amp; Irawan, A. (2026). Influence of Saponin Extracts on Enteric Methane Emission and Rumen Fermentation: a Meta-Analysis of In Vitro Experiments. </w:t>
      </w:r>
      <w:r w:rsidDel="00000000" w:rsidR="00000000" w:rsidRPr="00000000">
        <w:rPr>
          <w:rFonts w:ascii="Times New Roman" w:cs="Times New Roman" w:eastAsia="Times New Roman" w:hAnsi="Times New Roman"/>
          <w:i w:val="1"/>
          <w:iCs w:val="1"/>
          <w:sz w:val="24"/>
          <w:szCs w:val="24"/>
          <w:rtl w:val="0"/>
        </w:rPr>
        <w:t xml:space="preserve">BMC Veterinary Research</w:t>
      </w:r>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color w:val="1155cc"/>
            <w:sz w:val="24"/>
            <w:szCs w:val="24"/>
            <w:u w:val="single"/>
            <w:rtl w:val="0"/>
          </w:rPr>
          <w:t xml:space="preserve">https://doi.org/10.1186/s12917-026-05487-8</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6A">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Yunilas, Y., Zain, M., Tanuwiria, U. H., &amp; Syamsu, J. A. (2023). The Balance of Rumen Degradable Protein and Readily Available Carbohydrate in Sheep Rations on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Fermentability. </w:t>
      </w:r>
      <w:r w:rsidDel="00000000" w:rsidR="00000000" w:rsidRPr="00000000">
        <w:rPr>
          <w:rFonts w:ascii="Times New Roman" w:cs="Times New Roman" w:eastAsia="Times New Roman" w:hAnsi="Times New Roman"/>
          <w:i w:val="1"/>
          <w:iCs w:val="1"/>
          <w:sz w:val="24"/>
          <w:szCs w:val="24"/>
          <w:rtl w:val="0"/>
        </w:rPr>
        <w:t xml:space="preserve">Journal of Advanced Veterinary and Animal Research, </w:t>
      </w:r>
      <w:r w:rsidDel="00000000" w:rsidR="00000000" w:rsidRPr="00000000">
        <w:rPr>
          <w:rFonts w:ascii="Times New Roman" w:cs="Times New Roman" w:eastAsia="Times New Roman" w:hAnsi="Times New Roman"/>
          <w:sz w:val="24"/>
          <w:szCs w:val="24"/>
          <w:rtl w:val="0"/>
        </w:rPr>
        <w:t xml:space="preserve">10(4), 738-743. </w:t>
      </w:r>
    </w:p>
    <w:p w:rsidR="00000000" w:rsidDel="00000000" w:rsidP="00000000" w:rsidRDefault="00000000" w:rsidRPr="00000000" w14:paraId="0000016B">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Zain, M., Despal., Tanuwiria, U. H. Pazla, R., Putri, E. M., &amp; Amanah, U. (2022). Evaluation of Legumes, Roughages, and Concentrates Based on Chemical Composition, Rumen Degradable and Undegradable Proteins By </w:t>
      </w:r>
      <w:r w:rsidDel="00000000" w:rsidR="00000000" w:rsidRPr="00000000">
        <w:rPr>
          <w:rFonts w:ascii="Times New Roman" w:cs="Times New Roman" w:eastAsia="Times New Roman" w:hAnsi="Times New Roman"/>
          <w:i w:val="1"/>
          <w:iCs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Method. </w:t>
      </w:r>
      <w:r w:rsidDel="00000000" w:rsidR="00000000" w:rsidRPr="00000000">
        <w:rPr>
          <w:rFonts w:ascii="Times New Roman" w:cs="Times New Roman" w:eastAsia="Times New Roman" w:hAnsi="Times New Roman"/>
          <w:i w:val="1"/>
          <w:iCs w:val="1"/>
          <w:sz w:val="24"/>
          <w:szCs w:val="24"/>
          <w:rtl w:val="0"/>
        </w:rPr>
        <w:t xml:space="preserve">International Journal of Veterinary Science, </w:t>
      </w:r>
      <w:r w:rsidDel="00000000" w:rsidR="00000000" w:rsidRPr="00000000">
        <w:rPr>
          <w:rFonts w:ascii="Times New Roman" w:cs="Times New Roman" w:eastAsia="Times New Roman" w:hAnsi="Times New Roman"/>
          <w:sz w:val="24"/>
          <w:szCs w:val="24"/>
          <w:rtl w:val="0"/>
        </w:rPr>
        <w:t xml:space="preserve">12(4), 528-538.</w:t>
      </w:r>
    </w:p>
    <w:p w:rsidR="00000000" w:rsidDel="00000000" w:rsidP="00000000" w:rsidRDefault="00000000" w:rsidRPr="00000000" w14:paraId="0000016C">
      <w:pPr>
        <w:numPr>
          <w:ilvl w:val="0"/>
          <w:numId w:val="1"/>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Zuhud, E. A. M., &amp; Haryanto. (1994). </w:t>
      </w:r>
      <w:r w:rsidDel="00000000" w:rsidR="00000000" w:rsidRPr="00000000">
        <w:rPr>
          <w:rFonts w:ascii="Times New Roman" w:cs="Times New Roman" w:eastAsia="Times New Roman" w:hAnsi="Times New Roman"/>
          <w:i w:val="1"/>
          <w:iCs w:val="1"/>
          <w:sz w:val="24"/>
          <w:szCs w:val="24"/>
          <w:rtl w:val="0"/>
        </w:rPr>
        <w:t xml:space="preserve">Pelestarian Pemanfaatan Keanekaragaman Tumbuhan Obat Hutan Tropika Indonesia</w:t>
      </w:r>
      <w:r w:rsidDel="00000000" w:rsidR="00000000" w:rsidRPr="00000000">
        <w:rPr>
          <w:rFonts w:ascii="Times New Roman" w:cs="Times New Roman" w:eastAsia="Times New Roman" w:hAnsi="Times New Roman"/>
          <w:sz w:val="24"/>
          <w:szCs w:val="24"/>
          <w:rtl w:val="0"/>
        </w:rPr>
        <w:t xml:space="preserve">. Bogor: Institut Pertanian Bogor. </w:t>
      </w:r>
    </w:p>
    <w:p w:rsidR="00000000" w:rsidDel="00000000" w:rsidP="00000000" w:rsidRDefault="00000000" w:rsidRPr="00000000" w14:paraId="0000016D">
      <w:pPr>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after="0" w:before="0" w:line="240" w:lineRule="auto"/>
        <w:jc w:val="both"/>
        <w:rPr>
          <w:rFonts w:ascii="Times New Roman" w:cs="Times New Roman" w:eastAsia="Times New Roman" w:hAnsi="Times New Roman"/>
        </w:rPr>
      </w:pPr>
      <w:r w:rsidDel="00000000" w:rsidR="00000000" w:rsidRPr="00000000">
        <w:rPr>
          <w:rtl w:val="0"/>
        </w:rPr>
      </w:r>
    </w:p>
    <w:sectPr>
      <w:pgSz w:h="16838" w:w="11906" w:orient="portrait"/>
      <w:pgMar w:bottom="604.8" w:top="1094.4" w:left="604.8" w:right="604.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i.org/10.1186/s12917-026-05487-8" TargetMode="External"/><Relationship Id="rId10" Type="http://schemas.openxmlformats.org/officeDocument/2006/relationships/hyperlink" Target="https://doi.org/10.17969/agripet.v14i2.1886" TargetMode="External"/><Relationship Id="rId9" Type="http://schemas.openxmlformats.org/officeDocument/2006/relationships/hyperlink" Target="https://doi.org/10.3168/jds.2023-24318" TargetMode="External"/><Relationship Id="rId5" Type="http://schemas.openxmlformats.org/officeDocument/2006/relationships/styles" Target="styles.xml"/><Relationship Id="rId6" Type="http://schemas.openxmlformats.org/officeDocument/2006/relationships/hyperlink" Target="https://doi.org/10.1007/s00217-023-04330-w" TargetMode="External"/><Relationship Id="rId7" Type="http://schemas.openxmlformats.org/officeDocument/2006/relationships/hyperlink" Target="https://doi.org/10.1016/j.wasman.2014.06.026" TargetMode="External"/><Relationship Id="rId8" Type="http://schemas.openxmlformats.org/officeDocument/2006/relationships/hyperlink" Target="https://ff.unair.ac.id/wrt/2075/dukung-sdgs-15-ff-unair-edukasi-masyarakat-untuk-manfaatkan-limbah-jeruk-nipi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