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120" w:line="240"/>
        <w:jc w:val="center"/>
      </w:pPr>
      <w:r>
        <w:rPr>
          <w:rFonts w:ascii="Times New Roman" w:cs="Times New Roman" w:eastAsia="Times New Roman" w:hAnsi="Times New Roman"/>
          <w:b/>
          <w:bCs/>
          <w:sz w:val="36"/>
          <w:szCs w:val="36"/>
        </w:rPr>
        <w:t xml:space="preserve">Climate Justice as a Convergent Legal and Scientific Imperative: Toward Enforceable Equity in the Anthropocene</w:t>
      </w:r>
    </w:p>
    <w:p>
      <w:pPr>
        <w:spacing w:after="120" w:before="120" w:line="240"/>
        <w:jc w:val="center"/>
      </w:pPr>
      <w:r>
        <w:rPr>
          <w:rFonts w:ascii="Times New Roman" w:cs="Times New Roman" w:eastAsia="Times New Roman" w:hAnsi="Times New Roman"/>
          <w:b/>
          <w:bCs/>
          <w:sz w:val="24"/>
          <w:szCs w:val="24"/>
        </w:rPr>
        <w:t xml:space="preserve"/>
      </w:r>
    </w:p>
    <w:p>
      <w:pPr>
        <w:spacing w:after="60" w:before="60" w:line="240"/>
        <w:jc w:val="center"/>
      </w:pPr>
      <w:r>
        <w:rPr>
          <w:rFonts w:ascii="Times New Roman" w:cs="Times New Roman" w:eastAsia="Times New Roman" w:hAnsi="Times New Roman"/>
          <w:b/>
          <w:bCs/>
          <w:i/>
          <w:iCs/>
          <w:sz w:val="24"/>
          <w:szCs w:val="24"/>
        </w:rPr>
        <w:t xml:space="preserve"/>
      </w:r>
    </w:p>
    <w:p>
      <w:pPr>
        <w:spacing w:after="60" w:before="60" w:line="240"/>
        <w:jc w:val="center"/>
      </w:pPr>
      <w:r>
        <w:rPr>
          <w:rFonts w:ascii="Times New Roman" w:cs="Times New Roman" w:eastAsia="Times New Roman" w:hAnsi="Times New Roman"/>
          <w:b/>
          <w:bCs/>
          <w:i w:val="false"/>
          <w:iCs w:val="false"/>
          <w:sz w:val="24"/>
          <w:szCs w:val="24"/>
        </w:rPr>
        <w:t xml:space="preserve"/>
      </w:r>
    </w:p>
    <w:p>
      <w:pPr>
        <w:spacing w:after="120" w:before="120" w:line="240"/>
        <w:jc w:val="center"/>
      </w:pPr>
      <w:r>
        <w:rPr>
          <w:rFonts w:ascii="Times New Roman" w:cs="Times New Roman" w:eastAsia="Times New Roman" w:hAnsi="Times New Roman"/>
          <w:b/>
          <w:bCs/>
          <w:i w:val="false"/>
          <w:iCs w:val="false"/>
          <w:sz w:val="24"/>
          <w:szCs w:val="24"/>
        </w:rPr>
        <w:t xml:space="preserve"/>
      </w:r>
      <w:r>
        <w:rPr>
          <w:rFonts w:ascii="Times New Roman" w:cs="Times New Roman" w:eastAsia="Times New Roman" w:hAnsi="Times New Roman"/>
          <w:b w:val="false"/>
          <w:bCs w:val="false"/>
          <w:i w:val="false"/>
          <w:iCs w:val="false"/>
          <w:sz w:val="24"/>
          <w:szCs w:val="24"/>
        </w:rPr>
        <w:t xml:space="preserve"/>
      </w:r>
    </w:p>
    <w:p>
      <w:pPr>
        <w:spacing w:after="120" w:before="120" w:line="240"/>
        <w:jc w:val="both"/>
      </w:pPr>
      <w:r>
        <w:rPr>
          <w:rFonts w:ascii="Times New Roman" w:cs="Times New Roman" w:eastAsia="Times New Roman" w:hAnsi="Times New Roman"/>
          <w:b w:val="false"/>
          <w:bCs w:val="false"/>
          <w:i w:val="false"/>
          <w:iCs w:val="false"/>
          <w:sz w:val="24"/>
          <w:szCs w:val="24"/>
        </w:rPr>
        <w:t xml:space="preserve"/>
      </w:r>
    </w:p>
    <w:tbl>
      <w:tblPr>
        <w:tblW w:type="dxa" w:w="10696"/>
        <w:tblBorders>
          <w:top w:val="single" w:color="auto" w:sz="4"/>
          <w:left w:val="single" w:color="auto" w:sz="4"/>
          <w:bottom w:val="single" w:color="auto" w:sz="4"/>
          <w:right w:val="single" w:color="auto" w:sz="4"/>
          <w:insideH w:val="single" w:color="auto" w:sz="4"/>
          <w:insideV w:val="single" w:color="auto" w:sz="4"/>
        </w:tblBorders>
      </w:tblPr>
      <w:tblGrid>
        <w:gridCol w:w="10696"/>
      </w:tblGrid>
      <w:tr>
        <w:tc>
          <w:tcPr>
            <w:tcW w:type="dxa" w:w="10696"/>
            <w:tcBorders>
              <w:top w:val="single" w:color="000000" w:sz="6"/>
              <w:left w:val="single" w:color="000000" w:sz="6"/>
              <w:bottom w:val="single" w:color="000000" w:sz="6"/>
              <w:right w:val="single" w:color="000000" w:sz="6"/>
            </w:tcBorders>
            <w:tcMar>
              <w:top w:type="dxa" w:w="120"/>
              <w:left w:type="dxa" w:w="180"/>
              <w:bottom w:type="dxa" w:w="120"/>
              <w:right w:type="dxa" w:w="180"/>
            </w:tcMar>
          </w:tcPr>
          <w:p>
            <w:pPr>
              <w:spacing w:after="60" w:before="60" w:line="240"/>
            </w:pPr>
            <w:r>
              <w:rPr>
                <w:rFonts w:ascii="Times New Roman" w:cs="Times New Roman" w:eastAsia="Times New Roman" w:hAnsi="Times New Roman"/>
                <w:b/>
                <w:bCs/>
                <w:i w:val="false"/>
                <w:iCs w:val="false"/>
                <w:sz w:val="24"/>
                <w:szCs w:val="24"/>
              </w:rPr>
              <w:t xml:space="preserve">ABSTRACT</w:t>
            </w:r>
          </w:p>
          <w:p>
            <w:pPr>
              <w:spacing w:after="60" w:before="60" w:line="240"/>
              <w:jc w:val="both"/>
            </w:pPr>
            <w:r>
              <w:rPr>
                <w:rFonts w:ascii="Times New Roman" w:cs="Times New Roman" w:eastAsia="Times New Roman" w:hAnsi="Times New Roman"/>
                <w:b w:val="false"/>
                <w:bCs w:val="false"/>
                <w:i w:val="false"/>
                <w:iCs w:val="false"/>
                <w:sz w:val="24"/>
                <w:szCs w:val="24"/>
              </w:rPr>
              <w:t xml:space="preserve">Anthropogenic climate change has transcended the boundaries of environmental science to become one of the foremost challenges in international law, public health, food and water security, and intergenerational justice. Mounting empirical evidence from physical climate science, ecological systems research, and socioeconomic impact assessments demonstrates that the distributional asymmetries of climate harm are severe, systematic, and structurally linked to cumulative historical emissions concentrated in industrialised nations. This study synthesises the converging imperatives of climate science and international legal doctrine to argue that climate justice is not a supplementary ethical aspiration but a binding, non-derogable obligation arising from the corpus of international environmental law, human rights law, and the emerging jurisprudence of climate litigation. We examine the scientific basis for urgency, the architecture of relevant legal frameworks including the Paris Agreement and the doctrine of common but differentiated responsibilities, the systemic injustice inherent in the current distribution of climate burdens and benefits, and the structural reforms necessary to achieve equitable and enforceable global climate governance. We further argue that the precautionary principle, the right to a clean and healthy environment, and the doctrine of intergenerational equity collectively mandate transformative state action with a degree of urgency and accountability that current political commitments wholly fail to meet. Climate justice constitutes the precondition — not the aspiration — of any climate response that can be sustained, legitimised, and scaled to the dimensions that the existential character of the crisis demands.</w:t>
            </w:r>
          </w:p>
          <w:p>
            <w:pPr>
              <w:spacing w:after="60" w:before="60" w:line="240"/>
            </w:pPr>
            <w:r>
              <w:rPr>
                <w:rFonts w:ascii="Times New Roman" w:cs="Times New Roman" w:eastAsia="Times New Roman" w:hAnsi="Times New Roman"/>
                <w:b/>
                <w:bCs/>
                <w:i w:val="false"/>
                <w:iCs w:val="false"/>
                <w:sz w:val="24"/>
                <w:szCs w:val="24"/>
              </w:rPr>
              <w:t xml:space="preserve">Keywords: </w:t>
            </w:r>
            <w:r>
              <w:rPr>
                <w:rFonts w:ascii="Times New Roman" w:cs="Times New Roman" w:eastAsia="Times New Roman" w:hAnsi="Times New Roman"/>
                <w:b w:val="false"/>
                <w:bCs w:val="false"/>
                <w:i/>
                <w:iCs/>
                <w:sz w:val="24"/>
                <w:szCs w:val="24"/>
              </w:rPr>
              <w:t xml:space="preserve">climate justice; climate change law; human rights; Paris Agreement; loss and damage; intergenerational equity; precautionary principle; sustainable development</w:t>
            </w:r>
          </w:p>
        </w:tc>
      </w:tr>
    </w:tbl>
    <w:p>
      <w:pPr>
        <w:spacing w:after="120" w:before="120" w:line="240"/>
        <w:jc w:val="both"/>
      </w:pPr>
      <w:r>
        <w:rPr>
          <w:rFonts w:ascii="Times New Roman" w:cs="Times New Roman" w:eastAsia="Times New Roman" w:hAnsi="Times New Roman"/>
          <w:b w:val="false"/>
          <w:bCs w:val="false"/>
          <w:i w:val="false"/>
          <w:iCs w:val="false"/>
          <w:sz w:val="24"/>
          <w:szCs w:val="24"/>
        </w:rPr>
        <w:t xml:space="preserve"/>
      </w:r>
    </w:p>
    <w:p>
      <w:pPr>
        <w:spacing w:after="120" w:before="240" w:line="240"/>
        <w:jc w:val="left"/>
      </w:pPr>
      <w:r>
        <w:rPr>
          <w:rFonts w:ascii="Times New Roman" w:cs="Times New Roman" w:eastAsia="Times New Roman" w:hAnsi="Times New Roman"/>
          <w:b/>
          <w:bCs/>
          <w:sz w:val="28"/>
          <w:szCs w:val="28"/>
        </w:rPr>
        <w:t xml:space="preserve">1. INTRODUCTION: REFRAMING CLIMATE CHANGE AS A CIVILISATIONAL CHALLENGE</w:t>
      </w:r>
    </w:p>
    <w:p>
      <w:pPr>
        <w:spacing w:after="120" w:before="120" w:line="240"/>
        <w:jc w:val="both"/>
      </w:pPr>
      <w:r>
        <w:rPr>
          <w:rFonts w:ascii="Times New Roman" w:cs="Times New Roman" w:eastAsia="Times New Roman" w:hAnsi="Times New Roman"/>
          <w:b w:val="false"/>
          <w:bCs w:val="false"/>
          <w:i w:val="false"/>
          <w:iCs w:val="false"/>
          <w:sz w:val="24"/>
          <w:szCs w:val="24"/>
        </w:rPr>
        <w:t xml:space="preserve">The year 2023 recorded the highest globally-averaged surface temperature since pre-industrial baseline measurements began, surpassing 1.45°C above the 1850–1900 reference period — a benchmark that had previously been treated as a warning threshold rather than a present reality. These observations are no longer projections; they constitute measured, empirically verified data points in a trajectory that the Sixth Assessment Report of the Intergovernmental Panel on Climate Change (IPCC AR6) characterises as producing widespread adverse impacts and related losses and damages to nature and people at current warming levels, with compounding severity at higher warming levels increasingly probable under existing nationally determined contributions (NDCs) [1].</w:t>
      </w:r>
    </w:p>
    <w:p>
      <w:pPr>
        <w:spacing w:after="120" w:before="120" w:line="240"/>
        <w:jc w:val="both"/>
      </w:pPr>
      <w:r>
        <w:rPr>
          <w:rFonts w:ascii="Times New Roman" w:cs="Times New Roman" w:eastAsia="Times New Roman" w:hAnsi="Times New Roman"/>
          <w:b w:val="false"/>
          <w:bCs w:val="false"/>
          <w:i w:val="false"/>
          <w:iCs w:val="false"/>
          <w:sz w:val="24"/>
          <w:szCs w:val="24"/>
        </w:rPr>
        <w:t xml:space="preserve">The intellectual and institutional tendency to treat climate change primarily as an environmental management problem has obscured its character as a structural civilisational emergency — one that implicates, simultaneously, the physical Earth system, international legal order, human rights architecture, and the ethical foundations of intergenerational responsibility. This paper argues for a paradigm shift: from climate management to climate justice, from voluntary pledges to legally enforceable obligations, and from technocratic optimisation to transformative systemic reform grounded in equity and law.</w:t>
      </w:r>
    </w:p>
    <w:p>
      <w:pPr>
        <w:spacing w:after="120" w:before="120" w:line="240"/>
        <w:jc w:val="both"/>
      </w:pPr>
      <w:r>
        <w:rPr>
          <w:rFonts w:ascii="Times New Roman" w:cs="Times New Roman" w:eastAsia="Times New Roman" w:hAnsi="Times New Roman"/>
          <w:b w:val="false"/>
          <w:bCs w:val="false"/>
          <w:i w:val="false"/>
          <w:iCs w:val="false"/>
          <w:sz w:val="24"/>
          <w:szCs w:val="24"/>
        </w:rPr>
        <w:t xml:space="preserve">Specifically, we synthesise three convergent bodies of knowledge — physical climate science, international environmental and human rights law, and political economy of global climate governance — to demonstrate that the failure to act constitutes not merely a policy failure but a legal violation of existing binding international obligations.</w:t>
      </w:r>
    </w:p>
    <w:p>
      <w:pPr>
        <w:spacing w:after="120" w:before="240" w:line="240"/>
        <w:jc w:val="left"/>
      </w:pPr>
      <w:r>
        <w:rPr>
          <w:rFonts w:ascii="Times New Roman" w:cs="Times New Roman" w:eastAsia="Times New Roman" w:hAnsi="Times New Roman"/>
          <w:b/>
          <w:bCs/>
          <w:sz w:val="28"/>
          <w:szCs w:val="28"/>
        </w:rPr>
        <w:t xml:space="preserve">2. SCIENTIFIC EVIDENCE: THE EMPIRICAL FOUNDATIONS OF URGENCY</w:t>
      </w:r>
    </w:p>
    <w:p>
      <w:pPr>
        <w:spacing w:after="60" w:before="180" w:line="240"/>
        <w:jc w:val="left"/>
      </w:pPr>
      <w:r>
        <w:rPr>
          <w:rFonts w:ascii="Times New Roman" w:cs="Times New Roman" w:eastAsia="Times New Roman" w:hAnsi="Times New Roman"/>
          <w:b/>
          <w:bCs/>
          <w:sz w:val="24"/>
          <w:szCs w:val="24"/>
        </w:rPr>
        <w:t xml:space="preserve">2.1 Physical Climate System Observations</w:t>
      </w:r>
    </w:p>
    <w:p>
      <w:pPr>
        <w:spacing w:after="120" w:before="120" w:line="240"/>
        <w:jc w:val="both"/>
      </w:pPr>
      <w:r>
        <w:rPr>
          <w:rFonts w:ascii="Times New Roman" w:cs="Times New Roman" w:eastAsia="Times New Roman" w:hAnsi="Times New Roman"/>
          <w:b w:val="false"/>
          <w:bCs w:val="false"/>
          <w:i w:val="false"/>
          <w:iCs w:val="false"/>
          <w:sz w:val="24"/>
          <w:szCs w:val="24"/>
        </w:rPr>
        <w:t xml:space="preserve">The IPCC AR6 Synthesis Report (2023) states with unequivocal certainty that human-induced climate change is causing widespread and severe disruption to nature and society [1]. Global mean surface temperature (GMST) has risen by approximately 1.1°C above pre-industrial levels, with the period 2011–2020 representing the warmest decade on record [2]. Critically, observed rates of warming since 1970 have been faster than in any comparable 50-year period over at least the past 2,000 years [3].</w:t>
      </w:r>
    </w:p>
    <w:p>
      <w:pPr>
        <w:spacing w:after="120" w:before="120" w:line="240"/>
        <w:jc w:val="both"/>
      </w:pPr>
      <w:r>
        <w:rPr>
          <w:rFonts w:ascii="Times New Roman" w:cs="Times New Roman" w:eastAsia="Times New Roman" w:hAnsi="Times New Roman"/>
          <w:b w:val="false"/>
          <w:bCs w:val="false"/>
          <w:i w:val="false"/>
          <w:iCs w:val="false"/>
          <w:sz w:val="24"/>
          <w:szCs w:val="24"/>
        </w:rPr>
        <w:t xml:space="preserve">The remaining carbon budget consistent with a 50% probability of limiting warming to 1.5°C is estimated at approximately 500 GtCO2 from the beginning of 2020 — a budget being consumed at approximately 40 GtCO2 per year under current global emission trajectories [4]. At this pace, the 1.5°C budget may be exhausted before 2035.</w:t>
      </w:r>
    </w:p>
    <w:p>
      <w:pPr>
        <w:spacing w:after="60" w:before="180" w:line="240"/>
        <w:jc w:val="left"/>
      </w:pPr>
      <w:r>
        <w:rPr>
          <w:rFonts w:ascii="Times New Roman" w:cs="Times New Roman" w:eastAsia="Times New Roman" w:hAnsi="Times New Roman"/>
          <w:b/>
          <w:bCs/>
          <w:sz w:val="24"/>
          <w:szCs w:val="24"/>
        </w:rPr>
        <w:t xml:space="preserve">2.2 Observed Impacts on Human and Natural Systems</w:t>
      </w:r>
    </w:p>
    <w:p>
      <w:pPr>
        <w:spacing w:after="120" w:before="120" w:line="240"/>
        <w:jc w:val="both"/>
      </w:pPr>
      <w:r>
        <w:rPr>
          <w:rFonts w:ascii="Times New Roman" w:cs="Times New Roman" w:eastAsia="Times New Roman" w:hAnsi="Times New Roman"/>
          <w:b w:val="false"/>
          <w:bCs w:val="false"/>
          <w:i w:val="false"/>
          <w:iCs w:val="false"/>
          <w:sz w:val="24"/>
          <w:szCs w:val="24"/>
        </w:rPr>
        <w:t xml:space="preserve">Contemporary climate-related impacts now affect all major world regions. In South Asia, the frequency of extreme precipitation events has increased significantly, with compound flood events in Bangladesh, Pakistan, and northeast India threatening food systems supporting over 600 million people. In sub-Saharan Africa, multi-year droughts linked to anthropogenic warming are undermining smallholder agricultural systems, water availability, and rural livelihoods [5]. Coral reef systems — which underpin the food security and coastal protection of more than 500 million people globally — have experienced three mass bleaching events since 2016, with projected functional collapse at 2°C of global warming [6]. Arctic sea ice minimum extent has declined by approximately 13% per decade since 1979, with cascading effects on oceanic circulation, permafrost carbon release, and indigenous livelihoods [7].</w:t>
      </w:r>
    </w:p>
    <w:p>
      <w:pPr>
        <w:spacing w:after="60" w:before="180" w:line="240"/>
        <w:jc w:val="left"/>
      </w:pPr>
      <w:r>
        <w:rPr>
          <w:rFonts w:ascii="Times New Roman" w:cs="Times New Roman" w:eastAsia="Times New Roman" w:hAnsi="Times New Roman"/>
          <w:b/>
          <w:bCs/>
          <w:sz w:val="24"/>
          <w:szCs w:val="24"/>
        </w:rPr>
        <w:t xml:space="preserve">2.3 Distributional Asymmetry: The Scientific Basis of Injustice</w:t>
      </w:r>
    </w:p>
    <w:p>
      <w:pPr>
        <w:spacing w:after="120" w:before="120" w:line="240"/>
        <w:jc w:val="both"/>
      </w:pPr>
      <w:r>
        <w:rPr>
          <w:rFonts w:ascii="Times New Roman" w:cs="Times New Roman" w:eastAsia="Times New Roman" w:hAnsi="Times New Roman"/>
          <w:b w:val="false"/>
          <w:bCs w:val="false"/>
          <w:i w:val="false"/>
          <w:iCs w:val="false"/>
          <w:sz w:val="24"/>
          <w:szCs w:val="24"/>
        </w:rPr>
        <w:t xml:space="preserve">A defining feature of the climate crisis — one that is empirically quantifiable rather than merely rhetorical — is the profound asymmetry between who has caused it and who is suffering its consequences. The top 10% of global emitters by income are responsible for approximately 48% of cumulative global emissions, while the bottom 50% account for only 12% [8]. Meanwhile, empirical vulnerability assessments consistently identify low-income nations in tropical and subtropical zones — those with the lowest per-capita emissions — as facing the highest absolute and relative risks from climate-related hazards [9]. This asymmetry reflects the historical architecture of industrialisation, the cumulative atmospheric stock of greenhouse gases emitted overwhelmingly by now-wealthy nations over 200 years of industrial development, and structural inequalities in adaptive capacity that themselves trace to colonial and postcolonial economic arrangements.</w:t>
      </w:r>
    </w:p>
    <w:p>
      <w:pPr>
        <w:spacing w:after="120" w:before="240" w:line="240"/>
        <w:jc w:val="left"/>
      </w:pPr>
      <w:r>
        <w:rPr>
          <w:rFonts w:ascii="Times New Roman" w:cs="Times New Roman" w:eastAsia="Times New Roman" w:hAnsi="Times New Roman"/>
          <w:b/>
          <w:bCs/>
          <w:sz w:val="28"/>
          <w:szCs w:val="28"/>
        </w:rPr>
        <w:t xml:space="preserve">3. INTERNATIONAL LEGAL ARCHITECTURE: OBLIGATIONS ARE BINDING, NOT ASPIRATIONAL</w:t>
      </w:r>
    </w:p>
    <w:p>
      <w:pPr>
        <w:spacing w:after="60" w:before="180" w:line="240"/>
        <w:jc w:val="left"/>
      </w:pPr>
      <w:r>
        <w:rPr>
          <w:rFonts w:ascii="Times New Roman" w:cs="Times New Roman" w:eastAsia="Times New Roman" w:hAnsi="Times New Roman"/>
          <w:b/>
          <w:bCs/>
          <w:sz w:val="24"/>
          <w:szCs w:val="24"/>
        </w:rPr>
        <w:t xml:space="preserve">3.1 The UNFCCC and Paris Agreement</w:t>
      </w:r>
    </w:p>
    <w:p>
      <w:pPr>
        <w:spacing w:after="120" w:before="120" w:line="240"/>
        <w:jc w:val="both"/>
      </w:pPr>
      <w:r>
        <w:rPr>
          <w:rFonts w:ascii="Times New Roman" w:cs="Times New Roman" w:eastAsia="Times New Roman" w:hAnsi="Times New Roman"/>
          <w:b w:val="false"/>
          <w:bCs w:val="false"/>
          <w:i w:val="false"/>
          <w:iCs w:val="false"/>
          <w:sz w:val="24"/>
          <w:szCs w:val="24"/>
        </w:rPr>
        <w:t xml:space="preserve">The United Nations Framework Convention on Climate Change (UNFCCC, 1992) established the foundational legal architecture for international climate governance, binding all parties to stabilise atmospheric greenhouse gas concentrations at levels preventing dangerous anthropogenic interference with the climate system [10]. The Paris Agreement (2015), adopted under the UNFCCC framework and now in force with 196 parties, codifies a legally binding obligation to hold global average temperature increases to well below 2°C above pre-industrial levels, while pursuing efforts to limit warming to 1.5°C [11]. The Agreement's ratchet mechanism — the requirement that parties submit progressively more ambitious NDCs every five years — creates a binding procedural obligation even where substantive emission targets remain nationally determined [12].</w:t>
      </w:r>
    </w:p>
    <w:p>
      <w:pPr>
        <w:spacing w:after="60" w:before="180" w:line="240"/>
        <w:jc w:val="left"/>
      </w:pPr>
      <w:r>
        <w:rPr>
          <w:rFonts w:ascii="Times New Roman" w:cs="Times New Roman" w:eastAsia="Times New Roman" w:hAnsi="Times New Roman"/>
          <w:b/>
          <w:bCs/>
          <w:sz w:val="24"/>
          <w:szCs w:val="24"/>
        </w:rPr>
        <w:t xml:space="preserve">3.2 The Precautionary Principle</w:t>
      </w:r>
    </w:p>
    <w:p>
      <w:pPr>
        <w:spacing w:after="120" w:before="120" w:line="240"/>
        <w:jc w:val="both"/>
      </w:pPr>
      <w:r>
        <w:rPr>
          <w:rFonts w:ascii="Times New Roman" w:cs="Times New Roman" w:eastAsia="Times New Roman" w:hAnsi="Times New Roman"/>
          <w:b w:val="false"/>
          <w:bCs w:val="false"/>
          <w:i w:val="false"/>
          <w:iCs w:val="false"/>
          <w:sz w:val="24"/>
          <w:szCs w:val="24"/>
        </w:rPr>
        <w:t xml:space="preserve">Principle 15 of the Rio Declaration (1992) formulates the precautionary principle as follows: where threats of serious or irreversible damage exist, lack of full scientific certainty shall not be used as a reason for postponing cost-effective preventive measures [13]. In the context of the current climate crisis, the scientific record eliminates the premise of uncertainty: the threats are not speculative but observed, and the scientific consensus is unambiguous. The precautionary principle therefore operates not as a precondition for action under uncertainty, but as a reinforcement of the already-overwhelming duty to act under conditions of demonstrated certainty.</w:t>
      </w:r>
    </w:p>
    <w:p>
      <w:pPr>
        <w:spacing w:after="60" w:before="180" w:line="240"/>
        <w:jc w:val="left"/>
      </w:pPr>
      <w:r>
        <w:rPr>
          <w:rFonts w:ascii="Times New Roman" w:cs="Times New Roman" w:eastAsia="Times New Roman" w:hAnsi="Times New Roman"/>
          <w:b/>
          <w:bCs/>
          <w:sz w:val="24"/>
          <w:szCs w:val="24"/>
        </w:rPr>
        <w:t xml:space="preserve">3.3 Common but Differentiated Responsibilities (CBDR-RC)</w:t>
      </w:r>
    </w:p>
    <w:p>
      <w:pPr>
        <w:spacing w:after="120" w:before="120" w:line="240"/>
        <w:jc w:val="both"/>
      </w:pPr>
      <w:r>
        <w:rPr>
          <w:rFonts w:ascii="Times New Roman" w:cs="Times New Roman" w:eastAsia="Times New Roman" w:hAnsi="Times New Roman"/>
          <w:b w:val="false"/>
          <w:bCs w:val="false"/>
          <w:i w:val="false"/>
          <w:iCs w:val="false"/>
          <w:sz w:val="24"/>
          <w:szCs w:val="24"/>
        </w:rPr>
        <w:t xml:space="preserve">The doctrine of common but differentiated responsibilities and respective capabilities (CBDR-RC), codified in Article 3 of the UNFCCC and reaffirmed in the Paris Agreement, provides the legal basis for the equitable allocation of climate obligations [14]. It recognises that, while all states share a common responsibility for the global climate system, their obligations are differentiated by historical contribution to atmospheric greenhouse gas concentrations and their current economic and technological capacity to act. Legal scholars have argued — persuasively and with growing judicial endorsement — that CBDR-RC is not merely a political accommodation but a substantive legal norm imposing graduated and enforceable obligations on high-emitting developed nations.</w:t>
      </w:r>
    </w:p>
    <w:p>
      <w:pPr>
        <w:spacing w:after="60" w:before="180" w:line="240"/>
        <w:jc w:val="left"/>
      </w:pPr>
      <w:r>
        <w:rPr>
          <w:rFonts w:ascii="Times New Roman" w:cs="Times New Roman" w:eastAsia="Times New Roman" w:hAnsi="Times New Roman"/>
          <w:b/>
          <w:bCs/>
          <w:sz w:val="24"/>
          <w:szCs w:val="24"/>
        </w:rPr>
        <w:t xml:space="preserve">3.4 The Right to a Clean, Healthy, and Sustainable Environment</w:t>
      </w:r>
    </w:p>
    <w:p>
      <w:pPr>
        <w:spacing w:after="120" w:before="120" w:line="240"/>
        <w:jc w:val="both"/>
      </w:pPr>
      <w:r>
        <w:rPr>
          <w:rFonts w:ascii="Times New Roman" w:cs="Times New Roman" w:eastAsia="Times New Roman" w:hAnsi="Times New Roman"/>
          <w:b w:val="false"/>
          <w:bCs w:val="false"/>
          <w:i w:val="false"/>
          <w:iCs w:val="false"/>
          <w:sz w:val="24"/>
          <w:szCs w:val="24"/>
        </w:rPr>
        <w:t xml:space="preserve">UN General Assembly Resolution 76/300 (2022) formally recognised the right to a clean, healthy, and sustainable environment as a universal human right, supported by 161 votes with no opposition [15]. This recognition engages the full apparatus of international human rights law, including state obligations to protect individuals from third-party infringement, to ensure access to environmental information and justice, and to avoid retrogressive measures that diminish environmental quality. Climate inaction — measured against IPCC scientific benchmarks — constitutes a prima facie violation of this right for the hundreds of millions already experiencing serious climate-related harm [16].</w:t>
      </w:r>
    </w:p>
    <w:p>
      <w:pPr>
        <w:spacing w:after="60" w:before="180" w:line="240"/>
        <w:jc w:val="left"/>
      </w:pPr>
      <w:r>
        <w:rPr>
          <w:rFonts w:ascii="Times New Roman" w:cs="Times New Roman" w:eastAsia="Times New Roman" w:hAnsi="Times New Roman"/>
          <w:b/>
          <w:bCs/>
          <w:sz w:val="24"/>
          <w:szCs w:val="24"/>
        </w:rPr>
        <w:t xml:space="preserve">3.5 International Climate Litigation: Judicial Momentum</w:t>
      </w:r>
    </w:p>
    <w:p>
      <w:pPr>
        <w:spacing w:after="120" w:before="120" w:line="240"/>
        <w:jc w:val="both"/>
      </w:pPr>
      <w:r>
        <w:rPr>
          <w:rFonts w:ascii="Times New Roman" w:cs="Times New Roman" w:eastAsia="Times New Roman" w:hAnsi="Times New Roman"/>
          <w:b w:val="false"/>
          <w:bCs w:val="false"/>
          <w:i w:val="false"/>
          <w:iCs w:val="false"/>
          <w:sz w:val="24"/>
          <w:szCs w:val="24"/>
        </w:rPr>
        <w:t xml:space="preserve">The period 2015–2026 has witnessed an unprecedented expansion of climate litigation across domestic and international jurisdictions. Sabin Center for Climate Change Law data indicate that over 2,500 climate-related legal cases have been filed globally, with landmark rulings in the Netherlands (Urgenda Foundation v. State of the Netherlands), Germany (Federal Constitutional Court, 2021, on intergenerational equity), and Australia (Sharma v. Minister for the Environment) establishing judicial enforcement of climate obligations as a live legal reality [17]. The 2024 advisory opinion of the International Tribunal for the Law of the Sea (ITLOS) affirmed that carbon emissions constitute marine pollution within the meaning of UNCLOS, triggering due diligence obligations of all 168 state parties [18].</w:t>
      </w:r>
    </w:p>
    <w:p>
      <w:pPr>
        <w:spacing w:after="120" w:before="240" w:line="240"/>
        <w:jc w:val="left"/>
      </w:pPr>
      <w:r>
        <w:rPr>
          <w:rFonts w:ascii="Times New Roman" w:cs="Times New Roman" w:eastAsia="Times New Roman" w:hAnsi="Times New Roman"/>
          <w:b/>
          <w:bCs/>
          <w:sz w:val="28"/>
          <w:szCs w:val="28"/>
        </w:rPr>
        <w:t xml:space="preserve">4. CLIMATE JUSTICE: STRUCTURAL ANALYSIS OF A LEGAL AND ETHICAL IMPERATIVE</w:t>
      </w:r>
    </w:p>
    <w:p>
      <w:pPr>
        <w:spacing w:after="60" w:before="180" w:line="240"/>
        <w:jc w:val="left"/>
      </w:pPr>
      <w:r>
        <w:rPr>
          <w:rFonts w:ascii="Times New Roman" w:cs="Times New Roman" w:eastAsia="Times New Roman" w:hAnsi="Times New Roman"/>
          <w:b/>
          <w:bCs/>
          <w:sz w:val="24"/>
          <w:szCs w:val="24"/>
        </w:rPr>
        <w:t xml:space="preserve">4.1 Loss and Damage: From Diplomatic Acknowledgment to Legal Liability</w:t>
      </w:r>
    </w:p>
    <w:p>
      <w:pPr>
        <w:spacing w:after="120" w:before="120" w:line="240"/>
        <w:jc w:val="both"/>
      </w:pPr>
      <w:r>
        <w:rPr>
          <w:rFonts w:ascii="Times New Roman" w:cs="Times New Roman" w:eastAsia="Times New Roman" w:hAnsi="Times New Roman"/>
          <w:b w:val="false"/>
          <w:bCs w:val="false"/>
          <w:i w:val="false"/>
          <w:iCs w:val="false"/>
          <w:sz w:val="24"/>
          <w:szCs w:val="24"/>
        </w:rPr>
        <w:t xml:space="preserve">The formal establishment of the Loss and Damage Fund at COP28 (Dubai, 2023) represented a significant political milestone, acknowledging that climate change causes unavoidable losses and damages exceeding adaptive capacity in vulnerable nations [19]. However, the fund's initial capitalisation — approximately USD 700 million pledged against estimated annual loss and damage costs of USD 400 billion by 2030 — exposes a structural inadequacy that undermines its credibility as a legal remedy [20]. Loss and damage must be reconceptualised not as a voluntary solidarity mechanism but as a legal reparative obligation grounded in the polluter-pays principle, state responsibility for transboundary harm, and the corpus of international liability doctrine.</w:t>
      </w:r>
    </w:p>
    <w:p>
      <w:pPr>
        <w:spacing w:after="60" w:before="180" w:line="240"/>
        <w:jc w:val="left"/>
      </w:pPr>
      <w:r>
        <w:rPr>
          <w:rFonts w:ascii="Times New Roman" w:cs="Times New Roman" w:eastAsia="Times New Roman" w:hAnsi="Times New Roman"/>
          <w:b/>
          <w:bCs/>
          <w:sz w:val="24"/>
          <w:szCs w:val="24"/>
        </w:rPr>
        <w:t xml:space="preserve">4.2 Climate Finance: The Architecture of Broken Promises</w:t>
      </w:r>
    </w:p>
    <w:p>
      <w:pPr>
        <w:spacing w:after="120" w:before="120" w:line="240"/>
        <w:jc w:val="both"/>
      </w:pPr>
      <w:r>
        <w:rPr>
          <w:rFonts w:ascii="Times New Roman" w:cs="Times New Roman" w:eastAsia="Times New Roman" w:hAnsi="Times New Roman"/>
          <w:b w:val="false"/>
          <w:bCs w:val="false"/>
          <w:i w:val="false"/>
          <w:iCs w:val="false"/>
          <w:sz w:val="24"/>
          <w:szCs w:val="24"/>
        </w:rPr>
        <w:t xml:space="preserve">The USD 100 billion annual climate finance commitment made by developed nations at Copenhagen in 2009 was not met in any year until 2022, and even then only on contested accounting methodologies that include private finance mobilisation and loan instruments rather than grants [21]. The New Collective Quantified Goal (NCQG) adopted at COP29 (Baku, 2024) set a target of USD 300 billion per year by 2035, falling dramatically short of the USD 1 trillion–USD 1.3 trillion that independent economic assessments identify as the minimum required for adequate mitigation and adaptation in developing nations [22].</w:t>
      </w:r>
    </w:p>
    <w:p>
      <w:pPr>
        <w:spacing w:after="60" w:before="180" w:line="240"/>
        <w:jc w:val="left"/>
      </w:pPr>
      <w:r>
        <w:rPr>
          <w:rFonts w:ascii="Times New Roman" w:cs="Times New Roman" w:eastAsia="Times New Roman" w:hAnsi="Times New Roman"/>
          <w:b/>
          <w:bCs/>
          <w:sz w:val="24"/>
          <w:szCs w:val="24"/>
        </w:rPr>
        <w:t xml:space="preserve">4.3 Intergenerational Equity and Future Generations</w:t>
      </w:r>
    </w:p>
    <w:p>
      <w:pPr>
        <w:spacing w:after="120" w:before="120" w:line="240"/>
        <w:jc w:val="both"/>
      </w:pPr>
      <w:r>
        <w:rPr>
          <w:rFonts w:ascii="Times New Roman" w:cs="Times New Roman" w:eastAsia="Times New Roman" w:hAnsi="Times New Roman"/>
          <w:b w:val="false"/>
          <w:bCs w:val="false"/>
          <w:i w:val="false"/>
          <w:iCs w:val="false"/>
          <w:sz w:val="24"/>
          <w:szCs w:val="24"/>
        </w:rPr>
        <w:t xml:space="preserve">The doctrine of intergenerational equity — developed comprehensively by Edith Brown Weiss and affirmed in both soft and hard international law instruments — holds that the present generation holds the natural environment in trust for future generations and must transmit it in no worse condition than it was received [23]. The German Federal Constitutional Court's 2021 ruling found that insufficient climate action unconstitutionally shifted disproportionate burdens onto future generations, constraining their fundamental freedoms — constituting a powerful judicial articulation of intergenerational equity as a legally justiciable claim [24].</w:t>
      </w:r>
    </w:p>
    <w:p>
      <w:pPr>
        <w:spacing w:after="120" w:before="240" w:line="240"/>
        <w:jc w:val="left"/>
      </w:pPr>
      <w:r>
        <w:rPr>
          <w:rFonts w:ascii="Times New Roman" w:cs="Times New Roman" w:eastAsia="Times New Roman" w:hAnsi="Times New Roman"/>
          <w:b/>
          <w:bCs/>
          <w:sz w:val="28"/>
          <w:szCs w:val="28"/>
        </w:rPr>
        <w:t xml:space="preserve">5. RECOMMENDATIONS: TOWARD AN ENFORCEABLE ARCHITECTURE OF CLIMATE JUSTICE</w:t>
      </w:r>
    </w:p>
    <w:p>
      <w:pPr>
        <w:spacing w:after="120" w:before="120" w:line="240"/>
        <w:jc w:val="both"/>
      </w:pPr>
      <w:r>
        <w:rPr>
          <w:rFonts w:ascii="Times New Roman" w:cs="Times New Roman" w:eastAsia="Times New Roman" w:hAnsi="Times New Roman"/>
          <w:b w:val="false"/>
          <w:bCs w:val="false"/>
          <w:i w:val="false"/>
          <w:iCs w:val="false"/>
          <w:sz w:val="24"/>
          <w:szCs w:val="24"/>
        </w:rPr>
        <w:t xml:space="preserve">On the basis of the scientific evidence and legal analysis presented, we propose the following priority reforms:</w:t>
      </w:r>
    </w:p>
    <w:p>
      <w:pPr>
        <w:spacing w:after="120" w:before="120" w:line="240"/>
        <w:jc w:val="both"/>
      </w:pPr>
      <w:r>
        <w:rPr>
          <w:rFonts w:ascii="Times New Roman" w:cs="Times New Roman" w:eastAsia="Times New Roman" w:hAnsi="Times New Roman"/>
          <w:b/>
          <w:bCs/>
          <w:i w:val="false"/>
          <w:iCs w:val="false"/>
          <w:sz w:val="24"/>
          <w:szCs w:val="24"/>
        </w:rPr>
        <w:t xml:space="preserve">(i) Legally Binding and Ratcheted NDCs: </w:t>
      </w:r>
      <w:r>
        <w:rPr>
          <w:rFonts w:ascii="Times New Roman" w:cs="Times New Roman" w:eastAsia="Times New Roman" w:hAnsi="Times New Roman"/>
          <w:b w:val="false"/>
          <w:bCs w:val="false"/>
          <w:i w:val="false"/>
          <w:iCs w:val="false"/>
          <w:sz w:val="24"/>
          <w:szCs w:val="24"/>
        </w:rPr>
        <w:t xml:space="preserve">All UNFCCC parties must submit NDCs aligned with a 1.5°C-compatible pathway, with mandatory five-year reviews subject to an independent compliance mechanism with graduated consequences for non-performance.</w:t>
      </w:r>
    </w:p>
    <w:p>
      <w:pPr>
        <w:spacing w:after="120" w:before="120" w:line="240"/>
        <w:jc w:val="both"/>
      </w:pPr>
      <w:r>
        <w:rPr>
          <w:rFonts w:ascii="Times New Roman" w:cs="Times New Roman" w:eastAsia="Times New Roman" w:hAnsi="Times New Roman"/>
          <w:b/>
          <w:bCs/>
          <w:i w:val="false"/>
          <w:iCs w:val="false"/>
          <w:sz w:val="24"/>
          <w:szCs w:val="24"/>
        </w:rPr>
        <w:t xml:space="preserve">(ii) Adequate, Grant-Based Climate Finance: </w:t>
      </w:r>
      <w:r>
        <w:rPr>
          <w:rFonts w:ascii="Times New Roman" w:cs="Times New Roman" w:eastAsia="Times New Roman" w:hAnsi="Times New Roman"/>
          <w:b w:val="false"/>
          <w:bCs w:val="false"/>
          <w:i w:val="false"/>
          <w:iCs w:val="false"/>
          <w:sz w:val="24"/>
          <w:szCs w:val="24"/>
        </w:rPr>
        <w:t xml:space="preserve">Developed nations must commit to a minimum of USD 1 trillion per year in grant-equivalent climate finance, clearly separated between mitigation, adaptation, and loss and damage, with disbursement timelines and independent accountability mechanisms.</w:t>
      </w:r>
    </w:p>
    <w:p>
      <w:pPr>
        <w:spacing w:after="120" w:before="120" w:line="240"/>
        <w:jc w:val="both"/>
      </w:pPr>
      <w:r>
        <w:rPr>
          <w:rFonts w:ascii="Times New Roman" w:cs="Times New Roman" w:eastAsia="Times New Roman" w:hAnsi="Times New Roman"/>
          <w:b/>
          <w:bCs/>
          <w:i w:val="false"/>
          <w:iCs w:val="false"/>
          <w:sz w:val="24"/>
          <w:szCs w:val="24"/>
        </w:rPr>
        <w:t xml:space="preserve">(iii) Fossil Fuel Phase-Out with a Binding International Timeline: </w:t>
      </w:r>
      <w:r>
        <w:rPr>
          <w:rFonts w:ascii="Times New Roman" w:cs="Times New Roman" w:eastAsia="Times New Roman" w:hAnsi="Times New Roman"/>
          <w:b w:val="false"/>
          <w:bCs w:val="false"/>
          <w:i w:val="false"/>
          <w:iCs w:val="false"/>
          <w:sz w:val="24"/>
          <w:szCs w:val="24"/>
        </w:rPr>
        <w:t xml:space="preserve">Building on the COP28 agreement to transition away from fossil fuels, parties must negotiate a legally binding instrument establishing equitable phase-out timelines differentiated by national capacity and historical responsibility.</w:t>
      </w:r>
    </w:p>
    <w:p>
      <w:pPr>
        <w:spacing w:after="120" w:before="120" w:line="240"/>
        <w:jc w:val="both"/>
      </w:pPr>
      <w:r>
        <w:rPr>
          <w:rFonts w:ascii="Times New Roman" w:cs="Times New Roman" w:eastAsia="Times New Roman" w:hAnsi="Times New Roman"/>
          <w:b/>
          <w:bCs/>
          <w:i w:val="false"/>
          <w:iCs w:val="false"/>
          <w:sz w:val="24"/>
          <w:szCs w:val="24"/>
        </w:rPr>
        <w:t xml:space="preserve">(iv) Human Rights Mainstreaming in Climate Governance: </w:t>
      </w:r>
      <w:r>
        <w:rPr>
          <w:rFonts w:ascii="Times New Roman" w:cs="Times New Roman" w:eastAsia="Times New Roman" w:hAnsi="Times New Roman"/>
          <w:b w:val="false"/>
          <w:bCs w:val="false"/>
          <w:i w:val="false"/>
          <w:iCs w:val="false"/>
          <w:sz w:val="24"/>
          <w:szCs w:val="24"/>
        </w:rPr>
        <w:t xml:space="preserve">All climate planning, finance, and implementation mechanisms must integrate mandatory human rights impact assessments, ensuring the rights of women, indigenous peoples, children, persons with disabilities, and climate-displaced persons are affirmatively protected.</w:t>
      </w:r>
    </w:p>
    <w:p>
      <w:pPr>
        <w:spacing w:after="120" w:before="120" w:line="240"/>
        <w:jc w:val="both"/>
      </w:pPr>
      <w:r>
        <w:rPr>
          <w:rFonts w:ascii="Times New Roman" w:cs="Times New Roman" w:eastAsia="Times New Roman" w:hAnsi="Times New Roman"/>
          <w:b/>
          <w:bCs/>
          <w:i w:val="false"/>
          <w:iCs w:val="false"/>
          <w:sz w:val="24"/>
          <w:szCs w:val="24"/>
        </w:rPr>
        <w:t xml:space="preserve">(v) Formal Legal Standing for Future Generations: </w:t>
      </w:r>
      <w:r>
        <w:rPr>
          <w:rFonts w:ascii="Times New Roman" w:cs="Times New Roman" w:eastAsia="Times New Roman" w:hAnsi="Times New Roman"/>
          <w:b w:val="false"/>
          <w:bCs w:val="false"/>
          <w:i w:val="false"/>
          <w:iCs w:val="false"/>
          <w:sz w:val="24"/>
          <w:szCs w:val="24"/>
        </w:rPr>
        <w:t xml:space="preserve">The UN General Assembly should adopt a treaty recognising the justiciable rights of future generations in international climate law, accompanied by the creation of an independent Commissioner for Future Generations with standing before international judicial and arbitral bodies.</w:t>
      </w:r>
    </w:p>
    <w:p>
      <w:pPr>
        <w:spacing w:after="120" w:before="120" w:line="240"/>
        <w:jc w:val="both"/>
      </w:pPr>
      <w:r>
        <w:rPr>
          <w:rFonts w:ascii="Times New Roman" w:cs="Times New Roman" w:eastAsia="Times New Roman" w:hAnsi="Times New Roman"/>
          <w:b/>
          <w:bCs/>
          <w:i w:val="false"/>
          <w:iCs w:val="false"/>
          <w:sz w:val="24"/>
          <w:szCs w:val="24"/>
        </w:rPr>
        <w:t xml:space="preserve">(vi) Technology Transfer as a Legal Obligation: </w:t>
      </w:r>
      <w:r>
        <w:rPr>
          <w:rFonts w:ascii="Times New Roman" w:cs="Times New Roman" w:eastAsia="Times New Roman" w:hAnsi="Times New Roman"/>
          <w:b w:val="false"/>
          <w:bCs w:val="false"/>
          <w:i w:val="false"/>
          <w:iCs w:val="false"/>
          <w:sz w:val="24"/>
          <w:szCs w:val="24"/>
        </w:rPr>
        <w:t xml:space="preserve">Compulsory licensing, patent pools, and multilateral technology-sharing agreements must be operationalised to remove intellectual property barriers to clean energy deployment in developing nations, treating technology transfer as a legal obligation under CBDR-RC rather than a discretionary development assistance mechanism.</w:t>
      </w:r>
    </w:p>
    <w:p>
      <w:pPr>
        <w:spacing w:after="120" w:before="240" w:line="240"/>
        <w:jc w:val="left"/>
      </w:pPr>
      <w:r>
        <w:rPr>
          <w:rFonts w:ascii="Times New Roman" w:cs="Times New Roman" w:eastAsia="Times New Roman" w:hAnsi="Times New Roman"/>
          <w:b/>
          <w:bCs/>
          <w:sz w:val="28"/>
          <w:szCs w:val="28"/>
        </w:rPr>
        <w:t xml:space="preserve">6. CONCLUSION</w:t>
      </w:r>
    </w:p>
    <w:p>
      <w:pPr>
        <w:spacing w:after="120" w:before="120" w:line="240"/>
        <w:jc w:val="both"/>
      </w:pPr>
      <w:r>
        <w:rPr>
          <w:rFonts w:ascii="Times New Roman" w:cs="Times New Roman" w:eastAsia="Times New Roman" w:hAnsi="Times New Roman"/>
          <w:b w:val="false"/>
          <w:bCs w:val="false"/>
          <w:i w:val="false"/>
          <w:iCs w:val="false"/>
          <w:sz w:val="24"/>
          <w:szCs w:val="24"/>
        </w:rPr>
        <w:t xml:space="preserve">The climate crisis is, at its deepest level, a crisis of governance — of the capacity of international legal and political institutions to respond, at the speed and scale demanded by physical reality, to a collective action problem of civilisational magnitude. The science is settled. The legal obligations are established. What remains is the political will to honour them.</w:t>
      </w:r>
    </w:p>
    <w:p>
      <w:pPr>
        <w:spacing w:after="120" w:before="120" w:line="240"/>
        <w:jc w:val="both"/>
      </w:pPr>
      <w:r>
        <w:rPr>
          <w:rFonts w:ascii="Times New Roman" w:cs="Times New Roman" w:eastAsia="Times New Roman" w:hAnsi="Times New Roman"/>
          <w:b w:val="false"/>
          <w:bCs w:val="false"/>
          <w:i w:val="false"/>
          <w:iCs w:val="false"/>
          <w:sz w:val="24"/>
          <w:szCs w:val="24"/>
        </w:rPr>
        <w:t xml:space="preserve">The doctrine of sustainable development, first articulated in the Brundtland Commission's 1987 report and subsequently codified across international instruments from Rio to Johannesburg to the 2030 Agenda, imposes on the present generation a clear obligation: to meet its own needs without compromising the ability of future generations to meet theirs [25]. By every measurable indicator, this obligation is currently being violated, and the violation is accelerating.</w:t>
      </w:r>
    </w:p>
    <w:p>
      <w:pPr>
        <w:spacing w:after="120" w:before="120" w:line="240"/>
        <w:jc w:val="both"/>
      </w:pPr>
      <w:r>
        <w:rPr>
          <w:rFonts w:ascii="Times New Roman" w:cs="Times New Roman" w:eastAsia="Times New Roman" w:hAnsi="Times New Roman"/>
          <w:b w:val="false"/>
          <w:bCs w:val="false"/>
          <w:i w:val="false"/>
          <w:iCs w:val="false"/>
          <w:sz w:val="24"/>
          <w:szCs w:val="24"/>
        </w:rPr>
        <w:t xml:space="preserve">Climate justice is not an aspirational supplement to climate action. It is the precondition of any climate response that can be sustained, legitimised, and scaled to the dimensions the crisis requires. An internationally just climate regime — one grounded in enforceable obligations, equitable finance, and genuine accountability — is not the idealist's vision. It is the minimum necessary condition for human survival on a warming planet.</w:t>
      </w:r>
    </w:p>
    <w:p>
      <w:pPr>
        <w:spacing w:after="120" w:before="240" w:line="240"/>
        <w:jc w:val="left"/>
      </w:pPr>
      <w:r>
        <w:rPr>
          <w:rFonts w:ascii="Times New Roman" w:cs="Times New Roman" w:eastAsia="Times New Roman" w:hAnsi="Times New Roman"/>
          <w:b/>
          <w:bCs/>
          <w:sz w:val="28"/>
          <w:szCs w:val="28"/>
        </w:rPr>
        <w:t xml:space="preserve">DECLARATIONS</w:t>
      </w:r>
    </w:p>
    <w:p>
      <w:pPr>
        <w:spacing w:after="120" w:before="120" w:line="240"/>
        <w:jc w:val="both"/>
      </w:pPr>
      <w:r>
        <w:rPr>
          <w:rFonts w:ascii="Times New Roman" w:cs="Times New Roman" w:eastAsia="Times New Roman" w:hAnsi="Times New Roman"/>
          <w:b/>
          <w:bCs/>
          <w:i w:val="false"/>
          <w:iCs w:val="false"/>
          <w:sz w:val="24"/>
          <w:szCs w:val="24"/>
        </w:rPr>
        <w:t xml:space="preserve">Competing Interests: </w:t>
      </w:r>
      <w:r>
        <w:rPr>
          <w:rFonts w:ascii="Times New Roman" w:cs="Times New Roman" w:eastAsia="Times New Roman" w:hAnsi="Times New Roman"/>
          <w:b w:val="false"/>
          <w:bCs w:val="false"/>
          <w:i w:val="false"/>
          <w:iCs w:val="false"/>
          <w:sz w:val="24"/>
          <w:szCs w:val="24"/>
        </w:rPr>
        <w:t xml:space="preserve">The author declares no competing financial or non-financial interests.</w:t>
      </w:r>
    </w:p>
    <w:p>
      <w:pPr>
        <w:spacing w:after="120" w:before="120" w:line="240"/>
        <w:jc w:val="both"/>
      </w:pPr>
      <w:r>
        <w:rPr>
          <w:rFonts w:ascii="Times New Roman" w:cs="Times New Roman" w:eastAsia="Times New Roman" w:hAnsi="Times New Roman"/>
          <w:b/>
          <w:bCs/>
          <w:i w:val="false"/>
          <w:iCs w:val="false"/>
          <w:sz w:val="24"/>
          <w:szCs w:val="24"/>
        </w:rPr>
        <w:t xml:space="preserve">Funding: </w:t>
      </w:r>
      <w:r>
        <w:rPr>
          <w:rFonts w:ascii="Times New Roman" w:cs="Times New Roman" w:eastAsia="Times New Roman" w:hAnsi="Times New Roman"/>
          <w:b w:val="false"/>
          <w:bCs w:val="false"/>
          <w:i w:val="false"/>
          <w:iCs w:val="false"/>
          <w:sz w:val="24"/>
          <w:szCs w:val="24"/>
        </w:rPr>
        <w:t xml:space="preserve">No external funding was received for this work.</w:t>
      </w:r>
    </w:p>
    <w:p>
      <w:pPr>
        <w:spacing w:after="120" w:before="120" w:line="240"/>
        <w:jc w:val="both"/>
      </w:pPr>
      <w:r>
        <w:rPr>
          <w:rFonts w:ascii="Times New Roman" w:cs="Times New Roman" w:eastAsia="Times New Roman" w:hAnsi="Times New Roman"/>
          <w:b/>
          <w:bCs/>
          <w:i w:val="false"/>
          <w:iCs w:val="false"/>
          <w:sz w:val="24"/>
          <w:szCs w:val="24"/>
        </w:rPr>
        <w:t xml:space="preserve">Ethical Approval: </w:t>
      </w:r>
      <w:r>
        <w:rPr>
          <w:rFonts w:ascii="Times New Roman" w:cs="Times New Roman" w:eastAsia="Times New Roman" w:hAnsi="Times New Roman"/>
          <w:b w:val="false"/>
          <w:bCs w:val="false"/>
          <w:i w:val="false"/>
          <w:iCs w:val="false"/>
          <w:sz w:val="24"/>
          <w:szCs w:val="24"/>
        </w:rPr>
        <w:t xml:space="preserve">This study is a theoretical and legal analysis; no human subjects or animals were involved. No ethical approval was required.</w:t>
      </w:r>
    </w:p>
    <w:p>
      <w:pPr>
        <w:spacing w:after="120" w:before="120" w:line="240"/>
        <w:jc w:val="both"/>
      </w:pPr>
      <w:r>
        <w:rPr>
          <w:rFonts w:ascii="Times New Roman" w:cs="Times New Roman" w:eastAsia="Times New Roman" w:hAnsi="Times New Roman"/>
          <w:b/>
          <w:bCs/>
          <w:i w:val="false"/>
          <w:iCs w:val="false"/>
          <w:sz w:val="24"/>
          <w:szCs w:val="24"/>
        </w:rPr>
        <w:t xml:space="preserve">Data Availability: </w:t>
      </w:r>
      <w:r>
        <w:rPr>
          <w:rFonts w:ascii="Times New Roman" w:cs="Times New Roman" w:eastAsia="Times New Roman" w:hAnsi="Times New Roman"/>
          <w:b w:val="false"/>
          <w:bCs w:val="false"/>
          <w:i w:val="false"/>
          <w:iCs w:val="false"/>
          <w:sz w:val="24"/>
          <w:szCs w:val="24"/>
        </w:rPr>
        <w:t xml:space="preserve">All cited data and legal instruments are referenced in full in the References section. All primary sources are publicly available through their respective issuing institutions.</w:t>
      </w:r>
    </w:p>
    <w:p>
      <w:pPr>
        <w:spacing w:after="120" w:before="120" w:line="240"/>
        <w:jc w:val="both"/>
      </w:pPr>
      <w:r>
        <w:rPr>
          <w:rFonts w:ascii="Times New Roman" w:cs="Times New Roman" w:eastAsia="Times New Roman" w:hAnsi="Times New Roman"/>
          <w:b/>
          <w:bCs/>
          <w:i w:val="false"/>
          <w:iCs w:val="false"/>
          <w:sz w:val="24"/>
          <w:szCs w:val="24"/>
        </w:rPr>
        <w:t xml:space="preserve">Originality Statement: </w:t>
      </w:r>
      <w:r>
        <w:rPr>
          <w:rFonts w:ascii="Times New Roman" w:cs="Times New Roman" w:eastAsia="Times New Roman" w:hAnsi="Times New Roman"/>
          <w:b w:val="false"/>
          <w:bCs w:val="false"/>
          <w:i w:val="false"/>
          <w:iCs w:val="false"/>
          <w:sz w:val="24"/>
          <w:szCs w:val="24"/>
        </w:rPr>
        <w:t xml:space="preserve">This manuscript is wholly original and has not been previously published or submitted. All arguments are the author's own synthesis. All cited data and legal instruments are fully attributed to primary sources.</w:t>
      </w:r>
    </w:p>
    <w:p>
      <w:pPr>
        <w:spacing w:after="120" w:before="240" w:line="240"/>
        <w:jc w:val="left"/>
      </w:pPr>
      <w:r>
        <w:rPr>
          <w:rFonts w:ascii="Times New Roman" w:cs="Times New Roman" w:eastAsia="Times New Roman" w:hAnsi="Times New Roman"/>
          <w:b/>
          <w:bCs/>
          <w:sz w:val="28"/>
          <w:szCs w:val="28"/>
        </w:rPr>
        <w:t xml:space="preserve">REFERENCES</w:t>
      </w:r>
    </w:p>
    <w:p>
      <w:pPr>
        <w:spacing w:after="60" w:before="60" w:line="240"/>
        <w:ind w:left="360" w:hanging="360"/>
        <w:jc w:val="both"/>
      </w:pPr>
      <w:r>
        <w:rPr>
          <w:rFonts w:ascii="Times New Roman" w:cs="Times New Roman" w:eastAsia="Times New Roman" w:hAnsi="Times New Roman"/>
          <w:sz w:val="22"/>
          <w:szCs w:val="22"/>
        </w:rPr>
        <w:t xml:space="preserve">1. IPCC. Climate Change 2023: Synthesis Report. Contribution of Working Groups I, II and III to the Sixth Assessment Report of the Intergovernmental Panel on Climate Change [Core Writing Team, H. Lee and J. Romero (eds.)]. IPCC, Geneva, Switzerland, pp. 1–34. doi:10.59327/IPCC/AR6-9789291691647 (2023).</w:t>
      </w:r>
    </w:p>
    <w:p>
      <w:pPr>
        <w:spacing w:after="60" w:before="60" w:line="240"/>
        <w:ind w:left="360" w:hanging="360"/>
        <w:jc w:val="both"/>
      </w:pPr>
      <w:r>
        <w:rPr>
          <w:rFonts w:ascii="Times New Roman" w:cs="Times New Roman" w:eastAsia="Times New Roman" w:hAnsi="Times New Roman"/>
          <w:sz w:val="22"/>
          <w:szCs w:val="22"/>
        </w:rPr>
        <w:t xml:space="preserve">2. Gulev, S.K. et al. Changing State of the Climate System. In: Climate Change 2021: The Physical Science Basis. Contribution of Working Group I to the Sixth Assessment Report of the IPCC. Cambridge University Press, Cambridge (2021).</w:t>
      </w:r>
    </w:p>
    <w:p>
      <w:pPr>
        <w:spacing w:after="60" w:before="60" w:line="240"/>
        <w:ind w:left="360" w:hanging="360"/>
        <w:jc w:val="both"/>
      </w:pPr>
      <w:r>
        <w:rPr>
          <w:rFonts w:ascii="Times New Roman" w:cs="Times New Roman" w:eastAsia="Times New Roman" w:hAnsi="Times New Roman"/>
          <w:sz w:val="22"/>
          <w:szCs w:val="22"/>
        </w:rPr>
        <w:t xml:space="preserve">3. Masson-Delmotte, V. et al. IPCC, 2021: Summary for Policymakers. In: Climate Change 2021: The Physical Science Basis. Cambridge University Press (2021).</w:t>
      </w:r>
    </w:p>
    <w:p>
      <w:pPr>
        <w:spacing w:after="60" w:before="60" w:line="240"/>
        <w:ind w:left="360" w:hanging="360"/>
        <w:jc w:val="both"/>
      </w:pPr>
      <w:r>
        <w:rPr>
          <w:rFonts w:ascii="Times New Roman" w:cs="Times New Roman" w:eastAsia="Times New Roman" w:hAnsi="Times New Roman"/>
          <w:sz w:val="22"/>
          <w:szCs w:val="22"/>
        </w:rPr>
        <w:t xml:space="preserve">4. Friedlingstein, P. et al. Global Carbon Budget 2023. Earth Syst. Sci. Data 15, 5301–5369. doi:10.5194/essd-15-5301-2023 (2023).</w:t>
      </w:r>
    </w:p>
    <w:p>
      <w:pPr>
        <w:spacing w:after="60" w:before="60" w:line="240"/>
        <w:ind w:left="360" w:hanging="360"/>
        <w:jc w:val="both"/>
      </w:pPr>
      <w:r>
        <w:rPr>
          <w:rFonts w:ascii="Times New Roman" w:cs="Times New Roman" w:eastAsia="Times New Roman" w:hAnsi="Times New Roman"/>
          <w:sz w:val="22"/>
          <w:szCs w:val="22"/>
        </w:rPr>
        <w:t xml:space="preserve">5. Byers, E. et al. Global exposure and vulnerability to multi-sector development and climate change hotspots. Environ. Res. Lett. 13, 055012. doi:10.1088/1748-9326/aabf45 (2018).</w:t>
      </w:r>
    </w:p>
    <w:p>
      <w:pPr>
        <w:spacing w:after="60" w:before="60" w:line="240"/>
        <w:ind w:left="360" w:hanging="360"/>
        <w:jc w:val="both"/>
      </w:pPr>
      <w:r>
        <w:rPr>
          <w:rFonts w:ascii="Times New Roman" w:cs="Times New Roman" w:eastAsia="Times New Roman" w:hAnsi="Times New Roman"/>
          <w:sz w:val="22"/>
          <w:szCs w:val="22"/>
        </w:rPr>
        <w:t xml:space="preserve">6. Hughes, T.P. et al. Global warming and recurrent mass bleaching of corals. Nature 543, 373–377. doi:10.1038/nature21707 (2017).</w:t>
      </w:r>
    </w:p>
    <w:p>
      <w:pPr>
        <w:spacing w:after="60" w:before="60" w:line="240"/>
        <w:ind w:left="360" w:hanging="360"/>
        <w:jc w:val="both"/>
      </w:pPr>
      <w:r>
        <w:rPr>
          <w:rFonts w:ascii="Times New Roman" w:cs="Times New Roman" w:eastAsia="Times New Roman" w:hAnsi="Times New Roman"/>
          <w:sz w:val="22"/>
          <w:szCs w:val="22"/>
        </w:rPr>
        <w:t xml:space="preserve">7. Notz, D. &amp; Community, S. Observed Arctic sea-ice loss directly follows anthropogenic CO2 emission. Science 354, 747–750. doi:10.1126/science.aag2345 (2016).</w:t>
      </w:r>
    </w:p>
    <w:p>
      <w:pPr>
        <w:spacing w:after="60" w:before="60" w:line="240"/>
        <w:ind w:left="360" w:hanging="360"/>
        <w:jc w:val="both"/>
      </w:pPr>
      <w:r>
        <w:rPr>
          <w:rFonts w:ascii="Times New Roman" w:cs="Times New Roman" w:eastAsia="Times New Roman" w:hAnsi="Times New Roman"/>
          <w:sz w:val="22"/>
          <w:szCs w:val="22"/>
        </w:rPr>
        <w:t xml:space="preserve">8. Chancel, L. et al. World Inequality Report 2022. World Inequality Lab. wir2022.wid.world (2022).</w:t>
      </w:r>
    </w:p>
    <w:p>
      <w:pPr>
        <w:spacing w:after="60" w:before="60" w:line="240"/>
        <w:ind w:left="360" w:hanging="360"/>
        <w:jc w:val="both"/>
      </w:pPr>
      <w:r>
        <w:rPr>
          <w:rFonts w:ascii="Times New Roman" w:cs="Times New Roman" w:eastAsia="Times New Roman" w:hAnsi="Times New Roman"/>
          <w:sz w:val="22"/>
          <w:szCs w:val="22"/>
        </w:rPr>
        <w:t xml:space="preserve">9. Diffenbaugh, N.S. &amp; Burke, M. Global warming has increased global economic inequality. Proc. Natl Acad. Sci. USA 116, 9808–9813. doi:10.1073/pnas.1816020116 (2019).</w:t>
      </w:r>
    </w:p>
    <w:p>
      <w:pPr>
        <w:spacing w:after="60" w:before="60" w:line="240"/>
        <w:ind w:left="360" w:hanging="360"/>
        <w:jc w:val="both"/>
      </w:pPr>
      <w:r>
        <w:rPr>
          <w:rFonts w:ascii="Times New Roman" w:cs="Times New Roman" w:eastAsia="Times New Roman" w:hAnsi="Times New Roman"/>
          <w:sz w:val="22"/>
          <w:szCs w:val="22"/>
        </w:rPr>
        <w:t xml:space="preserve">10. United Nations. United Nations Framework Convention on Climate Change. FCCC/INFORMAL/84 GE.05-62220 (E) 200705. United Nations, New York (1992).</w:t>
      </w:r>
    </w:p>
    <w:p>
      <w:pPr>
        <w:spacing w:after="60" w:before="60" w:line="240"/>
        <w:ind w:left="360" w:hanging="360"/>
        <w:jc w:val="both"/>
      </w:pPr>
      <w:r>
        <w:rPr>
          <w:rFonts w:ascii="Times New Roman" w:cs="Times New Roman" w:eastAsia="Times New Roman" w:hAnsi="Times New Roman"/>
          <w:sz w:val="22"/>
          <w:szCs w:val="22"/>
        </w:rPr>
        <w:t xml:space="preserve">11. United Nations. Paris Agreement to the United Nations Framework Convention on Climate Change. T.I.A.S. No. 16-1104 (2015).</w:t>
      </w:r>
    </w:p>
    <w:p>
      <w:pPr>
        <w:spacing w:after="60" w:before="60" w:line="240"/>
        <w:ind w:left="360" w:hanging="360"/>
        <w:jc w:val="both"/>
      </w:pPr>
      <w:r>
        <w:rPr>
          <w:rFonts w:ascii="Times New Roman" w:cs="Times New Roman" w:eastAsia="Times New Roman" w:hAnsi="Times New Roman"/>
          <w:sz w:val="22"/>
          <w:szCs w:val="22"/>
        </w:rPr>
        <w:t xml:space="preserve">12. International Court of Justice. Obligations of States in respect of Climate Change. Advisory Proceedings (Request by UN General Assembly Resolution A/77/276, 2023). ICJ, The Hague (2024).</w:t>
      </w:r>
    </w:p>
    <w:p>
      <w:pPr>
        <w:spacing w:after="60" w:before="60" w:line="240"/>
        <w:ind w:left="360" w:hanging="360"/>
        <w:jc w:val="both"/>
      </w:pPr>
      <w:r>
        <w:rPr>
          <w:rFonts w:ascii="Times New Roman" w:cs="Times New Roman" w:eastAsia="Times New Roman" w:hAnsi="Times New Roman"/>
          <w:sz w:val="22"/>
          <w:szCs w:val="22"/>
        </w:rPr>
        <w:t xml:space="preserve">13. United Nations Conference on Environment and Development. Rio Declaration on Environment and Development. A/CONF.151/26 (Vol. I), Annex I. United Nations, New York (1992).</w:t>
      </w:r>
    </w:p>
    <w:p>
      <w:pPr>
        <w:spacing w:after="60" w:before="60" w:line="240"/>
        <w:ind w:left="360" w:hanging="360"/>
        <w:jc w:val="both"/>
      </w:pPr>
      <w:r>
        <w:rPr>
          <w:rFonts w:ascii="Times New Roman" w:cs="Times New Roman" w:eastAsia="Times New Roman" w:hAnsi="Times New Roman"/>
          <w:sz w:val="22"/>
          <w:szCs w:val="22"/>
        </w:rPr>
        <w:t xml:space="preserve">14. Rajamani, L. Differential Treatment in International Environmental Law. Oxford University Press, Oxford (2006).</w:t>
      </w:r>
    </w:p>
    <w:p>
      <w:pPr>
        <w:spacing w:after="60" w:before="60" w:line="240"/>
        <w:ind w:left="360" w:hanging="360"/>
        <w:jc w:val="both"/>
      </w:pPr>
      <w:r>
        <w:rPr>
          <w:rFonts w:ascii="Times New Roman" w:cs="Times New Roman" w:eastAsia="Times New Roman" w:hAnsi="Times New Roman"/>
          <w:sz w:val="22"/>
          <w:szCs w:val="22"/>
        </w:rPr>
        <w:t xml:space="preserve">15. United Nations General Assembly. Resolution 76/300: The Human Right to a Clean, Healthy and Sustainable Environment. A/RES/76/300 (2022).</w:t>
      </w:r>
    </w:p>
    <w:p>
      <w:pPr>
        <w:spacing w:after="60" w:before="60" w:line="240"/>
        <w:ind w:left="360" w:hanging="360"/>
        <w:jc w:val="both"/>
      </w:pPr>
      <w:r>
        <w:rPr>
          <w:rFonts w:ascii="Times New Roman" w:cs="Times New Roman" w:eastAsia="Times New Roman" w:hAnsi="Times New Roman"/>
          <w:sz w:val="22"/>
          <w:szCs w:val="22"/>
        </w:rPr>
        <w:t xml:space="preserve">16. Knox, J.H. Report of the Special Rapporteur on the issue of human rights obligations relating to the enjoyment of a safe, clean, healthy and sustainable environment. UN Doc. A/HRC/37/59. Human Rights Council (2018).</w:t>
      </w:r>
    </w:p>
    <w:p>
      <w:pPr>
        <w:spacing w:after="60" w:before="60" w:line="240"/>
        <w:ind w:left="360" w:hanging="360"/>
        <w:jc w:val="both"/>
      </w:pPr>
      <w:r>
        <w:rPr>
          <w:rFonts w:ascii="Times New Roman" w:cs="Times New Roman" w:eastAsia="Times New Roman" w:hAnsi="Times New Roman"/>
          <w:sz w:val="22"/>
          <w:szCs w:val="22"/>
        </w:rPr>
        <w:t xml:space="preserve">17. Setzer, J. &amp; Higham, C. Global Trends in Climate Change Litigation: 2023 Snapshot. Grantham Research Institute on Climate Change and the Environment, London School of Economics and Political Science (2023).</w:t>
      </w:r>
    </w:p>
    <w:p>
      <w:pPr>
        <w:spacing w:after="60" w:before="60" w:line="240"/>
        <w:ind w:left="360" w:hanging="360"/>
        <w:jc w:val="both"/>
      </w:pPr>
      <w:r>
        <w:rPr>
          <w:rFonts w:ascii="Times New Roman" w:cs="Times New Roman" w:eastAsia="Times New Roman" w:hAnsi="Times New Roman"/>
          <w:sz w:val="22"/>
          <w:szCs w:val="22"/>
        </w:rPr>
        <w:t xml:space="preserve">18. International Tribunal for the Law of the Sea. Request for an Advisory Opinion submitted by the Commission of Small Island States on Climate Change and International Law. ITLOS Case No. 31. ITLOS, Hamburg (2024).</w:t>
      </w:r>
    </w:p>
    <w:p>
      <w:pPr>
        <w:spacing w:after="60" w:before="60" w:line="240"/>
        <w:ind w:left="360" w:hanging="360"/>
        <w:jc w:val="both"/>
      </w:pPr>
      <w:r>
        <w:rPr>
          <w:rFonts w:ascii="Times New Roman" w:cs="Times New Roman" w:eastAsia="Times New Roman" w:hAnsi="Times New Roman"/>
          <w:sz w:val="22"/>
          <w:szCs w:val="22"/>
        </w:rPr>
        <w:t xml:space="preserve">19. UNFCCC COP28. Decision 1/CMA.5: Outcomes of the first global stocktake. FCCC/PA/CMA/2023/L.17. UNFCCC Secretariat, Bonn (2023).</w:t>
      </w:r>
    </w:p>
    <w:p>
      <w:pPr>
        <w:spacing w:after="60" w:before="60" w:line="240"/>
        <w:ind w:left="360" w:hanging="360"/>
        <w:jc w:val="both"/>
      </w:pPr>
      <w:r>
        <w:rPr>
          <w:rFonts w:ascii="Times New Roman" w:cs="Times New Roman" w:eastAsia="Times New Roman" w:hAnsi="Times New Roman"/>
          <w:sz w:val="22"/>
          <w:szCs w:val="22"/>
        </w:rPr>
        <w:t xml:space="preserve">20. Baarsch, F. et al. The impact of climate change on incomes and convergence in Africa. World Dev. 126, 104699. doi:10.1016/j.worlddev.2019.104699 (2020).</w:t>
      </w:r>
    </w:p>
    <w:p>
      <w:pPr>
        <w:spacing w:after="60" w:before="60" w:line="240"/>
        <w:ind w:left="360" w:hanging="360"/>
        <w:jc w:val="both"/>
      </w:pPr>
      <w:r>
        <w:rPr>
          <w:rFonts w:ascii="Times New Roman" w:cs="Times New Roman" w:eastAsia="Times New Roman" w:hAnsi="Times New Roman"/>
          <w:sz w:val="22"/>
          <w:szCs w:val="22"/>
        </w:rPr>
        <w:t xml:space="preserve">21. OECD. Climate Finance Provided and Mobilised by Developed Countries in 2016–2020: Insights from Disaggregated Analysis. OECD Publishing, Paris. doi:10.1787/286dae6d-en (2022).</w:t>
      </w:r>
    </w:p>
    <w:p>
      <w:pPr>
        <w:spacing w:after="60" w:before="60" w:line="240"/>
        <w:ind w:left="360" w:hanging="360"/>
        <w:jc w:val="both"/>
      </w:pPr>
      <w:r>
        <w:rPr>
          <w:rFonts w:ascii="Times New Roman" w:cs="Times New Roman" w:eastAsia="Times New Roman" w:hAnsi="Times New Roman"/>
          <w:sz w:val="22"/>
          <w:szCs w:val="22"/>
        </w:rPr>
        <w:t xml:space="preserve">22. Songwe, V., Stern, N. &amp; Bhattacharya, A. Finance for Climate Action: Scaling up Investment for Climate and Development. Report of the Independent High-Level Expert Group on Climate Finance. Grantham Research Institute, LSE (2022).</w:t>
      </w:r>
    </w:p>
    <w:p>
      <w:pPr>
        <w:spacing w:after="60" w:before="60" w:line="240"/>
        <w:ind w:left="360" w:hanging="360"/>
        <w:jc w:val="both"/>
      </w:pPr>
      <w:r>
        <w:rPr>
          <w:rFonts w:ascii="Times New Roman" w:cs="Times New Roman" w:eastAsia="Times New Roman" w:hAnsi="Times New Roman"/>
          <w:sz w:val="22"/>
          <w:szCs w:val="22"/>
        </w:rPr>
        <w:t xml:space="preserve">23. Weiss, E.B. In Fairness to Future Generations: International Law, Common Patrimony, and Intergenerational Equity. Transnational Publishers / United Nations University (1989).</w:t>
      </w:r>
    </w:p>
    <w:p>
      <w:pPr>
        <w:spacing w:after="60" w:before="60" w:line="240"/>
        <w:ind w:left="360" w:hanging="360"/>
        <w:jc w:val="both"/>
      </w:pPr>
      <w:r>
        <w:rPr>
          <w:rFonts w:ascii="Times New Roman" w:cs="Times New Roman" w:eastAsia="Times New Roman" w:hAnsi="Times New Roman"/>
          <w:sz w:val="22"/>
          <w:szCs w:val="22"/>
        </w:rPr>
        <w:t xml:space="preserve">24. Bundesverfassungsgericht [Federal Constitutional Court of Germany]. BVerfG, Beschluss des Ersten Senats vom 24. März 2021 – 1 BvR 2656/18. Karlsruhe (2021).</w:t>
      </w:r>
    </w:p>
    <w:p>
      <w:pPr>
        <w:spacing w:after="60" w:before="60" w:line="240"/>
        <w:ind w:left="360" w:hanging="360"/>
        <w:jc w:val="both"/>
      </w:pPr>
      <w:r>
        <w:rPr>
          <w:rFonts w:ascii="Times New Roman" w:cs="Times New Roman" w:eastAsia="Times New Roman" w:hAnsi="Times New Roman"/>
          <w:sz w:val="22"/>
          <w:szCs w:val="22"/>
        </w:rPr>
        <w:t xml:space="preserve">25. World Commission on Environment and Development (Brundtland Commission). Our Common Future. Oxford University Press, Oxford (1987).</w:t>
      </w:r>
    </w:p>
    <w:sectPr>
      <w:headerReference w:type="default" r:id="rId7"/>
      <w:footerReference w:type="default" r:id="rId8"/>
      <w:pgSz w:w="11906" w:h="16838" w:orient="portrait"/>
      <w:pgMar w:top="1094" w:right="605" w:bottom="605" w:left="605" w:header="346" w:footer="403"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00000" w:sz="6" w:space="1"/>
      </w:pBdr>
      <w:spacing w:after="0" w:before="0" w:line="240"/>
      <w:jc w:val="center"/>
    </w:pPr>
    <w:r>
      <w:rPr>
        <w:rFonts w:ascii="Times New Roman" w:cs="Times New Roman" w:eastAsia="Times New Roman" w:hAnsi="Times New Roman"/>
        <w:b w:val="false"/>
        <w:bCs w:val="false"/>
        <w:i w:val="false"/>
        <w:iCs w:val="false"/>
        <w:sz w:val="20"/>
        <w:szCs w:val="20"/>
      </w:rPr>
      <w:t xml:space="preserve">www.rsisinternational.org</w:t>
    </w:r>
    <w:r>
      <w:rPr>
        <w:rFonts w:ascii="Times New Roman" w:cs="Times New Roman" w:eastAsia="Times New Roman" w:hAnsi="Times New Roman"/>
        <w:b w:val="false"/>
        <w:bCs w:val="false"/>
        <w:i w:val="false"/>
        <w:iCs w:val="false"/>
        <w:sz w:val="20"/>
        <w:szCs w:val="20"/>
      </w:rPr>
      <w:t xml:space="preserve">                                                                                                                              Page </w:t>
    </w:r>
    <w:r>
      <w:rPr>
        <w:rFonts w:ascii="Times New Roman" w:cs="Times New Roman" w:eastAsia="Times New Roman" w:hAnsi="Times New Roman"/>
        <w:sz w:val="20"/>
        <w:szCs w:val="20"/>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000000" w:sz="6" w:space="1"/>
      </w:pBdr>
      <w:spacing w:after="0" w:before="0" w:line="240"/>
      <w:jc w:val="center"/>
    </w:pPr>
    <w:r>
      <w:rPr>
        <w:rFonts w:ascii="Times New Roman" w:cs="Times New Roman" w:eastAsia="Times New Roman" w:hAnsi="Times New Roman"/>
        <w:b w:val="false"/>
        <w:bCs w:val="false"/>
        <w:i/>
        <w:iCs/>
        <w:sz w:val="20"/>
        <w:szCs w:val="20"/>
      </w:rPr>
      <w:t xml:space="preserve">International Journal of Research and Innovation in Applied Science (IJRIAS)</w:t>
    </w:r>
    <w:r>
      <w:rPr>
        <w:rFonts w:ascii="Times New Roman" w:cs="Times New Roman" w:eastAsia="Times New Roman" w:hAnsi="Times New Roman"/>
        <w:b w:val="false"/>
        <w:bCs w:val="false"/>
        <w:i w:val="false"/>
        <w:iCs w:val="false"/>
        <w:sz w:val="20"/>
        <w:szCs w:val="20"/>
      </w:rPr>
      <w:t xml:space="preserve"> | Volume XI | Issue V | May 2026 | ISSN 2454-6194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2026-05-22T06:58:04.023Z</dcterms:created>
  <dcterms:modified xsi:type="dcterms:W3CDTF">2026-05-22T06:58:04.024Z</dcterms:modified>
</cp:coreProperties>
</file>

<file path=docProps/custom.xml><?xml version="1.0" encoding="utf-8"?>
<Properties xmlns="http://schemas.openxmlformats.org/officeDocument/2006/custom-properties" xmlns:vt="http://schemas.openxmlformats.org/officeDocument/2006/docPropsVTypes"/>
</file>