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F8205">
      <w:pPr>
        <w:spacing w:after="100"/>
        <w:jc w:val="center"/>
      </w:pPr>
      <w:bookmarkStart w:id="0" w:name="_GoBack"/>
      <w:r>
        <w:rPr>
          <w:rFonts w:ascii="Times New Roman" w:hAnsi="Times New Roman" w:eastAsia="Times New Roman" w:cs="Times New Roman"/>
          <w:b/>
          <w:bCs/>
          <w:sz w:val="32"/>
          <w:szCs w:val="32"/>
        </w:rPr>
        <w:t>The Accountability Floor</w:t>
      </w:r>
      <w:bookmarkEnd w:id="0"/>
      <w:r>
        <w:rPr>
          <w:rFonts w:ascii="Times New Roman" w:hAnsi="Times New Roman" w:eastAsia="Times New Roman" w:cs="Times New Roman"/>
          <w:b/>
          <w:bCs/>
          <w:sz w:val="32"/>
          <w:szCs w:val="32"/>
        </w:rPr>
        <w:t>: A Tiered Framework for Governing Agentic AI Beyond the Enterprise Assumption</w:t>
      </w:r>
    </w:p>
    <w:p w14:paraId="30244B5E">
      <w:pPr>
        <w:spacing w:after="60"/>
        <w:jc w:val="center"/>
        <w:rPr>
          <w:rFonts w:hint="default"/>
          <w:sz w:val="32"/>
          <w:szCs w:val="36"/>
          <w:lang w:val="en-US"/>
        </w:rPr>
      </w:pPr>
      <w:r>
        <w:rPr>
          <w:rFonts w:hint="default"/>
          <w:sz w:val="32"/>
          <w:szCs w:val="36"/>
          <w:lang w:val="en-US"/>
        </w:rPr>
        <w:t/>
      </w:r>
    </w:p>
    <w:p w14:paraId="568B4FB9">
      <w:pPr>
        <w:keepNext w:val="0"/>
        <w:keepLines w:val="0"/>
        <w:widowControl/>
        <w:suppressLineNumbers w:val="0"/>
        <w:jc w:val="center"/>
      </w:pPr>
      <w:r>
        <w:rPr>
          <w:rStyle w:val="10"/>
          <w:rFonts w:ascii="SimSun" w:hAnsi="SimSun" w:eastAsia="SimSun" w:cs="SimSun"/>
          <w:kern w:val="0"/>
          <w:sz w:val="24"/>
          <w:szCs w:val="24"/>
          <w:lang w:val="en-US" w:eastAsia="zh-CN" w:bidi="ar"/>
        </w:rPr>
        <w:t/>
      </w:r>
      <w:r>
        <w:rPr>
          <w:rFonts w:ascii="SimSun" w:hAnsi="SimSun" w:eastAsia="SimSun" w:cs="SimSun"/>
          <w:kern w:val="0"/>
          <w:sz w:val="24"/>
          <w:szCs w:val="24"/>
          <w:lang w:val="en-US" w:eastAsia="zh-CN" w:bidi="ar"/>
        </w:rPr>
        <w:br w:type="textWrapping"/>
      </w:r>
      <w:r>
        <w:rPr>
          <w:rStyle w:val="10"/>
          <w:rFonts w:ascii="SimSun" w:hAnsi="SimSun" w:eastAsia="SimSun" w:cs="SimSun"/>
          <w:kern w:val="0"/>
          <w:sz w:val="24"/>
          <w:szCs w:val="24"/>
          <w:lang w:val="en-US" w:eastAsia="zh-CN" w:bidi="ar"/>
        </w:rPr>
        <w:t/>
      </w:r>
      <w:r>
        <w:rPr>
          <w:rFonts w:ascii="SimSun" w:hAnsi="SimSun" w:eastAsia="SimSun" w:cs="SimSun"/>
          <w:kern w:val="0"/>
          <w:sz w:val="24"/>
          <w:szCs w:val="24"/>
          <w:lang w:val="en-US" w:eastAsia="zh-CN" w:bidi="ar"/>
        </w:rPr>
        <w:br w:type="textWrapping"/>
      </w:r>
      <w:r>
        <w:rPr>
          <w:rStyle w:val="10"/>
          <w:rFonts w:ascii="SimSun" w:hAnsi="SimSun" w:eastAsia="SimSun" w:cs="SimSun"/>
          <w:kern w:val="0"/>
          <w:sz w:val="24"/>
          <w:szCs w:val="24"/>
          <w:lang w:val="en-US" w:eastAsia="zh-CN" w:bidi="ar"/>
        </w:rPr>
        <w:t/>
      </w:r>
    </w:p>
    <w:p w14:paraId="359B7728">
      <w:pPr>
        <w:spacing w:after="300"/>
        <w:jc w:val="center"/>
      </w:pPr>
    </w:p>
    <w:p w14:paraId="156A28B9">
      <w:pPr>
        <w:pStyle w:val="2"/>
        <w:spacing w:before="300" w:after="150"/>
      </w:pPr>
      <w:r>
        <w:rPr>
          <w:rFonts w:ascii="Times New Roman" w:hAnsi="Times New Roman" w:eastAsia="Times New Roman" w:cs="Times New Roman"/>
          <w:b/>
          <w:bCs/>
          <w:color w:val="4F81BD" w:themeColor="accent1"/>
          <w:sz w:val="28"/>
          <w:szCs w:val="28"/>
          <w14:textFill>
            <w14:solidFill>
              <w14:schemeClr w14:val="accent1"/>
            </w14:solidFill>
          </w14:textFill>
        </w:rPr>
        <w:t>Abstract</w:t>
      </w:r>
    </w:p>
    <w:p w14:paraId="2BA817F9">
      <w:pPr>
        <w:spacing w:after="200" w:line="300" w:lineRule="auto"/>
        <w:jc w:val="both"/>
      </w:pPr>
      <w:r>
        <w:rPr>
          <w:rFonts w:ascii="Times New Roman" w:hAnsi="Times New Roman" w:eastAsia="Times New Roman" w:cs="Times New Roman"/>
          <w:sz w:val="24"/>
          <w:szCs w:val="24"/>
        </w:rPr>
        <w:t>Every governance framework proposed for agentic artificial intelligence in 2026, from the European Union AI Act's provider-deployer structure to emerging multi-framework compliance architectures for smart city infrastructure, shares an unexamined assumption. It assumes that the entity deploying an autonomous agent is an organization large enough to hold a governance function, absorb compliance cost, and be identifiable as a legal counterparty capable of bearing liability. This paper argues that this assumption is already false for the majority of agentic AI deployments in production today, and that the failure to design governance for its absence, rather than any unsolved technical problem, is the true accountability crisis of this period. The paper develops this argument through a comparative reading of two bodies of evidence: the sophisticated, enterprise-scale governance architectures that dominate the current legal and technical literature, and the empirical record of the open source agent framework OpenClaw, which rose to become the most starred repository on GitHub within weeks of release while accumulating hundreds of documented vulnerabilities across tens of thousands of unauthenticated public deployments. From this comparison the paper introduces the Accountability Floor, a three tier taxonomy that classifies agentic deployments by organizational and regulatory capacity rather than by technical sophistication or task domain. The paper demonstrates that existing legal, technical, and governance remedies are built almost exclusively for Tier 1, meaning regulated enterprises and critical infrastructure operators, and that these remedies structurally cannot reach Tier 2, meaning informally governed small organizations, or Tier 3, meaning individual and ad hoc deployment, even though incident volume and growth rate are concentrated precisely in the tiers current frameworks were not built to address. The paper further develops a cross tier migration analysis showing how deployments move between tiers without triggering a corresponding governance upgrade, a dynamic with direct parallels to the unmanaged software dependency risk that reshaped enterprise security practice in the previous decade. It concludes with a concrete policy proposal, namely ecosystem level circuit breakers situated at the software distribution layer rather than the deployer layer, designed to hold accountability where deployer side governance structurally cannot reach, and closes with a projection of how this gap is likely to widen rather than close over five, ten, and twenty five year horizons as the cost of deploying an agent continues to fall faster than the cost of governing one.</w:t>
      </w:r>
    </w:p>
    <w:p w14:paraId="1FE15CFE">
      <w:pPr>
        <w:spacing w:after="300"/>
      </w:pPr>
      <w:r>
        <w:rPr>
          <w:rFonts w:ascii="Times New Roman" w:hAnsi="Times New Roman" w:eastAsia="Times New Roman" w:cs="Times New Roman"/>
          <w:i/>
          <w:iCs/>
          <w:sz w:val="22"/>
          <w:szCs w:val="22"/>
        </w:rPr>
        <w:t>Keywords: agentic AI, algorithmic accountability, AI governance, multi agent systems, AI liability, regulatory gap, autonomous agents, software supply chain security</w:t>
      </w:r>
    </w:p>
    <w:p w14:paraId="7A7E26E4">
      <w:pPr>
        <w:pStyle w:val="2"/>
        <w:spacing w:before="300" w:after="150"/>
      </w:pPr>
      <w:r>
        <w:rPr>
          <w:rFonts w:ascii="Times New Roman" w:hAnsi="Times New Roman" w:eastAsia="Times New Roman" w:cs="Times New Roman"/>
          <w:b/>
          <w:bCs/>
          <w:sz w:val="28"/>
          <w:szCs w:val="28"/>
        </w:rPr>
        <w:t>1. Introduction</w:t>
      </w:r>
    </w:p>
    <w:p w14:paraId="47730043">
      <w:pPr>
        <w:spacing w:after="200" w:line="300" w:lineRule="auto"/>
        <w:jc w:val="both"/>
      </w:pPr>
      <w:r>
        <w:rPr>
          <w:rFonts w:ascii="Times New Roman" w:hAnsi="Times New Roman" w:eastAsia="Times New Roman" w:cs="Times New Roman"/>
          <w:sz w:val="24"/>
          <w:szCs w:val="24"/>
        </w:rPr>
        <w:t>In 2025, the defining question about artificial intelligence was what it could do. By 2026, the question had changed. It became what happens when it acts without being watched. Industry surveys converge on a striking asymmetry. A large share of organizations globally report using agentic systems capable of planning, deciding, and acting with minimal human supervision in daily operations, while only a small fraction report having any coherent governance strategy for those systems in place. Non human and agentic identities operating inside enterprise systems are already projected to outnumber the global human workforce by a wide margin, yet the great majority of organizations report no formal strategy for managing them. This paper argues that this asymmetry is not a temporary lag destined to close as governance tooling matures. It is structural, and most current scholarship and policy work on agentic accountability has been diagnosing the wrong layer of the problem.</w:t>
      </w:r>
    </w:p>
    <w:p w14:paraId="51405096">
      <w:pPr>
        <w:spacing w:after="200" w:line="300" w:lineRule="auto"/>
        <w:jc w:val="both"/>
      </w:pPr>
      <w:r>
        <w:rPr>
          <w:rFonts w:ascii="Times New Roman" w:hAnsi="Times New Roman" w:eastAsia="Times New Roman" w:cs="Times New Roman"/>
          <w:sz w:val="24"/>
          <w:szCs w:val="24"/>
        </w:rPr>
        <w:t>The emerging legal and technical literature on agentic AI accountability is genuinely sophisticated, and this paper does not dispute its quality. Legal scholars have identified that liability regimes built around a linear developer, deployer, and user chain of command break down once autonomous agents begin interacting with one another in ways their original designers never contemplated, producing what recent analysis terms a traceability gap, in which agent to agent interactions are opaque, unlogged, and difficult to reconstruct after harm occurs. Technical security researchers have catalogued distinct failure modes with no clean precedent in existing law, including cascading compromise with no single proximate cause, emergent collusion between agents with no attributable intent, and heterogeneous multi agent attacks that involve no single component operating outside its specification, each of which defeats a different existing legal doctrine built for simpler systems. Governance researchers have gone further still, producing detailed multi layer compliance architectures that map agent behavior to regulatory instruments such as the EU AI Act, ISO/IEC 42001, and the NIST AI Risk Management Framework, complete with dozens of discrete governance measures and formal conflict resolution rules for reconciling overlapping regulatory obligations.</w:t>
      </w:r>
    </w:p>
    <w:p w14:paraId="56AC906F">
      <w:pPr>
        <w:spacing w:after="200" w:line="300" w:lineRule="auto"/>
        <w:jc w:val="both"/>
      </w:pPr>
      <w:r>
        <w:rPr>
          <w:rFonts w:ascii="Times New Roman" w:hAnsi="Times New Roman" w:eastAsia="Times New Roman" w:cs="Times New Roman"/>
          <w:sz w:val="24"/>
          <w:szCs w:val="24"/>
        </w:rPr>
        <w:t>What unites all of this excellent work is a shared and rarely stated premise. Somewhere in the causal chain, the premise holds, sits an organization capable of being governed. A provider to hold to a duty of care. A deployer with a compliance department and legal counsel. A city government with a procurement process and a named regulator. This paper's central claim is that this premise, however reasonable it sounds when read inside a law review or a standards document, describes a shrinking share of where agentic AI is actually being deployed in practice. The gap between sophisticated but narrow governance frameworks and the far larger, far less visible universe of informal deployment is, this paper argues, the accountability crisis of this moment. It is not a solved problem awaiting rollout to smaller organizations. It is a different problem that current frameworks were never built to solve, because they were never built with the absence of a governable entity in view.</w:t>
      </w:r>
    </w:p>
    <w:p w14:paraId="74A6DD2F">
      <w:pPr>
        <w:spacing w:after="200" w:line="300" w:lineRule="auto"/>
        <w:jc w:val="both"/>
      </w:pPr>
      <w:r>
        <w:rPr>
          <w:rFonts w:ascii="Times New Roman" w:hAnsi="Times New Roman" w:eastAsia="Times New Roman" w:cs="Times New Roman"/>
          <w:sz w:val="24"/>
          <w:szCs w:val="24"/>
        </w:rPr>
        <w:t>The remainder of this paper proceeds as follows. Section 2 situates the argument within the existing literature across law, technical security research, and governance design, and identifies the enterprise assumption running through each strand. Section 3 describes the paper's approach. Section 4 develops the Accountability Floor as a three tier taxonomy and explains why organizational capacity, rather than technical architecture, is the correct axis for classifying accountability risk. Section 5 applies the taxonomy to the empirical record of the OpenClaw agent framework as a natural experiment in Tier 3 failure, and contrasts it with a Tier 1 governance architecture drawn from the smart city literature to make the tier distinction concrete. Section 6 develops the dynamics of migration between tiers, a phenomenon largely absent from the current literature. Section 7 proposes a distribution layer policy response designed to hold where deployer side governance cannot. Section 8 addresses the limitations of a conceptual paper of this kind. Section 9 projects the trajectory of this gap across five, ten, and twenty five year horizons, and Section 10 concludes.</w:t>
      </w:r>
    </w:p>
    <w:p w14:paraId="3A2B804C">
      <w:pPr>
        <w:pStyle w:val="2"/>
        <w:spacing w:before="300" w:after="150"/>
      </w:pPr>
      <w:r>
        <w:rPr>
          <w:rFonts w:ascii="Times New Roman" w:hAnsi="Times New Roman" w:eastAsia="Times New Roman" w:cs="Times New Roman"/>
          <w:b/>
          <w:bCs/>
          <w:sz w:val="28"/>
          <w:szCs w:val="28"/>
        </w:rPr>
        <w:t>2. Literature Review: Three Strands, One Shared Assumption</w:t>
      </w:r>
    </w:p>
    <w:p w14:paraId="7EF5BAC4">
      <w:pPr>
        <w:spacing w:after="200" w:line="300" w:lineRule="auto"/>
        <w:jc w:val="both"/>
      </w:pPr>
      <w:r>
        <w:rPr>
          <w:rFonts w:ascii="Times New Roman" w:hAnsi="Times New Roman" w:eastAsia="Times New Roman" w:cs="Times New Roman"/>
          <w:sz w:val="24"/>
          <w:szCs w:val="24"/>
        </w:rPr>
        <w:t>It is useful to separate the current literature on agentic accountability into three strands, because each has approached the problem from a different discipline and arrived at a version of the same limitation.</w:t>
      </w:r>
    </w:p>
    <w:p w14:paraId="0E4362D5">
      <w:pPr>
        <w:spacing w:after="200" w:line="300" w:lineRule="auto"/>
        <w:jc w:val="both"/>
      </w:pPr>
      <w:r>
        <w:rPr>
          <w:rFonts w:ascii="Times New Roman" w:hAnsi="Times New Roman" w:eastAsia="Times New Roman" w:cs="Times New Roman"/>
          <w:sz w:val="24"/>
          <w:szCs w:val="24"/>
        </w:rPr>
        <w:t>The first strand is doctrinal and legal. Recent analysis in this area has observed that current discourse on AI liability assumes a straightforward chain of command, in which a developer builds a system, a deployer integrates it, a user directs it, and liability attaches to one or more of these three actors when harm occurs. Legislative responses have begun to codify this model directly. California's AB 316, effective January 1, 2026, prohibits defendants who developed, modified, or used an AI system from asserting that the system autonomously caused the harm, which forecloses one obvious evasion but still presumes an identifiable defendant who developed, modified, or used the system in a traceable capacity. The EU AI Act similarly structures its obligations around a provider and deployer framework that, as recent legal commentary has noted, leaves gaps when applied to autonomous agents whose runtime behavior was not contemplated in the original system design. What each of these instruments shares is a structural requirement that the regulated conduct be traceable to a party who occupies a stable role, provider, deployer, or user, within an organization that can be served notice, held to discovery, and made to answer in a proceeding. Where no such organization exists, the instrument has nothing to attach to.</w:t>
      </w:r>
    </w:p>
    <w:p w14:paraId="0A433EB6">
      <w:pPr>
        <w:spacing w:after="200" w:line="300" w:lineRule="auto"/>
        <w:jc w:val="both"/>
      </w:pPr>
      <w:r>
        <w:rPr>
          <w:rFonts w:ascii="Times New Roman" w:hAnsi="Times New Roman" w:eastAsia="Times New Roman" w:cs="Times New Roman"/>
          <w:sz w:val="24"/>
          <w:szCs w:val="24"/>
        </w:rPr>
        <w:t>The second strand is technical and security focused. A recent survey of open challenges in multi agent security catalogues failure modes that have no clean analogue in single system security research. Cascading failures, in which localized compromise of one agent propagates through a network of otherwise well behaved agents, have no proximate cause in the sense that tort law requires, since no single component acted outside its specification at the moment the cascade began. Emergent collusion between agents belonging to different principals has been demonstrated in recent research, and such collusion has no attributable intent, which challenges legal doctrines built around individual mental states. Heterogeneous attacks that exploit the interaction between agents, rather than a defect in any one agent, may involve no component operating outside specification at all, which makes product liability claims anchored to a defective component poorly suited to the harm. This strand of literature is honest about the scale of the problem it describes, noting that single agent AI liability is already unresolved, with responsibility distributed ambiguously among model providers, deployers, and end users, and that multi agent deployment compounds this ambiguity substantially rather than resolving it.</w:t>
      </w:r>
    </w:p>
    <w:p w14:paraId="50124A2E">
      <w:pPr>
        <w:spacing w:after="200" w:line="300" w:lineRule="auto"/>
        <w:jc w:val="both"/>
      </w:pPr>
      <w:r>
        <w:rPr>
          <w:rFonts w:ascii="Times New Roman" w:hAnsi="Times New Roman" w:eastAsia="Times New Roman" w:cs="Times New Roman"/>
          <w:sz w:val="24"/>
          <w:szCs w:val="24"/>
        </w:rPr>
        <w:t>The third strand is governance and standards design, and it has produced the most architecturally complete proposals to date. A recent proposal for smart city critical infrastructure, for instance, presents a three layer governance architecture spanning individual agents, an orchestration layer, and a city level oversight function, specifying twenty five distinct governance measures with bidirectional traceability to the EU AI Act, ISO/IEC 42001, and the NIST AI Risk Management Framework, along with five cross framework conflict resolution rules and an autonomy calibrated activation model. This is a serious piece of engineering, and it is explicit about the regulatory gap it is trying to close, tracing the accountability deficit in current instruments through four residual legal pathways, including GDPR Article 22, GDPR transparency obligations, tortious liability, and the NIS2 directive, and showing that each pathway is structurally bounded by an individual controller and individual decision scope that does not match how multi agent systems actually fail. The proposal's own literature search is candid that no prior work integrates smart city system of systems governance, tri framework compliance mapping, runtime enforcement, resident facing accountability, and autonomy calibrated activation simultaneously, which is a genuine contribution. It is also, on inspection, a framework whose every governance measure presumes the existence of a municipal government: a legal person with budget, counsel, procurement authority, and standing to be regulated in the first place.</w:t>
      </w:r>
    </w:p>
    <w:p w14:paraId="2735954B">
      <w:pPr>
        <w:spacing w:after="200" w:line="300" w:lineRule="auto"/>
        <w:jc w:val="both"/>
      </w:pPr>
      <w:r>
        <w:rPr>
          <w:rFonts w:ascii="Times New Roman" w:hAnsi="Times New Roman" w:eastAsia="Times New Roman" w:cs="Times New Roman"/>
          <w:sz w:val="24"/>
          <w:szCs w:val="24"/>
        </w:rPr>
        <w:t>A parallel line of governance work has focused not on cities but on enterprise identity infrastructure. AI agents present what one industry analysis calls a novel identity challenge, since they act on behalf of users, hold delegated credentials, make authorization decisions in real time, and may spawn sub agents with their own permission sets, all without a coherent, purpose built mechanism in existing identity and access management frameworks for representing this kind of delegated, multi level, real time authorization pattern. Proposed responses, including a 2026 concept paper from the National Cybersecurity Center of Excellence on accelerating the adoption of software and AI agent identity and authorization, describe adapting existing identity standards such as OAuth 2.0 extensions and zero trust architecture guidance to agentic scenarios. Industry data on how far this adaptation has progressed inside even well resourced organizations is instructive. Among large enterprise security leaders surveyed in a recent CISO risk report, the overwhelming majority reported lacking full visibility into their own AI agent identities, most did not enforce access policy for those identities at all, and a strong majority reported that AI systems already had access to core business platforms such as enterprise resource planning, customer relationship management, and financial systems, with only a small fraction governing that access effectively. This is a sobering finding precisely because it describes organizations that, by definition, already have a security function, a budget line for identity management, and staff whose job it is to eventually close the gap. If Tier 1 organizations with dedicated security capacity are still years from adequate agent governance, the position of organizations and individuals with no such capacity at all deserves far more attention than it has so far received.</w:t>
      </w:r>
    </w:p>
    <w:p w14:paraId="6F393F3B">
      <w:pPr>
        <w:spacing w:after="200" w:line="300" w:lineRule="auto"/>
        <w:jc w:val="both"/>
      </w:pPr>
      <w:r>
        <w:rPr>
          <w:rFonts w:ascii="Times New Roman" w:hAnsi="Times New Roman" w:eastAsia="Times New Roman" w:cs="Times New Roman"/>
          <w:sz w:val="24"/>
          <w:szCs w:val="24"/>
        </w:rPr>
        <w:t>A fourth strand, closer to machine learning research than to law or governance design, has begun to interrogate what accountability even means at the level of an individual agent's behavior, independent of organizational context. Recent work in this area draws a distinction between failure attribution and behavioral explanation that is easy to miss but important for the argument developed in this paper. Failure attribution asks a narrow, forensic question: an agent failed, and which step in its trajectory caused the failure. Behavioral explanation asks a broader and harder question: why did the agent choose this action at this moment, independent of whether the outcome happened to be a failure. The distinction matters because most existing technical remedies, and the audit trails that Tier 1 governance frameworks are built to generate, are forensic. They are useful after an incident has already occurred. They are far less useful as a live governance signal, because a system can accumulate an arbitrarily long record of passed checks, security scans, and automated approvals without that record reflecting genuine understanding of why the underlying agent behaves as it does. This same strand of research has documented what it terms an amplification effect, in which adding more automated checks paradoxically increases the temptation for a human reviewer to rubber stamp an approval, on the reasoning that surely, with so many layers of automated scrutiny already in place, a serious problem would have been caught by one of them. This is a caution worth carrying into any policy design discussion, including the one developed later in this paper, because a distribution layer mechanism built entirely around automated scanning risks reproducing the same false confidence at a larger scale rather than resolving it.</w:t>
      </w:r>
    </w:p>
    <w:p w14:paraId="3261D72D">
      <w:pPr>
        <w:spacing w:after="200" w:line="300" w:lineRule="auto"/>
        <w:jc w:val="both"/>
      </w:pPr>
      <w:r>
        <w:rPr>
          <w:rFonts w:ascii="Times New Roman" w:hAnsi="Times New Roman" w:eastAsia="Times New Roman" w:cs="Times New Roman"/>
          <w:sz w:val="24"/>
          <w:szCs w:val="24"/>
        </w:rPr>
        <w:t>Taken together, these four strands describe an increasingly precise and increasingly narrow target. Each new contribution refines what accountability should look like once a governable entity exists to hold it, or refines what a single agent's internal decision process looked like after the fact. None of the four strands asks what should happen when no governable entity exists at all, and this paper argues that this is not a peripheral edge case but the empirical center of gravity of current agentic AI deployment.</w:t>
      </w:r>
    </w:p>
    <w:p w14:paraId="19175B00">
      <w:pPr>
        <w:pStyle w:val="2"/>
        <w:spacing w:before="300" w:after="150"/>
      </w:pPr>
      <w:r>
        <w:rPr>
          <w:rFonts w:ascii="Times New Roman" w:hAnsi="Times New Roman" w:eastAsia="Times New Roman" w:cs="Times New Roman"/>
          <w:b/>
          <w:bCs/>
          <w:sz w:val="28"/>
          <w:szCs w:val="28"/>
        </w:rPr>
        <w:t>3. Approach</w:t>
      </w:r>
    </w:p>
    <w:p w14:paraId="0B01237D">
      <w:pPr>
        <w:spacing w:after="200" w:line="300" w:lineRule="auto"/>
        <w:jc w:val="both"/>
      </w:pPr>
      <w:r>
        <w:rPr>
          <w:rFonts w:ascii="Times New Roman" w:hAnsi="Times New Roman" w:eastAsia="Times New Roman" w:cs="Times New Roman"/>
          <w:sz w:val="24"/>
          <w:szCs w:val="24"/>
        </w:rPr>
        <w:t>This paper is a conceptual and policy framework contribution rather than an empirical study, and its method follows accordingly. The Accountability Floor taxonomy was developed by comparing the structural preconditions embedded in current governance proposals, meaning the kind of entity each proposal implicitly requires to exist in order to function, against the empirical record of where agentic AI deployment has actually concentrated and where its most consequential documented failures have occurred. The case selection in Section 5 follows a most different systems logic. The smart city governance architecture discussed in Section 2 and the OpenClaw case discussed in Section 5 sit at opposite ends of the organizational capacity spectrum while addressing what is, at a technical level, a similar class of problem, namely an autonomous agent taking an unauthorized or harmful action. Holding the technical problem class roughly constant while varying organizational context isolates the variable this paper argues is doing the real work, which is not the sophistication of the agent or the governance framework in the abstract, but the presence or absence of a governable entity standing behind the deployment.</w:t>
      </w:r>
    </w:p>
    <w:p w14:paraId="5D7B6DB8">
      <w:pPr>
        <w:pStyle w:val="2"/>
        <w:spacing w:before="300" w:after="150"/>
      </w:pPr>
      <w:r>
        <w:rPr>
          <w:rFonts w:ascii="Times New Roman" w:hAnsi="Times New Roman" w:eastAsia="Times New Roman" w:cs="Times New Roman"/>
          <w:b/>
          <w:bCs/>
          <w:sz w:val="28"/>
          <w:szCs w:val="28"/>
        </w:rPr>
        <w:t>4. The Enterprise Assumption Problem and the Accountability Floor Taxonomy</w:t>
      </w:r>
    </w:p>
    <w:p w14:paraId="428621AE">
      <w:pPr>
        <w:spacing w:after="200" w:line="300" w:lineRule="auto"/>
        <w:jc w:val="both"/>
      </w:pPr>
      <w:r>
        <w:rPr>
          <w:rFonts w:ascii="Times New Roman" w:hAnsi="Times New Roman" w:eastAsia="Times New Roman" w:cs="Times New Roman"/>
          <w:sz w:val="24"/>
          <w:szCs w:val="24"/>
        </w:rPr>
        <w:t>Consider again the architecture implicit in the smart city governance framework described above. A three layer model spanning individual agents, an orchestration layer, and a city level oversight function, with twenty five distinct governance measures and formal traceability to three separate regulatory instruments, is an intellectually serious answer to a real and difficult problem. It is also an answer that presumes a municipal government exists to implement it: a legal person with budget, counsel, and standing to be regulated, operating within a jurisdiction where the EU AI Act, ISO/IEC 42001, and NIS2 apply as a matter of course. The same is true of enterprise identity and access management proposals built around adapting OAuth extensions and zero trust architecture standards to agent identity, proposals that assume an enterprise information technology function exists with the mandate and resourcing to implement them.</w:t>
      </w:r>
    </w:p>
    <w:p w14:paraId="21C663AB">
      <w:pPr>
        <w:spacing w:after="200" w:line="300" w:lineRule="auto"/>
        <w:jc w:val="both"/>
      </w:pPr>
      <w:r>
        <w:rPr>
          <w:rFonts w:ascii="Times New Roman" w:hAnsi="Times New Roman" w:eastAsia="Times New Roman" w:cs="Times New Roman"/>
          <w:sz w:val="24"/>
          <w:szCs w:val="24"/>
        </w:rPr>
        <w:t>Now consider where a large and fast growing share of agentic deployment actually happens. It happens on an individual developer's laptop, on a small team's shared server, or across a household's collection of connected personal accounts, installed from an open source repository in minutes, with no procurement process, no legal counterparty on the other side of the transaction, and frequently no awareness on the part of the person running it that they have taken on the practical liabilities of a system operator at all. This is not a hypothetical edge case constructed for the purposes of argument. It is, empirically, where the most consequential agentic AI security failures of 2026 have concentrated, and Section 5 develops this claim through a single, well documented case.</w:t>
      </w:r>
    </w:p>
    <w:p w14:paraId="6DABB76E">
      <w:pPr>
        <w:spacing w:after="200" w:line="300" w:lineRule="auto"/>
        <w:jc w:val="both"/>
      </w:pPr>
      <w:r>
        <w:rPr>
          <w:rFonts w:ascii="Times New Roman" w:hAnsi="Times New Roman" w:eastAsia="Times New Roman" w:cs="Times New Roman"/>
          <w:sz w:val="24"/>
          <w:szCs w:val="24"/>
        </w:rPr>
        <w:t>It is worth being precise about why Tier 1 solutions cannot simply be scaled down to reach this population, because the intuitive response to the argument so far is often that the same governance measures could, in principle, be applied more cheaply at smaller scale. The reason this does not work is a cost structure problem rather than a technical one. A compliance mapping exercise against the EU AI Act, ISO/IEC 42001, and the NIST AI Risk Management Framework requires legal and technical expertise that does not shrink proportionally with the size of the deploying entity. A one person deployment does not require one twentieth of a compliance officer. It requires, in practice, either the same fixed cost the largest enterprise would bear, which is prohibitive relative to the scale of the deployment, or no compliance function at all, which is what the empirical record shows actually occurs. Fixed governance costs applied against a population of deployments with near zero marginal cost of adoption produce exactly the outcome observed in the OpenClaw case: a governance vacuum not because anyone chose to forgo governance, but because no version of the available governance architecture was ever affordable at that scale in the first place.</w:t>
      </w:r>
    </w:p>
    <w:p w14:paraId="1C2B0D60">
      <w:pPr>
        <w:spacing w:after="200" w:line="300" w:lineRule="auto"/>
        <w:jc w:val="both"/>
      </w:pPr>
      <w:r>
        <w:rPr>
          <w:rFonts w:ascii="Times New Roman" w:hAnsi="Times New Roman" w:eastAsia="Times New Roman" w:cs="Times New Roman"/>
          <w:sz w:val="24"/>
          <w:szCs w:val="24"/>
        </w:rPr>
        <w:t>The taxonomy developed here classifies agentic AI deployment not by what an agent can technically do, but by the organizational and regulatory capacity available to govern it once deployed. This is a deliberate departure from most existing frameworks, which classify agentic risk by autonomy level, task domain, or technical architecture. Those are useful and necessary classifications for engineering purposes. They are, this paper argues, the wrong classification for the accountability question specifically, because the same technical failure mode, a compromised agent taking an unauthorized action, produces a governable incident in one deployment context and a functionally ungovernable one in another, purely as a function of who, if anyone, is positioned to respond once the failure occurs.</w:t>
      </w:r>
    </w:p>
    <w:tbl>
      <w:tblPr>
        <w:tblStyle w:val="9"/>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600"/>
        <w:gridCol w:w="2600"/>
        <w:gridCol w:w="2600"/>
      </w:tblGrid>
      <w:tr w14:paraId="74969C14">
        <w:tc>
          <w:tcPr>
            <w:tcW w:w="1800" w:type="dxa"/>
            <w:shd w:val="clear" w:color="auto" w:fill="D9D9D9"/>
            <w:tcMar>
              <w:top w:w="100" w:type="dxa"/>
              <w:left w:w="120" w:type="dxa"/>
              <w:bottom w:w="100" w:type="dxa"/>
              <w:right w:w="120" w:type="dxa"/>
            </w:tcMar>
          </w:tcPr>
          <w:p w14:paraId="43E3056D">
            <w:r>
              <w:rPr>
                <w:rFonts w:ascii="Times New Roman" w:hAnsi="Times New Roman" w:eastAsia="Times New Roman" w:cs="Times New Roman"/>
                <w:b/>
                <w:bCs/>
                <w:sz w:val="20"/>
                <w:szCs w:val="20"/>
              </w:rPr>
              <w:t>Tier</w:t>
            </w:r>
          </w:p>
        </w:tc>
        <w:tc>
          <w:tcPr>
            <w:tcW w:w="2600" w:type="dxa"/>
            <w:shd w:val="clear" w:color="auto" w:fill="D9D9D9"/>
            <w:tcMar>
              <w:top w:w="100" w:type="dxa"/>
              <w:left w:w="120" w:type="dxa"/>
              <w:bottom w:w="100" w:type="dxa"/>
              <w:right w:w="120" w:type="dxa"/>
            </w:tcMar>
          </w:tcPr>
          <w:p w14:paraId="02BA5C37">
            <w:r>
              <w:rPr>
                <w:rFonts w:ascii="Times New Roman" w:hAnsi="Times New Roman" w:eastAsia="Times New Roman" w:cs="Times New Roman"/>
                <w:b/>
                <w:bCs/>
                <w:sz w:val="20"/>
                <w:szCs w:val="20"/>
              </w:rPr>
              <w:t>Governing Entity</w:t>
            </w:r>
          </w:p>
        </w:tc>
        <w:tc>
          <w:tcPr>
            <w:tcW w:w="2600" w:type="dxa"/>
            <w:shd w:val="clear" w:color="auto" w:fill="D9D9D9"/>
            <w:tcMar>
              <w:top w:w="100" w:type="dxa"/>
              <w:left w:w="120" w:type="dxa"/>
              <w:bottom w:w="100" w:type="dxa"/>
              <w:right w:w="120" w:type="dxa"/>
            </w:tcMar>
          </w:tcPr>
          <w:p w14:paraId="5851235C">
            <w:r>
              <w:rPr>
                <w:rFonts w:ascii="Times New Roman" w:hAnsi="Times New Roman" w:eastAsia="Times New Roman" w:cs="Times New Roman"/>
                <w:b/>
                <w:bCs/>
                <w:sz w:val="20"/>
                <w:szCs w:val="20"/>
              </w:rPr>
              <w:t>Available Remedies</w:t>
            </w:r>
          </w:p>
        </w:tc>
        <w:tc>
          <w:tcPr>
            <w:tcW w:w="2600" w:type="dxa"/>
            <w:shd w:val="clear" w:color="auto" w:fill="D9D9D9"/>
            <w:tcMar>
              <w:top w:w="100" w:type="dxa"/>
              <w:left w:w="120" w:type="dxa"/>
              <w:bottom w:w="100" w:type="dxa"/>
              <w:right w:w="120" w:type="dxa"/>
            </w:tcMar>
          </w:tcPr>
          <w:p w14:paraId="5AEA15DF">
            <w:r>
              <w:rPr>
                <w:rFonts w:ascii="Times New Roman" w:hAnsi="Times New Roman" w:eastAsia="Times New Roman" w:cs="Times New Roman"/>
                <w:b/>
                <w:bCs/>
                <w:sz w:val="20"/>
                <w:szCs w:val="20"/>
              </w:rPr>
              <w:t>Representative Failure Mode</w:t>
            </w:r>
          </w:p>
        </w:tc>
      </w:tr>
      <w:tr w14:paraId="26365115">
        <w:tc>
          <w:tcPr>
            <w:tcW w:w="1800" w:type="dxa"/>
            <w:tcMar>
              <w:top w:w="100" w:type="dxa"/>
              <w:left w:w="120" w:type="dxa"/>
              <w:bottom w:w="100" w:type="dxa"/>
              <w:right w:w="120" w:type="dxa"/>
            </w:tcMar>
          </w:tcPr>
          <w:p w14:paraId="2BCF5888">
            <w:r>
              <w:rPr>
                <w:rFonts w:ascii="Times New Roman" w:hAnsi="Times New Roman" w:eastAsia="Times New Roman" w:cs="Times New Roman"/>
                <w:b w:val="0"/>
                <w:bCs w:val="0"/>
                <w:sz w:val="20"/>
                <w:szCs w:val="20"/>
              </w:rPr>
              <w:t>Tier 1: Regulated Enterprise or Critical Infrastructure</w:t>
            </w:r>
          </w:p>
        </w:tc>
        <w:tc>
          <w:tcPr>
            <w:tcW w:w="2600" w:type="dxa"/>
            <w:tcMar>
              <w:top w:w="100" w:type="dxa"/>
              <w:left w:w="120" w:type="dxa"/>
              <w:bottom w:w="100" w:type="dxa"/>
              <w:right w:w="120" w:type="dxa"/>
            </w:tcMar>
          </w:tcPr>
          <w:p w14:paraId="76EB5DA0">
            <w:r>
              <w:rPr>
                <w:rFonts w:ascii="Times New Roman" w:hAnsi="Times New Roman" w:eastAsia="Times New Roman" w:cs="Times New Roman"/>
                <w:b w:val="0"/>
                <w:bCs w:val="0"/>
                <w:sz w:val="20"/>
                <w:szCs w:val="20"/>
              </w:rPr>
              <w:t>Corporate legal entity, dedicated compliance function, procurement process, often a named sector regulator</w:t>
            </w:r>
          </w:p>
        </w:tc>
        <w:tc>
          <w:tcPr>
            <w:tcW w:w="2600" w:type="dxa"/>
            <w:tcMar>
              <w:top w:w="100" w:type="dxa"/>
              <w:left w:w="120" w:type="dxa"/>
              <w:bottom w:w="100" w:type="dxa"/>
              <w:right w:w="120" w:type="dxa"/>
            </w:tcMar>
          </w:tcPr>
          <w:p w14:paraId="4061F7B9">
            <w:r>
              <w:rPr>
                <w:rFonts w:ascii="Times New Roman" w:hAnsi="Times New Roman" w:eastAsia="Times New Roman" w:cs="Times New Roman"/>
                <w:b w:val="0"/>
                <w:bCs w:val="0"/>
                <w:sz w:val="20"/>
                <w:szCs w:val="20"/>
              </w:rPr>
              <w:t>Provider deployer liability, identity and access management adapted for agents, multi framework compliance architecture such as the EU AI Act, ISO/IEC 42001, and NIST AI RMF</w:t>
            </w:r>
          </w:p>
        </w:tc>
        <w:tc>
          <w:tcPr>
            <w:tcW w:w="2600" w:type="dxa"/>
            <w:tcMar>
              <w:top w:w="100" w:type="dxa"/>
              <w:left w:w="120" w:type="dxa"/>
              <w:bottom w:w="100" w:type="dxa"/>
              <w:right w:w="120" w:type="dxa"/>
            </w:tcMar>
          </w:tcPr>
          <w:p w14:paraId="7962C529">
            <w:r>
              <w:rPr>
                <w:rFonts w:ascii="Times New Roman" w:hAnsi="Times New Roman" w:eastAsia="Times New Roman" w:cs="Times New Roman"/>
                <w:b w:val="0"/>
                <w:bCs w:val="0"/>
                <w:sz w:val="20"/>
                <w:szCs w:val="20"/>
              </w:rPr>
              <w:t>Delayed detection despite an existing security function; governance capacity exists but is still immature relative to agent adoption</w:t>
            </w:r>
          </w:p>
        </w:tc>
      </w:tr>
      <w:tr w14:paraId="631CDE41">
        <w:tc>
          <w:tcPr>
            <w:tcW w:w="1800" w:type="dxa"/>
            <w:tcMar>
              <w:top w:w="100" w:type="dxa"/>
              <w:left w:w="120" w:type="dxa"/>
              <w:bottom w:w="100" w:type="dxa"/>
              <w:right w:w="120" w:type="dxa"/>
            </w:tcMar>
          </w:tcPr>
          <w:p w14:paraId="2959033F">
            <w:r>
              <w:rPr>
                <w:rFonts w:ascii="Times New Roman" w:hAnsi="Times New Roman" w:eastAsia="Times New Roman" w:cs="Times New Roman"/>
                <w:b w:val="0"/>
                <w:bCs w:val="0"/>
                <w:sz w:val="20"/>
                <w:szCs w:val="20"/>
              </w:rPr>
              <w:t>Tier 2: Informally Governed Organization, including SMEs, startups, and municipal departments</w:t>
            </w:r>
          </w:p>
        </w:tc>
        <w:tc>
          <w:tcPr>
            <w:tcW w:w="2600" w:type="dxa"/>
            <w:tcMar>
              <w:top w:w="100" w:type="dxa"/>
              <w:left w:w="120" w:type="dxa"/>
              <w:bottom w:w="100" w:type="dxa"/>
              <w:right w:w="120" w:type="dxa"/>
            </w:tcMar>
          </w:tcPr>
          <w:p w14:paraId="429DC911">
            <w:r>
              <w:rPr>
                <w:rFonts w:ascii="Times New Roman" w:hAnsi="Times New Roman" w:eastAsia="Times New Roman" w:cs="Times New Roman"/>
                <w:b w:val="0"/>
                <w:bCs w:val="0"/>
                <w:sz w:val="20"/>
                <w:szCs w:val="20"/>
              </w:rPr>
              <w:t>Organization exists as a legal entity but lacks dedicated security, legal, or compliance capacity</w:t>
            </w:r>
          </w:p>
        </w:tc>
        <w:tc>
          <w:tcPr>
            <w:tcW w:w="2600" w:type="dxa"/>
            <w:tcMar>
              <w:top w:w="100" w:type="dxa"/>
              <w:left w:w="120" w:type="dxa"/>
              <w:bottom w:w="100" w:type="dxa"/>
              <w:right w:w="120" w:type="dxa"/>
            </w:tcMar>
          </w:tcPr>
          <w:p w14:paraId="24D6D53F">
            <w:r>
              <w:rPr>
                <w:rFonts w:ascii="Times New Roman" w:hAnsi="Times New Roman" w:eastAsia="Times New Roman" w:cs="Times New Roman"/>
                <w:b w:val="0"/>
                <w:bCs w:val="0"/>
                <w:sz w:val="20"/>
                <w:szCs w:val="20"/>
              </w:rPr>
              <w:t>Partial coverage: the organization is nameable and reachable by counterparty, but lacks the resources to implement Tier 1 grade frameworks</w:t>
            </w:r>
          </w:p>
        </w:tc>
        <w:tc>
          <w:tcPr>
            <w:tcW w:w="2600" w:type="dxa"/>
            <w:tcMar>
              <w:top w:w="100" w:type="dxa"/>
              <w:left w:w="120" w:type="dxa"/>
              <w:bottom w:w="100" w:type="dxa"/>
              <w:right w:w="120" w:type="dxa"/>
            </w:tcMar>
          </w:tcPr>
          <w:p w14:paraId="0C145E63">
            <w:r>
              <w:rPr>
                <w:rFonts w:ascii="Times New Roman" w:hAnsi="Times New Roman" w:eastAsia="Times New Roman" w:cs="Times New Roman"/>
                <w:b w:val="0"/>
                <w:bCs w:val="0"/>
                <w:sz w:val="20"/>
                <w:szCs w:val="20"/>
              </w:rPr>
              <w:t>Governance frameworks exist on paper, for example in vendor contracts or terms of service, but are unenforced and unmonitored in practice</w:t>
            </w:r>
          </w:p>
        </w:tc>
      </w:tr>
      <w:tr w14:paraId="4B6195D2">
        <w:tc>
          <w:tcPr>
            <w:tcW w:w="1800" w:type="dxa"/>
            <w:tcMar>
              <w:top w:w="100" w:type="dxa"/>
              <w:left w:w="120" w:type="dxa"/>
              <w:bottom w:w="100" w:type="dxa"/>
              <w:right w:w="120" w:type="dxa"/>
            </w:tcMar>
          </w:tcPr>
          <w:p w14:paraId="12745370">
            <w:r>
              <w:rPr>
                <w:rFonts w:ascii="Times New Roman" w:hAnsi="Times New Roman" w:eastAsia="Times New Roman" w:cs="Times New Roman"/>
                <w:b w:val="0"/>
                <w:bCs w:val="0"/>
                <w:sz w:val="20"/>
                <w:szCs w:val="20"/>
              </w:rPr>
              <w:t>Tier 3: Individual or Ad Hoc Deployment</w:t>
            </w:r>
          </w:p>
        </w:tc>
        <w:tc>
          <w:tcPr>
            <w:tcW w:w="2600" w:type="dxa"/>
            <w:tcMar>
              <w:top w:w="100" w:type="dxa"/>
              <w:left w:w="120" w:type="dxa"/>
              <w:bottom w:w="100" w:type="dxa"/>
              <w:right w:w="120" w:type="dxa"/>
            </w:tcMar>
          </w:tcPr>
          <w:p w14:paraId="6FAFDFD3">
            <w:r>
              <w:rPr>
                <w:rFonts w:ascii="Times New Roman" w:hAnsi="Times New Roman" w:eastAsia="Times New Roman" w:cs="Times New Roman"/>
                <w:b w:val="0"/>
                <w:bCs w:val="0"/>
                <w:sz w:val="20"/>
                <w:szCs w:val="20"/>
              </w:rPr>
              <w:t>No organization; a private individual or informal group running open source or self hosted tools</w:t>
            </w:r>
          </w:p>
        </w:tc>
        <w:tc>
          <w:tcPr>
            <w:tcW w:w="2600" w:type="dxa"/>
            <w:tcMar>
              <w:top w:w="100" w:type="dxa"/>
              <w:left w:w="120" w:type="dxa"/>
              <w:bottom w:w="100" w:type="dxa"/>
              <w:right w:w="120" w:type="dxa"/>
            </w:tcMar>
          </w:tcPr>
          <w:p w14:paraId="4BAB1678">
            <w:r>
              <w:rPr>
                <w:rFonts w:ascii="Times New Roman" w:hAnsi="Times New Roman" w:eastAsia="Times New Roman" w:cs="Times New Roman"/>
                <w:b w:val="0"/>
                <w:bCs w:val="0"/>
                <w:sz w:val="20"/>
                <w:szCs w:val="20"/>
              </w:rPr>
              <w:t>None of the above apply in practice; there is no legal counterparty, no compliance function, and no procurement gate at which governance could be inserted</w:t>
            </w:r>
          </w:p>
        </w:tc>
        <w:tc>
          <w:tcPr>
            <w:tcW w:w="2600" w:type="dxa"/>
            <w:tcMar>
              <w:top w:w="100" w:type="dxa"/>
              <w:left w:w="120" w:type="dxa"/>
              <w:bottom w:w="100" w:type="dxa"/>
              <w:right w:w="120" w:type="dxa"/>
            </w:tcMar>
          </w:tcPr>
          <w:p w14:paraId="756D690F">
            <w:r>
              <w:rPr>
                <w:rFonts w:ascii="Times New Roman" w:hAnsi="Times New Roman" w:eastAsia="Times New Roman" w:cs="Times New Roman"/>
                <w:b w:val="0"/>
                <w:bCs w:val="0"/>
                <w:sz w:val="20"/>
                <w:szCs w:val="20"/>
              </w:rPr>
              <w:t>OpenClaw: tens of thousands of exposed instances with no authentication, no centralized inventory, and no update or recall mechanism</w:t>
            </w:r>
          </w:p>
        </w:tc>
      </w:tr>
    </w:tbl>
    <w:p w14:paraId="7386D3B7">
      <w:pPr>
        <w:spacing w:before="200" w:after="200"/>
      </w:pPr>
    </w:p>
    <w:p w14:paraId="2DD94DE5">
      <w:pPr>
        <w:spacing w:after="200" w:line="300" w:lineRule="auto"/>
        <w:jc w:val="both"/>
      </w:pPr>
      <w:r>
        <w:rPr>
          <w:rFonts w:ascii="Times New Roman" w:hAnsi="Times New Roman" w:eastAsia="Times New Roman" w:cs="Times New Roman"/>
          <w:sz w:val="24"/>
          <w:szCs w:val="24"/>
        </w:rPr>
        <w:t>Several observations follow from this taxonomy that do not follow from tier blind treatments of the accountability problem. First, governance sophistication and deployment volume appear to be inversely related in the current landscape. The most detailed frameworks address Tier 1, which is also the smallest and slowest growing population of agentic deployments, while Tier 3, the least governed tier, is growing fastest, precisely because the barrier to deployment, an open source download, is also the barrier to governance, since there is no organizational gate at which a governance requirement could be installed. Second, a deployment can migrate tiers without anyone noticing at the time it happens, a dynamic developed further in Section 6. Third, and most consequential for policy design, remedies that require identifying a governed entity to bind, which describes the structure of essentially every proposal reviewed in Section 2, are definitionally unable to reach Tier 3, because the tier is defined precisely by the absence of that entity. A framework that only functions where an accountable party already exists is not solving the accountability gap. It is, at best, describing the boundary of where the gap happens not to be a live problem.</w:t>
      </w:r>
    </w:p>
    <w:p w14:paraId="4D00D3B9">
      <w:pPr>
        <w:pStyle w:val="2"/>
        <w:spacing w:before="300" w:after="150"/>
      </w:pPr>
      <w:r>
        <w:rPr>
          <w:rFonts w:ascii="Times New Roman" w:hAnsi="Times New Roman" w:eastAsia="Times New Roman" w:cs="Times New Roman"/>
          <w:b/>
          <w:bCs/>
          <w:sz w:val="28"/>
          <w:szCs w:val="28"/>
        </w:rPr>
        <w:t>5. Case Application: OpenClaw as a Tier 3 Failure</w:t>
      </w:r>
    </w:p>
    <w:p w14:paraId="63DB77F9">
      <w:pPr>
        <w:spacing w:after="200" w:line="300" w:lineRule="auto"/>
        <w:jc w:val="both"/>
      </w:pPr>
      <w:r>
        <w:rPr>
          <w:rFonts w:ascii="Times New Roman" w:hAnsi="Times New Roman" w:eastAsia="Times New Roman" w:cs="Times New Roman"/>
          <w:sz w:val="24"/>
          <w:szCs w:val="24"/>
        </w:rPr>
        <w:t>The open source personal assistant framework OpenClaw, previously distributed under the names Clawdbot and Moltbot, offers an unusually clean natural experiment in what accountability looks like when no governed entity exists to hold it. Designed to connect large language model agents to messaging platforms, browsers, and connected accounts so that a single individual could automate real world tasks, the framework grew from obscurity to become the most starred repository on GitHub within weeks, driven by exactly the kind of grassroots, ungoverned adoption that enterprise oriented governance frameworks are not built to anticipate, let alone govern once it occurs.</w:t>
      </w:r>
    </w:p>
    <w:p w14:paraId="7311DD25">
      <w:pPr>
        <w:spacing w:after="200" w:line="300" w:lineRule="auto"/>
        <w:jc w:val="both"/>
      </w:pPr>
      <w:r>
        <w:rPr>
          <w:rFonts w:ascii="Times New Roman" w:hAnsi="Times New Roman" w:eastAsia="Times New Roman" w:cs="Times New Roman"/>
          <w:sz w:val="24"/>
          <w:szCs w:val="24"/>
        </w:rPr>
        <w:t>What followed illustrates each tier of the Accountability Floor in a single case. Security researchers found that OpenClaw's default architecture treated any connection originating from the local machine as implicitly trustworthy, an assumption that malicious websites could exploit by opening a hidden connection to the agent's control gateway from within a victim's own browser. Combined with the absence of rate limiting on login attempts, this allowed an attacker to brute force a path to full control of the underlying device without triggering any alert. Separate research demonstrated that the agent's persistent memory file, used to give the assistant continuity across sessions, could be silently rewritten to plant a long lived backdoor that survived even after the original point of compromise had been closed, effectively converting a single successful intrusion into a durable foothold. A third line of research tested whether the agent would resist the same social engineering tactics that have fooled human employees for decades. Researchers connected an OpenClaw instance to a live inbox and a set of fabricated internal company data, then ran a series of simulated phishing scenarios against it. When a request was framed as operationally urgent, for instance a message impersonating a colleague reporting a live production incident, or a message from someone claiming to be a remote worker requesting a customer data export for a presentation, the agent's identity verification step collapsed and it surrendered credentials and customer records without a single check on the requester's identity, a failure that occurred under both a generic configuration and a configuration specifically hardened with additional phishing awareness instructions. The same research found the agent performed well against more mechanical threats, correctly identifying malicious login pages and a fabricated OAuth application designed to harvest access tokens, which suggests the failure was not a general inability to reason about threats but a specific and consistent breakdown when a request mimicked ordinary, routine, or urgent internal business communication.</w:t>
      </w:r>
    </w:p>
    <w:p w14:paraId="04CC3E82">
      <w:pPr>
        <w:spacing w:after="200" w:line="300" w:lineRule="auto"/>
        <w:jc w:val="both"/>
      </w:pPr>
      <w:r>
        <w:rPr>
          <w:rFonts w:ascii="Times New Roman" w:hAnsi="Times New Roman" w:eastAsia="Times New Roman" w:cs="Times New Roman"/>
          <w:sz w:val="24"/>
          <w:szCs w:val="24"/>
        </w:rPr>
        <w:t>Beyond these individually documented vulnerabilities, independent researchers ultimately discovered tens of thousands of exposed OpenClaw instances sitting openly on the internet, a meaningful share with no authentication configured at all, alongside a community marketplace of user built extensions in which security researchers later found that a significant proportion of listed packages, in the thousands, were malicious, often disguised as productivity, cryptocurrency, or developer utilities. One campaign involved a single attacker uploading dozens of near identical malicious packages, several of which became among the most downloaded on the platform before detection. Separately, a compromised software package on a mainstream package registry was found to silently install OpenClaw on developer machines without the developer's knowledge or consent at all, illustrating that even the initial act of deployment could occur without any decision by the nominal operator to deploy anything.</w:t>
      </w:r>
    </w:p>
    <w:p w14:paraId="64DADC50">
      <w:pPr>
        <w:spacing w:after="200" w:line="300" w:lineRule="auto"/>
        <w:jc w:val="both"/>
      </w:pPr>
      <w:r>
        <w:rPr>
          <w:rFonts w:ascii="Times New Roman" w:hAnsi="Times New Roman" w:eastAsia="Times New Roman" w:cs="Times New Roman"/>
          <w:sz w:val="24"/>
          <w:szCs w:val="24"/>
        </w:rPr>
        <w:t>None of this is a story about a single defective product that a patch can retire. It is a story about what happens structurally when an agent framework's user base is composed overwhelmingly of individuals and small informal teams rather than governed enterprises. There was no procurement review positioned to catch the default trust misconfiguration before deployment, because for most of these installations no procurement process of any kind ever occurred. There was no internal security team available to inventory instances across an organization, because for the great majority of these deployments no organization existed to have one. There was no regulatory nexus under a provider deployer framework of the kind discussed in Section 2, because a private individual downloading an open source tool for personal use bears little resemblance to the corporate deployer that such instruments were drafted to bind. And critically, once the vulnerabilities were patched, there was no mechanism, whether a centralized kill switch, a mandatory update channel, or any comparable lever, capable of compelling the tens of thousands of already exposed instances to update, because the framework's entire value proposition to its users depended on there being no central authority governing individual installations in the first place.</w:t>
      </w:r>
    </w:p>
    <w:p w14:paraId="7AD429AD">
      <w:pPr>
        <w:spacing w:after="200" w:line="300" w:lineRule="auto"/>
        <w:jc w:val="both"/>
      </w:pPr>
      <w:r>
        <w:rPr>
          <w:rFonts w:ascii="Times New Roman" w:hAnsi="Times New Roman" w:eastAsia="Times New Roman" w:cs="Times New Roman"/>
          <w:sz w:val="24"/>
          <w:szCs w:val="24"/>
        </w:rPr>
        <w:t>The scale of this case is worth stating in concrete terms, since the abstraction of a governance gap can obscure how large a population is actually affected. OpenClaw grew from a new release to over one hundred and eighty thousand GitHub stars within roughly two weeks, a pace of adoption that outstripped the growth of the widely used React user interface library and made it, by a common industry measure of developer attention, the fastest growing open source project many observers had tracked. Within a comparable window, the project had accumulated more than two hundred and fifty publicly logged security advisories, a volume that the traditional vulnerability disclosure and tracking system, built around individually assigned identifiers for discrete, well defined software flaws, struggled to keep pace with, since many of the reported issues concerned emergent behavioral failures rather than a single fixable code defect. Independent researchers separately catalogued more than forty thousand exposed OpenClaw instances reachable from the public internet, a meaningful share configured with no authentication whatsoever, and a marketplace audit found that out of roughly ten thousand seven hundred user submitted extensions, more than eight hundred were determined to be malicious, up sharply from a few hundred detected only weeks earlier, indicating that the malicious share of the ecosystem was growing faster than any single moderation effort could remove it. Regulatory attention followed the adoption curve rather than anticipating it. Authorities in China issued public warnings about the framework's security risks, a Belgian national cybersecurity authority issued a specific patch advisory for a widely used plugin, and by the middle of 2026 a major cloud platform provider had begun integrating enterprise grade controls around the framework under its own branding, an implicit acknowledgment that the ungoverned version of the tool had already achieved a scale too large to leave unaddressed. None of these responses, however, reached backward to remediate the tens of thousands of already deployed, unmanaged instances that had accumulated before any of them arrived, which is precisely the gap this paper's taxonomy is built to explain.</w:t>
      </w:r>
    </w:p>
    <w:p w14:paraId="6F265E09">
      <w:pPr>
        <w:spacing w:after="200" w:line="300" w:lineRule="auto"/>
        <w:jc w:val="both"/>
      </w:pPr>
      <w:r>
        <w:rPr>
          <w:rFonts w:ascii="Times New Roman" w:hAnsi="Times New Roman" w:eastAsia="Times New Roman" w:cs="Times New Roman"/>
          <w:sz w:val="24"/>
          <w:szCs w:val="24"/>
        </w:rPr>
        <w:t>It is instructive to place this case directly beside the Tier 1 smart city governance architecture discussed in Section 2. That architecture specifies twenty five governance measures, formal traceability to three regulatory instruments, and five conflict resolution rules, precisely because it is designed for a context in which a municipal government exists, has budget, and can be compelled to act. Every one of those twenty five measures presumes an addressee. In the OpenClaw case, there is no addressee. This is the Accountability Floor falling through in practice. Every remedy proposed in the current literature, whether traceability infrastructure, identity and access management adapted for agents, or multi layer compliance architecture, is a Tier 1 solution built for a context where an addressee exists. OpenClaw's incident pattern is a Tier 3 phenomenon in which no addressee exists at all. The frameworks and the failures are simply not occupying the same layer of the system, which helps explain why increasingly sophisticated governance proposals continue to be published even as ungoverned deployment continues to be where the documented damage concentrates.</w:t>
      </w:r>
    </w:p>
    <w:p w14:paraId="10C08DBE">
      <w:pPr>
        <w:pStyle w:val="2"/>
        <w:spacing w:before="300" w:after="150"/>
      </w:pPr>
      <w:r>
        <w:rPr>
          <w:rFonts w:ascii="Times New Roman" w:hAnsi="Times New Roman" w:eastAsia="Times New Roman" w:cs="Times New Roman"/>
          <w:b/>
          <w:bCs/>
          <w:sz w:val="28"/>
          <w:szCs w:val="28"/>
        </w:rPr>
        <w:t>6. Cross Tier Migration: How Governance Gaps Travel Upward</w:t>
      </w:r>
    </w:p>
    <w:p w14:paraId="60E40E72">
      <w:pPr>
        <w:spacing w:after="200" w:line="300" w:lineRule="auto"/>
        <w:jc w:val="both"/>
      </w:pPr>
      <w:r>
        <w:rPr>
          <w:rFonts w:ascii="Times New Roman" w:hAnsi="Times New Roman" w:eastAsia="Times New Roman" w:cs="Times New Roman"/>
          <w:sz w:val="24"/>
          <w:szCs w:val="24"/>
        </w:rPr>
        <w:t>The taxonomy in Section 4 is static by construction, but real deployments are not. A tool that begins as a Tier 3 experiment, installed by a single curious developer with no organizational mandate, does not necessarily stay there. It is common, and largely invisible to any governance process, for such a tool to become quietly load bearing inside a Tier 2 or even a Tier 1 organization once colleagues discover it solves a real problem faster than the sanctioned alternative. A developer's personal OpenClaw instance, configured to summarize email and manage calendar invites, can migrate within weeks into a dependency that a small team relies on daily, and from there into a workflow that touches customer data inside a larger organization, all without a single procurement decision, security review, or governance sign off ever occurring, because the tool's adoption path never passed through any of the checkpoints those processes are designed to guard.</w:t>
      </w:r>
    </w:p>
    <w:p w14:paraId="7855F273">
      <w:pPr>
        <w:spacing w:after="200" w:line="300" w:lineRule="auto"/>
        <w:jc w:val="both"/>
      </w:pPr>
      <w:r>
        <w:rPr>
          <w:rFonts w:ascii="Times New Roman" w:hAnsi="Times New Roman" w:eastAsia="Times New Roman" w:cs="Times New Roman"/>
          <w:sz w:val="24"/>
          <w:szCs w:val="24"/>
        </w:rPr>
        <w:t>This migration dynamic has a close historical parallel in the rise of unmanaged open source software dependencies as a systemic enterprise risk over the previous decade of software supply chain security. In that earlier episode, individual developers adopted open source libraries for convenience, those libraries became deeply embedded in production systems long before any formal vetting occurred, and organizations discovered only after the fact, often during a widely publicized vulnerability disclosure, how much of their infrastructure depended on code no one inside the organization had ever formally reviewed. The response that emerged, software bills of materials, automated dependency scanning, and coordinated vulnerability disclosure processes anchored to package registries, was built specifically because the earlier assumption, that dependencies would only be added through a governed procurement process, had already failed by the time anyone tried to build a remedy around it.</w:t>
      </w:r>
    </w:p>
    <w:p w14:paraId="191C86DA">
      <w:pPr>
        <w:spacing w:after="200" w:line="300" w:lineRule="auto"/>
        <w:jc w:val="both"/>
      </w:pPr>
      <w:r>
        <w:rPr>
          <w:rFonts w:ascii="Times New Roman" w:hAnsi="Times New Roman" w:eastAsia="Times New Roman" w:cs="Times New Roman"/>
          <w:sz w:val="24"/>
          <w:szCs w:val="24"/>
        </w:rPr>
        <w:t>Agentic AI is positioned to repeat this pattern on a faster timeline and with higher stakes, because an agent, unlike a passive software library, can take autonomous action on live systems and live data the moment it is granted access. An organization that migrates from Tier 3 to Tier 1 style exposure without a corresponding governance upgrade inherits Tier 1 scale consequences while retaining Tier 3 level governance capacity, which is arguably the single most dangerous position in the entire taxonomy, since the organization may not even be aware that a migration has occurred until an incident forces the realization.</w:t>
      </w:r>
    </w:p>
    <w:p w14:paraId="13506439">
      <w:pPr>
        <w:pStyle w:val="2"/>
        <w:spacing w:before="300" w:after="150"/>
      </w:pPr>
      <w:r>
        <w:rPr>
          <w:rFonts w:ascii="Times New Roman" w:hAnsi="Times New Roman" w:eastAsia="Times New Roman" w:cs="Times New Roman"/>
          <w:b/>
          <w:bCs/>
          <w:sz w:val="28"/>
          <w:szCs w:val="28"/>
        </w:rPr>
        <w:t>7. Discussion: Redesigning Governance Around the Floor, Not the Ceiling</w:t>
      </w:r>
    </w:p>
    <w:p w14:paraId="7A6BFF8C">
      <w:pPr>
        <w:spacing w:after="200" w:line="300" w:lineRule="auto"/>
        <w:jc w:val="both"/>
      </w:pPr>
      <w:r>
        <w:rPr>
          <w:rFonts w:ascii="Times New Roman" w:hAnsi="Times New Roman" w:eastAsia="Times New Roman" w:cs="Times New Roman"/>
          <w:sz w:val="24"/>
          <w:szCs w:val="24"/>
        </w:rPr>
        <w:t>If Tier 3 cannot be governed at the deployer layer because no governable deployer exists there by definition, the honest implication is that deployer facing regulation, however well designed, has a hard ceiling on how much of the accountability gap it can ever close on its own. The policy response this paper proposes is to shift a meaningful share of the governance obligation upstream, to the distribution layer: the package registries, extension marketplaces, and hosting platforms through which Tier 3 deployments acquire and update agentic software in the first place.</w:t>
      </w:r>
    </w:p>
    <w:p w14:paraId="6801558C">
      <w:pPr>
        <w:spacing w:after="200" w:line="300" w:lineRule="auto"/>
        <w:jc w:val="both"/>
      </w:pPr>
      <w:r>
        <w:rPr>
          <w:rFonts w:ascii="Times New Roman" w:hAnsi="Times New Roman" w:eastAsia="Times New Roman" w:cs="Times New Roman"/>
          <w:sz w:val="24"/>
          <w:szCs w:val="24"/>
        </w:rPr>
        <w:t>This is not a novel regulatory instinct considered in isolation. Software supply chain security has been moving in this direction for years, and major package registries already perform limited removal of packages later found to be malicious, sometimes within hours of disclosure, as documented in the OpenClaw marketplace case above. What is missing, specific to agentic AI, is a mechanism analogous to a product recall rather than a simple removal: the ability for a distribution platform to compel, or at minimum strongly and persistently signal, an update to already installed, internet facing agent instances once a critical vulnerability has been confirmed, rather than relying on a Tier 3 operator who, by definition, has no security function positioned to notice that a patch was released at all, let alone apply it.</w:t>
      </w:r>
    </w:p>
    <w:p w14:paraId="60273089">
      <w:pPr>
        <w:spacing w:after="200" w:line="300" w:lineRule="auto"/>
        <w:jc w:val="both"/>
      </w:pPr>
      <w:r>
        <w:rPr>
          <w:rFonts w:ascii="Times New Roman" w:hAnsi="Times New Roman" w:eastAsia="Times New Roman" w:cs="Times New Roman"/>
          <w:sz w:val="24"/>
          <w:szCs w:val="24"/>
        </w:rPr>
        <w:t>This reframes the object of regulation in a useful way. Instead of asking who deployed the agent, a question with no good answer at Tier 3, the more tractable question becomes who operates the channel through which the agent reached its user in the first place, since that party persists over time, is identifiable as a going concern, and in the case of major package registries, source code hosting platforms, and app marketplaces, already exists today as an entity capable of being regulated. This does not replace the Tier 1 governance work reviewed in Section 2. Enterprises and critical infrastructure operators still need the traceability infrastructure and compliance mapping work that the current literature has rightly emphasized, and nothing in this proposal argues otherwise. It supplements that work with a floor: a mechanism designed to hold specifically where deployer side accountability structurally cannot, because there is no deployer there to hold in the first place. A useful analogy is the coordinated vulnerability disclosure and CVE assignment infrastructure that underpins traditional software security. That infrastructure was never a substitute for enterprise security governance. It was, and remains, the mechanism that holds for the software running on machines no enterprise governance function will ever touch, and agentic AI needs an equivalent mechanism built specifically for autonomous software rather than retrofitted from a system designed for passive code.</w:t>
      </w:r>
    </w:p>
    <w:p w14:paraId="1CC6FE20">
      <w:pPr>
        <w:spacing w:after="200" w:line="300" w:lineRule="auto"/>
        <w:jc w:val="both"/>
      </w:pPr>
      <w:r>
        <w:rPr>
          <w:rFonts w:ascii="Times New Roman" w:hAnsi="Times New Roman" w:eastAsia="Times New Roman" w:cs="Times New Roman"/>
          <w:sz w:val="24"/>
          <w:szCs w:val="24"/>
        </w:rPr>
        <w:t>Three design principles follow for such a mechanism. First, it should attach to the distribution channel rather than the deployment instance, since the channel is the only party in a Tier 3 scenario that persists over time and can be identified in advance. Second, it should be graduated rather than binary, since not every vulnerability warrants a forced update and an overly aggressive mechanism risks breaking working systems in ways that push adoption toward less transparent, less accountable distribution channels instead of solving the underlying problem. Third, it should be paired with a lightweight, low friction disclosure path for independent security researchers, of the kind already used successfully in the OpenClaw case by firms such as Giskard, Oasis Security, and Varonis, since the empirical record so far shows that Tier 3 vulnerabilities are being found primarily through this kind of independent research rather than through any formal audit process, and any policy design that does not actively support and reward that research pathway would be discarding the single mechanism currently doing the most real world work in this space.</w:t>
      </w:r>
    </w:p>
    <w:p w14:paraId="699ECB80">
      <w:pPr>
        <w:spacing w:after="200" w:line="300" w:lineRule="auto"/>
        <w:jc w:val="both"/>
      </w:pPr>
      <w:r>
        <w:rPr>
          <w:rFonts w:ascii="Times New Roman" w:hAnsi="Times New Roman" w:eastAsia="Times New Roman" w:cs="Times New Roman"/>
          <w:sz w:val="24"/>
          <w:szCs w:val="24"/>
        </w:rPr>
        <w:t>It is worth pausing on what this analysis implies for Tier 2 organizations specifically, since they are the population most likely to read a paper of this kind and least served by existing guidance, which is written overwhelmingly for Tier 1 audiences with dedicated compliance staff. A small or mid sized organization cannot build a twenty five measure governance architecture, and should not attempt to, since doing so would consume resources disproportionate to the risk being managed. What it can do, at comparatively low cost, is close the specific gap that produces the most dangerous form of tier migration described in Section 6: the silent adoption of a Tier 3 tool into a Tier 1 or Tier 2 workflow. A simple, low cost inventory practice, asking staff on a recurring basis which autonomous or semi autonomous tools they have connected to company email, calendars, or customer systems, would have surfaced an OpenClaw style deployment before it became load bearing, at a fraction of the cost of a full compliance mapping exercise. This is not a substitute for the distribution layer mechanism proposed above, but it is the single highest leverage action available to an organization that lacks the resources to build Tier 1 grade governance and cannot wait for regulators or platforms to build the floor this paper argues is still missing.</w:t>
      </w:r>
    </w:p>
    <w:p w14:paraId="0CE01575">
      <w:pPr>
        <w:spacing w:after="200" w:line="300" w:lineRule="auto"/>
        <w:jc w:val="both"/>
      </w:pPr>
      <w:r>
        <w:rPr>
          <w:rFonts w:ascii="Times New Roman" w:hAnsi="Times New Roman" w:eastAsia="Times New Roman" w:cs="Times New Roman"/>
          <w:sz w:val="24"/>
          <w:szCs w:val="24"/>
        </w:rPr>
        <w:t>The jurisdictional pattern of the response to OpenClaw, noted briefly in Section 5, reinforces the case for a distribution layer mechanism rather than weakening it. National authorities in China and Belgium, along with security researchers and vendors across North America and Europe, each issued warnings, advisories, or patches on their own timeline, with no visible coordination between them and no single authority positioned to compel a global remediation. This is exactly what the enterprise assumption predicts once it is absent: national regulators are, by design, bounded by jurisdiction, and a Tier 3 deployment can be running on a machine in any country, acquired through a channel with no meaningful national nexus at all. A distribution platform, by contrast, is frequently a single global chokepoint through which the overwhelming majority of a tool's users pass regardless of where they are located, which is precisely why this paper argues the more tractable point of intervention is the channel rather than the jurisdiction of the individual deployment.</w:t>
      </w:r>
    </w:p>
    <w:p w14:paraId="49A8A2B1">
      <w:pPr>
        <w:pStyle w:val="2"/>
        <w:spacing w:before="300" w:after="150"/>
      </w:pPr>
      <w:r>
        <w:rPr>
          <w:rFonts w:ascii="Times New Roman" w:hAnsi="Times New Roman" w:eastAsia="Times New Roman" w:cs="Times New Roman"/>
          <w:b/>
          <w:bCs/>
          <w:sz w:val="28"/>
          <w:szCs w:val="28"/>
        </w:rPr>
        <w:t>8. Limitations</w:t>
      </w:r>
    </w:p>
    <w:p w14:paraId="2AFD9185">
      <w:pPr>
        <w:spacing w:after="200" w:line="300" w:lineRule="auto"/>
        <w:jc w:val="both"/>
      </w:pPr>
      <w:r>
        <w:rPr>
          <w:rFonts w:ascii="Times New Roman" w:hAnsi="Times New Roman" w:eastAsia="Times New Roman" w:cs="Times New Roman"/>
          <w:sz w:val="24"/>
          <w:szCs w:val="24"/>
        </w:rPr>
        <w:t>This paper is conceptual and policy oriented rather than empirical, and its limitations follow from that scope. The Accountability Floor taxonomy is developed from a close reading of one extensively documented case, OpenClaw, contrasted with governance architectures drawn from the published literature rather than from a systematic sample of agentic deployments across industries and geographies. The taxonomy's three tiers are almost certainly a simplification of a more continuous underlying distribution of organizational capacity, and future empirical work, for instance a structured survey of agentic deployment across organizations of varying size, would be valuable in testing whether the tier boundaries proposed here hold up, or whether a finer grained or differently structured taxonomy captures the underlying dynamic more precisely. In addition, this field is moving quickly enough that specific incidents, vulnerability counts, and even the identity of the dominant open source agent framework used as this paper's central case may look different within a short period of time. The paper's claim is intended to be robust to that turnover: it is a claim about a structural pattern in how accountability frameworks are designed relative to how agentic deployment actually occurs, not a claim that depends on any single vulnerability or framework remaining current. Finally, the distribution layer policy proposal developed in Section 7 has not been tested against the practical and jurisdictional complications of implementation, including the question of which regulator would hold authority over a globally distributed package registry, and this is an appropriate direction for follow on work grounded more directly in comparative regulatory design.</w:t>
      </w:r>
    </w:p>
    <w:p w14:paraId="49C94B75">
      <w:pPr>
        <w:pStyle w:val="2"/>
        <w:spacing w:before="300" w:after="150"/>
      </w:pPr>
      <w:r>
        <w:rPr>
          <w:rFonts w:ascii="Times New Roman" w:hAnsi="Times New Roman" w:eastAsia="Times New Roman" w:cs="Times New Roman"/>
          <w:b/>
          <w:bCs/>
          <w:sz w:val="28"/>
          <w:szCs w:val="28"/>
        </w:rPr>
        <w:t>9. Future Trajectory</w:t>
      </w:r>
    </w:p>
    <w:p w14:paraId="2FC1A0AD">
      <w:pPr>
        <w:spacing w:after="200" w:line="300" w:lineRule="auto"/>
        <w:jc w:val="both"/>
      </w:pPr>
      <w:r>
        <w:rPr>
          <w:rFonts w:ascii="Times New Roman" w:hAnsi="Times New Roman" w:eastAsia="Times New Roman" w:cs="Times New Roman"/>
          <w:sz w:val="24"/>
          <w:szCs w:val="24"/>
        </w:rPr>
        <w:t>Over a five year horizon, the population of Tier 3 deployments is likely to grow faster than Tier 1 style governance capacity can be built out to match it, since the cost of deploying an agent continues to fall while the cost of governing one does not fall at a comparable rate. Expect the OpenClaw pattern, explosive individual adoption followed by a wave of independently discovered vulnerabilities and no centralized remediation mechanism, to recur under different framework names rather than resolve on its own, because the structural condition that produced it, a popular open source agent with no accountable deploying organization standing behind it, is a feature of how this category of software spreads, not a one time misconfiguration specific to one project.</w:t>
      </w:r>
    </w:p>
    <w:p w14:paraId="34D8667B">
      <w:pPr>
        <w:spacing w:after="200" w:line="300" w:lineRule="auto"/>
        <w:jc w:val="both"/>
      </w:pPr>
      <w:r>
        <w:rPr>
          <w:rFonts w:ascii="Times New Roman" w:hAnsi="Times New Roman" w:eastAsia="Times New Roman" w:cs="Times New Roman"/>
          <w:sz w:val="24"/>
          <w:szCs w:val="24"/>
        </w:rPr>
        <w:t>Over a ten year horizon, the more consequential shift is likely to be tier migration at scale, the dynamic developed in Section 6, in which informal Tier 3 tools become load bearing dependencies inside Tier 1 and Tier 2 organizations without a corresponding governance upgrade, echoing how unmanaged open source software dependencies became a systemic enterprise risk during the previous decade of software supply chain security. The organizations least prepared for this migration are likely to be exactly the small and mid sized enterprises this paper places in Tier 2: large enough to bear real, sometimes existential, consequences from a serious incident, but too small to build Tier 1 grade governance independently and too informally structured to have noticed the migration occurring in the first place.</w:t>
      </w:r>
    </w:p>
    <w:p w14:paraId="796A0E48">
      <w:pPr>
        <w:spacing w:after="200" w:line="300" w:lineRule="auto"/>
        <w:jc w:val="both"/>
      </w:pPr>
      <w:r>
        <w:rPr>
          <w:rFonts w:ascii="Times New Roman" w:hAnsi="Times New Roman" w:eastAsia="Times New Roman" w:cs="Times New Roman"/>
          <w:sz w:val="24"/>
          <w:szCs w:val="24"/>
        </w:rPr>
        <w:t>Over a twenty five year horizon, if distribution layer accountability mechanisms of the kind proposed in Section 7 are not built, the likely equilibrium is a two speed system: a well governed minority of agentic AI operating inside heavily regulated critical infrastructure and large enterprises, existing alongside a far larger, functionally ungoverned majority operating through individual and informal channels, not because regulators failed to write sufficiently sophisticated Tier 1 frameworks, but because sophistication at the ceiling was never the binding constraint to begin with. The constraint was, and this paper argues will remain, the floor.</w:t>
      </w:r>
    </w:p>
    <w:p w14:paraId="5E649C05">
      <w:pPr>
        <w:pStyle w:val="2"/>
        <w:spacing w:before="300" w:after="150"/>
      </w:pPr>
      <w:r>
        <w:rPr>
          <w:rFonts w:ascii="Times New Roman" w:hAnsi="Times New Roman" w:eastAsia="Times New Roman" w:cs="Times New Roman"/>
          <w:b/>
          <w:bCs/>
          <w:sz w:val="28"/>
          <w:szCs w:val="28"/>
        </w:rPr>
        <w:t>10. Conclusion</w:t>
      </w:r>
    </w:p>
    <w:p w14:paraId="3CB5C73C">
      <w:pPr>
        <w:spacing w:after="200" w:line="300" w:lineRule="auto"/>
        <w:jc w:val="both"/>
      </w:pPr>
      <w:r>
        <w:rPr>
          <w:rFonts w:ascii="Times New Roman" w:hAnsi="Times New Roman" w:eastAsia="Times New Roman" w:cs="Times New Roman"/>
          <w:sz w:val="24"/>
          <w:szCs w:val="24"/>
        </w:rPr>
        <w:t>The agentic AI accountability literature of 2025 and 2026 has done serious, necessary work identifying why traditional liability doctrine and enterprise governance models strain under autonomous, multi agent behavior. This paper's contribution is not to dispute that work but to relocate the more urgent half of the problem. The issue is not primarily the sophistication of the frameworks being built for the entities already inside the room. It is the population of deployments those frameworks were never positioned to reach in the first place. The Accountability Floor reframes agentic AI governance as a question of organizational capacity rather than technical architecture, and in doing so identifies where the next generation of policy attention needs to go. Not toward writing a more detailed rulebook for the organizations that already have a seat at the table, but toward building a mechanism, situated at the distribution layer rather than the deployer layer, that holds for the far larger number of deployments occurring outside it entirely.</w:t>
      </w:r>
    </w:p>
    <w:p w14:paraId="65D79600">
      <w:pPr>
        <w:spacing w:after="200" w:line="300" w:lineRule="auto"/>
        <w:jc w:val="both"/>
      </w:pPr>
      <w:r>
        <w:rPr>
          <w:rFonts w:ascii="Times New Roman" w:hAnsi="Times New Roman" w:eastAsia="Times New Roman" w:cs="Times New Roman"/>
          <w:sz w:val="24"/>
          <w:szCs w:val="24"/>
        </w:rPr>
        <w:t>There is a broader lesson here that extends beyond agentic AI specifically, to how the field approaches accountability design whenever a new technology's adoption curve outruns its organizational maturity curve. The instinct, understandable and well intentioned, is to respond to a governance gap by making the governance framework more sophisticated. This paper's argument is that sophistication and reach are different axes entirely, and that a field which keeps improving the ceiling while the floor remains untouched will keep producing exactly the pattern documented here: rigorous frameworks published alongside undiminished real world harm, not because the frameworks are wrong, but because they were never aimed at where the harm was concentrated. Building the floor first, even an imperfect one, may do more for accountability in practice than any further refinement of the ceiling.</w:t>
      </w:r>
    </w:p>
    <w:p w14:paraId="62325AAC">
      <w:pPr>
        <w:pStyle w:val="2"/>
        <w:spacing w:before="300" w:after="150"/>
      </w:pPr>
      <w:r>
        <w:rPr>
          <w:rFonts w:ascii="Times New Roman" w:hAnsi="Times New Roman" w:eastAsia="Times New Roman" w:cs="Times New Roman"/>
          <w:b/>
          <w:bCs/>
          <w:sz w:val="28"/>
          <w:szCs w:val="28"/>
        </w:rPr>
        <w:t>References</w:t>
      </w:r>
    </w:p>
    <w:p w14:paraId="6A6A9363">
      <w:pPr>
        <w:spacing w:after="140" w:line="276" w:lineRule="auto"/>
        <w:ind w:left="360" w:hanging="360"/>
      </w:pPr>
      <w:r>
        <w:rPr>
          <w:rFonts w:ascii="Times New Roman" w:hAnsi="Times New Roman" w:eastAsia="Times New Roman" w:cs="Times New Roman"/>
          <w:sz w:val="22"/>
          <w:szCs w:val="22"/>
        </w:rPr>
        <w:t>Berkeley Technology Law Journal. (2026, June). Multi agent AI is outpacing the liability frameworks built for single agent systems. https://btlj.org/2026/06/multi-agent-ai-is-outpacing-the-liability-frameworks-built-for-single-agent-systems/</w:t>
      </w:r>
    </w:p>
    <w:p w14:paraId="2FA26888">
      <w:pPr>
        <w:spacing w:after="140" w:line="276" w:lineRule="auto"/>
        <w:ind w:left="360" w:hanging="360"/>
      </w:pPr>
      <w:r>
        <w:rPr>
          <w:rFonts w:ascii="Times New Roman" w:hAnsi="Times New Roman" w:eastAsia="Times New Roman" w:cs="Times New Roman"/>
          <w:sz w:val="22"/>
          <w:szCs w:val="22"/>
        </w:rPr>
        <w:t>Barracuda Networks. (2026, April 9). OpenClaw security risks: What security teams need to know about agentic AI. https://blog.barracuda.com/2026/04/09/openclaw-security-risks-agentic-ai</w:t>
      </w:r>
    </w:p>
    <w:p w14:paraId="5C95CE58">
      <w:pPr>
        <w:spacing w:after="140" w:line="276" w:lineRule="auto"/>
        <w:ind w:left="360" w:hanging="360"/>
      </w:pPr>
      <w:r>
        <w:rPr>
          <w:rFonts w:ascii="Times New Roman" w:hAnsi="Times New Roman" w:eastAsia="Times New Roman" w:cs="Times New Roman"/>
          <w:sz w:val="22"/>
          <w:szCs w:val="22"/>
        </w:rPr>
        <w:t>BleepingComputer. (2026). OpenClaw AI agent found falling for phishing attacks, spills user data. https://www.bleepingcomputer.com/news/security/openclaw-ai-agent-found-falling-for-phishing-attacks-spills-user-data/</w:t>
      </w:r>
    </w:p>
    <w:p w14:paraId="12B12C27">
      <w:pPr>
        <w:spacing w:after="140" w:line="276" w:lineRule="auto"/>
        <w:ind w:left="360" w:hanging="360"/>
      </w:pPr>
      <w:r>
        <w:rPr>
          <w:rFonts w:ascii="Times New Roman" w:hAnsi="Times New Roman" w:eastAsia="Times New Roman" w:cs="Times New Roman"/>
          <w:sz w:val="22"/>
          <w:szCs w:val="22"/>
        </w:rPr>
        <w:t>Cloud Security Alliance Research Labs. (2026, April 3). The AI agent governance gap: What CISOs need now. https://labs.cloudsecurityalliance.org/research/csa-research-note-ai-agent-governance-framework-gap-20260403/</w:t>
      </w:r>
    </w:p>
    <w:p w14:paraId="31732448">
      <w:pPr>
        <w:spacing w:after="140" w:line="276" w:lineRule="auto"/>
        <w:ind w:left="360" w:hanging="360"/>
      </w:pPr>
      <w:r>
        <w:rPr>
          <w:rFonts w:ascii="Times New Roman" w:hAnsi="Times New Roman" w:eastAsia="Times New Roman" w:cs="Times New Roman"/>
          <w:sz w:val="22"/>
          <w:szCs w:val="22"/>
        </w:rPr>
        <w:t>DarkReading. (2026, March 2). Critical OpenClaw vulnerability exposes AI agent risks. https://www.darkreading.com/application-security/critical-openclaw-vulnerability-ai-agent-risks</w:t>
      </w:r>
    </w:p>
    <w:p w14:paraId="28BEA4A1">
      <w:pPr>
        <w:spacing w:after="140" w:line="276" w:lineRule="auto"/>
        <w:ind w:left="360" w:hanging="360"/>
      </w:pPr>
      <w:r>
        <w:rPr>
          <w:rFonts w:ascii="Times New Roman" w:hAnsi="Times New Roman" w:eastAsia="Times New Roman" w:cs="Times New Roman"/>
          <w:sz w:val="22"/>
          <w:szCs w:val="22"/>
        </w:rPr>
        <w:t>Giskard. (2026, February). OpenClaw security vulnerabilities include data leakage and prompt injection risks. https://www.giskard.ai/knowledge/openclaw-security-vulnerabilities-include-data-leakage-and-prompt-injection-risks</w:t>
      </w:r>
    </w:p>
    <w:p w14:paraId="1426D55F">
      <w:pPr>
        <w:spacing w:after="140" w:line="276" w:lineRule="auto"/>
        <w:ind w:left="360" w:hanging="360"/>
      </w:pPr>
      <w:r>
        <w:rPr>
          <w:rFonts w:ascii="Times New Roman" w:hAnsi="Times New Roman" w:eastAsia="Times New Roman" w:cs="Times New Roman"/>
          <w:sz w:val="22"/>
          <w:szCs w:val="22"/>
        </w:rPr>
        <w:t>Hancock, P. (2026, January 29). When AI agents misbehave: Governance and security for autonomous AI. Baker Botts. https://ourtake.bakerbotts.com/post/102me2l/when-ai-agents-misbehave-governance-and-security-for-autonomous-ai</w:t>
      </w:r>
    </w:p>
    <w:p w14:paraId="6E1B7125">
      <w:pPr>
        <w:spacing w:after="140" w:line="276" w:lineRule="auto"/>
        <w:ind w:left="360" w:hanging="360"/>
      </w:pPr>
      <w:r>
        <w:rPr>
          <w:rFonts w:ascii="Times New Roman" w:hAnsi="Times New Roman" w:eastAsia="Times New Roman" w:cs="Times New Roman"/>
          <w:sz w:val="22"/>
          <w:szCs w:val="22"/>
        </w:rPr>
        <w:t>IBM. (2026). The accountability gap in autonomous AI. https://www.ibm.com/think/insights/accountability-gap-autonomous-ai</w:t>
      </w:r>
    </w:p>
    <w:p w14:paraId="145E5C19">
      <w:pPr>
        <w:spacing w:after="140" w:line="276" w:lineRule="auto"/>
        <w:ind w:left="360" w:hanging="360"/>
      </w:pPr>
      <w:r>
        <w:rPr>
          <w:rFonts w:ascii="Times New Roman" w:hAnsi="Times New Roman" w:eastAsia="Times New Roman" w:cs="Times New Roman"/>
          <w:sz w:val="22"/>
          <w:szCs w:val="22"/>
        </w:rPr>
        <w:t>IBM X-Force. (2026, April 24). What OpenClaw reveals about agentic AI security risks. https://www.ibm.com/think/x-force/what-openclaw-reveals-about-agentic-ai-security-risks</w:t>
      </w:r>
    </w:p>
    <w:p w14:paraId="7254D067">
      <w:pPr>
        <w:spacing w:after="140" w:line="276" w:lineRule="auto"/>
        <w:ind w:left="360" w:hanging="360"/>
      </w:pPr>
      <w:r>
        <w:rPr>
          <w:rFonts w:ascii="Times New Roman" w:hAnsi="Times New Roman" w:eastAsia="Times New Roman" w:cs="Times New Roman"/>
          <w:sz w:val="22"/>
          <w:szCs w:val="22"/>
        </w:rPr>
        <w:t>Open challenges in multi agent security: Towards secure systems of interacting AI agents. (2025). arXiv. https://arxiv.org/pdf/2505.02077</w:t>
      </w:r>
    </w:p>
    <w:p w14:paraId="3A8010F7">
      <w:pPr>
        <w:spacing w:after="140" w:line="276" w:lineRule="auto"/>
        <w:ind w:left="360" w:hanging="360"/>
      </w:pPr>
      <w:r>
        <w:rPr>
          <w:rFonts w:ascii="Times New Roman" w:hAnsi="Times New Roman" w:eastAsia="Times New Roman" w:cs="Times New Roman"/>
          <w:sz w:val="22"/>
          <w:szCs w:val="22"/>
        </w:rPr>
        <w:t>Governing what the EU AI Act excludes: Accountability for autonomous AI agents in smart city critical infrastructure. (2026, May). arXiv. https://arxiv.org/html/2605.01091v1</w:t>
      </w:r>
    </w:p>
    <w:p w14:paraId="3756992F">
      <w:pPr>
        <w:spacing w:after="140" w:line="276" w:lineRule="auto"/>
        <w:ind w:left="360" w:hanging="360"/>
      </w:pPr>
      <w:r>
        <w:rPr>
          <w:rFonts w:ascii="Times New Roman" w:hAnsi="Times New Roman" w:eastAsia="Times New Roman" w:cs="Times New Roman"/>
          <w:sz w:val="22"/>
          <w:szCs w:val="22"/>
        </w:rPr>
        <w:t>Agentifying agentic AI. (2026, February). WMAC 2026, AAAI 2026 Bridge Program on Advancing LLM Based Multi Agent Collaboration. arXiv. https://arxiv.org/html/2511.17332v2</w:t>
      </w:r>
    </w:p>
    <w:p w14:paraId="005CAB7E">
      <w:pPr>
        <w:spacing w:after="140" w:line="276" w:lineRule="auto"/>
        <w:ind w:left="360" w:hanging="360"/>
      </w:pPr>
      <w:r>
        <w:rPr>
          <w:rFonts w:ascii="Times New Roman" w:hAnsi="Times New Roman" w:eastAsia="Times New Roman" w:cs="Times New Roman"/>
          <w:sz w:val="22"/>
          <w:szCs w:val="22"/>
        </w:rPr>
        <w:t>PacGenesis. (2026, February 19). OpenClaw security risks and best practices 2026. https://pacgenesis.com/openclaw-security-risks-what-security-teams-need-to-know-about-ai-agents-like-openclaw-in-2026/</w:t>
      </w:r>
    </w:p>
    <w:p w14:paraId="6D4CF539">
      <w:pPr>
        <w:spacing w:after="140" w:line="276" w:lineRule="auto"/>
        <w:ind w:left="360" w:hanging="360"/>
      </w:pPr>
      <w:r>
        <w:rPr>
          <w:rFonts w:ascii="Times New Roman" w:hAnsi="Times New Roman" w:eastAsia="Times New Roman" w:cs="Times New Roman"/>
          <w:sz w:val="22"/>
          <w:szCs w:val="22"/>
        </w:rPr>
        <w:t>ReversingLabs. (2026, March 30). Lessons from OpenClaw: AI agents are a black hole of risks. https://www.reversinglabs.com/blog/openclaw-ai-agents-black-hole-risks</w:t>
      </w:r>
    </w:p>
    <w:p w14:paraId="0B37F823">
      <w:pPr>
        <w:spacing w:after="140" w:line="276" w:lineRule="auto"/>
        <w:ind w:left="360" w:hanging="360"/>
      </w:pPr>
      <w:r>
        <w:rPr>
          <w:rFonts w:ascii="Times New Roman" w:hAnsi="Times New Roman" w:eastAsia="Times New Roman" w:cs="Times New Roman"/>
          <w:sz w:val="22"/>
          <w:szCs w:val="22"/>
        </w:rPr>
        <w:t>World Economic Forum. (2026, June). The top 10 emerging technologies of 2026. https://www.weforum.org/stories/2026/06/the-top-10-emerging-technologies-of-2026/</w:t>
      </w:r>
    </w:p>
    <w:p w14:paraId="2FFE79BF">
      <w:pPr>
        <w:spacing w:after="140" w:line="276" w:lineRule="auto"/>
        <w:ind w:left="360" w:hanging="360"/>
      </w:pPr>
      <w:r>
        <w:rPr>
          <w:rFonts w:ascii="Times New Roman" w:hAnsi="Times New Roman" w:eastAsia="Times New Roman" w:cs="Times New Roman"/>
          <w:sz w:val="22"/>
          <w:szCs w:val="22"/>
        </w:rPr>
        <w:t>Yamin, T. (2026, January). The AI agent accountability crisis. Medium. https://medium.com/@tahir-yamin/the-ai-agent-accountability-crisis-3917e5b3be85</w:t>
      </w:r>
    </w:p>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9FA106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paragraph" w:styleId="2">
    <w:name w:val="heading 1"/>
    <w:next w:val="1"/>
    <w:qFormat/>
    <w:uiPriority w:val="0"/>
    <w:rPr>
      <w:color w:val="2E74B5"/>
      <w:sz w:val="32"/>
      <w:szCs w:val="32"/>
    </w:rPr>
  </w:style>
  <w:style w:type="paragraph" w:styleId="3">
    <w:name w:val="heading 2"/>
    <w:next w:val="1"/>
    <w:qFormat/>
    <w:uiPriority w:val="0"/>
    <w:rPr>
      <w:color w:val="2E74B5"/>
      <w:sz w:val="26"/>
      <w:szCs w:val="26"/>
    </w:rPr>
  </w:style>
  <w:style w:type="paragraph" w:styleId="4">
    <w:name w:val="heading 3"/>
    <w:next w:val="1"/>
    <w:qFormat/>
    <w:uiPriority w:val="0"/>
    <w:rPr>
      <w:color w:val="1F4D78"/>
      <w:sz w:val="24"/>
      <w:szCs w:val="24"/>
    </w:rPr>
  </w:style>
  <w:style w:type="paragraph" w:styleId="5">
    <w:name w:val="heading 4"/>
    <w:next w:val="1"/>
    <w:qFormat/>
    <w:uiPriority w:val="0"/>
    <w:rPr>
      <w:i/>
      <w:iCs/>
      <w:color w:val="2E74B5"/>
      <w:sz w:val="21"/>
      <w:szCs w:val="22"/>
    </w:rPr>
  </w:style>
  <w:style w:type="paragraph" w:styleId="6">
    <w:name w:val="heading 5"/>
    <w:next w:val="1"/>
    <w:qFormat/>
    <w:uiPriority w:val="0"/>
    <w:rPr>
      <w:color w:val="2E74B5"/>
      <w:sz w:val="21"/>
      <w:szCs w:val="22"/>
    </w:rPr>
  </w:style>
  <w:style w:type="paragraph" w:styleId="7">
    <w:name w:val="heading 6"/>
    <w:next w:val="1"/>
    <w:qFormat/>
    <w:uiPriority w:val="0"/>
    <w:rPr>
      <w:color w:val="1F4D78"/>
      <w:sz w:val="21"/>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mphasis"/>
    <w:basedOn w:val="8"/>
    <w:qFormat/>
    <w:uiPriority w:val="0"/>
    <w:rPr>
      <w:i/>
      <w:iCs/>
    </w:rPr>
  </w:style>
  <w:style w:type="character" w:styleId="11">
    <w:name w:val="endnote reference"/>
    <w:semiHidden/>
    <w:unhideWhenUsed/>
    <w:uiPriority w:val="99"/>
    <w:rPr>
      <w:vertAlign w:val="superscript"/>
    </w:rPr>
  </w:style>
  <w:style w:type="paragraph" w:styleId="12">
    <w:name w:val="endnote text"/>
    <w:link w:val="19"/>
    <w:semiHidden/>
    <w:unhideWhenUsed/>
    <w:uiPriority w:val="99"/>
    <w:pPr>
      <w:spacing w:after="0" w:line="240" w:lineRule="auto"/>
    </w:pPr>
    <w:rPr>
      <w:sz w:val="20"/>
      <w:szCs w:val="20"/>
    </w:rPr>
  </w:style>
  <w:style w:type="character" w:styleId="13">
    <w:name w:val="footnote reference"/>
    <w:semiHidden/>
    <w:unhideWhenUsed/>
    <w:uiPriority w:val="99"/>
    <w:rPr>
      <w:vertAlign w:val="superscript"/>
    </w:rPr>
  </w:style>
  <w:style w:type="paragraph" w:styleId="14">
    <w:name w:val="footnote text"/>
    <w:link w:val="18"/>
    <w:semiHidden/>
    <w:unhideWhenUsed/>
    <w:uiPriority w:val="99"/>
    <w:pPr>
      <w:spacing w:after="0" w:line="240" w:lineRule="auto"/>
    </w:pPr>
    <w:rPr>
      <w:sz w:val="20"/>
      <w:szCs w:val="20"/>
    </w:rPr>
  </w:style>
  <w:style w:type="character" w:styleId="15">
    <w:name w:val="Hyperlink"/>
    <w:unhideWhenUsed/>
    <w:uiPriority w:val="99"/>
    <w:rPr>
      <w:color w:val="0563C1"/>
      <w:u w:val="single"/>
    </w:rPr>
  </w:style>
  <w:style w:type="paragraph" w:styleId="16">
    <w:name w:val="Title"/>
    <w:qFormat/>
    <w:uiPriority w:val="0"/>
    <w:rPr>
      <w:sz w:val="56"/>
      <w:szCs w:val="56"/>
    </w:rPr>
  </w:style>
  <w:style w:type="paragraph" w:styleId="17">
    <w:name w:val="List Paragraph"/>
    <w:qFormat/>
    <w:uiPriority w:val="0"/>
    <w:rPr>
      <w:sz w:val="21"/>
      <w:szCs w:val="22"/>
    </w:rPr>
  </w:style>
  <w:style w:type="character" w:customStyle="1" w:styleId="18">
    <w:name w:val="Footnote Text Char"/>
    <w:link w:val="14"/>
    <w:semiHidden/>
    <w:unhideWhenUsed/>
    <w:uiPriority w:val="99"/>
    <w:rPr>
      <w:sz w:val="20"/>
      <w:szCs w:val="20"/>
    </w:rPr>
  </w:style>
  <w:style w:type="character" w:customStyle="1" w:styleId="19">
    <w:name w:val="Endnote Text Char"/>
    <w:link w:val="12"/>
    <w:semiHidden/>
    <w:unhideWhenUsed/>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TotalTime>11</TotalTime>
  <ScaleCrop>false</ScaleCrop>
  <LinksUpToDate>false</LinksUpToDate>
  <Application>WPS Office_12.1.26015.26015_F1E327BC-269C-435d-A152-05C5408002CA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Okolo</cp:lastModifiedBy>
  <dcterms:modified xsi:type="dcterms:W3CDTF">2026-07-06T11:52:51Z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1033-12.1.26015.26015</vt:lpwstr>
  </property>
  <property fmtid="{D5CDD505-2E9C-101B-9397-08002B2CF9AE}" pid="3" name="ICV">
    <vt:lpwstr>AAB0E8EFDE353D8653CF4B6A621D4009_42</vt:lpwstr>
  </property>
</Properties>
</file>