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79F87" w14:textId="77777777" w:rsidR="00130759" w:rsidRPr="008D3BF2" w:rsidRDefault="00130759" w:rsidP="002E6B2C">
      <w:pPr>
        <w:spacing w:before="1" w:line="240" w:lineRule="auto"/>
        <w:ind w:left="14"/>
        <w:jc w:val="both"/>
        <w:rPr>
          <w:rFonts w:ascii="Times New Roman" w:hAnsi="Times New Roman"/>
          <w:b/>
          <w:spacing w:val="-2"/>
        </w:rPr>
      </w:pPr>
      <w:r w:rsidRPr="008D3BF2">
        <w:rPr>
          <w:rFonts w:ascii="Times New Roman" w:hAnsi="Times New Roman"/>
          <w:b/>
          <w:spacing w:val="-2"/>
        </w:rPr>
        <w:t>An examination of Punjab National Bank's performance prior to and following the merger</w:t>
      </w:r>
    </w:p>
    <w:p w14:paraId="035FE9F2" w14:textId="77777777" w:rsidR="00130759" w:rsidRPr="008D3BF2" w:rsidRDefault="00130759" w:rsidP="002E6B2C">
      <w:pPr>
        <w:spacing w:line="240" w:lineRule="auto"/>
        <w:jc w:val="center"/>
        <w:rPr>
          <w:rFonts w:ascii="Times New Roman" w:eastAsia="Calibri" w:hAnsi="Times New Roman"/>
        </w:rPr>
      </w:pPr>
      <w:proofErr w:type="gramStart"/>
      <w:r w:rsidRPr="008D3BF2">
        <w:rPr>
          <w:rFonts w:ascii="Times New Roman" w:eastAsia="Calibri" w:hAnsi="Times New Roman"/>
        </w:rPr>
        <w:t/>
      </w:r>
      <w:proofErr w:type="gramEnd"/>
    </w:p>
    <w:p w14:paraId="119E8B9C" w14:textId="77777777" w:rsidR="00130759" w:rsidRPr="008D3BF2" w:rsidRDefault="00130759" w:rsidP="002E6B2C">
      <w:pPr>
        <w:spacing w:line="240" w:lineRule="auto"/>
        <w:jc w:val="center"/>
        <w:rPr>
          <w:rFonts w:ascii="Times New Roman" w:eastAsia="Calibri" w:hAnsi="Times New Roman"/>
        </w:rPr>
      </w:pPr>
      <w:r w:rsidRPr="008D3BF2">
        <w:rPr>
          <w:rFonts w:ascii="Times New Roman" w:eastAsia="Calibri" w:hAnsi="Times New Roman"/>
        </w:rPr>
        <w:t/>
      </w:r>
    </w:p>
    <w:p w14:paraId="0A5E96F9" w14:textId="77777777" w:rsidR="00130759" w:rsidRPr="008D3BF2" w:rsidRDefault="00130759" w:rsidP="002E6B2C">
      <w:pPr>
        <w:spacing w:line="240" w:lineRule="auto"/>
        <w:jc w:val="center"/>
        <w:rPr>
          <w:rFonts w:ascii="Times New Roman" w:eastAsia="Calibri" w:hAnsi="Times New Roman"/>
        </w:rPr>
      </w:pPr>
      <w:r w:rsidRPr="008D3BF2">
        <w:rPr>
          <w:rFonts w:ascii="Times New Roman" w:eastAsia="Calibri" w:hAnsi="Times New Roman"/>
        </w:rPr>
        <w:t/>
      </w:r>
    </w:p>
    <w:p w14:paraId="69D283E1" w14:textId="77777777" w:rsidR="00130759" w:rsidRPr="008D3BF2" w:rsidRDefault="00130759" w:rsidP="002E6B2C">
      <w:pPr>
        <w:spacing w:line="240" w:lineRule="auto"/>
        <w:jc w:val="center"/>
        <w:rPr>
          <w:rFonts w:ascii="Times New Roman" w:eastAsia="Calibri" w:hAnsi="Times New Roman"/>
        </w:rPr>
      </w:pPr>
      <w:r w:rsidRPr="008D3BF2">
        <w:rPr>
          <w:rFonts w:ascii="Times New Roman" w:eastAsia="Calibri" w:hAnsi="Times New Roman"/>
        </w:rPr>
        <w:t/>
      </w:r>
    </w:p>
    <w:p w14:paraId="4C1A3C22" w14:textId="77777777" w:rsidR="00130759" w:rsidRPr="008D3BF2" w:rsidRDefault="00130759" w:rsidP="002E6B2C">
      <w:pPr>
        <w:spacing w:line="240" w:lineRule="auto"/>
        <w:jc w:val="center"/>
        <w:rPr>
          <w:rFonts w:ascii="Times New Roman" w:eastAsia="Calibri" w:hAnsi="Times New Roman"/>
        </w:rPr>
      </w:pPr>
      <w:r w:rsidRPr="008D3BF2">
        <w:rPr>
          <w:rFonts w:ascii="Times New Roman" w:eastAsia="Calibri" w:hAnsi="Times New Roman"/>
        </w:rPr>
        <w:t/>
      </w:r>
    </w:p>
    <w:p w14:paraId="2581C5AF" w14:textId="4A8C2C01" w:rsidR="00130759" w:rsidRPr="008D3BF2" w:rsidRDefault="00DF7B3C" w:rsidP="00DF7B3C">
      <w:pPr>
        <w:spacing w:line="240" w:lineRule="auto"/>
        <w:ind w:firstLineChars="1700" w:firstLine="3740"/>
        <w:rPr>
          <w:rFonts w:ascii="Times New Roman" w:eastAsia="Calibri" w:hAnsi="Times New Roman"/>
        </w:rPr>
      </w:pPr>
      <w:r w:rsidRPr="008D3BF2">
        <w:rPr>
          <w:rFonts w:ascii="Times New Roman" w:eastAsia="Calibri" w:hAnsi="Times New Roman"/>
        </w:rPr>
        <w:t xml:space="preserve"/>
      </w:r>
      <w:r w:rsidR="00130759" w:rsidRPr="008D3BF2">
        <w:rPr>
          <w:rFonts w:ascii="Times New Roman" w:eastAsia="Calibri" w:hAnsi="Times New Roman"/>
        </w:rPr>
        <w:t/>
      </w:r>
    </w:p>
    <w:p w14:paraId="7E89A289" w14:textId="77777777" w:rsidR="00130759" w:rsidRPr="008D3BF2" w:rsidRDefault="00130759" w:rsidP="002E6B2C">
      <w:pPr>
        <w:spacing w:line="240" w:lineRule="auto"/>
        <w:jc w:val="center"/>
        <w:rPr>
          <w:rFonts w:ascii="Times New Roman" w:eastAsia="Calibri" w:hAnsi="Times New Roman"/>
        </w:rPr>
      </w:pPr>
      <w:r w:rsidRPr="008D3BF2">
        <w:rPr>
          <w:rFonts w:ascii="Times New Roman" w:eastAsia="Calibri" w:hAnsi="Times New Roman"/>
        </w:rPr>
        <w:t/>
      </w:r>
    </w:p>
    <w:p w14:paraId="012D6B6B" w14:textId="77777777" w:rsidR="00130759" w:rsidRPr="008D3BF2" w:rsidRDefault="00130759" w:rsidP="002E6B2C">
      <w:pPr>
        <w:spacing w:line="240" w:lineRule="auto"/>
        <w:jc w:val="center"/>
        <w:rPr>
          <w:rFonts w:ascii="Times New Roman" w:eastAsia="Calibri" w:hAnsi="Times New Roman"/>
        </w:rPr>
      </w:pPr>
      <w:r w:rsidRPr="008D3BF2">
        <w:rPr>
          <w:rFonts w:ascii="Times New Roman" w:eastAsia="Calibri" w:hAnsi="Times New Roman"/>
        </w:rPr>
        <w:t/>
      </w:r>
    </w:p>
    <w:p w14:paraId="467E8EE9" w14:textId="77777777" w:rsidR="00130759" w:rsidRPr="008D3BF2" w:rsidRDefault="00130759" w:rsidP="002E6B2C">
      <w:pPr>
        <w:spacing w:line="240" w:lineRule="auto"/>
        <w:jc w:val="center"/>
        <w:rPr>
          <w:rFonts w:ascii="Times New Roman" w:eastAsia="Calibri" w:hAnsi="Times New Roman"/>
        </w:rPr>
      </w:pPr>
      <w:r w:rsidRPr="008D3BF2">
        <w:rPr>
          <w:rFonts w:ascii="Times New Roman" w:eastAsia="Calibri" w:hAnsi="Times New Roman"/>
        </w:rPr>
        <w:t/>
      </w:r>
    </w:p>
    <w:p w14:paraId="003D4C7A" w14:textId="77777777" w:rsidR="00130759" w:rsidRPr="008D3BF2" w:rsidRDefault="00130759" w:rsidP="002E6B2C">
      <w:pPr>
        <w:spacing w:line="240" w:lineRule="auto"/>
        <w:jc w:val="center"/>
        <w:rPr>
          <w:rFonts w:ascii="Times New Roman" w:eastAsia="Calibri" w:hAnsi="Times New Roman"/>
        </w:rPr>
      </w:pPr>
      <w:r w:rsidRPr="008D3BF2">
        <w:rPr>
          <w:rFonts w:ascii="Times New Roman" w:eastAsia="Calibri" w:hAnsi="Times New Roman"/>
        </w:rPr>
        <w:t/>
      </w:r>
    </w:p>
    <w:p w14:paraId="4AAB9C5E" w14:textId="77777777" w:rsidR="00130759" w:rsidRPr="008D3BF2" w:rsidRDefault="00130759" w:rsidP="002E6B2C">
      <w:pPr>
        <w:spacing w:line="240" w:lineRule="auto"/>
        <w:jc w:val="center"/>
        <w:rPr>
          <w:rFonts w:ascii="Times New Roman" w:eastAsia="Calibri" w:hAnsi="Times New Roman"/>
        </w:rPr>
      </w:pPr>
      <w:r w:rsidRPr="008D3BF2">
        <w:rPr>
          <w:rFonts w:ascii="Times New Roman" w:eastAsia="Calibri" w:hAnsi="Times New Roman"/>
        </w:rPr>
        <w:t/>
      </w:r>
    </w:p>
    <w:p w14:paraId="349A96E5" w14:textId="77777777" w:rsidR="00130759" w:rsidRPr="008D3BF2" w:rsidRDefault="00130759" w:rsidP="002E6B2C">
      <w:pPr>
        <w:spacing w:before="1" w:line="240" w:lineRule="auto"/>
        <w:ind w:left="14"/>
        <w:jc w:val="both"/>
        <w:rPr>
          <w:rFonts w:ascii="Times New Roman" w:eastAsia="Times New Roman" w:hAnsi="Times New Roman"/>
          <w:b/>
          <w:spacing w:val="-2"/>
        </w:rPr>
      </w:pPr>
      <w:r w:rsidRPr="008D3BF2">
        <w:rPr>
          <w:rFonts w:ascii="Times New Roman" w:hAnsi="Times New Roman"/>
          <w:b/>
          <w:spacing w:val="-2"/>
        </w:rPr>
        <w:t xml:space="preserve"> </w:t>
      </w:r>
    </w:p>
    <w:p w14:paraId="299BA1C4" w14:textId="77777777" w:rsidR="00130759" w:rsidRPr="008D3BF2" w:rsidRDefault="00130759" w:rsidP="002E6B2C">
      <w:pPr>
        <w:spacing w:before="1" w:line="240" w:lineRule="auto"/>
        <w:ind w:left="14"/>
        <w:jc w:val="both"/>
        <w:rPr>
          <w:rFonts w:ascii="Times New Roman" w:eastAsia="Calibri" w:hAnsi="Times New Roman"/>
        </w:rPr>
      </w:pPr>
      <w:r w:rsidRPr="008D3BF2">
        <w:rPr>
          <w:rFonts w:ascii="Times New Roman" w:hAnsi="Times New Roman"/>
          <w:b/>
          <w:spacing w:val="-2"/>
        </w:rPr>
        <w:t>Abstract</w:t>
      </w:r>
    </w:p>
    <w:p w14:paraId="7168AD6E" w14:textId="443B6C5A" w:rsidR="00130759" w:rsidRPr="008D3BF2" w:rsidRDefault="00130759" w:rsidP="002E6B2C">
      <w:pPr>
        <w:pStyle w:val="NormalWeb"/>
        <w:jc w:val="both"/>
        <w:rPr>
          <w:sz w:val="22"/>
          <w:szCs w:val="22"/>
          <w14:ligatures w14:val="none"/>
        </w:rPr>
      </w:pPr>
      <w:r w:rsidRPr="008D3BF2">
        <w:rPr>
          <w:sz w:val="22"/>
          <w:szCs w:val="22"/>
        </w:rPr>
        <w:t xml:space="preserve">However, to build own operational strength and sustainability in financial resilience one of the structural changes made was India's Public Sector Bank (PSB) Consolidation. On the 1st of April, 2020, three major banks came together for a mega merger: the United Bank of India (UBI), Oriental Bank of Commerce (OBC) and Punjab National Bank (PNB). Additionally, NPAs of merging banks are also sizeable, and this merger will not only expand PNB's market reach but also operate at a larger scale. </w:t>
      </w:r>
      <w:r w:rsidRPr="008D3BF2">
        <w:rPr>
          <w:sz w:val="22"/>
          <w:szCs w:val="22"/>
          <w14:ligatures w14:val="none"/>
        </w:rPr>
        <w:t>The methods used to collect the data also includes financial newspapers, annual report of Punjab National Bank (PNB) and RBI Financial Stability Reports (FSRs) along with the announcement of merger by RBI. By carrying out this analysis, the objective is to find PNB NPA levels along with recovery trends and estimates of bank health for the period from 2015–16 to 2024–25 post its merger.</w:t>
      </w:r>
      <w:r w:rsidRPr="008D3BF2">
        <w:rPr>
          <w:sz w:val="22"/>
          <w:szCs w:val="22"/>
        </w:rPr>
        <w:t xml:space="preserve"> </w:t>
      </w:r>
      <w:r w:rsidRPr="008D3BF2">
        <w:rPr>
          <w:sz w:val="22"/>
          <w:szCs w:val="22"/>
          <w14:ligatures w14:val="none"/>
        </w:rPr>
        <w:t>To compare the two time periods before and after the merger, a t-test was used for NPA, Net NPA, and (Cost-to-Income). It was also used to test an ap priori confidence level for a significant difference in Asset Quality and Profitability. Important Financials parameters are also stated in this study such as Operational Effectiveness, Profitability, Asset Quality &amp; ROA, ROE, NIM &amp; Gross. A considerable variation in terms of mathematical metrics relating to the banks selected such as Net Profit, ROE &amp; ROA. On the other hand, this distinction does not quite happen for Cost-to-Income ratio, Net Interest Margin (NIM), and Gross Non-Performing Assets (NPA). Punjab National Bank (PNB) loses out on a successful merger.</w:t>
      </w:r>
    </w:p>
    <w:p w14:paraId="57D23AA3" w14:textId="1766D740" w:rsidR="00130759" w:rsidRPr="008D3BF2" w:rsidRDefault="00130759" w:rsidP="002E6B2C">
      <w:pPr>
        <w:spacing w:before="100" w:beforeAutospacing="1" w:after="100" w:afterAutospacing="1" w:line="240" w:lineRule="auto"/>
        <w:jc w:val="both"/>
        <w:rPr>
          <w:rFonts w:ascii="Times New Roman" w:eastAsia="Times New Roman" w:hAnsi="Times New Roman" w:cs="Times New Roman"/>
          <w:b/>
          <w:bCs/>
          <w:lang w:eastAsia="en-IN"/>
          <w14:ligatures w14:val="none"/>
        </w:rPr>
      </w:pPr>
      <w:r w:rsidRPr="008D3BF2">
        <w:rPr>
          <w:rFonts w:ascii="Times New Roman" w:eastAsia="Times New Roman" w:hAnsi="Times New Roman" w:cs="Times New Roman"/>
          <w:b/>
          <w:bCs/>
          <w:lang w:eastAsia="en-IN"/>
          <w14:ligatures w14:val="none"/>
        </w:rPr>
        <w:t>Keywords</w:t>
      </w:r>
    </w:p>
    <w:p w14:paraId="37206BC9" w14:textId="5294E72A" w:rsidR="00130759" w:rsidRPr="008D3BF2" w:rsidRDefault="00130759" w:rsidP="002E6B2C">
      <w:pPr>
        <w:spacing w:before="100" w:beforeAutospacing="1"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lang w:eastAsia="en-IN"/>
          <w14:ligatures w14:val="none"/>
        </w:rPr>
        <w:t>Oriental Bank of Commerce, United Bank of India, and Asset Quality, Operational Efficiency &amp; Profitability</w:t>
      </w:r>
      <w:r w:rsidR="0063391B" w:rsidRPr="008D3BF2">
        <w:rPr>
          <w:rFonts w:ascii="Times New Roman" w:eastAsia="Times New Roman" w:hAnsi="Times New Roman" w:cs="Times New Roman"/>
          <w:lang w:eastAsia="en-IN"/>
          <w14:ligatures w14:val="none"/>
        </w:rPr>
        <w:t>.</w:t>
      </w:r>
    </w:p>
    <w:p w14:paraId="07D35946" w14:textId="71D3DF6C" w:rsidR="00130759" w:rsidRPr="008D3BF2" w:rsidRDefault="00130759" w:rsidP="002E6B2C">
      <w:pPr>
        <w:pStyle w:val="NormalWeb"/>
        <w:jc w:val="both"/>
        <w:rPr>
          <w:sz w:val="22"/>
          <w:szCs w:val="22"/>
          <w14:ligatures w14:val="none"/>
        </w:rPr>
      </w:pPr>
    </w:p>
    <w:p w14:paraId="6750F9A7" w14:textId="77777777" w:rsidR="00130759" w:rsidRPr="008D3BF2" w:rsidRDefault="00130759" w:rsidP="002E6B2C">
      <w:pPr>
        <w:spacing w:line="240" w:lineRule="auto"/>
        <w:jc w:val="both"/>
        <w:rPr>
          <w:rFonts w:ascii="Times New Roman" w:hAnsi="Times New Roman" w:cs="Times New Roman"/>
          <w:b/>
        </w:rPr>
      </w:pPr>
    </w:p>
    <w:p w14:paraId="16E05E97" w14:textId="77777777" w:rsidR="00087987" w:rsidRPr="008D3BF2" w:rsidRDefault="00087987" w:rsidP="002E6B2C">
      <w:pPr>
        <w:spacing w:line="240" w:lineRule="auto"/>
        <w:jc w:val="both"/>
        <w:rPr>
          <w:rFonts w:ascii="Times New Roman" w:hAnsi="Times New Roman" w:cs="Times New Roman"/>
          <w:b/>
        </w:rPr>
      </w:pPr>
    </w:p>
    <w:p w14:paraId="754FA585" w14:textId="77777777" w:rsidR="00087987" w:rsidRPr="008D3BF2" w:rsidRDefault="00087987" w:rsidP="002E6B2C">
      <w:pPr>
        <w:spacing w:line="240" w:lineRule="auto"/>
        <w:jc w:val="both"/>
        <w:rPr>
          <w:rFonts w:ascii="Times New Roman" w:hAnsi="Times New Roman" w:cs="Times New Roman"/>
          <w:b/>
        </w:rPr>
      </w:pPr>
    </w:p>
    <w:p w14:paraId="5A1B81C9" w14:textId="77777777" w:rsidR="00087987" w:rsidRPr="008D3BF2" w:rsidRDefault="00087987" w:rsidP="002E6B2C">
      <w:pPr>
        <w:spacing w:line="240" w:lineRule="auto"/>
        <w:jc w:val="both"/>
        <w:rPr>
          <w:rFonts w:ascii="Times New Roman" w:hAnsi="Times New Roman" w:cs="Times New Roman"/>
          <w:b/>
        </w:rPr>
      </w:pPr>
    </w:p>
    <w:p w14:paraId="2C1814ED" w14:textId="77777777" w:rsidR="00087987" w:rsidRPr="008D3BF2" w:rsidRDefault="00087987" w:rsidP="002E6B2C">
      <w:pPr>
        <w:spacing w:line="240" w:lineRule="auto"/>
        <w:jc w:val="both"/>
        <w:rPr>
          <w:rFonts w:ascii="Times New Roman" w:hAnsi="Times New Roman" w:cs="Times New Roman"/>
          <w:b/>
        </w:rPr>
      </w:pPr>
    </w:p>
    <w:p w14:paraId="77D82CEA" w14:textId="77777777" w:rsidR="00087987" w:rsidRPr="008D3BF2" w:rsidRDefault="00087987" w:rsidP="002E6B2C">
      <w:pPr>
        <w:spacing w:line="240" w:lineRule="auto"/>
        <w:jc w:val="both"/>
        <w:rPr>
          <w:rFonts w:ascii="Times New Roman" w:hAnsi="Times New Roman" w:cs="Times New Roman"/>
          <w:b/>
        </w:rPr>
      </w:pPr>
    </w:p>
    <w:p w14:paraId="20004821" w14:textId="77777777" w:rsidR="00087987" w:rsidRPr="008D3BF2" w:rsidRDefault="00087987" w:rsidP="002E6B2C">
      <w:pPr>
        <w:spacing w:line="240" w:lineRule="auto"/>
        <w:jc w:val="both"/>
        <w:rPr>
          <w:rFonts w:ascii="Times New Roman" w:hAnsi="Times New Roman" w:cs="Times New Roman"/>
          <w:b/>
        </w:rPr>
      </w:pPr>
    </w:p>
    <w:p w14:paraId="0A88043C" w14:textId="77777777" w:rsidR="00DF7B3C" w:rsidRPr="008D3BF2" w:rsidRDefault="00DF7B3C" w:rsidP="002E6B2C">
      <w:pPr>
        <w:spacing w:line="240" w:lineRule="auto"/>
        <w:jc w:val="both"/>
        <w:rPr>
          <w:rFonts w:ascii="Times New Roman" w:hAnsi="Times New Roman" w:cs="Times New Roman"/>
          <w:b/>
        </w:rPr>
      </w:pPr>
    </w:p>
    <w:p w14:paraId="637B30B0" w14:textId="7F5F6A90" w:rsidR="00130759" w:rsidRPr="008D3BF2" w:rsidRDefault="00130759" w:rsidP="002E6B2C">
      <w:pPr>
        <w:spacing w:line="240" w:lineRule="auto"/>
        <w:jc w:val="both"/>
        <w:rPr>
          <w:rFonts w:ascii="Times New Roman" w:hAnsi="Times New Roman" w:cs="Times New Roman"/>
          <w:b/>
        </w:rPr>
      </w:pPr>
      <w:r w:rsidRPr="008D3BF2">
        <w:rPr>
          <w:rFonts w:ascii="Times New Roman" w:hAnsi="Times New Roman" w:cs="Times New Roman"/>
          <w:b/>
        </w:rPr>
        <w:lastRenderedPageBreak/>
        <w:t>Introduction</w:t>
      </w:r>
    </w:p>
    <w:p w14:paraId="59D656E8" w14:textId="7E810FE8" w:rsidR="00130759" w:rsidRPr="008D3BF2" w:rsidRDefault="00130759" w:rsidP="002E6B2C">
      <w:pPr>
        <w:spacing w:before="100" w:beforeAutospacing="1"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lang w:eastAsia="en-IN"/>
          <w14:ligatures w14:val="none"/>
        </w:rPr>
        <w:t>The finance department and banking sector is a supplier of an economy and financial fettle of a nation. In India, the retail sector has traditionally used Public Sector Banks (PSBs) as the comp</w:t>
      </w:r>
      <w:r w:rsidR="00DF7B3C" w:rsidRPr="008D3BF2">
        <w:rPr>
          <w:rFonts w:ascii="Times New Roman" w:eastAsia="Times New Roman" w:hAnsi="Times New Roman" w:cs="Times New Roman"/>
          <w:lang w:eastAsia="en-IN"/>
          <w14:ligatures w14:val="none"/>
        </w:rPr>
        <w:t>l</w:t>
      </w:r>
      <w:r w:rsidRPr="008D3BF2">
        <w:rPr>
          <w:rFonts w:ascii="Times New Roman" w:eastAsia="Times New Roman" w:hAnsi="Times New Roman" w:cs="Times New Roman"/>
          <w:lang w:eastAsia="en-IN"/>
          <w14:ligatures w14:val="none"/>
        </w:rPr>
        <w:t xml:space="preserve">ete financial </w:t>
      </w:r>
      <w:r w:rsidR="004B41D9" w:rsidRPr="008D3BF2">
        <w:rPr>
          <w:rFonts w:ascii="Times New Roman" w:eastAsia="Times New Roman" w:hAnsi="Times New Roman" w:cs="Times New Roman"/>
          <w:lang w:eastAsia="en-IN"/>
          <w14:ligatures w14:val="none"/>
        </w:rPr>
        <w:t>intermediary, especially</w:t>
      </w:r>
      <w:r w:rsidRPr="008D3BF2">
        <w:rPr>
          <w:rFonts w:ascii="Times New Roman" w:eastAsia="Times New Roman" w:hAnsi="Times New Roman" w:cs="Times New Roman"/>
          <w:lang w:eastAsia="en-IN"/>
          <w14:ligatures w14:val="none"/>
        </w:rPr>
        <w:t xml:space="preserve"> in semi-urban and rural areas. But, for Indian PSBs the NPAs have broadly complicated </w:t>
      </w:r>
      <w:proofErr w:type="gramStart"/>
      <w:r w:rsidRPr="008D3BF2">
        <w:rPr>
          <w:rFonts w:ascii="Times New Roman" w:eastAsia="Times New Roman" w:hAnsi="Times New Roman" w:cs="Times New Roman"/>
          <w:lang w:eastAsia="en-IN"/>
          <w14:ligatures w14:val="none"/>
        </w:rPr>
        <w:t>The</w:t>
      </w:r>
      <w:proofErr w:type="gramEnd"/>
      <w:r w:rsidRPr="008D3BF2">
        <w:rPr>
          <w:rFonts w:ascii="Times New Roman" w:eastAsia="Times New Roman" w:hAnsi="Times New Roman" w:cs="Times New Roman"/>
          <w:lang w:eastAsia="en-IN"/>
          <w14:ligatures w14:val="none"/>
        </w:rPr>
        <w:t xml:space="preserve"> asset quality, profitability and operational efficiency of these banks over a period of last ten years.</w:t>
      </w:r>
      <w:r w:rsidR="0063391B" w:rsidRPr="008D3BF2">
        <w:rPr>
          <w:rFonts w:ascii="Times New Roman" w:eastAsia="Times New Roman" w:hAnsi="Times New Roman" w:cs="Times New Roman"/>
          <w:lang w:eastAsia="en-IN"/>
          <w14:ligatures w14:val="none"/>
        </w:rPr>
        <w:t xml:space="preserve"> Higher NPA level affects the financials of bank and reduces the confidence of investors and depositors requiring capital injections by government and regulatory interventions.  In response to these issues, the Indian government and the Reserve Bank of India (RBI) undertook a major consolidation of public sector banks in 2019 and 2020. Punjab National Bank was merged with Oriental Bank of Commerce and United Bank of India on April 1, 2020 to form the country’s second-largest public sector bank in terms of assets and business volume. This is part of this plan.  Although the merger promised to improve operational synergy, customer reach and capital sufficiency, a side effect of the merger was the integration of substantial stressed assets from the merging banks.</w:t>
      </w:r>
      <w:r w:rsidR="0063391B" w:rsidRPr="008D3BF2">
        <w:t xml:space="preserve"> </w:t>
      </w:r>
      <w:r w:rsidR="0063391B" w:rsidRPr="008D3BF2">
        <w:rPr>
          <w:rFonts w:ascii="Times New Roman" w:eastAsia="Times New Roman" w:hAnsi="Times New Roman" w:cs="Times New Roman"/>
          <w:lang w:eastAsia="en-IN"/>
          <w14:ligatures w14:val="none"/>
        </w:rPr>
        <w:t>The merger aims at creating a more competitive, technologically advanced and financially sound financial institution which could withstand market shocks and improve credit delivery. Gross NPA and Net NPA ratios of PNB were high at the time of amalgamation of OBC with UBI, leading to a substantial increase in the consolidated NPA levels of PNB. The sudden influx of bad loans created new challenges for PNB’s asset quality management, requiring strategic recovery initiatives, higher provisioning, and operational restructuring. In this context, the study aims to critically analyse the impact of OBC and UBI before and after merger by using various ratios like Cost to Income, GNPA, NNPA, ROA, ROE, Net Profit etc</w:t>
      </w:r>
    </w:p>
    <w:p w14:paraId="6419E0CD" w14:textId="09FE452F" w:rsidR="0063391B" w:rsidRPr="008D3BF2" w:rsidRDefault="0063391B" w:rsidP="002E6B2C">
      <w:pPr>
        <w:spacing w:before="100" w:beforeAutospacing="1"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lang w:eastAsia="en-IN"/>
          <w14:ligatures w14:val="none"/>
        </w:rPr>
        <w:t>Using performance and financial indicators, the study looks at recovery and NPA patterns over a nine-year period, from 2015 to 2023, including both the pre-merger and post-merger periods. This research aims to determine whether operational synergies enhanced recovery, how financial performance metrics changed prior to and following the merger, and how the merger impacted PNB's asset quality through empirical analysis and comparison.</w:t>
      </w:r>
    </w:p>
    <w:p w14:paraId="5E270536" w14:textId="77777777" w:rsidR="0063391B" w:rsidRPr="008D3BF2" w:rsidRDefault="0063391B" w:rsidP="002E6B2C">
      <w:pPr>
        <w:pStyle w:val="Heading3"/>
        <w:spacing w:before="229" w:line="240" w:lineRule="auto"/>
        <w:rPr>
          <w:sz w:val="22"/>
          <w:szCs w:val="22"/>
        </w:rPr>
      </w:pPr>
      <w:r w:rsidRPr="008D3BF2">
        <w:rPr>
          <w:sz w:val="22"/>
          <w:szCs w:val="22"/>
        </w:rPr>
        <w:t>Review</w:t>
      </w:r>
      <w:r w:rsidRPr="008D3BF2">
        <w:rPr>
          <w:spacing w:val="-4"/>
          <w:sz w:val="22"/>
          <w:szCs w:val="22"/>
        </w:rPr>
        <w:t xml:space="preserve"> </w:t>
      </w:r>
      <w:r w:rsidRPr="008D3BF2">
        <w:rPr>
          <w:sz w:val="22"/>
          <w:szCs w:val="22"/>
        </w:rPr>
        <w:t>of</w:t>
      </w:r>
      <w:r w:rsidRPr="008D3BF2">
        <w:rPr>
          <w:spacing w:val="-2"/>
          <w:sz w:val="22"/>
          <w:szCs w:val="22"/>
        </w:rPr>
        <w:t xml:space="preserve"> Literature</w:t>
      </w:r>
    </w:p>
    <w:p w14:paraId="5C6FBF05" w14:textId="77777777" w:rsidR="00DF7B3C" w:rsidRPr="008D3BF2" w:rsidRDefault="00BB251D" w:rsidP="002E6B2C">
      <w:pPr>
        <w:spacing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b/>
          <w:bCs/>
          <w:lang w:eastAsia="en-IN"/>
          <w14:ligatures w14:val="none"/>
        </w:rPr>
        <w:t>Sarita Chouhan and Mahendra Singhai (2025) [1]</w:t>
      </w:r>
      <w:r w:rsidRPr="008D3BF2">
        <w:rPr>
          <w:rFonts w:ascii="Times New Roman" w:eastAsia="Times New Roman" w:hAnsi="Times New Roman" w:cs="Times New Roman"/>
          <w:lang w:eastAsia="en-IN"/>
          <w14:ligatures w14:val="none"/>
        </w:rPr>
        <w:t xml:space="preserve"> state that this study looks into the causes of these consolidations as well as how they affect operations and the economy. The analysis focuses on the merger's financial outcomes. Financial ratio analysis, statistical hypothesis testing, and qualitative surveys are all used in a mixed-methods study strategy. The study's conclusions indicate that mergers have enhanced both operational effectiveness and financial performance. The asset quality of a few Indian public sector commercial banks is investigated in this study using the CAMEL model.  </w:t>
      </w:r>
      <w:r w:rsidRPr="008D3BF2">
        <w:rPr>
          <w:rFonts w:ascii="Times New Roman" w:eastAsia="Times New Roman" w:hAnsi="Times New Roman" w:cs="Times New Roman"/>
          <w:b/>
          <w:bCs/>
          <w:lang w:eastAsia="en-IN"/>
          <w14:ligatures w14:val="none"/>
        </w:rPr>
        <w:t>Roy Anup Kumar, 2024 [2].</w:t>
      </w:r>
      <w:r w:rsidRPr="008D3BF2">
        <w:rPr>
          <w:rFonts w:ascii="Times New Roman" w:eastAsia="Times New Roman" w:hAnsi="Times New Roman" w:cs="Times New Roman"/>
          <w:lang w:eastAsia="en-IN"/>
          <w14:ligatures w14:val="none"/>
        </w:rPr>
        <w:t xml:space="preserve">  The study employs a descriptive research design for this objective. Ten banks for the pre-merger period (2016-17 to 2019-20) and four for the post-merger period (2020-21 to 2023-24) are covered by secondary data from 2016-17 to 2023-24. The analysis found that the merger had a favourable effect on the banks' asset quality and enhanced their risk management practices.   According to </w:t>
      </w:r>
      <w:r w:rsidRPr="008D3BF2">
        <w:rPr>
          <w:rFonts w:ascii="Times New Roman" w:eastAsia="Times New Roman" w:hAnsi="Times New Roman" w:cs="Times New Roman"/>
          <w:b/>
          <w:bCs/>
          <w:lang w:eastAsia="en-IN"/>
          <w14:ligatures w14:val="none"/>
        </w:rPr>
        <w:t>Jyotirmoy Koley (2024) [3],</w:t>
      </w:r>
      <w:r w:rsidRPr="008D3BF2">
        <w:rPr>
          <w:rFonts w:ascii="Times New Roman" w:eastAsia="Times New Roman" w:hAnsi="Times New Roman" w:cs="Times New Roman"/>
          <w:lang w:eastAsia="en-IN"/>
          <w14:ligatures w14:val="none"/>
        </w:rPr>
        <w:t xml:space="preserve"> the goal of this study was to determine how the Punjab National Bank's performance was impacted by the mergers and acquisitions program. The results show that the Punjab National Bank's performance is positively and significantly impacted by the mergers and acquisitions program. The performance of the main public sector banks in India is examined using the CAMELS framework.</w:t>
      </w:r>
      <w:r w:rsidRPr="008D3BF2">
        <w:t xml:space="preserve"> </w:t>
      </w:r>
      <w:r w:rsidRPr="008D3BF2">
        <w:rPr>
          <w:rFonts w:ascii="Times New Roman" w:eastAsia="Times New Roman" w:hAnsi="Times New Roman" w:cs="Times New Roman"/>
          <w:lang w:eastAsia="en-IN"/>
          <w14:ligatures w14:val="none"/>
        </w:rPr>
        <w:t xml:space="preserve">It was done by </w:t>
      </w:r>
      <w:r w:rsidRPr="008D3BF2">
        <w:rPr>
          <w:rFonts w:ascii="Times New Roman" w:eastAsia="Times New Roman" w:hAnsi="Times New Roman" w:cs="Times New Roman"/>
          <w:b/>
          <w:bCs/>
          <w:lang w:eastAsia="en-IN"/>
          <w14:ligatures w14:val="none"/>
        </w:rPr>
        <w:t>Kiran Kumar G K, Bishal Kumar Das, Pragya Sinha, and (2024) [4].</w:t>
      </w:r>
      <w:r w:rsidRPr="008D3BF2">
        <w:rPr>
          <w:rFonts w:ascii="Times New Roman" w:eastAsia="Times New Roman" w:hAnsi="Times New Roman" w:cs="Times New Roman"/>
          <w:lang w:eastAsia="en-IN"/>
          <w14:ligatures w14:val="none"/>
        </w:rPr>
        <w:t xml:space="preserve"> The Punjab National Bank, the State Bank of India, the Bank of Baroda, and Canara Bank are included in the analysis, which spans the years 2014 to 2023. Stakeholders, politicians, and scholars can use the study's insights about the advantages, disadvantages, possibilities, and risks of public sector banks to decide on the future course of the banking industry and regulatory actions.</w:t>
      </w:r>
      <w:r w:rsidRPr="008D3BF2">
        <w:t xml:space="preserve"> </w:t>
      </w:r>
      <w:r w:rsidRPr="008D3BF2">
        <w:rPr>
          <w:rFonts w:ascii="Times New Roman" w:eastAsia="Times New Roman" w:hAnsi="Times New Roman" w:cs="Times New Roman"/>
          <w:lang w:eastAsia="en-IN"/>
          <w14:ligatures w14:val="none"/>
        </w:rPr>
        <w:t xml:space="preserve">The operational efficacy of public and private service banks after mergers is examined by </w:t>
      </w:r>
      <w:r w:rsidRPr="008D3BF2">
        <w:rPr>
          <w:rFonts w:ascii="Times New Roman" w:eastAsia="Times New Roman" w:hAnsi="Times New Roman" w:cs="Times New Roman"/>
          <w:b/>
          <w:bCs/>
          <w:lang w:eastAsia="en-IN"/>
          <w14:ligatures w14:val="none"/>
        </w:rPr>
        <w:t>Sagnik Maity and Amit Majumder (2024) [5].</w:t>
      </w:r>
      <w:r w:rsidRPr="008D3BF2">
        <w:rPr>
          <w:rFonts w:ascii="Times New Roman" w:eastAsia="Times New Roman" w:hAnsi="Times New Roman" w:cs="Times New Roman"/>
          <w:lang w:eastAsia="en-IN"/>
          <w14:ligatures w14:val="none"/>
        </w:rPr>
        <w:t xml:space="preserve"> The study also makes an effort to rank each bank in the years before and after mergers.  Consequently, the study was carried out over a period of five years, from 2017 to 2022.  The researchers employed the data envelopment analysis (DEA) technique to determine the efficacy. Even if the merger improved the public service banks' performance, they nevertheless trailed the private sector banks.</w:t>
      </w:r>
      <w:r w:rsidRPr="008D3BF2">
        <w:t xml:space="preserve"> </w:t>
      </w:r>
      <w:r w:rsidRPr="008D3BF2">
        <w:rPr>
          <w:rFonts w:ascii="Times New Roman" w:eastAsia="Times New Roman" w:hAnsi="Times New Roman" w:cs="Times New Roman"/>
          <w:lang w:eastAsia="en-IN"/>
          <w14:ligatures w14:val="none"/>
        </w:rPr>
        <w:t xml:space="preserve">Trupti Mandar Joshi and Anuja Rishi Limbad's current work </w:t>
      </w:r>
      <w:r w:rsidR="004B41D9" w:rsidRPr="008D3BF2">
        <w:rPr>
          <w:rFonts w:ascii="Times New Roman" w:eastAsia="Times New Roman" w:hAnsi="Times New Roman" w:cs="Times New Roman"/>
          <w:lang w:eastAsia="en-IN"/>
          <w14:ligatures w14:val="none"/>
        </w:rPr>
        <w:t>centres</w:t>
      </w:r>
      <w:r w:rsidRPr="008D3BF2">
        <w:rPr>
          <w:rFonts w:ascii="Times New Roman" w:eastAsia="Times New Roman" w:hAnsi="Times New Roman" w:cs="Times New Roman"/>
          <w:lang w:eastAsia="en-IN"/>
          <w14:ligatures w14:val="none"/>
        </w:rPr>
        <w:t xml:space="preserve"> on the significant bank merger that occurred in April 2020. Both the financial assessments conducted before and after the merger make use of the CAMEL's parameters.  Paired T-tests are used to examine the financial performance of banks participating in mega-mergers before and after the merger. </w:t>
      </w:r>
    </w:p>
    <w:p w14:paraId="0B1ECD17" w14:textId="77777777" w:rsidR="00DF7B3C" w:rsidRPr="008D3BF2" w:rsidRDefault="00DF7B3C" w:rsidP="002E6B2C">
      <w:pPr>
        <w:spacing w:after="100" w:afterAutospacing="1" w:line="240" w:lineRule="auto"/>
        <w:jc w:val="both"/>
        <w:rPr>
          <w:rFonts w:ascii="Times New Roman" w:eastAsia="Times New Roman" w:hAnsi="Times New Roman" w:cs="Times New Roman"/>
          <w:lang w:eastAsia="en-IN"/>
          <w14:ligatures w14:val="none"/>
        </w:rPr>
      </w:pPr>
    </w:p>
    <w:p w14:paraId="0BF70FFF" w14:textId="37AEADBE" w:rsidR="00B9722F" w:rsidRPr="008D3BF2" w:rsidRDefault="00BB251D" w:rsidP="002E6B2C">
      <w:pPr>
        <w:spacing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b/>
          <w:bCs/>
          <w:lang w:eastAsia="en-IN"/>
          <w14:ligatures w14:val="none"/>
        </w:rPr>
        <w:lastRenderedPageBreak/>
        <w:t xml:space="preserve">Atul Garg and </w:t>
      </w:r>
      <w:proofErr w:type="gramStart"/>
      <w:r w:rsidR="002E6B2C" w:rsidRPr="008D3BF2">
        <w:rPr>
          <w:rFonts w:ascii="Times New Roman" w:eastAsia="Times New Roman" w:hAnsi="Times New Roman" w:cs="Times New Roman"/>
          <w:b/>
          <w:bCs/>
          <w:lang w:eastAsia="en-IN"/>
          <w14:ligatures w14:val="none"/>
        </w:rPr>
        <w:t>Dr.Manpreet</w:t>
      </w:r>
      <w:proofErr w:type="gramEnd"/>
      <w:r w:rsidRPr="008D3BF2">
        <w:rPr>
          <w:rFonts w:ascii="Times New Roman" w:eastAsia="Times New Roman" w:hAnsi="Times New Roman" w:cs="Times New Roman"/>
          <w:b/>
          <w:bCs/>
          <w:lang w:eastAsia="en-IN"/>
          <w14:ligatures w14:val="none"/>
        </w:rPr>
        <w:t xml:space="preserve"> Kaur, (2023) [6]:</w:t>
      </w:r>
      <w:r w:rsidRPr="008D3BF2">
        <w:rPr>
          <w:rFonts w:ascii="Times New Roman" w:eastAsia="Times New Roman" w:hAnsi="Times New Roman" w:cs="Times New Roman"/>
          <w:lang w:eastAsia="en-IN"/>
          <w14:ligatures w14:val="none"/>
        </w:rPr>
        <w:t xml:space="preserve"> This study aims to determine whether bank performance following mergers will indeed accelerate economic growth. The stability of banks is dubious, and the merger would negatively affect the net profit of the new banks.  In order to enhance revenue and stability, the new banks must concentrate on these qualities, which eventually raises share value over time.  The purpose of this study, according </w:t>
      </w:r>
      <w:r w:rsidRPr="008D3BF2">
        <w:rPr>
          <w:rFonts w:ascii="Times New Roman" w:eastAsia="Times New Roman" w:hAnsi="Times New Roman" w:cs="Times New Roman"/>
          <w:b/>
          <w:bCs/>
          <w:lang w:eastAsia="en-IN"/>
          <w14:ligatures w14:val="none"/>
        </w:rPr>
        <w:t xml:space="preserve">to </w:t>
      </w:r>
      <w:r w:rsidR="002E6B2C" w:rsidRPr="008D3BF2">
        <w:rPr>
          <w:rFonts w:ascii="Times New Roman" w:eastAsia="Times New Roman" w:hAnsi="Times New Roman" w:cs="Times New Roman"/>
          <w:b/>
          <w:bCs/>
          <w:lang w:eastAsia="en-IN"/>
          <w14:ligatures w14:val="none"/>
        </w:rPr>
        <w:t>Pramod</w:t>
      </w:r>
      <w:r w:rsidRPr="008D3BF2">
        <w:rPr>
          <w:rFonts w:ascii="Times New Roman" w:eastAsia="Times New Roman" w:hAnsi="Times New Roman" w:cs="Times New Roman"/>
          <w:b/>
          <w:bCs/>
          <w:lang w:eastAsia="en-IN"/>
          <w14:ligatures w14:val="none"/>
        </w:rPr>
        <w:t xml:space="preserve"> Kumar Sharma and Babli Dhiman, (2023) [7],</w:t>
      </w:r>
      <w:r w:rsidRPr="008D3BF2">
        <w:rPr>
          <w:rFonts w:ascii="Times New Roman" w:eastAsia="Times New Roman" w:hAnsi="Times New Roman" w:cs="Times New Roman"/>
          <w:lang w:eastAsia="en-IN"/>
          <w14:ligatures w14:val="none"/>
        </w:rPr>
        <w:t xml:space="preserve"> is to examine how gross non-performing assets (GNPA) impacts key financial ratios of public sector banks, including profitability ratios like ROA, ROE, and NIM, using correlation and regression analysis.  Furthermore, an attempt was made to find commonalities in the financial performance of the different bank groups that had been combined. It was discovered that the GNPA of PSBs was negatively correlated with other important financial variables such as the CD ratio, NIM, ROA, ROE, and CAR.</w:t>
      </w:r>
      <w:r w:rsidRPr="008D3BF2">
        <w:t xml:space="preserve"> </w:t>
      </w:r>
      <w:r w:rsidRPr="008D3BF2">
        <w:rPr>
          <w:rFonts w:ascii="Times New Roman" w:eastAsia="Times New Roman" w:hAnsi="Times New Roman" w:cs="Times New Roman"/>
          <w:lang w:eastAsia="en-IN"/>
          <w14:ligatures w14:val="none"/>
        </w:rPr>
        <w:t xml:space="preserve">The report also highlighted the </w:t>
      </w:r>
    </w:p>
    <w:p w14:paraId="4E52EBA5" w14:textId="12C6C9B8" w:rsidR="0063391B" w:rsidRPr="008D3BF2" w:rsidRDefault="00BB251D" w:rsidP="002E6B2C">
      <w:pPr>
        <w:spacing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lang w:eastAsia="en-IN"/>
          <w14:ligatures w14:val="none"/>
        </w:rPr>
        <w:t xml:space="preserve">combination of both weaker and stronger public sector banks. </w:t>
      </w:r>
      <w:r w:rsidRPr="008D3BF2">
        <w:rPr>
          <w:rFonts w:ascii="Times New Roman" w:eastAsia="Times New Roman" w:hAnsi="Times New Roman" w:cs="Times New Roman"/>
          <w:b/>
          <w:bCs/>
          <w:lang w:eastAsia="en-IN"/>
          <w14:ligatures w14:val="none"/>
        </w:rPr>
        <w:t>Syed Khaja Safiuddin Shahana Jabeen, (2022) [8] This study presents the financial performance of Indian banks before and after mergers using the</w:t>
      </w:r>
      <w:r w:rsidRPr="008D3BF2">
        <w:rPr>
          <w:rFonts w:ascii="Times New Roman" w:eastAsia="Times New Roman" w:hAnsi="Times New Roman" w:cs="Times New Roman"/>
          <w:lang w:eastAsia="en-IN"/>
          <w14:ligatures w14:val="none"/>
        </w:rPr>
        <w:t xml:space="preserve"> most popular and authentic financial model, CAMEL.  RBI statistics, published publications, yearly reports, and other financial data from January 2018 to March 2022 are all included in the secondary study.  Punjab National Bank, Canara Bank, and Bank of Baroda are the </w:t>
      </w:r>
      <w:r w:rsidR="004B41D9" w:rsidRPr="008D3BF2">
        <w:rPr>
          <w:rFonts w:ascii="Times New Roman" w:eastAsia="Times New Roman" w:hAnsi="Times New Roman" w:cs="Times New Roman"/>
          <w:lang w:eastAsia="en-IN"/>
          <w14:ligatures w14:val="none"/>
        </w:rPr>
        <w:t>favoured</w:t>
      </w:r>
      <w:r w:rsidRPr="008D3BF2">
        <w:rPr>
          <w:rFonts w:ascii="Times New Roman" w:eastAsia="Times New Roman" w:hAnsi="Times New Roman" w:cs="Times New Roman"/>
          <w:lang w:eastAsia="en-IN"/>
          <w14:ligatures w14:val="none"/>
        </w:rPr>
        <w:t xml:space="preserve"> financial institutions. The study finds that banks' financial performance was good in terms of earning capability, management efficacy, and sufficient capital. The study states that banks must maintain a healthy level of liquidity and improve asset </w:t>
      </w:r>
      <w:r w:rsidR="005F43F6" w:rsidRPr="008D3BF2">
        <w:rPr>
          <w:rFonts w:ascii="Times New Roman" w:eastAsia="Times New Roman" w:hAnsi="Times New Roman" w:cs="Times New Roman"/>
          <w:lang w:eastAsia="en-IN"/>
          <w14:ligatures w14:val="none"/>
        </w:rPr>
        <w:t>quality.</w:t>
      </w:r>
      <w:r w:rsidRPr="008D3BF2">
        <w:t xml:space="preserve"> </w:t>
      </w:r>
      <w:r w:rsidRPr="008D3BF2">
        <w:rPr>
          <w:rFonts w:ascii="Times New Roman" w:eastAsia="Times New Roman" w:hAnsi="Times New Roman" w:cs="Times New Roman"/>
          <w:lang w:eastAsia="en-IN"/>
          <w14:ligatures w14:val="none"/>
        </w:rPr>
        <w:t xml:space="preserve">BOB is the best in terms of total performance. </w:t>
      </w:r>
      <w:r w:rsidRPr="008D3BF2">
        <w:rPr>
          <w:rFonts w:ascii="Times New Roman" w:eastAsia="Times New Roman" w:hAnsi="Times New Roman" w:cs="Times New Roman"/>
          <w:b/>
          <w:bCs/>
          <w:lang w:eastAsia="en-IN"/>
          <w14:ligatures w14:val="none"/>
        </w:rPr>
        <w:t>Sankar Paul (2021) [9]</w:t>
      </w:r>
      <w:r w:rsidRPr="008D3BF2">
        <w:rPr>
          <w:rFonts w:ascii="Times New Roman" w:eastAsia="Times New Roman" w:hAnsi="Times New Roman" w:cs="Times New Roman"/>
          <w:lang w:eastAsia="en-IN"/>
          <w14:ligatures w14:val="none"/>
        </w:rPr>
        <w:t xml:space="preserve"> states that the pre- and post-merger financial characteristics of Punjab National Bank, United Bank of India, and Oriental Bank of Commerce are the subject of the current </w:t>
      </w:r>
      <w:r w:rsidR="004B41D9" w:rsidRPr="008D3BF2">
        <w:rPr>
          <w:rFonts w:ascii="Times New Roman" w:eastAsia="Times New Roman" w:hAnsi="Times New Roman" w:cs="Times New Roman"/>
          <w:lang w:eastAsia="en-IN"/>
          <w14:ligatures w14:val="none"/>
        </w:rPr>
        <w:t>inquiry. The</w:t>
      </w:r>
      <w:r w:rsidRPr="008D3BF2">
        <w:rPr>
          <w:rFonts w:ascii="Times New Roman" w:eastAsia="Times New Roman" w:hAnsi="Times New Roman" w:cs="Times New Roman"/>
          <w:lang w:eastAsia="en-IN"/>
          <w14:ligatures w14:val="none"/>
        </w:rPr>
        <w:t xml:space="preserve"> results show that while the bank's Return on Equity, Earnings per Share, Net Profit Margin, and Net Interest Margin have all improved since the merger, Punjab National Bank's NPA value has fallen.</w:t>
      </w:r>
    </w:p>
    <w:p w14:paraId="619C2E9D" w14:textId="77777777" w:rsidR="004B41D9" w:rsidRPr="008D3BF2" w:rsidRDefault="004B41D9" w:rsidP="002E6B2C">
      <w:pPr>
        <w:pStyle w:val="Heading3"/>
        <w:spacing w:before="0" w:line="240" w:lineRule="auto"/>
        <w:ind w:left="0"/>
        <w:rPr>
          <w:spacing w:val="-5"/>
          <w:sz w:val="22"/>
          <w:szCs w:val="22"/>
        </w:rPr>
      </w:pPr>
      <w:r w:rsidRPr="008D3BF2">
        <w:rPr>
          <w:sz w:val="22"/>
          <w:szCs w:val="22"/>
        </w:rPr>
        <w:t>Research</w:t>
      </w:r>
      <w:r w:rsidRPr="008D3BF2">
        <w:rPr>
          <w:spacing w:val="-6"/>
          <w:sz w:val="22"/>
          <w:szCs w:val="22"/>
        </w:rPr>
        <w:t xml:space="preserve"> </w:t>
      </w:r>
      <w:r w:rsidRPr="008D3BF2">
        <w:rPr>
          <w:spacing w:val="-5"/>
          <w:sz w:val="22"/>
          <w:szCs w:val="22"/>
        </w:rPr>
        <w:t>Gap</w:t>
      </w:r>
    </w:p>
    <w:p w14:paraId="50837250" w14:textId="66FE94EC" w:rsidR="004B41D9" w:rsidRPr="008D3BF2" w:rsidRDefault="004B41D9" w:rsidP="002E6B2C">
      <w:pPr>
        <w:spacing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lang w:eastAsia="en-IN"/>
          <w14:ligatures w14:val="none"/>
        </w:rPr>
        <w:t>Based on the metrics used in this study, it has been concluded that the previous research is insufficient, inconclusive, and does not compare the profitability, asset quality, or operational efficiency of the three Scheduled commercial banks that were chosen.  In other words, this study was broadened to cover the gap left by the contradictory findings of the investigated studies.</w:t>
      </w:r>
    </w:p>
    <w:p w14:paraId="0796F1DC" w14:textId="77777777" w:rsidR="004B41D9" w:rsidRPr="008D3BF2" w:rsidRDefault="004B41D9" w:rsidP="002E6B2C">
      <w:pPr>
        <w:pStyle w:val="Heading3"/>
        <w:spacing w:line="240" w:lineRule="auto"/>
        <w:rPr>
          <w:sz w:val="22"/>
          <w:szCs w:val="22"/>
        </w:rPr>
      </w:pPr>
      <w:r w:rsidRPr="008D3BF2">
        <w:rPr>
          <w:sz w:val="22"/>
          <w:szCs w:val="22"/>
        </w:rPr>
        <w:t>Research</w:t>
      </w:r>
      <w:r w:rsidRPr="008D3BF2">
        <w:rPr>
          <w:spacing w:val="-6"/>
          <w:sz w:val="22"/>
          <w:szCs w:val="22"/>
        </w:rPr>
        <w:t xml:space="preserve"> </w:t>
      </w:r>
      <w:r w:rsidRPr="008D3BF2">
        <w:rPr>
          <w:spacing w:val="-2"/>
          <w:sz w:val="22"/>
          <w:szCs w:val="22"/>
        </w:rPr>
        <w:t>Objectives</w:t>
      </w:r>
    </w:p>
    <w:p w14:paraId="1AFA2551" w14:textId="77777777" w:rsidR="004B41D9" w:rsidRPr="008D3BF2" w:rsidRDefault="004B41D9" w:rsidP="002E6B2C">
      <w:pPr>
        <w:spacing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lang w:eastAsia="en-IN"/>
          <w14:ligatures w14:val="none"/>
        </w:rPr>
        <w:t>The present study aims to investigate the following:</w:t>
      </w:r>
    </w:p>
    <w:p w14:paraId="097662BB" w14:textId="77777777" w:rsidR="004B41D9" w:rsidRPr="008D3BF2" w:rsidRDefault="004B41D9" w:rsidP="002E6B2C">
      <w:pPr>
        <w:spacing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lang w:eastAsia="en-IN"/>
          <w14:ligatures w14:val="none"/>
        </w:rPr>
        <w:t xml:space="preserve"> 1. To compare the effects of the merger on the net profit, return on equity, and return on assets of Punjab National Bank.</w:t>
      </w:r>
    </w:p>
    <w:p w14:paraId="1DB64C4B" w14:textId="77777777" w:rsidR="004B41D9" w:rsidRPr="008D3BF2" w:rsidRDefault="004B41D9" w:rsidP="002E6B2C">
      <w:pPr>
        <w:spacing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lang w:eastAsia="en-IN"/>
          <w14:ligatures w14:val="none"/>
        </w:rPr>
        <w:t xml:space="preserve"> 2. To determine the asset quality of Punjab National Bank. </w:t>
      </w:r>
    </w:p>
    <w:p w14:paraId="43615216" w14:textId="7599A119" w:rsidR="004B41D9" w:rsidRPr="008D3BF2" w:rsidRDefault="004B41D9" w:rsidP="002E6B2C">
      <w:pPr>
        <w:spacing w:after="100" w:afterAutospacing="1" w:line="240" w:lineRule="auto"/>
        <w:jc w:val="both"/>
        <w:rPr>
          <w:rFonts w:ascii="Times New Roman" w:eastAsia="Times New Roman" w:hAnsi="Times New Roman" w:cs="Times New Roman"/>
          <w:lang w:eastAsia="en-IN"/>
          <w14:ligatures w14:val="none"/>
        </w:rPr>
      </w:pPr>
      <w:r w:rsidRPr="008D3BF2">
        <w:rPr>
          <w:rFonts w:ascii="Times New Roman" w:eastAsia="Times New Roman" w:hAnsi="Times New Roman" w:cs="Times New Roman"/>
          <w:lang w:eastAsia="en-IN"/>
          <w14:ligatures w14:val="none"/>
        </w:rPr>
        <w:t>3. To compare how well Punjab National Bank operated prior to and following the merger.</w:t>
      </w:r>
    </w:p>
    <w:p w14:paraId="41B37A1C" w14:textId="21E3B105" w:rsidR="004B41D9" w:rsidRPr="008D3BF2" w:rsidRDefault="004B41D9" w:rsidP="002E6B2C">
      <w:pPr>
        <w:pStyle w:val="Heading3"/>
        <w:spacing w:before="1" w:line="240" w:lineRule="auto"/>
        <w:ind w:left="0"/>
        <w:rPr>
          <w:sz w:val="22"/>
          <w:szCs w:val="22"/>
        </w:rPr>
      </w:pPr>
      <w:r w:rsidRPr="008D3BF2">
        <w:rPr>
          <w:sz w:val="22"/>
          <w:szCs w:val="22"/>
        </w:rPr>
        <w:t>Research</w:t>
      </w:r>
      <w:r w:rsidRPr="008D3BF2">
        <w:rPr>
          <w:spacing w:val="-6"/>
          <w:sz w:val="22"/>
          <w:szCs w:val="22"/>
        </w:rPr>
        <w:t xml:space="preserve"> </w:t>
      </w:r>
      <w:r w:rsidRPr="008D3BF2">
        <w:rPr>
          <w:spacing w:val="-2"/>
          <w:sz w:val="22"/>
          <w:szCs w:val="22"/>
        </w:rPr>
        <w:t>Methodology</w:t>
      </w:r>
    </w:p>
    <w:p w14:paraId="27737402" w14:textId="6B0D3528" w:rsidR="00130759" w:rsidRPr="008D3BF2" w:rsidRDefault="004B41D9" w:rsidP="002E6B2C">
      <w:pPr>
        <w:spacing w:line="240" w:lineRule="auto"/>
        <w:jc w:val="both"/>
        <w:rPr>
          <w:rFonts w:ascii="Times New Roman" w:hAnsi="Times New Roman" w:cs="Times New Roman"/>
          <w:bCs/>
        </w:rPr>
      </w:pPr>
      <w:r w:rsidRPr="008D3BF2">
        <w:rPr>
          <w:rFonts w:ascii="Times New Roman" w:hAnsi="Times New Roman" w:cs="Times New Roman"/>
          <w:bCs/>
        </w:rPr>
        <w:t xml:space="preserve">The study's parameters and limits, as well as data collecting and analysis techniques, are all part of the research methodology. The current study is totally dependent on secondary data and seeks to be both analytical and descriptive. To conduct this study, OBC, PNB, and UBI, three Indian scheduled commercial banks, </w:t>
      </w:r>
      <w:bookmarkStart w:id="0" w:name="_GoBack"/>
      <w:bookmarkEnd w:id="0"/>
      <w:r w:rsidR="005F43F6" w:rsidRPr="008D3BF2">
        <w:rPr>
          <w:rFonts w:ascii="Times New Roman" w:hAnsi="Times New Roman" w:cs="Times New Roman"/>
          <w:bCs/>
        </w:rPr>
        <w:t>using</w:t>
      </w:r>
      <w:r w:rsidRPr="008D3BF2">
        <w:rPr>
          <w:rFonts w:ascii="Times New Roman" w:hAnsi="Times New Roman" w:cs="Times New Roman"/>
          <w:bCs/>
        </w:rPr>
        <w:t xml:space="preserve"> a range of indicators, such as the Cost to Income Ratio, Gross NPA, Net NPA, Net Profit, ROA, ROE, and NIM, the researcher's objective in this study is to evaluate the financial performance of scheduled commercial banks.  The RBI Financial Stability Reports, financial newspapers, merger circulars issued by the RBI, and the annual reports of Punjab National Bank, United Bank of India, and Oriental Bank of Commerce were used to complete the ten-year data collection in order to accomplish the study's objectives.</w:t>
      </w:r>
    </w:p>
    <w:p w14:paraId="601A03B2" w14:textId="2BF1DBB0" w:rsidR="004B41D9" w:rsidRPr="008D3BF2" w:rsidRDefault="004B41D9" w:rsidP="002E6B2C">
      <w:pPr>
        <w:pStyle w:val="Heading3"/>
        <w:spacing w:before="227" w:line="240" w:lineRule="auto"/>
        <w:ind w:left="14"/>
        <w:rPr>
          <w:spacing w:val="-4"/>
          <w:sz w:val="22"/>
          <w:szCs w:val="22"/>
        </w:rPr>
      </w:pPr>
      <w:r w:rsidRPr="008D3BF2">
        <w:rPr>
          <w:sz w:val="22"/>
          <w:szCs w:val="22"/>
        </w:rPr>
        <w:t>Hypothes</w:t>
      </w:r>
      <w:r w:rsidR="002E6B2C" w:rsidRPr="008D3BF2">
        <w:rPr>
          <w:sz w:val="22"/>
          <w:szCs w:val="22"/>
        </w:rPr>
        <w:t>i</w:t>
      </w:r>
      <w:r w:rsidRPr="008D3BF2">
        <w:rPr>
          <w:sz w:val="22"/>
          <w:szCs w:val="22"/>
        </w:rPr>
        <w:t>s</w:t>
      </w:r>
      <w:r w:rsidRPr="008D3BF2">
        <w:rPr>
          <w:spacing w:val="-3"/>
          <w:sz w:val="22"/>
          <w:szCs w:val="22"/>
        </w:rPr>
        <w:t xml:space="preserve"> </w:t>
      </w:r>
      <w:r w:rsidRPr="008D3BF2">
        <w:rPr>
          <w:sz w:val="22"/>
          <w:szCs w:val="22"/>
        </w:rPr>
        <w:t>of</w:t>
      </w:r>
      <w:r w:rsidRPr="008D3BF2">
        <w:rPr>
          <w:spacing w:val="-3"/>
          <w:sz w:val="22"/>
          <w:szCs w:val="22"/>
        </w:rPr>
        <w:t xml:space="preserve"> </w:t>
      </w:r>
      <w:r w:rsidRPr="008D3BF2">
        <w:rPr>
          <w:sz w:val="22"/>
          <w:szCs w:val="22"/>
        </w:rPr>
        <w:t>the</w:t>
      </w:r>
      <w:r w:rsidRPr="008D3BF2">
        <w:rPr>
          <w:spacing w:val="-3"/>
          <w:sz w:val="22"/>
          <w:szCs w:val="22"/>
        </w:rPr>
        <w:t xml:space="preserve"> </w:t>
      </w:r>
      <w:r w:rsidRPr="008D3BF2">
        <w:rPr>
          <w:spacing w:val="-4"/>
          <w:sz w:val="22"/>
          <w:szCs w:val="22"/>
        </w:rPr>
        <w:t>Study</w:t>
      </w:r>
    </w:p>
    <w:p w14:paraId="77AEE259" w14:textId="77777777" w:rsidR="004B41D9" w:rsidRPr="008D3BF2" w:rsidRDefault="004B41D9" w:rsidP="002E6B2C">
      <w:pPr>
        <w:pStyle w:val="Heading3"/>
        <w:spacing w:before="227" w:line="240" w:lineRule="auto"/>
        <w:ind w:left="14"/>
        <w:rPr>
          <w:b w:val="0"/>
          <w:bCs w:val="0"/>
          <w:sz w:val="22"/>
          <w:szCs w:val="22"/>
        </w:rPr>
      </w:pPr>
      <w:r w:rsidRPr="008D3BF2">
        <w:rPr>
          <w:b w:val="0"/>
          <w:bCs w:val="0"/>
          <w:sz w:val="22"/>
          <w:szCs w:val="22"/>
        </w:rPr>
        <w:t>Financial data must be used to develop and test particular hypotheses in order to assess the effects of the Punjab National Bank (PNB) merger of Oriental Bank of Commerce (OBC) and United Bank of India (UBI). The theories are based on three major performance parameters: profitability, asset quality, and operational efficiency.</w:t>
      </w:r>
    </w:p>
    <w:p w14:paraId="0D64032E" w14:textId="72991DEC" w:rsidR="004B41D9" w:rsidRPr="008D3BF2" w:rsidRDefault="004B41D9" w:rsidP="002E6B2C">
      <w:pPr>
        <w:pStyle w:val="Heading3"/>
        <w:spacing w:before="227" w:line="240" w:lineRule="auto"/>
        <w:ind w:left="14"/>
        <w:rPr>
          <w:b w:val="0"/>
          <w:bCs w:val="0"/>
          <w:sz w:val="22"/>
          <w:szCs w:val="22"/>
        </w:rPr>
      </w:pPr>
      <w:r w:rsidRPr="008D3BF2">
        <w:rPr>
          <w:b w:val="0"/>
          <w:bCs w:val="0"/>
          <w:sz w:val="22"/>
          <w:szCs w:val="22"/>
        </w:rPr>
        <w:lastRenderedPageBreak/>
        <w:t xml:space="preserve"> Null Hypothesis H01: states that there is no discernible difference between the bank's profitability before and after the merger (return on assets, return on equity, net interest margin, and net profit). Null Hypothesis H02: Before and after the merger, there was no discernible change in the bank's asset quality (Gross NPA and Net NPA).</w:t>
      </w:r>
    </w:p>
    <w:p w14:paraId="6ED9AED2" w14:textId="50DABD33" w:rsidR="004B41D9" w:rsidRPr="008D3BF2" w:rsidRDefault="004B41D9" w:rsidP="002E6B2C">
      <w:pPr>
        <w:pStyle w:val="Heading3"/>
        <w:spacing w:before="227" w:line="240" w:lineRule="auto"/>
        <w:ind w:left="14"/>
        <w:rPr>
          <w:b w:val="0"/>
          <w:bCs w:val="0"/>
          <w:sz w:val="22"/>
          <w:szCs w:val="22"/>
        </w:rPr>
      </w:pPr>
      <w:r w:rsidRPr="008D3BF2">
        <w:rPr>
          <w:b w:val="0"/>
          <w:bCs w:val="0"/>
          <w:sz w:val="22"/>
          <w:szCs w:val="22"/>
        </w:rPr>
        <w:t xml:space="preserve"> Null Hypothesis H03: There was no discernible difference between the bank's operational efficiency (cost-to-income ratio) before to and following the merger.</w:t>
      </w:r>
    </w:p>
    <w:p w14:paraId="53438389" w14:textId="321FD8D4" w:rsidR="004B41D9" w:rsidRPr="008D3BF2" w:rsidRDefault="004B41D9" w:rsidP="002E6B2C">
      <w:pPr>
        <w:spacing w:line="240" w:lineRule="auto"/>
        <w:jc w:val="both"/>
        <w:rPr>
          <w:rFonts w:ascii="Times New Roman" w:hAnsi="Times New Roman" w:cs="Times New Roman"/>
        </w:rPr>
      </w:pPr>
      <w:r w:rsidRPr="008D3BF2">
        <w:rPr>
          <w:rFonts w:ascii="Times New Roman" w:hAnsi="Times New Roman" w:cs="Times New Roman"/>
        </w:rPr>
        <w:t>The data gathered for the three chosen scheduled commercial banks—Oriental Bank of Commerce, United Bank of India, and Punjab National Bank—was assessed using the mean, standard deviation, and error. Significant variations in profitability, asset quality, and operational efficiency were also sought using the t-test with a 95% confidence level.</w:t>
      </w:r>
    </w:p>
    <w:p w14:paraId="2B66246A" w14:textId="77777777" w:rsidR="004B41D9" w:rsidRPr="008D3BF2" w:rsidRDefault="004B41D9" w:rsidP="002E6B2C">
      <w:pPr>
        <w:pStyle w:val="Heading3"/>
        <w:spacing w:line="240" w:lineRule="auto"/>
        <w:ind w:left="14"/>
        <w:rPr>
          <w:spacing w:val="-2"/>
          <w:sz w:val="22"/>
          <w:szCs w:val="22"/>
        </w:rPr>
      </w:pPr>
      <w:r w:rsidRPr="008D3BF2">
        <w:rPr>
          <w:sz w:val="22"/>
          <w:szCs w:val="22"/>
        </w:rPr>
        <w:t>Results</w:t>
      </w:r>
      <w:r w:rsidRPr="008D3BF2">
        <w:rPr>
          <w:spacing w:val="-3"/>
          <w:sz w:val="22"/>
          <w:szCs w:val="22"/>
        </w:rPr>
        <w:t xml:space="preserve"> </w:t>
      </w:r>
      <w:r w:rsidRPr="008D3BF2">
        <w:rPr>
          <w:sz w:val="22"/>
          <w:szCs w:val="22"/>
        </w:rPr>
        <w:t>and</w:t>
      </w:r>
      <w:r w:rsidRPr="008D3BF2">
        <w:rPr>
          <w:spacing w:val="-2"/>
          <w:sz w:val="22"/>
          <w:szCs w:val="22"/>
        </w:rPr>
        <w:t xml:space="preserve"> Discussion</w:t>
      </w:r>
    </w:p>
    <w:p w14:paraId="1577026A" w14:textId="1437462A" w:rsidR="00130759" w:rsidRPr="008D3BF2" w:rsidRDefault="004B41D9" w:rsidP="002E6B2C">
      <w:pPr>
        <w:pStyle w:val="Heading3"/>
        <w:spacing w:line="240" w:lineRule="auto"/>
        <w:ind w:left="14"/>
        <w:rPr>
          <w:b w:val="0"/>
          <w:bCs w:val="0"/>
          <w:sz w:val="22"/>
          <w:szCs w:val="22"/>
          <w14:ligatures w14:val="none"/>
        </w:rPr>
      </w:pPr>
      <w:r w:rsidRPr="008D3BF2">
        <w:rPr>
          <w:b w:val="0"/>
          <w:bCs w:val="0"/>
          <w:sz w:val="22"/>
          <w:szCs w:val="22"/>
          <w14:ligatures w14:val="none"/>
        </w:rPr>
        <w:t>A number of statistics, including Net Profit, Gross Non-Performing Assets, Net Non-Performing Assets, ROA, ROE, NIM, and Cost-to-Income ratios, were computed in order to examine the profitability, asset quality, and operational effic</w:t>
      </w:r>
      <w:r w:rsidR="00CC3DE9" w:rsidRPr="008D3BF2">
        <w:rPr>
          <w:b w:val="0"/>
          <w:bCs w:val="0"/>
          <w:sz w:val="22"/>
          <w:szCs w:val="22"/>
          <w14:ligatures w14:val="none"/>
        </w:rPr>
        <w:t>iency</w:t>
      </w:r>
      <w:r w:rsidRPr="008D3BF2">
        <w:rPr>
          <w:b w:val="0"/>
          <w:bCs w:val="0"/>
          <w:sz w:val="22"/>
          <w:szCs w:val="22"/>
          <w14:ligatures w14:val="none"/>
        </w:rPr>
        <w:t xml:space="preserve"> of particular scheduled commercial banks.  The mean value, standard deviation, and standard error have all been utilized.</w:t>
      </w:r>
    </w:p>
    <w:p w14:paraId="5418F1C8" w14:textId="77777777" w:rsidR="004B41D9" w:rsidRPr="008D3BF2" w:rsidRDefault="004B41D9" w:rsidP="002E6B2C">
      <w:pPr>
        <w:spacing w:line="240" w:lineRule="auto"/>
        <w:ind w:left="1" w:right="1"/>
        <w:jc w:val="center"/>
        <w:rPr>
          <w:rFonts w:ascii="Times New Roman" w:hAnsi="Times New Roman" w:cs="Times New Roman"/>
          <w:b/>
        </w:rPr>
      </w:pPr>
      <w:r w:rsidRPr="008D3BF2">
        <w:rPr>
          <w:rFonts w:ascii="Times New Roman" w:hAnsi="Times New Roman" w:cs="Times New Roman"/>
          <w:b/>
        </w:rPr>
        <w:t>Table 1:</w:t>
      </w:r>
      <w:r w:rsidRPr="008D3BF2">
        <w:rPr>
          <w:rFonts w:ascii="Times New Roman" w:hAnsi="Times New Roman" w:cs="Times New Roman"/>
          <w:b/>
          <w:spacing w:val="-1"/>
        </w:rPr>
        <w:t xml:space="preserve"> </w:t>
      </w:r>
      <w:r w:rsidRPr="008D3BF2">
        <w:rPr>
          <w:rFonts w:ascii="Times New Roman" w:hAnsi="Times New Roman" w:cs="Times New Roman"/>
          <w:b/>
        </w:rPr>
        <w:t>Punjab</w:t>
      </w:r>
      <w:r w:rsidRPr="008D3BF2">
        <w:rPr>
          <w:rFonts w:ascii="Times New Roman" w:hAnsi="Times New Roman" w:cs="Times New Roman"/>
          <w:b/>
          <w:spacing w:val="-2"/>
        </w:rPr>
        <w:t xml:space="preserve"> </w:t>
      </w:r>
      <w:r w:rsidRPr="008D3BF2">
        <w:rPr>
          <w:rFonts w:ascii="Times New Roman" w:hAnsi="Times New Roman" w:cs="Times New Roman"/>
          <w:b/>
        </w:rPr>
        <w:t>National</w:t>
      </w:r>
      <w:r w:rsidRPr="008D3BF2">
        <w:rPr>
          <w:rFonts w:ascii="Times New Roman" w:hAnsi="Times New Roman" w:cs="Times New Roman"/>
          <w:b/>
          <w:spacing w:val="-2"/>
        </w:rPr>
        <w:t xml:space="preserve"> </w:t>
      </w:r>
      <w:r w:rsidRPr="008D3BF2">
        <w:rPr>
          <w:rFonts w:ascii="Times New Roman" w:hAnsi="Times New Roman" w:cs="Times New Roman"/>
          <w:b/>
        </w:rPr>
        <w:t>Bank</w:t>
      </w:r>
      <w:r w:rsidRPr="008D3BF2">
        <w:rPr>
          <w:rFonts w:ascii="Times New Roman" w:hAnsi="Times New Roman" w:cs="Times New Roman"/>
          <w:b/>
          <w:spacing w:val="-2"/>
        </w:rPr>
        <w:t xml:space="preserve"> </w:t>
      </w:r>
      <w:r w:rsidRPr="008D3BF2">
        <w:rPr>
          <w:rFonts w:ascii="Times New Roman" w:hAnsi="Times New Roman" w:cs="Times New Roman"/>
          <w:b/>
        </w:rPr>
        <w:t>FY</w:t>
      </w:r>
      <w:r w:rsidRPr="008D3BF2">
        <w:rPr>
          <w:rFonts w:ascii="Times New Roman" w:hAnsi="Times New Roman" w:cs="Times New Roman"/>
          <w:b/>
          <w:spacing w:val="-1"/>
        </w:rPr>
        <w:t xml:space="preserve"> </w:t>
      </w:r>
      <w:r w:rsidRPr="008D3BF2">
        <w:rPr>
          <w:rFonts w:ascii="Times New Roman" w:hAnsi="Times New Roman" w:cs="Times New Roman"/>
          <w:b/>
        </w:rPr>
        <w:t>2015-16</w:t>
      </w:r>
      <w:r w:rsidRPr="008D3BF2">
        <w:rPr>
          <w:rFonts w:ascii="Times New Roman" w:hAnsi="Times New Roman" w:cs="Times New Roman"/>
          <w:b/>
          <w:spacing w:val="-1"/>
        </w:rPr>
        <w:t xml:space="preserve"> </w:t>
      </w:r>
      <w:r w:rsidRPr="008D3BF2">
        <w:rPr>
          <w:rFonts w:ascii="Times New Roman" w:hAnsi="Times New Roman" w:cs="Times New Roman"/>
          <w:b/>
        </w:rPr>
        <w:t>to</w:t>
      </w:r>
      <w:r w:rsidRPr="008D3BF2">
        <w:rPr>
          <w:rFonts w:ascii="Times New Roman" w:hAnsi="Times New Roman" w:cs="Times New Roman"/>
          <w:b/>
          <w:spacing w:val="-2"/>
        </w:rPr>
        <w:t xml:space="preserve"> </w:t>
      </w:r>
      <w:r w:rsidRPr="008D3BF2">
        <w:rPr>
          <w:rFonts w:ascii="Times New Roman" w:hAnsi="Times New Roman" w:cs="Times New Roman"/>
          <w:b/>
        </w:rPr>
        <w:t>2019-20</w:t>
      </w:r>
      <w:r w:rsidRPr="008D3BF2">
        <w:rPr>
          <w:rFonts w:ascii="Times New Roman" w:hAnsi="Times New Roman" w:cs="Times New Roman"/>
          <w:b/>
          <w:spacing w:val="-1"/>
        </w:rPr>
        <w:t xml:space="preserve"> </w:t>
      </w:r>
      <w:r w:rsidRPr="008D3BF2">
        <w:rPr>
          <w:rFonts w:ascii="Times New Roman" w:hAnsi="Times New Roman" w:cs="Times New Roman"/>
          <w:b/>
        </w:rPr>
        <w:t>(Pre-</w:t>
      </w:r>
      <w:r w:rsidRPr="008D3BF2">
        <w:rPr>
          <w:rFonts w:ascii="Times New Roman" w:hAnsi="Times New Roman" w:cs="Times New Roman"/>
          <w:b/>
          <w:spacing w:val="-1"/>
        </w:rPr>
        <w:t xml:space="preserve"> </w:t>
      </w:r>
      <w:r w:rsidRPr="008D3BF2">
        <w:rPr>
          <w:rFonts w:ascii="Times New Roman" w:hAnsi="Times New Roman" w:cs="Times New Roman"/>
          <w:b/>
        </w:rPr>
        <w:t xml:space="preserve">Merger </w:t>
      </w:r>
      <w:r w:rsidRPr="008D3BF2">
        <w:rPr>
          <w:rFonts w:ascii="Times New Roman" w:hAnsi="Times New Roman" w:cs="Times New Roman"/>
          <w:b/>
          <w:spacing w:val="-2"/>
        </w:rPr>
        <w:t>Performance)</w:t>
      </w:r>
    </w:p>
    <w:tbl>
      <w:tblPr>
        <w:tblW w:w="927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7"/>
        <w:gridCol w:w="1515"/>
        <w:gridCol w:w="1019"/>
        <w:gridCol w:w="1008"/>
        <w:gridCol w:w="854"/>
        <w:gridCol w:w="888"/>
        <w:gridCol w:w="878"/>
        <w:gridCol w:w="1820"/>
      </w:tblGrid>
      <w:tr w:rsidR="004B41D9" w:rsidRPr="008D3BF2" w14:paraId="7E472FB2" w14:textId="77777777" w:rsidTr="00E236D2">
        <w:trPr>
          <w:trHeight w:val="196"/>
        </w:trPr>
        <w:tc>
          <w:tcPr>
            <w:tcW w:w="1297" w:type="dxa"/>
            <w:tcBorders>
              <w:top w:val="single" w:sz="4" w:space="0" w:color="000000"/>
              <w:left w:val="single" w:sz="4" w:space="0" w:color="000000"/>
              <w:bottom w:val="single" w:sz="4" w:space="0" w:color="000000"/>
              <w:right w:val="single" w:sz="4" w:space="0" w:color="000000"/>
            </w:tcBorders>
            <w:hideMark/>
          </w:tcPr>
          <w:p w14:paraId="5C005F58" w14:textId="77777777" w:rsidR="004B41D9" w:rsidRPr="008D3BF2" w:rsidRDefault="004B41D9" w:rsidP="002E6B2C">
            <w:pPr>
              <w:pStyle w:val="TableParagraph"/>
              <w:spacing w:line="240" w:lineRule="auto"/>
              <w:ind w:left="9"/>
              <w:jc w:val="both"/>
            </w:pPr>
            <w:r w:rsidRPr="008D3BF2">
              <w:rPr>
                <w:spacing w:val="-5"/>
              </w:rPr>
              <w:t>FY</w:t>
            </w:r>
          </w:p>
        </w:tc>
        <w:tc>
          <w:tcPr>
            <w:tcW w:w="1515" w:type="dxa"/>
            <w:tcBorders>
              <w:top w:val="single" w:sz="4" w:space="0" w:color="000000"/>
              <w:left w:val="nil"/>
              <w:bottom w:val="single" w:sz="4" w:space="0" w:color="000000"/>
              <w:right w:val="single" w:sz="4" w:space="0" w:color="000000"/>
            </w:tcBorders>
            <w:hideMark/>
          </w:tcPr>
          <w:p w14:paraId="15569D12" w14:textId="77777777" w:rsidR="004B41D9" w:rsidRPr="008D3BF2" w:rsidRDefault="004B41D9" w:rsidP="002E6B2C">
            <w:pPr>
              <w:pStyle w:val="TableParagraph"/>
              <w:spacing w:line="240" w:lineRule="auto"/>
              <w:ind w:left="8"/>
              <w:jc w:val="both"/>
            </w:pPr>
            <w:r w:rsidRPr="008D3BF2">
              <w:t>Net</w:t>
            </w:r>
            <w:r w:rsidRPr="008D3BF2">
              <w:rPr>
                <w:spacing w:val="-1"/>
              </w:rPr>
              <w:t xml:space="preserve"> </w:t>
            </w:r>
            <w:r w:rsidRPr="008D3BF2">
              <w:t>Profit</w:t>
            </w:r>
            <w:r w:rsidRPr="008D3BF2">
              <w:rPr>
                <w:spacing w:val="-2"/>
              </w:rPr>
              <w:t xml:space="preserve"> </w:t>
            </w:r>
            <w:r w:rsidRPr="008D3BF2">
              <w:t>(₹</w:t>
            </w:r>
            <w:r w:rsidRPr="008D3BF2">
              <w:rPr>
                <w:spacing w:val="-1"/>
              </w:rPr>
              <w:t xml:space="preserve"> </w:t>
            </w:r>
            <w:r w:rsidRPr="008D3BF2">
              <w:rPr>
                <w:spacing w:val="-5"/>
              </w:rPr>
              <w:t>Cr)</w:t>
            </w:r>
          </w:p>
        </w:tc>
        <w:tc>
          <w:tcPr>
            <w:tcW w:w="1019" w:type="dxa"/>
            <w:tcBorders>
              <w:top w:val="single" w:sz="4" w:space="0" w:color="000000"/>
              <w:left w:val="nil"/>
              <w:bottom w:val="single" w:sz="4" w:space="0" w:color="000000"/>
              <w:right w:val="single" w:sz="4" w:space="0" w:color="000000"/>
            </w:tcBorders>
            <w:hideMark/>
          </w:tcPr>
          <w:p w14:paraId="36D476CF" w14:textId="77777777" w:rsidR="004B41D9" w:rsidRPr="008D3BF2" w:rsidRDefault="004B41D9" w:rsidP="002E6B2C">
            <w:pPr>
              <w:pStyle w:val="TableParagraph"/>
              <w:spacing w:line="240" w:lineRule="auto"/>
              <w:jc w:val="both"/>
            </w:pPr>
            <w:r w:rsidRPr="008D3BF2">
              <w:t>GNPA</w:t>
            </w:r>
            <w:r w:rsidRPr="008D3BF2">
              <w:rPr>
                <w:spacing w:val="-1"/>
              </w:rPr>
              <w:t xml:space="preserve"> </w:t>
            </w:r>
            <w:r w:rsidRPr="008D3BF2">
              <w:rPr>
                <w:spacing w:val="-5"/>
              </w:rPr>
              <w:t>(%)</w:t>
            </w:r>
          </w:p>
        </w:tc>
        <w:tc>
          <w:tcPr>
            <w:tcW w:w="1008" w:type="dxa"/>
            <w:tcBorders>
              <w:top w:val="single" w:sz="4" w:space="0" w:color="000000"/>
              <w:left w:val="nil"/>
              <w:bottom w:val="single" w:sz="4" w:space="0" w:color="000000"/>
              <w:right w:val="single" w:sz="4" w:space="0" w:color="000000"/>
            </w:tcBorders>
            <w:hideMark/>
          </w:tcPr>
          <w:p w14:paraId="0FDEB0AE" w14:textId="77777777" w:rsidR="004B41D9" w:rsidRPr="008D3BF2" w:rsidRDefault="004B41D9" w:rsidP="002E6B2C">
            <w:pPr>
              <w:pStyle w:val="TableParagraph"/>
              <w:spacing w:line="240" w:lineRule="auto"/>
              <w:ind w:left="11"/>
              <w:jc w:val="both"/>
            </w:pPr>
            <w:r w:rsidRPr="008D3BF2">
              <w:t>NNPA</w:t>
            </w:r>
            <w:r w:rsidRPr="008D3BF2">
              <w:rPr>
                <w:spacing w:val="-2"/>
              </w:rPr>
              <w:t xml:space="preserve"> </w:t>
            </w:r>
            <w:r w:rsidRPr="008D3BF2">
              <w:rPr>
                <w:spacing w:val="-5"/>
              </w:rPr>
              <w:t>(%)</w:t>
            </w:r>
          </w:p>
        </w:tc>
        <w:tc>
          <w:tcPr>
            <w:tcW w:w="854" w:type="dxa"/>
            <w:tcBorders>
              <w:top w:val="single" w:sz="4" w:space="0" w:color="000000"/>
              <w:left w:val="nil"/>
              <w:bottom w:val="single" w:sz="4" w:space="0" w:color="000000"/>
              <w:right w:val="single" w:sz="4" w:space="0" w:color="000000"/>
            </w:tcBorders>
            <w:hideMark/>
          </w:tcPr>
          <w:p w14:paraId="6D2CAFA4" w14:textId="77777777" w:rsidR="004B41D9" w:rsidRPr="008D3BF2" w:rsidRDefault="004B41D9" w:rsidP="002E6B2C">
            <w:pPr>
              <w:pStyle w:val="TableParagraph"/>
              <w:spacing w:line="240" w:lineRule="auto"/>
              <w:ind w:left="8"/>
              <w:jc w:val="both"/>
            </w:pPr>
            <w:r w:rsidRPr="008D3BF2">
              <w:t>NIM</w:t>
            </w:r>
            <w:r w:rsidRPr="008D3BF2">
              <w:rPr>
                <w:spacing w:val="-1"/>
              </w:rPr>
              <w:t xml:space="preserve"> </w:t>
            </w:r>
            <w:r w:rsidRPr="008D3BF2">
              <w:rPr>
                <w:spacing w:val="-5"/>
              </w:rPr>
              <w:t>(%)</w:t>
            </w:r>
          </w:p>
        </w:tc>
        <w:tc>
          <w:tcPr>
            <w:tcW w:w="888" w:type="dxa"/>
            <w:tcBorders>
              <w:top w:val="single" w:sz="4" w:space="0" w:color="000000"/>
              <w:left w:val="nil"/>
              <w:bottom w:val="single" w:sz="4" w:space="0" w:color="000000"/>
              <w:right w:val="single" w:sz="4" w:space="0" w:color="000000"/>
            </w:tcBorders>
            <w:hideMark/>
          </w:tcPr>
          <w:p w14:paraId="665B1BC4" w14:textId="77777777" w:rsidR="004B41D9" w:rsidRPr="008D3BF2" w:rsidRDefault="004B41D9" w:rsidP="002E6B2C">
            <w:pPr>
              <w:pStyle w:val="TableParagraph"/>
              <w:spacing w:line="240" w:lineRule="auto"/>
              <w:ind w:left="12"/>
              <w:jc w:val="both"/>
            </w:pPr>
            <w:r w:rsidRPr="008D3BF2">
              <w:t>ROA</w:t>
            </w:r>
            <w:r w:rsidRPr="008D3BF2">
              <w:rPr>
                <w:spacing w:val="-1"/>
              </w:rPr>
              <w:t xml:space="preserve"> </w:t>
            </w:r>
            <w:r w:rsidRPr="008D3BF2">
              <w:rPr>
                <w:spacing w:val="-5"/>
              </w:rPr>
              <w:t>(%)</w:t>
            </w:r>
          </w:p>
        </w:tc>
        <w:tc>
          <w:tcPr>
            <w:tcW w:w="878" w:type="dxa"/>
            <w:tcBorders>
              <w:top w:val="single" w:sz="4" w:space="0" w:color="000000"/>
              <w:left w:val="nil"/>
              <w:bottom w:val="single" w:sz="4" w:space="0" w:color="000000"/>
              <w:right w:val="single" w:sz="4" w:space="0" w:color="000000"/>
            </w:tcBorders>
            <w:hideMark/>
          </w:tcPr>
          <w:p w14:paraId="50450B57" w14:textId="77777777" w:rsidR="004B41D9" w:rsidRPr="008D3BF2" w:rsidRDefault="004B41D9" w:rsidP="002E6B2C">
            <w:pPr>
              <w:pStyle w:val="TableParagraph"/>
              <w:spacing w:line="240" w:lineRule="auto"/>
              <w:ind w:left="13"/>
              <w:jc w:val="both"/>
            </w:pPr>
            <w:r w:rsidRPr="008D3BF2">
              <w:t>ROE</w:t>
            </w:r>
            <w:r w:rsidRPr="008D3BF2">
              <w:rPr>
                <w:spacing w:val="-1"/>
              </w:rPr>
              <w:t xml:space="preserve"> </w:t>
            </w:r>
            <w:r w:rsidRPr="008D3BF2">
              <w:rPr>
                <w:spacing w:val="-5"/>
              </w:rPr>
              <w:t>(%)</w:t>
            </w:r>
          </w:p>
        </w:tc>
        <w:tc>
          <w:tcPr>
            <w:tcW w:w="1820" w:type="dxa"/>
            <w:tcBorders>
              <w:top w:val="single" w:sz="4" w:space="0" w:color="000000"/>
              <w:left w:val="nil"/>
              <w:bottom w:val="single" w:sz="4" w:space="0" w:color="000000"/>
              <w:right w:val="single" w:sz="4" w:space="0" w:color="000000"/>
            </w:tcBorders>
            <w:hideMark/>
          </w:tcPr>
          <w:p w14:paraId="03D0D9FB" w14:textId="77777777" w:rsidR="004B41D9" w:rsidRPr="008D3BF2" w:rsidRDefault="004B41D9" w:rsidP="002E6B2C">
            <w:pPr>
              <w:pStyle w:val="TableParagraph"/>
              <w:spacing w:line="240" w:lineRule="auto"/>
              <w:ind w:left="15"/>
              <w:jc w:val="both"/>
            </w:pPr>
            <w:r w:rsidRPr="008D3BF2">
              <w:t>Cost-to-Income</w:t>
            </w:r>
            <w:r w:rsidRPr="008D3BF2">
              <w:rPr>
                <w:spacing w:val="-4"/>
              </w:rPr>
              <w:t xml:space="preserve"> </w:t>
            </w:r>
            <w:r w:rsidRPr="008D3BF2">
              <w:rPr>
                <w:spacing w:val="-5"/>
              </w:rPr>
              <w:t>(%)</w:t>
            </w:r>
          </w:p>
        </w:tc>
      </w:tr>
      <w:tr w:rsidR="004B41D9" w:rsidRPr="008D3BF2" w14:paraId="469161A9" w14:textId="77777777" w:rsidTr="00E236D2">
        <w:trPr>
          <w:trHeight w:val="197"/>
        </w:trPr>
        <w:tc>
          <w:tcPr>
            <w:tcW w:w="1297" w:type="dxa"/>
            <w:tcBorders>
              <w:top w:val="single" w:sz="4" w:space="0" w:color="000000"/>
              <w:left w:val="single" w:sz="4" w:space="0" w:color="000000"/>
              <w:bottom w:val="single" w:sz="4" w:space="0" w:color="000000"/>
              <w:right w:val="single" w:sz="4" w:space="0" w:color="000000"/>
            </w:tcBorders>
            <w:hideMark/>
          </w:tcPr>
          <w:p w14:paraId="0BFDC4BD" w14:textId="77777777" w:rsidR="004B41D9" w:rsidRPr="008D3BF2" w:rsidRDefault="004B41D9" w:rsidP="002E6B2C">
            <w:pPr>
              <w:pStyle w:val="TableParagraph"/>
              <w:spacing w:before="1" w:beforeAutospacing="0" w:line="240" w:lineRule="auto"/>
              <w:ind w:left="8"/>
              <w:jc w:val="both"/>
            </w:pPr>
            <w:r w:rsidRPr="008D3BF2">
              <w:t>2015-</w:t>
            </w:r>
            <w:r w:rsidRPr="008D3BF2">
              <w:rPr>
                <w:spacing w:val="-4"/>
              </w:rPr>
              <w:t>2016</w:t>
            </w:r>
          </w:p>
        </w:tc>
        <w:tc>
          <w:tcPr>
            <w:tcW w:w="1515" w:type="dxa"/>
            <w:tcBorders>
              <w:top w:val="single" w:sz="4" w:space="0" w:color="000000"/>
              <w:left w:val="nil"/>
              <w:bottom w:val="single" w:sz="4" w:space="0" w:color="000000"/>
              <w:right w:val="single" w:sz="4" w:space="0" w:color="000000"/>
            </w:tcBorders>
            <w:hideMark/>
          </w:tcPr>
          <w:p w14:paraId="217150EB" w14:textId="77777777" w:rsidR="004B41D9" w:rsidRPr="008D3BF2" w:rsidRDefault="004B41D9" w:rsidP="002E6B2C">
            <w:pPr>
              <w:pStyle w:val="TableParagraph"/>
              <w:spacing w:before="1" w:beforeAutospacing="0" w:line="240" w:lineRule="auto"/>
            </w:pPr>
            <w:r w:rsidRPr="008D3BF2">
              <w:t>-</w:t>
            </w:r>
            <w:r w:rsidRPr="008D3BF2">
              <w:rPr>
                <w:spacing w:val="-2"/>
              </w:rPr>
              <w:t>3,974</w:t>
            </w:r>
          </w:p>
        </w:tc>
        <w:tc>
          <w:tcPr>
            <w:tcW w:w="1019" w:type="dxa"/>
            <w:tcBorders>
              <w:top w:val="single" w:sz="4" w:space="0" w:color="000000"/>
              <w:left w:val="nil"/>
              <w:bottom w:val="single" w:sz="4" w:space="0" w:color="000000"/>
              <w:right w:val="single" w:sz="4" w:space="0" w:color="000000"/>
            </w:tcBorders>
            <w:hideMark/>
          </w:tcPr>
          <w:p w14:paraId="1339FB13" w14:textId="77777777" w:rsidR="004B41D9" w:rsidRPr="008D3BF2" w:rsidRDefault="004B41D9" w:rsidP="002E6B2C">
            <w:pPr>
              <w:pStyle w:val="TableParagraph"/>
              <w:spacing w:before="1" w:beforeAutospacing="0" w:line="240" w:lineRule="auto"/>
            </w:pPr>
            <w:r w:rsidRPr="008D3BF2">
              <w:rPr>
                <w:spacing w:val="-2"/>
              </w:rPr>
              <w:t>12.90</w:t>
            </w:r>
          </w:p>
        </w:tc>
        <w:tc>
          <w:tcPr>
            <w:tcW w:w="1008" w:type="dxa"/>
            <w:tcBorders>
              <w:top w:val="single" w:sz="4" w:space="0" w:color="000000"/>
              <w:left w:val="nil"/>
              <w:bottom w:val="single" w:sz="4" w:space="0" w:color="000000"/>
              <w:right w:val="single" w:sz="4" w:space="0" w:color="000000"/>
            </w:tcBorders>
            <w:hideMark/>
          </w:tcPr>
          <w:p w14:paraId="3261C81E" w14:textId="77777777" w:rsidR="004B41D9" w:rsidRPr="008D3BF2" w:rsidRDefault="004B41D9" w:rsidP="002E6B2C">
            <w:pPr>
              <w:pStyle w:val="TableParagraph"/>
              <w:spacing w:before="1" w:beforeAutospacing="0" w:line="240" w:lineRule="auto"/>
              <w:ind w:left="13"/>
            </w:pPr>
            <w:r w:rsidRPr="008D3BF2">
              <w:rPr>
                <w:spacing w:val="-4"/>
              </w:rPr>
              <w:t>8.61</w:t>
            </w:r>
          </w:p>
        </w:tc>
        <w:tc>
          <w:tcPr>
            <w:tcW w:w="854" w:type="dxa"/>
            <w:tcBorders>
              <w:top w:val="single" w:sz="4" w:space="0" w:color="000000"/>
              <w:left w:val="nil"/>
              <w:bottom w:val="single" w:sz="4" w:space="0" w:color="000000"/>
              <w:right w:val="single" w:sz="4" w:space="0" w:color="000000"/>
            </w:tcBorders>
            <w:hideMark/>
          </w:tcPr>
          <w:p w14:paraId="6C46F3EC" w14:textId="77777777" w:rsidR="004B41D9" w:rsidRPr="008D3BF2" w:rsidRDefault="004B41D9" w:rsidP="002E6B2C">
            <w:pPr>
              <w:pStyle w:val="TableParagraph"/>
              <w:spacing w:before="1" w:beforeAutospacing="0" w:line="240" w:lineRule="auto"/>
              <w:ind w:left="11"/>
            </w:pPr>
            <w:r w:rsidRPr="008D3BF2">
              <w:rPr>
                <w:spacing w:val="-4"/>
              </w:rPr>
              <w:t>2.35</w:t>
            </w:r>
          </w:p>
        </w:tc>
        <w:tc>
          <w:tcPr>
            <w:tcW w:w="888" w:type="dxa"/>
            <w:tcBorders>
              <w:top w:val="single" w:sz="4" w:space="0" w:color="000000"/>
              <w:left w:val="nil"/>
              <w:bottom w:val="single" w:sz="4" w:space="0" w:color="000000"/>
              <w:right w:val="single" w:sz="4" w:space="0" w:color="000000"/>
            </w:tcBorders>
            <w:hideMark/>
          </w:tcPr>
          <w:p w14:paraId="79089A72" w14:textId="77777777" w:rsidR="004B41D9" w:rsidRPr="008D3BF2" w:rsidRDefault="004B41D9" w:rsidP="002E6B2C">
            <w:pPr>
              <w:pStyle w:val="TableParagraph"/>
              <w:spacing w:before="1" w:beforeAutospacing="0" w:line="240" w:lineRule="auto"/>
              <w:ind w:left="15"/>
            </w:pPr>
            <w:r w:rsidRPr="008D3BF2">
              <w:t>-</w:t>
            </w:r>
            <w:r w:rsidRPr="008D3BF2">
              <w:rPr>
                <w:spacing w:val="-5"/>
              </w:rPr>
              <w:t>.52</w:t>
            </w:r>
          </w:p>
        </w:tc>
        <w:tc>
          <w:tcPr>
            <w:tcW w:w="878" w:type="dxa"/>
            <w:tcBorders>
              <w:top w:val="single" w:sz="4" w:space="0" w:color="000000"/>
              <w:left w:val="nil"/>
              <w:bottom w:val="single" w:sz="4" w:space="0" w:color="000000"/>
              <w:right w:val="single" w:sz="4" w:space="0" w:color="000000"/>
            </w:tcBorders>
            <w:hideMark/>
          </w:tcPr>
          <w:p w14:paraId="5A19EF0A" w14:textId="77777777" w:rsidR="004B41D9" w:rsidRPr="008D3BF2" w:rsidRDefault="004B41D9" w:rsidP="002E6B2C">
            <w:pPr>
              <w:pStyle w:val="TableParagraph"/>
              <w:spacing w:before="1" w:beforeAutospacing="0" w:line="240" w:lineRule="auto"/>
              <w:ind w:left="14"/>
            </w:pPr>
            <w:r w:rsidRPr="008D3BF2">
              <w:t>-</w:t>
            </w:r>
            <w:r w:rsidRPr="008D3BF2">
              <w:rPr>
                <w:spacing w:val="-4"/>
              </w:rPr>
              <w:t>8.83</w:t>
            </w:r>
          </w:p>
        </w:tc>
        <w:tc>
          <w:tcPr>
            <w:tcW w:w="1820" w:type="dxa"/>
            <w:tcBorders>
              <w:top w:val="single" w:sz="4" w:space="0" w:color="000000"/>
              <w:left w:val="nil"/>
              <w:bottom w:val="single" w:sz="4" w:space="0" w:color="000000"/>
              <w:right w:val="single" w:sz="4" w:space="0" w:color="000000"/>
            </w:tcBorders>
            <w:hideMark/>
          </w:tcPr>
          <w:p w14:paraId="2FF43491" w14:textId="77777777" w:rsidR="004B41D9" w:rsidRPr="008D3BF2" w:rsidRDefault="004B41D9" w:rsidP="002E6B2C">
            <w:pPr>
              <w:pStyle w:val="TableParagraph"/>
              <w:spacing w:before="1" w:beforeAutospacing="0" w:line="240" w:lineRule="auto"/>
              <w:ind w:left="18"/>
            </w:pPr>
            <w:r w:rsidRPr="008D3BF2">
              <w:rPr>
                <w:spacing w:val="-2"/>
              </w:rPr>
              <w:t>53.37</w:t>
            </w:r>
          </w:p>
        </w:tc>
      </w:tr>
      <w:tr w:rsidR="004B41D9" w:rsidRPr="008D3BF2" w14:paraId="4BC67EBD" w14:textId="77777777" w:rsidTr="00E236D2">
        <w:trPr>
          <w:trHeight w:val="197"/>
        </w:trPr>
        <w:tc>
          <w:tcPr>
            <w:tcW w:w="1297" w:type="dxa"/>
            <w:tcBorders>
              <w:top w:val="single" w:sz="4" w:space="0" w:color="000000"/>
              <w:left w:val="single" w:sz="4" w:space="0" w:color="000000"/>
              <w:bottom w:val="single" w:sz="4" w:space="0" w:color="000000"/>
              <w:right w:val="single" w:sz="4" w:space="0" w:color="000000"/>
            </w:tcBorders>
            <w:hideMark/>
          </w:tcPr>
          <w:p w14:paraId="525C7912" w14:textId="77777777" w:rsidR="004B41D9" w:rsidRPr="008D3BF2" w:rsidRDefault="004B41D9" w:rsidP="002E6B2C">
            <w:pPr>
              <w:pStyle w:val="TableParagraph"/>
              <w:spacing w:line="240" w:lineRule="auto"/>
              <w:ind w:left="8"/>
              <w:jc w:val="both"/>
            </w:pPr>
            <w:r w:rsidRPr="008D3BF2">
              <w:t>2016-</w:t>
            </w:r>
            <w:r w:rsidRPr="008D3BF2">
              <w:rPr>
                <w:spacing w:val="-4"/>
              </w:rPr>
              <w:t>2017</w:t>
            </w:r>
          </w:p>
        </w:tc>
        <w:tc>
          <w:tcPr>
            <w:tcW w:w="1515" w:type="dxa"/>
            <w:tcBorders>
              <w:top w:val="single" w:sz="4" w:space="0" w:color="000000"/>
              <w:left w:val="nil"/>
              <w:bottom w:val="single" w:sz="4" w:space="0" w:color="000000"/>
              <w:right w:val="single" w:sz="4" w:space="0" w:color="000000"/>
            </w:tcBorders>
            <w:hideMark/>
          </w:tcPr>
          <w:p w14:paraId="409D77DD" w14:textId="77777777" w:rsidR="004B41D9" w:rsidRPr="008D3BF2" w:rsidRDefault="004B41D9" w:rsidP="002E6B2C">
            <w:pPr>
              <w:pStyle w:val="TableParagraph"/>
              <w:spacing w:line="240" w:lineRule="auto"/>
            </w:pPr>
            <w:r w:rsidRPr="008D3BF2">
              <w:rPr>
                <w:spacing w:val="-2"/>
              </w:rPr>
              <w:t>1,325</w:t>
            </w:r>
          </w:p>
        </w:tc>
        <w:tc>
          <w:tcPr>
            <w:tcW w:w="1019" w:type="dxa"/>
            <w:tcBorders>
              <w:top w:val="single" w:sz="4" w:space="0" w:color="000000"/>
              <w:left w:val="nil"/>
              <w:bottom w:val="single" w:sz="4" w:space="0" w:color="000000"/>
              <w:right w:val="single" w:sz="4" w:space="0" w:color="000000"/>
            </w:tcBorders>
            <w:hideMark/>
          </w:tcPr>
          <w:p w14:paraId="740C2855" w14:textId="77777777" w:rsidR="004B41D9" w:rsidRPr="008D3BF2" w:rsidRDefault="004B41D9" w:rsidP="002E6B2C">
            <w:pPr>
              <w:pStyle w:val="TableParagraph"/>
              <w:spacing w:line="240" w:lineRule="auto"/>
            </w:pPr>
            <w:r w:rsidRPr="008D3BF2">
              <w:rPr>
                <w:spacing w:val="-2"/>
              </w:rPr>
              <w:t>12.53</w:t>
            </w:r>
          </w:p>
        </w:tc>
        <w:tc>
          <w:tcPr>
            <w:tcW w:w="1008" w:type="dxa"/>
            <w:tcBorders>
              <w:top w:val="single" w:sz="4" w:space="0" w:color="000000"/>
              <w:left w:val="nil"/>
              <w:bottom w:val="single" w:sz="4" w:space="0" w:color="000000"/>
              <w:right w:val="single" w:sz="4" w:space="0" w:color="000000"/>
            </w:tcBorders>
            <w:hideMark/>
          </w:tcPr>
          <w:p w14:paraId="117436EC" w14:textId="77777777" w:rsidR="004B41D9" w:rsidRPr="008D3BF2" w:rsidRDefault="004B41D9" w:rsidP="002E6B2C">
            <w:pPr>
              <w:pStyle w:val="TableParagraph"/>
              <w:spacing w:line="240" w:lineRule="auto"/>
              <w:ind w:left="13"/>
            </w:pPr>
            <w:r w:rsidRPr="008D3BF2">
              <w:rPr>
                <w:spacing w:val="-4"/>
              </w:rPr>
              <w:t>7.81</w:t>
            </w:r>
          </w:p>
        </w:tc>
        <w:tc>
          <w:tcPr>
            <w:tcW w:w="854" w:type="dxa"/>
            <w:tcBorders>
              <w:top w:val="single" w:sz="4" w:space="0" w:color="000000"/>
              <w:left w:val="nil"/>
              <w:bottom w:val="single" w:sz="4" w:space="0" w:color="000000"/>
              <w:right w:val="single" w:sz="4" w:space="0" w:color="000000"/>
            </w:tcBorders>
            <w:hideMark/>
          </w:tcPr>
          <w:p w14:paraId="326BC0E5" w14:textId="77777777" w:rsidR="004B41D9" w:rsidRPr="008D3BF2" w:rsidRDefault="004B41D9" w:rsidP="002E6B2C">
            <w:pPr>
              <w:pStyle w:val="TableParagraph"/>
              <w:spacing w:line="240" w:lineRule="auto"/>
              <w:ind w:left="11"/>
            </w:pPr>
            <w:r w:rsidRPr="008D3BF2">
              <w:rPr>
                <w:spacing w:val="-4"/>
              </w:rPr>
              <w:t>2.56</w:t>
            </w:r>
          </w:p>
        </w:tc>
        <w:tc>
          <w:tcPr>
            <w:tcW w:w="888" w:type="dxa"/>
            <w:tcBorders>
              <w:top w:val="single" w:sz="4" w:space="0" w:color="000000"/>
              <w:left w:val="nil"/>
              <w:bottom w:val="single" w:sz="4" w:space="0" w:color="000000"/>
              <w:right w:val="single" w:sz="4" w:space="0" w:color="000000"/>
            </w:tcBorders>
            <w:hideMark/>
          </w:tcPr>
          <w:p w14:paraId="6AD3DDC4" w14:textId="77777777" w:rsidR="004B41D9" w:rsidRPr="008D3BF2" w:rsidRDefault="004B41D9" w:rsidP="002E6B2C">
            <w:pPr>
              <w:pStyle w:val="TableParagraph"/>
              <w:spacing w:line="240" w:lineRule="auto"/>
              <w:ind w:left="15"/>
            </w:pPr>
            <w:r w:rsidRPr="008D3BF2">
              <w:rPr>
                <w:spacing w:val="-5"/>
              </w:rPr>
              <w:t>.16</w:t>
            </w:r>
          </w:p>
        </w:tc>
        <w:tc>
          <w:tcPr>
            <w:tcW w:w="878" w:type="dxa"/>
            <w:tcBorders>
              <w:top w:val="single" w:sz="4" w:space="0" w:color="000000"/>
              <w:left w:val="nil"/>
              <w:bottom w:val="single" w:sz="4" w:space="0" w:color="000000"/>
              <w:right w:val="single" w:sz="4" w:space="0" w:color="000000"/>
            </w:tcBorders>
            <w:hideMark/>
          </w:tcPr>
          <w:p w14:paraId="5CEF9A78" w14:textId="77777777" w:rsidR="004B41D9" w:rsidRPr="008D3BF2" w:rsidRDefault="004B41D9" w:rsidP="002E6B2C">
            <w:pPr>
              <w:pStyle w:val="TableParagraph"/>
              <w:spacing w:line="240" w:lineRule="auto"/>
              <w:ind w:left="14"/>
            </w:pPr>
            <w:r w:rsidRPr="008D3BF2">
              <w:rPr>
                <w:spacing w:val="-4"/>
              </w:rPr>
              <w:t>2.75</w:t>
            </w:r>
          </w:p>
        </w:tc>
        <w:tc>
          <w:tcPr>
            <w:tcW w:w="1820" w:type="dxa"/>
            <w:tcBorders>
              <w:top w:val="single" w:sz="4" w:space="0" w:color="000000"/>
              <w:left w:val="nil"/>
              <w:bottom w:val="single" w:sz="4" w:space="0" w:color="000000"/>
              <w:right w:val="single" w:sz="4" w:space="0" w:color="000000"/>
            </w:tcBorders>
            <w:hideMark/>
          </w:tcPr>
          <w:p w14:paraId="6F05C795" w14:textId="77777777" w:rsidR="004B41D9" w:rsidRPr="008D3BF2" w:rsidRDefault="004B41D9" w:rsidP="002E6B2C">
            <w:pPr>
              <w:pStyle w:val="TableParagraph"/>
              <w:spacing w:line="240" w:lineRule="auto"/>
              <w:ind w:left="18"/>
            </w:pPr>
            <w:r w:rsidRPr="008D3BF2">
              <w:rPr>
                <w:spacing w:val="-2"/>
              </w:rPr>
              <w:t>51.69</w:t>
            </w:r>
          </w:p>
        </w:tc>
      </w:tr>
      <w:tr w:rsidR="004B41D9" w:rsidRPr="008D3BF2" w14:paraId="739F2660" w14:textId="77777777" w:rsidTr="00E236D2">
        <w:trPr>
          <w:trHeight w:val="196"/>
        </w:trPr>
        <w:tc>
          <w:tcPr>
            <w:tcW w:w="1297" w:type="dxa"/>
            <w:tcBorders>
              <w:top w:val="single" w:sz="4" w:space="0" w:color="000000"/>
              <w:left w:val="single" w:sz="4" w:space="0" w:color="000000"/>
              <w:bottom w:val="single" w:sz="4" w:space="0" w:color="000000"/>
              <w:right w:val="single" w:sz="4" w:space="0" w:color="000000"/>
            </w:tcBorders>
            <w:hideMark/>
          </w:tcPr>
          <w:p w14:paraId="18F8E9CF" w14:textId="77777777" w:rsidR="004B41D9" w:rsidRPr="008D3BF2" w:rsidRDefault="004B41D9" w:rsidP="002E6B2C">
            <w:pPr>
              <w:pStyle w:val="TableParagraph"/>
              <w:spacing w:line="240" w:lineRule="auto"/>
              <w:ind w:left="8"/>
              <w:jc w:val="both"/>
            </w:pPr>
            <w:r w:rsidRPr="008D3BF2">
              <w:t>2017-</w:t>
            </w:r>
            <w:r w:rsidRPr="008D3BF2">
              <w:rPr>
                <w:spacing w:val="-4"/>
              </w:rPr>
              <w:t>2018</w:t>
            </w:r>
          </w:p>
        </w:tc>
        <w:tc>
          <w:tcPr>
            <w:tcW w:w="1515" w:type="dxa"/>
            <w:tcBorders>
              <w:top w:val="single" w:sz="4" w:space="0" w:color="000000"/>
              <w:left w:val="nil"/>
              <w:bottom w:val="single" w:sz="4" w:space="0" w:color="000000"/>
              <w:right w:val="single" w:sz="4" w:space="0" w:color="000000"/>
            </w:tcBorders>
            <w:hideMark/>
          </w:tcPr>
          <w:p w14:paraId="202E792D" w14:textId="77777777" w:rsidR="004B41D9" w:rsidRPr="008D3BF2" w:rsidRDefault="004B41D9" w:rsidP="002E6B2C">
            <w:pPr>
              <w:pStyle w:val="TableParagraph"/>
              <w:spacing w:line="240" w:lineRule="auto"/>
              <w:ind w:left="9"/>
            </w:pPr>
            <w:r w:rsidRPr="008D3BF2">
              <w:t>-</w:t>
            </w:r>
            <w:r w:rsidRPr="008D3BF2">
              <w:rPr>
                <w:spacing w:val="-2"/>
              </w:rPr>
              <w:t>12,283</w:t>
            </w:r>
          </w:p>
        </w:tc>
        <w:tc>
          <w:tcPr>
            <w:tcW w:w="1019" w:type="dxa"/>
            <w:tcBorders>
              <w:top w:val="single" w:sz="4" w:space="0" w:color="000000"/>
              <w:left w:val="nil"/>
              <w:bottom w:val="single" w:sz="4" w:space="0" w:color="000000"/>
              <w:right w:val="single" w:sz="4" w:space="0" w:color="000000"/>
            </w:tcBorders>
            <w:hideMark/>
          </w:tcPr>
          <w:p w14:paraId="31EB780F" w14:textId="77777777" w:rsidR="004B41D9" w:rsidRPr="008D3BF2" w:rsidRDefault="004B41D9" w:rsidP="002E6B2C">
            <w:pPr>
              <w:pStyle w:val="TableParagraph"/>
              <w:spacing w:line="240" w:lineRule="auto"/>
            </w:pPr>
            <w:r w:rsidRPr="008D3BF2">
              <w:rPr>
                <w:spacing w:val="-2"/>
              </w:rPr>
              <w:t>18.38</w:t>
            </w:r>
          </w:p>
        </w:tc>
        <w:tc>
          <w:tcPr>
            <w:tcW w:w="1008" w:type="dxa"/>
            <w:tcBorders>
              <w:top w:val="single" w:sz="4" w:space="0" w:color="000000"/>
              <w:left w:val="nil"/>
              <w:bottom w:val="single" w:sz="4" w:space="0" w:color="000000"/>
              <w:right w:val="single" w:sz="4" w:space="0" w:color="000000"/>
            </w:tcBorders>
            <w:hideMark/>
          </w:tcPr>
          <w:p w14:paraId="3169A095" w14:textId="77777777" w:rsidR="004B41D9" w:rsidRPr="008D3BF2" w:rsidRDefault="004B41D9" w:rsidP="002E6B2C">
            <w:pPr>
              <w:pStyle w:val="TableParagraph"/>
              <w:spacing w:line="240" w:lineRule="auto"/>
              <w:ind w:left="12"/>
            </w:pPr>
            <w:r w:rsidRPr="008D3BF2">
              <w:rPr>
                <w:spacing w:val="-2"/>
              </w:rPr>
              <w:t>11.24</w:t>
            </w:r>
          </w:p>
        </w:tc>
        <w:tc>
          <w:tcPr>
            <w:tcW w:w="854" w:type="dxa"/>
            <w:tcBorders>
              <w:top w:val="single" w:sz="4" w:space="0" w:color="000000"/>
              <w:left w:val="nil"/>
              <w:bottom w:val="single" w:sz="4" w:space="0" w:color="000000"/>
              <w:right w:val="single" w:sz="4" w:space="0" w:color="000000"/>
            </w:tcBorders>
            <w:hideMark/>
          </w:tcPr>
          <w:p w14:paraId="3C423265" w14:textId="77777777" w:rsidR="004B41D9" w:rsidRPr="008D3BF2" w:rsidRDefault="004B41D9" w:rsidP="002E6B2C">
            <w:pPr>
              <w:pStyle w:val="TableParagraph"/>
              <w:spacing w:line="240" w:lineRule="auto"/>
              <w:ind w:left="11"/>
            </w:pPr>
            <w:r w:rsidRPr="008D3BF2">
              <w:rPr>
                <w:spacing w:val="-4"/>
              </w:rPr>
              <w:t>2.35</w:t>
            </w:r>
          </w:p>
        </w:tc>
        <w:tc>
          <w:tcPr>
            <w:tcW w:w="888" w:type="dxa"/>
            <w:tcBorders>
              <w:top w:val="single" w:sz="4" w:space="0" w:color="000000"/>
              <w:left w:val="nil"/>
              <w:bottom w:val="single" w:sz="4" w:space="0" w:color="000000"/>
              <w:right w:val="single" w:sz="4" w:space="0" w:color="000000"/>
            </w:tcBorders>
            <w:hideMark/>
          </w:tcPr>
          <w:p w14:paraId="5294245B" w14:textId="77777777" w:rsidR="004B41D9" w:rsidRPr="008D3BF2" w:rsidRDefault="004B41D9" w:rsidP="002E6B2C">
            <w:pPr>
              <w:pStyle w:val="TableParagraph"/>
              <w:spacing w:line="240" w:lineRule="auto"/>
              <w:ind w:left="14"/>
            </w:pPr>
            <w:r w:rsidRPr="008D3BF2">
              <w:t>-</w:t>
            </w:r>
            <w:r w:rsidRPr="008D3BF2">
              <w:rPr>
                <w:spacing w:val="-4"/>
              </w:rPr>
              <w:t>1.56</w:t>
            </w:r>
          </w:p>
        </w:tc>
        <w:tc>
          <w:tcPr>
            <w:tcW w:w="878" w:type="dxa"/>
            <w:tcBorders>
              <w:top w:val="single" w:sz="4" w:space="0" w:color="000000"/>
              <w:left w:val="nil"/>
              <w:bottom w:val="single" w:sz="4" w:space="0" w:color="000000"/>
              <w:right w:val="single" w:sz="4" w:space="0" w:color="000000"/>
            </w:tcBorders>
            <w:hideMark/>
          </w:tcPr>
          <w:p w14:paraId="1843A4D5" w14:textId="77777777" w:rsidR="004B41D9" w:rsidRPr="008D3BF2" w:rsidRDefault="004B41D9" w:rsidP="002E6B2C">
            <w:pPr>
              <w:pStyle w:val="TableParagraph"/>
              <w:spacing w:line="240" w:lineRule="auto"/>
              <w:ind w:left="15"/>
            </w:pPr>
            <w:r w:rsidRPr="008D3BF2">
              <w:t>-</w:t>
            </w:r>
            <w:r w:rsidRPr="008D3BF2">
              <w:rPr>
                <w:spacing w:val="-2"/>
              </w:rPr>
              <w:t>28.55</w:t>
            </w:r>
          </w:p>
        </w:tc>
        <w:tc>
          <w:tcPr>
            <w:tcW w:w="1820" w:type="dxa"/>
            <w:tcBorders>
              <w:top w:val="single" w:sz="4" w:space="0" w:color="000000"/>
              <w:left w:val="nil"/>
              <w:bottom w:val="single" w:sz="4" w:space="0" w:color="000000"/>
              <w:right w:val="single" w:sz="4" w:space="0" w:color="000000"/>
            </w:tcBorders>
            <w:hideMark/>
          </w:tcPr>
          <w:p w14:paraId="761736D3" w14:textId="77777777" w:rsidR="004B41D9" w:rsidRPr="008D3BF2" w:rsidRDefault="004B41D9" w:rsidP="002E6B2C">
            <w:pPr>
              <w:pStyle w:val="TableParagraph"/>
              <w:spacing w:line="240" w:lineRule="auto"/>
              <w:ind w:left="18"/>
            </w:pPr>
            <w:r w:rsidRPr="008D3BF2">
              <w:rPr>
                <w:spacing w:val="-2"/>
              </w:rPr>
              <w:t>49.37</w:t>
            </w:r>
          </w:p>
        </w:tc>
      </w:tr>
      <w:tr w:rsidR="004B41D9" w:rsidRPr="008D3BF2" w14:paraId="1B95FB5D" w14:textId="77777777" w:rsidTr="00E236D2">
        <w:trPr>
          <w:trHeight w:val="197"/>
        </w:trPr>
        <w:tc>
          <w:tcPr>
            <w:tcW w:w="1297" w:type="dxa"/>
            <w:tcBorders>
              <w:top w:val="single" w:sz="4" w:space="0" w:color="000000"/>
              <w:left w:val="single" w:sz="4" w:space="0" w:color="000000"/>
              <w:bottom w:val="single" w:sz="4" w:space="0" w:color="000000"/>
              <w:right w:val="single" w:sz="4" w:space="0" w:color="000000"/>
            </w:tcBorders>
            <w:hideMark/>
          </w:tcPr>
          <w:p w14:paraId="3B90161B" w14:textId="77777777" w:rsidR="004B41D9" w:rsidRPr="008D3BF2" w:rsidRDefault="004B41D9" w:rsidP="002E6B2C">
            <w:pPr>
              <w:pStyle w:val="TableParagraph"/>
              <w:spacing w:before="1" w:beforeAutospacing="0" w:line="240" w:lineRule="auto"/>
              <w:ind w:left="8"/>
              <w:jc w:val="both"/>
            </w:pPr>
            <w:r w:rsidRPr="008D3BF2">
              <w:t>2018-</w:t>
            </w:r>
            <w:r w:rsidRPr="008D3BF2">
              <w:rPr>
                <w:spacing w:val="-4"/>
              </w:rPr>
              <w:t>2019</w:t>
            </w:r>
          </w:p>
        </w:tc>
        <w:tc>
          <w:tcPr>
            <w:tcW w:w="1515" w:type="dxa"/>
            <w:tcBorders>
              <w:top w:val="single" w:sz="4" w:space="0" w:color="000000"/>
              <w:left w:val="nil"/>
              <w:bottom w:val="single" w:sz="4" w:space="0" w:color="000000"/>
              <w:right w:val="single" w:sz="4" w:space="0" w:color="000000"/>
            </w:tcBorders>
            <w:hideMark/>
          </w:tcPr>
          <w:p w14:paraId="21ACCC92" w14:textId="77777777" w:rsidR="004B41D9" w:rsidRPr="008D3BF2" w:rsidRDefault="004B41D9" w:rsidP="002E6B2C">
            <w:pPr>
              <w:pStyle w:val="TableParagraph"/>
              <w:spacing w:before="1" w:beforeAutospacing="0" w:line="240" w:lineRule="auto"/>
            </w:pPr>
            <w:r w:rsidRPr="008D3BF2">
              <w:t>-</w:t>
            </w:r>
            <w:r w:rsidRPr="008D3BF2">
              <w:rPr>
                <w:spacing w:val="-2"/>
              </w:rPr>
              <w:t>9,975</w:t>
            </w:r>
          </w:p>
        </w:tc>
        <w:tc>
          <w:tcPr>
            <w:tcW w:w="1019" w:type="dxa"/>
            <w:tcBorders>
              <w:top w:val="single" w:sz="4" w:space="0" w:color="000000"/>
              <w:left w:val="nil"/>
              <w:bottom w:val="single" w:sz="4" w:space="0" w:color="000000"/>
              <w:right w:val="single" w:sz="4" w:space="0" w:color="000000"/>
            </w:tcBorders>
            <w:hideMark/>
          </w:tcPr>
          <w:p w14:paraId="7D30D0CE" w14:textId="77777777" w:rsidR="004B41D9" w:rsidRPr="008D3BF2" w:rsidRDefault="004B41D9" w:rsidP="002E6B2C">
            <w:pPr>
              <w:pStyle w:val="TableParagraph"/>
              <w:spacing w:before="1" w:beforeAutospacing="0" w:line="240" w:lineRule="auto"/>
            </w:pPr>
            <w:r w:rsidRPr="008D3BF2">
              <w:rPr>
                <w:spacing w:val="-2"/>
              </w:rPr>
              <w:t>15.50</w:t>
            </w:r>
          </w:p>
        </w:tc>
        <w:tc>
          <w:tcPr>
            <w:tcW w:w="1008" w:type="dxa"/>
            <w:tcBorders>
              <w:top w:val="single" w:sz="4" w:space="0" w:color="000000"/>
              <w:left w:val="nil"/>
              <w:bottom w:val="single" w:sz="4" w:space="0" w:color="000000"/>
              <w:right w:val="single" w:sz="4" w:space="0" w:color="000000"/>
            </w:tcBorders>
            <w:hideMark/>
          </w:tcPr>
          <w:p w14:paraId="54C771E2" w14:textId="77777777" w:rsidR="004B41D9" w:rsidRPr="008D3BF2" w:rsidRDefault="004B41D9" w:rsidP="002E6B2C">
            <w:pPr>
              <w:pStyle w:val="TableParagraph"/>
              <w:spacing w:before="1" w:beforeAutospacing="0" w:line="240" w:lineRule="auto"/>
              <w:ind w:left="13"/>
            </w:pPr>
            <w:r w:rsidRPr="008D3BF2">
              <w:rPr>
                <w:spacing w:val="-4"/>
              </w:rPr>
              <w:t>6.56</w:t>
            </w:r>
          </w:p>
        </w:tc>
        <w:tc>
          <w:tcPr>
            <w:tcW w:w="854" w:type="dxa"/>
            <w:tcBorders>
              <w:top w:val="single" w:sz="4" w:space="0" w:color="000000"/>
              <w:left w:val="nil"/>
              <w:bottom w:val="single" w:sz="4" w:space="0" w:color="000000"/>
              <w:right w:val="single" w:sz="4" w:space="0" w:color="000000"/>
            </w:tcBorders>
            <w:hideMark/>
          </w:tcPr>
          <w:p w14:paraId="0268DF78" w14:textId="77777777" w:rsidR="004B41D9" w:rsidRPr="008D3BF2" w:rsidRDefault="004B41D9" w:rsidP="002E6B2C">
            <w:pPr>
              <w:pStyle w:val="TableParagraph"/>
              <w:spacing w:before="1" w:beforeAutospacing="0" w:line="240" w:lineRule="auto"/>
              <w:ind w:left="11"/>
            </w:pPr>
            <w:r w:rsidRPr="008D3BF2">
              <w:rPr>
                <w:spacing w:val="-4"/>
              </w:rPr>
              <w:t>2.18</w:t>
            </w:r>
          </w:p>
        </w:tc>
        <w:tc>
          <w:tcPr>
            <w:tcW w:w="888" w:type="dxa"/>
            <w:tcBorders>
              <w:top w:val="single" w:sz="4" w:space="0" w:color="000000"/>
              <w:left w:val="nil"/>
              <w:bottom w:val="single" w:sz="4" w:space="0" w:color="000000"/>
              <w:right w:val="single" w:sz="4" w:space="0" w:color="000000"/>
            </w:tcBorders>
            <w:hideMark/>
          </w:tcPr>
          <w:p w14:paraId="0C51B572" w14:textId="77777777" w:rsidR="004B41D9" w:rsidRPr="008D3BF2" w:rsidRDefault="004B41D9" w:rsidP="002E6B2C">
            <w:pPr>
              <w:pStyle w:val="TableParagraph"/>
              <w:spacing w:before="1" w:beforeAutospacing="0" w:line="240" w:lineRule="auto"/>
              <w:ind w:left="14"/>
            </w:pPr>
            <w:r w:rsidRPr="008D3BF2">
              <w:t>-</w:t>
            </w:r>
            <w:r w:rsidRPr="008D3BF2">
              <w:rPr>
                <w:spacing w:val="-4"/>
              </w:rPr>
              <w:t>1.21</w:t>
            </w:r>
          </w:p>
        </w:tc>
        <w:tc>
          <w:tcPr>
            <w:tcW w:w="878" w:type="dxa"/>
            <w:tcBorders>
              <w:top w:val="single" w:sz="4" w:space="0" w:color="000000"/>
              <w:left w:val="nil"/>
              <w:bottom w:val="single" w:sz="4" w:space="0" w:color="000000"/>
              <w:right w:val="single" w:sz="4" w:space="0" w:color="000000"/>
            </w:tcBorders>
            <w:hideMark/>
          </w:tcPr>
          <w:p w14:paraId="35AA8865" w14:textId="77777777" w:rsidR="004B41D9" w:rsidRPr="008D3BF2" w:rsidRDefault="004B41D9" w:rsidP="002E6B2C">
            <w:pPr>
              <w:pStyle w:val="TableParagraph"/>
              <w:spacing w:before="1" w:beforeAutospacing="0" w:line="240" w:lineRule="auto"/>
              <w:ind w:left="15"/>
            </w:pPr>
            <w:r w:rsidRPr="008D3BF2">
              <w:t>-</w:t>
            </w:r>
            <w:r w:rsidRPr="008D3BF2">
              <w:rPr>
                <w:spacing w:val="-2"/>
              </w:rPr>
              <w:t>21.02</w:t>
            </w:r>
          </w:p>
        </w:tc>
        <w:tc>
          <w:tcPr>
            <w:tcW w:w="1820" w:type="dxa"/>
            <w:tcBorders>
              <w:top w:val="single" w:sz="4" w:space="0" w:color="000000"/>
              <w:left w:val="nil"/>
              <w:bottom w:val="single" w:sz="4" w:space="0" w:color="000000"/>
              <w:right w:val="single" w:sz="4" w:space="0" w:color="000000"/>
            </w:tcBorders>
            <w:hideMark/>
          </w:tcPr>
          <w:p w14:paraId="6A3F5B14" w14:textId="77777777" w:rsidR="004B41D9" w:rsidRPr="008D3BF2" w:rsidRDefault="004B41D9" w:rsidP="002E6B2C">
            <w:pPr>
              <w:pStyle w:val="TableParagraph"/>
              <w:spacing w:before="1" w:beforeAutospacing="0" w:line="240" w:lineRule="auto"/>
              <w:ind w:left="18"/>
            </w:pPr>
            <w:r w:rsidRPr="008D3BF2">
              <w:rPr>
                <w:spacing w:val="-2"/>
              </w:rPr>
              <w:t>46.91</w:t>
            </w:r>
          </w:p>
        </w:tc>
      </w:tr>
      <w:tr w:rsidR="004B41D9" w:rsidRPr="008D3BF2" w14:paraId="3831F80A" w14:textId="77777777" w:rsidTr="00E236D2">
        <w:trPr>
          <w:trHeight w:val="197"/>
        </w:trPr>
        <w:tc>
          <w:tcPr>
            <w:tcW w:w="1297" w:type="dxa"/>
            <w:tcBorders>
              <w:top w:val="single" w:sz="4" w:space="0" w:color="000000"/>
              <w:left w:val="single" w:sz="4" w:space="0" w:color="000000"/>
              <w:bottom w:val="single" w:sz="4" w:space="0" w:color="000000"/>
              <w:right w:val="single" w:sz="4" w:space="0" w:color="000000"/>
            </w:tcBorders>
            <w:hideMark/>
          </w:tcPr>
          <w:p w14:paraId="63D8E43E" w14:textId="77777777" w:rsidR="004B41D9" w:rsidRPr="008D3BF2" w:rsidRDefault="004B41D9" w:rsidP="002E6B2C">
            <w:pPr>
              <w:pStyle w:val="TableParagraph"/>
              <w:spacing w:line="240" w:lineRule="auto"/>
              <w:ind w:left="8"/>
              <w:jc w:val="both"/>
            </w:pPr>
            <w:r w:rsidRPr="008D3BF2">
              <w:t>2019-</w:t>
            </w:r>
            <w:r w:rsidRPr="008D3BF2">
              <w:rPr>
                <w:spacing w:val="-4"/>
              </w:rPr>
              <w:t>2020</w:t>
            </w:r>
          </w:p>
        </w:tc>
        <w:tc>
          <w:tcPr>
            <w:tcW w:w="1515" w:type="dxa"/>
            <w:tcBorders>
              <w:top w:val="single" w:sz="4" w:space="0" w:color="000000"/>
              <w:left w:val="nil"/>
              <w:bottom w:val="single" w:sz="4" w:space="0" w:color="000000"/>
              <w:right w:val="single" w:sz="4" w:space="0" w:color="000000"/>
            </w:tcBorders>
            <w:hideMark/>
          </w:tcPr>
          <w:p w14:paraId="12B906FA" w14:textId="77777777" w:rsidR="004B41D9" w:rsidRPr="008D3BF2" w:rsidRDefault="004B41D9" w:rsidP="002E6B2C">
            <w:pPr>
              <w:pStyle w:val="TableParagraph"/>
              <w:spacing w:line="240" w:lineRule="auto"/>
              <w:ind w:left="9"/>
            </w:pPr>
            <w:r w:rsidRPr="008D3BF2">
              <w:rPr>
                <w:spacing w:val="-5"/>
              </w:rPr>
              <w:t>336</w:t>
            </w:r>
          </w:p>
        </w:tc>
        <w:tc>
          <w:tcPr>
            <w:tcW w:w="1019" w:type="dxa"/>
            <w:tcBorders>
              <w:top w:val="single" w:sz="4" w:space="0" w:color="000000"/>
              <w:left w:val="nil"/>
              <w:bottom w:val="single" w:sz="4" w:space="0" w:color="000000"/>
              <w:right w:val="single" w:sz="4" w:space="0" w:color="000000"/>
            </w:tcBorders>
            <w:hideMark/>
          </w:tcPr>
          <w:p w14:paraId="5F4D603D" w14:textId="77777777" w:rsidR="004B41D9" w:rsidRPr="008D3BF2" w:rsidRDefault="004B41D9" w:rsidP="002E6B2C">
            <w:pPr>
              <w:pStyle w:val="TableParagraph"/>
              <w:spacing w:line="240" w:lineRule="auto"/>
            </w:pPr>
            <w:r w:rsidRPr="008D3BF2">
              <w:rPr>
                <w:spacing w:val="-2"/>
              </w:rPr>
              <w:t>14.21</w:t>
            </w:r>
          </w:p>
        </w:tc>
        <w:tc>
          <w:tcPr>
            <w:tcW w:w="1008" w:type="dxa"/>
            <w:tcBorders>
              <w:top w:val="single" w:sz="4" w:space="0" w:color="000000"/>
              <w:left w:val="nil"/>
              <w:bottom w:val="single" w:sz="4" w:space="0" w:color="000000"/>
              <w:right w:val="single" w:sz="4" w:space="0" w:color="000000"/>
            </w:tcBorders>
            <w:hideMark/>
          </w:tcPr>
          <w:p w14:paraId="3671DF93" w14:textId="77777777" w:rsidR="004B41D9" w:rsidRPr="008D3BF2" w:rsidRDefault="004B41D9" w:rsidP="002E6B2C">
            <w:pPr>
              <w:pStyle w:val="TableParagraph"/>
              <w:spacing w:line="240" w:lineRule="auto"/>
              <w:ind w:left="13"/>
            </w:pPr>
            <w:r w:rsidRPr="008D3BF2">
              <w:rPr>
                <w:spacing w:val="-4"/>
              </w:rPr>
              <w:t>5.78</w:t>
            </w:r>
          </w:p>
        </w:tc>
        <w:tc>
          <w:tcPr>
            <w:tcW w:w="854" w:type="dxa"/>
            <w:tcBorders>
              <w:top w:val="single" w:sz="4" w:space="0" w:color="000000"/>
              <w:left w:val="nil"/>
              <w:bottom w:val="single" w:sz="4" w:space="0" w:color="000000"/>
              <w:right w:val="single" w:sz="4" w:space="0" w:color="000000"/>
            </w:tcBorders>
            <w:hideMark/>
          </w:tcPr>
          <w:p w14:paraId="499AD4F5" w14:textId="77777777" w:rsidR="004B41D9" w:rsidRPr="008D3BF2" w:rsidRDefault="004B41D9" w:rsidP="002E6B2C">
            <w:pPr>
              <w:pStyle w:val="TableParagraph"/>
              <w:spacing w:line="240" w:lineRule="auto"/>
              <w:ind w:left="11"/>
            </w:pPr>
            <w:r w:rsidRPr="008D3BF2">
              <w:rPr>
                <w:spacing w:val="-4"/>
              </w:rPr>
              <w:t>2.41</w:t>
            </w:r>
          </w:p>
        </w:tc>
        <w:tc>
          <w:tcPr>
            <w:tcW w:w="888" w:type="dxa"/>
            <w:tcBorders>
              <w:top w:val="single" w:sz="4" w:space="0" w:color="000000"/>
              <w:left w:val="nil"/>
              <w:bottom w:val="single" w:sz="4" w:space="0" w:color="000000"/>
              <w:right w:val="single" w:sz="4" w:space="0" w:color="000000"/>
            </w:tcBorders>
            <w:hideMark/>
          </w:tcPr>
          <w:p w14:paraId="53E88A94" w14:textId="77777777" w:rsidR="004B41D9" w:rsidRPr="008D3BF2" w:rsidRDefault="004B41D9" w:rsidP="002E6B2C">
            <w:pPr>
              <w:pStyle w:val="TableParagraph"/>
              <w:spacing w:line="240" w:lineRule="auto"/>
              <w:ind w:left="15"/>
            </w:pPr>
            <w:r w:rsidRPr="008D3BF2">
              <w:rPr>
                <w:spacing w:val="-5"/>
              </w:rPr>
              <w:t>.05</w:t>
            </w:r>
          </w:p>
        </w:tc>
        <w:tc>
          <w:tcPr>
            <w:tcW w:w="878" w:type="dxa"/>
            <w:tcBorders>
              <w:top w:val="single" w:sz="4" w:space="0" w:color="000000"/>
              <w:left w:val="nil"/>
              <w:bottom w:val="single" w:sz="4" w:space="0" w:color="000000"/>
              <w:right w:val="single" w:sz="4" w:space="0" w:color="000000"/>
            </w:tcBorders>
            <w:hideMark/>
          </w:tcPr>
          <w:p w14:paraId="1B1925DC" w14:textId="77777777" w:rsidR="004B41D9" w:rsidRPr="008D3BF2" w:rsidRDefault="004B41D9" w:rsidP="002E6B2C">
            <w:pPr>
              <w:pStyle w:val="TableParagraph"/>
              <w:spacing w:line="240" w:lineRule="auto"/>
              <w:ind w:left="15"/>
            </w:pPr>
            <w:r w:rsidRPr="008D3BF2">
              <w:rPr>
                <w:spacing w:val="-5"/>
              </w:rPr>
              <w:t>.69</w:t>
            </w:r>
          </w:p>
        </w:tc>
        <w:tc>
          <w:tcPr>
            <w:tcW w:w="1820" w:type="dxa"/>
            <w:tcBorders>
              <w:top w:val="single" w:sz="4" w:space="0" w:color="000000"/>
              <w:left w:val="nil"/>
              <w:bottom w:val="single" w:sz="4" w:space="0" w:color="000000"/>
              <w:right w:val="single" w:sz="4" w:space="0" w:color="000000"/>
            </w:tcBorders>
            <w:hideMark/>
          </w:tcPr>
          <w:p w14:paraId="2ECE3773" w14:textId="77777777" w:rsidR="004B41D9" w:rsidRPr="008D3BF2" w:rsidRDefault="004B41D9" w:rsidP="002E6B2C">
            <w:pPr>
              <w:pStyle w:val="TableParagraph"/>
              <w:spacing w:line="240" w:lineRule="auto"/>
              <w:ind w:left="18"/>
            </w:pPr>
            <w:r w:rsidRPr="008D3BF2">
              <w:rPr>
                <w:spacing w:val="-2"/>
              </w:rPr>
              <w:t>56.47</w:t>
            </w:r>
          </w:p>
        </w:tc>
      </w:tr>
      <w:tr w:rsidR="004B41D9" w:rsidRPr="008D3BF2" w14:paraId="3D2F060B" w14:textId="77777777" w:rsidTr="00E236D2">
        <w:trPr>
          <w:trHeight w:val="196"/>
        </w:trPr>
        <w:tc>
          <w:tcPr>
            <w:tcW w:w="1297" w:type="dxa"/>
            <w:tcBorders>
              <w:top w:val="single" w:sz="4" w:space="0" w:color="000000"/>
              <w:left w:val="single" w:sz="4" w:space="0" w:color="000000"/>
              <w:bottom w:val="single" w:sz="4" w:space="0" w:color="000000"/>
              <w:right w:val="single" w:sz="4" w:space="0" w:color="000000"/>
            </w:tcBorders>
            <w:hideMark/>
          </w:tcPr>
          <w:p w14:paraId="7005797D" w14:textId="77777777" w:rsidR="004B41D9" w:rsidRPr="008D3BF2" w:rsidRDefault="004B41D9" w:rsidP="002E6B2C">
            <w:pPr>
              <w:pStyle w:val="TableParagraph"/>
              <w:spacing w:line="240" w:lineRule="auto"/>
              <w:ind w:left="9"/>
              <w:jc w:val="both"/>
            </w:pPr>
            <w:r w:rsidRPr="008D3BF2">
              <w:rPr>
                <w:spacing w:val="-4"/>
              </w:rPr>
              <w:t>Mean</w:t>
            </w:r>
          </w:p>
        </w:tc>
        <w:tc>
          <w:tcPr>
            <w:tcW w:w="1515" w:type="dxa"/>
            <w:tcBorders>
              <w:top w:val="single" w:sz="4" w:space="0" w:color="000000"/>
              <w:left w:val="nil"/>
              <w:bottom w:val="single" w:sz="4" w:space="0" w:color="000000"/>
              <w:right w:val="single" w:sz="4" w:space="0" w:color="000000"/>
            </w:tcBorders>
            <w:hideMark/>
          </w:tcPr>
          <w:p w14:paraId="1D1292CB" w14:textId="77777777" w:rsidR="004B41D9" w:rsidRPr="008D3BF2" w:rsidRDefault="004B41D9" w:rsidP="002E6B2C">
            <w:pPr>
              <w:pStyle w:val="TableParagraph"/>
              <w:spacing w:line="240" w:lineRule="auto"/>
            </w:pPr>
            <w:r w:rsidRPr="008D3BF2">
              <w:t>-</w:t>
            </w:r>
            <w:r w:rsidRPr="008D3BF2">
              <w:rPr>
                <w:spacing w:val="-2"/>
              </w:rPr>
              <w:t>4914.2000</w:t>
            </w:r>
          </w:p>
        </w:tc>
        <w:tc>
          <w:tcPr>
            <w:tcW w:w="1019" w:type="dxa"/>
            <w:tcBorders>
              <w:top w:val="single" w:sz="4" w:space="0" w:color="000000"/>
              <w:left w:val="nil"/>
              <w:bottom w:val="single" w:sz="4" w:space="0" w:color="000000"/>
              <w:right w:val="single" w:sz="4" w:space="0" w:color="000000"/>
            </w:tcBorders>
            <w:hideMark/>
          </w:tcPr>
          <w:p w14:paraId="6C963C40" w14:textId="77777777" w:rsidR="004B41D9" w:rsidRPr="008D3BF2" w:rsidRDefault="004B41D9" w:rsidP="002E6B2C">
            <w:pPr>
              <w:pStyle w:val="TableParagraph"/>
              <w:spacing w:line="240" w:lineRule="auto"/>
            </w:pPr>
            <w:r w:rsidRPr="008D3BF2">
              <w:rPr>
                <w:spacing w:val="-2"/>
              </w:rPr>
              <w:t>14.7040</w:t>
            </w:r>
          </w:p>
        </w:tc>
        <w:tc>
          <w:tcPr>
            <w:tcW w:w="1008" w:type="dxa"/>
            <w:tcBorders>
              <w:top w:val="single" w:sz="4" w:space="0" w:color="000000"/>
              <w:left w:val="nil"/>
              <w:bottom w:val="single" w:sz="4" w:space="0" w:color="000000"/>
              <w:right w:val="single" w:sz="4" w:space="0" w:color="000000"/>
            </w:tcBorders>
            <w:hideMark/>
          </w:tcPr>
          <w:p w14:paraId="5A926087" w14:textId="77777777" w:rsidR="004B41D9" w:rsidRPr="008D3BF2" w:rsidRDefault="004B41D9" w:rsidP="002E6B2C">
            <w:pPr>
              <w:pStyle w:val="TableParagraph"/>
              <w:spacing w:line="240" w:lineRule="auto"/>
              <w:ind w:left="13"/>
            </w:pPr>
            <w:r w:rsidRPr="008D3BF2">
              <w:rPr>
                <w:spacing w:val="-2"/>
              </w:rPr>
              <w:t>8.0000</w:t>
            </w:r>
          </w:p>
        </w:tc>
        <w:tc>
          <w:tcPr>
            <w:tcW w:w="854" w:type="dxa"/>
            <w:tcBorders>
              <w:top w:val="single" w:sz="4" w:space="0" w:color="000000"/>
              <w:left w:val="nil"/>
              <w:bottom w:val="single" w:sz="4" w:space="0" w:color="000000"/>
              <w:right w:val="single" w:sz="4" w:space="0" w:color="000000"/>
            </w:tcBorders>
            <w:hideMark/>
          </w:tcPr>
          <w:p w14:paraId="3C8E0FDB" w14:textId="77777777" w:rsidR="004B41D9" w:rsidRPr="008D3BF2" w:rsidRDefault="004B41D9" w:rsidP="002E6B2C">
            <w:pPr>
              <w:pStyle w:val="TableParagraph"/>
              <w:spacing w:line="240" w:lineRule="auto"/>
              <w:ind w:left="11"/>
            </w:pPr>
            <w:r w:rsidRPr="008D3BF2">
              <w:rPr>
                <w:spacing w:val="-2"/>
              </w:rPr>
              <w:t>2.3700</w:t>
            </w:r>
          </w:p>
        </w:tc>
        <w:tc>
          <w:tcPr>
            <w:tcW w:w="888" w:type="dxa"/>
            <w:tcBorders>
              <w:top w:val="single" w:sz="4" w:space="0" w:color="000000"/>
              <w:left w:val="nil"/>
              <w:bottom w:val="single" w:sz="4" w:space="0" w:color="000000"/>
              <w:right w:val="single" w:sz="4" w:space="0" w:color="000000"/>
            </w:tcBorders>
            <w:hideMark/>
          </w:tcPr>
          <w:p w14:paraId="31032538" w14:textId="77777777" w:rsidR="004B41D9" w:rsidRPr="008D3BF2" w:rsidRDefault="004B41D9" w:rsidP="002E6B2C">
            <w:pPr>
              <w:pStyle w:val="TableParagraph"/>
              <w:spacing w:line="240" w:lineRule="auto"/>
              <w:ind w:left="15"/>
            </w:pPr>
            <w:r w:rsidRPr="008D3BF2">
              <w:t>-</w:t>
            </w:r>
            <w:r w:rsidRPr="008D3BF2">
              <w:rPr>
                <w:spacing w:val="-2"/>
              </w:rPr>
              <w:t>.6160</w:t>
            </w:r>
          </w:p>
        </w:tc>
        <w:tc>
          <w:tcPr>
            <w:tcW w:w="878" w:type="dxa"/>
            <w:tcBorders>
              <w:top w:val="single" w:sz="4" w:space="0" w:color="000000"/>
              <w:left w:val="nil"/>
              <w:bottom w:val="single" w:sz="4" w:space="0" w:color="000000"/>
              <w:right w:val="single" w:sz="4" w:space="0" w:color="000000"/>
            </w:tcBorders>
            <w:hideMark/>
          </w:tcPr>
          <w:p w14:paraId="60B794F5" w14:textId="77777777" w:rsidR="004B41D9" w:rsidRPr="008D3BF2" w:rsidRDefault="004B41D9" w:rsidP="002E6B2C">
            <w:pPr>
              <w:pStyle w:val="TableParagraph"/>
              <w:spacing w:line="240" w:lineRule="auto"/>
              <w:ind w:left="15"/>
            </w:pPr>
            <w:r w:rsidRPr="008D3BF2">
              <w:t>-</w:t>
            </w:r>
            <w:r w:rsidRPr="008D3BF2">
              <w:rPr>
                <w:spacing w:val="-2"/>
              </w:rPr>
              <w:t>10.9920</w:t>
            </w:r>
          </w:p>
        </w:tc>
        <w:tc>
          <w:tcPr>
            <w:tcW w:w="1820" w:type="dxa"/>
            <w:tcBorders>
              <w:top w:val="single" w:sz="4" w:space="0" w:color="000000"/>
              <w:left w:val="nil"/>
              <w:bottom w:val="single" w:sz="4" w:space="0" w:color="000000"/>
              <w:right w:val="single" w:sz="4" w:space="0" w:color="000000"/>
            </w:tcBorders>
            <w:hideMark/>
          </w:tcPr>
          <w:p w14:paraId="7DDA5D02" w14:textId="77777777" w:rsidR="004B41D9" w:rsidRPr="008D3BF2" w:rsidRDefault="004B41D9" w:rsidP="002E6B2C">
            <w:pPr>
              <w:pStyle w:val="TableParagraph"/>
              <w:spacing w:line="240" w:lineRule="auto"/>
              <w:ind w:left="18"/>
            </w:pPr>
            <w:r w:rsidRPr="008D3BF2">
              <w:rPr>
                <w:spacing w:val="-2"/>
              </w:rPr>
              <w:t>51.5620</w:t>
            </w:r>
          </w:p>
        </w:tc>
      </w:tr>
      <w:tr w:rsidR="004B41D9" w:rsidRPr="008D3BF2" w14:paraId="27BFBEAE" w14:textId="77777777" w:rsidTr="00E236D2">
        <w:trPr>
          <w:trHeight w:val="197"/>
        </w:trPr>
        <w:tc>
          <w:tcPr>
            <w:tcW w:w="1297" w:type="dxa"/>
            <w:tcBorders>
              <w:top w:val="single" w:sz="4" w:space="0" w:color="000000"/>
              <w:left w:val="single" w:sz="4" w:space="0" w:color="000000"/>
              <w:bottom w:val="single" w:sz="4" w:space="0" w:color="000000"/>
              <w:right w:val="single" w:sz="4" w:space="0" w:color="000000"/>
            </w:tcBorders>
            <w:hideMark/>
          </w:tcPr>
          <w:p w14:paraId="5007B8A0" w14:textId="77777777" w:rsidR="004B41D9" w:rsidRPr="008D3BF2" w:rsidRDefault="004B41D9" w:rsidP="002E6B2C">
            <w:pPr>
              <w:pStyle w:val="TableParagraph"/>
              <w:spacing w:before="1" w:beforeAutospacing="0" w:line="240" w:lineRule="auto"/>
              <w:ind w:left="11"/>
              <w:jc w:val="both"/>
            </w:pPr>
            <w:r w:rsidRPr="008D3BF2">
              <w:t xml:space="preserve">Std. </w:t>
            </w:r>
            <w:r w:rsidRPr="008D3BF2">
              <w:rPr>
                <w:spacing w:val="-2"/>
              </w:rPr>
              <w:t>Deviation</w:t>
            </w:r>
          </w:p>
        </w:tc>
        <w:tc>
          <w:tcPr>
            <w:tcW w:w="1515" w:type="dxa"/>
            <w:tcBorders>
              <w:top w:val="single" w:sz="4" w:space="0" w:color="000000"/>
              <w:left w:val="nil"/>
              <w:bottom w:val="single" w:sz="4" w:space="0" w:color="000000"/>
              <w:right w:val="single" w:sz="4" w:space="0" w:color="000000"/>
            </w:tcBorders>
            <w:hideMark/>
          </w:tcPr>
          <w:p w14:paraId="5342A9CA" w14:textId="77777777" w:rsidR="004B41D9" w:rsidRPr="008D3BF2" w:rsidRDefault="004B41D9" w:rsidP="002E6B2C">
            <w:pPr>
              <w:pStyle w:val="TableParagraph"/>
              <w:spacing w:before="1" w:beforeAutospacing="0" w:line="240" w:lineRule="auto"/>
              <w:ind w:left="9"/>
            </w:pPr>
            <w:r w:rsidRPr="008D3BF2">
              <w:rPr>
                <w:spacing w:val="-2"/>
              </w:rPr>
              <w:t>6068.09490</w:t>
            </w:r>
          </w:p>
        </w:tc>
        <w:tc>
          <w:tcPr>
            <w:tcW w:w="1019" w:type="dxa"/>
            <w:tcBorders>
              <w:top w:val="single" w:sz="4" w:space="0" w:color="000000"/>
              <w:left w:val="nil"/>
              <w:bottom w:val="single" w:sz="4" w:space="0" w:color="000000"/>
              <w:right w:val="single" w:sz="4" w:space="0" w:color="000000"/>
            </w:tcBorders>
            <w:hideMark/>
          </w:tcPr>
          <w:p w14:paraId="3F789827" w14:textId="77777777" w:rsidR="004B41D9" w:rsidRPr="008D3BF2" w:rsidRDefault="004B41D9" w:rsidP="002E6B2C">
            <w:pPr>
              <w:pStyle w:val="TableParagraph"/>
              <w:spacing w:before="1" w:beforeAutospacing="0" w:line="240" w:lineRule="auto"/>
            </w:pPr>
            <w:r w:rsidRPr="008D3BF2">
              <w:rPr>
                <w:spacing w:val="-2"/>
              </w:rPr>
              <w:t>2.36492</w:t>
            </w:r>
          </w:p>
        </w:tc>
        <w:tc>
          <w:tcPr>
            <w:tcW w:w="1008" w:type="dxa"/>
            <w:tcBorders>
              <w:top w:val="single" w:sz="4" w:space="0" w:color="000000"/>
              <w:left w:val="nil"/>
              <w:bottom w:val="single" w:sz="4" w:space="0" w:color="000000"/>
              <w:right w:val="single" w:sz="4" w:space="0" w:color="000000"/>
            </w:tcBorders>
            <w:hideMark/>
          </w:tcPr>
          <w:p w14:paraId="1071EDFB" w14:textId="77777777" w:rsidR="004B41D9" w:rsidRPr="008D3BF2" w:rsidRDefault="004B41D9" w:rsidP="002E6B2C">
            <w:pPr>
              <w:pStyle w:val="TableParagraph"/>
              <w:spacing w:before="1" w:beforeAutospacing="0" w:line="240" w:lineRule="auto"/>
              <w:ind w:left="12"/>
            </w:pPr>
            <w:r w:rsidRPr="008D3BF2">
              <w:rPr>
                <w:spacing w:val="-2"/>
              </w:rPr>
              <w:t>2.11588</w:t>
            </w:r>
          </w:p>
        </w:tc>
        <w:tc>
          <w:tcPr>
            <w:tcW w:w="854" w:type="dxa"/>
            <w:tcBorders>
              <w:top w:val="single" w:sz="4" w:space="0" w:color="000000"/>
              <w:left w:val="nil"/>
              <w:bottom w:val="single" w:sz="4" w:space="0" w:color="000000"/>
              <w:right w:val="single" w:sz="4" w:space="0" w:color="000000"/>
            </w:tcBorders>
            <w:hideMark/>
          </w:tcPr>
          <w:p w14:paraId="7DC3798A" w14:textId="77777777" w:rsidR="004B41D9" w:rsidRPr="008D3BF2" w:rsidRDefault="004B41D9" w:rsidP="002E6B2C">
            <w:pPr>
              <w:pStyle w:val="TableParagraph"/>
              <w:spacing w:before="1" w:beforeAutospacing="0" w:line="240" w:lineRule="auto"/>
              <w:ind w:left="11"/>
            </w:pPr>
            <w:r w:rsidRPr="008D3BF2">
              <w:rPr>
                <w:spacing w:val="-2"/>
              </w:rPr>
              <w:t>.13657</w:t>
            </w:r>
          </w:p>
        </w:tc>
        <w:tc>
          <w:tcPr>
            <w:tcW w:w="888" w:type="dxa"/>
            <w:tcBorders>
              <w:top w:val="single" w:sz="4" w:space="0" w:color="000000"/>
              <w:left w:val="nil"/>
              <w:bottom w:val="single" w:sz="4" w:space="0" w:color="000000"/>
              <w:right w:val="single" w:sz="4" w:space="0" w:color="000000"/>
            </w:tcBorders>
            <w:hideMark/>
          </w:tcPr>
          <w:p w14:paraId="4F1AAEA6" w14:textId="77777777" w:rsidR="004B41D9" w:rsidRPr="008D3BF2" w:rsidRDefault="004B41D9" w:rsidP="002E6B2C">
            <w:pPr>
              <w:pStyle w:val="TableParagraph"/>
              <w:spacing w:before="1" w:beforeAutospacing="0" w:line="240" w:lineRule="auto"/>
              <w:ind w:left="14"/>
            </w:pPr>
            <w:r w:rsidRPr="008D3BF2">
              <w:rPr>
                <w:spacing w:val="-2"/>
              </w:rPr>
              <w:t>.75811</w:t>
            </w:r>
          </w:p>
        </w:tc>
        <w:tc>
          <w:tcPr>
            <w:tcW w:w="878" w:type="dxa"/>
            <w:tcBorders>
              <w:top w:val="single" w:sz="4" w:space="0" w:color="000000"/>
              <w:left w:val="nil"/>
              <w:bottom w:val="single" w:sz="4" w:space="0" w:color="000000"/>
              <w:right w:val="single" w:sz="4" w:space="0" w:color="000000"/>
            </w:tcBorders>
            <w:hideMark/>
          </w:tcPr>
          <w:p w14:paraId="4DAAF889" w14:textId="77777777" w:rsidR="004B41D9" w:rsidRPr="008D3BF2" w:rsidRDefault="004B41D9" w:rsidP="002E6B2C">
            <w:pPr>
              <w:pStyle w:val="TableParagraph"/>
              <w:spacing w:before="1" w:beforeAutospacing="0" w:line="240" w:lineRule="auto"/>
              <w:ind w:left="14"/>
            </w:pPr>
            <w:r w:rsidRPr="008D3BF2">
              <w:rPr>
                <w:spacing w:val="-2"/>
              </w:rPr>
              <w:t>13.59071</w:t>
            </w:r>
          </w:p>
        </w:tc>
        <w:tc>
          <w:tcPr>
            <w:tcW w:w="1820" w:type="dxa"/>
            <w:tcBorders>
              <w:top w:val="single" w:sz="4" w:space="0" w:color="000000"/>
              <w:left w:val="nil"/>
              <w:bottom w:val="single" w:sz="4" w:space="0" w:color="000000"/>
              <w:right w:val="single" w:sz="4" w:space="0" w:color="000000"/>
            </w:tcBorders>
            <w:hideMark/>
          </w:tcPr>
          <w:p w14:paraId="330D7EA1" w14:textId="77777777" w:rsidR="004B41D9" w:rsidRPr="008D3BF2" w:rsidRDefault="004B41D9" w:rsidP="002E6B2C">
            <w:pPr>
              <w:pStyle w:val="TableParagraph"/>
              <w:spacing w:before="1" w:beforeAutospacing="0" w:line="240" w:lineRule="auto"/>
              <w:ind w:left="18"/>
            </w:pPr>
            <w:r w:rsidRPr="008D3BF2">
              <w:rPr>
                <w:spacing w:val="-2"/>
              </w:rPr>
              <w:t>3.66809</w:t>
            </w:r>
          </w:p>
        </w:tc>
      </w:tr>
      <w:tr w:rsidR="004B41D9" w:rsidRPr="008D3BF2" w14:paraId="654BC782" w14:textId="77777777" w:rsidTr="00E236D2">
        <w:trPr>
          <w:trHeight w:val="197"/>
        </w:trPr>
        <w:tc>
          <w:tcPr>
            <w:tcW w:w="1297" w:type="dxa"/>
            <w:tcBorders>
              <w:top w:val="single" w:sz="4" w:space="0" w:color="000000"/>
              <w:left w:val="single" w:sz="4" w:space="0" w:color="000000"/>
              <w:bottom w:val="single" w:sz="4" w:space="0" w:color="000000"/>
              <w:right w:val="single" w:sz="4" w:space="0" w:color="000000"/>
            </w:tcBorders>
            <w:hideMark/>
          </w:tcPr>
          <w:p w14:paraId="0202EB09" w14:textId="77777777" w:rsidR="004B41D9" w:rsidRPr="008D3BF2" w:rsidRDefault="004B41D9" w:rsidP="002E6B2C">
            <w:pPr>
              <w:pStyle w:val="TableParagraph"/>
              <w:spacing w:line="240" w:lineRule="auto"/>
              <w:ind w:left="9"/>
              <w:jc w:val="both"/>
            </w:pPr>
            <w:r w:rsidRPr="008D3BF2">
              <w:t xml:space="preserve">Std. </w:t>
            </w:r>
            <w:r w:rsidRPr="008D3BF2">
              <w:rPr>
                <w:spacing w:val="-2"/>
              </w:rPr>
              <w:t>Error</w:t>
            </w:r>
          </w:p>
        </w:tc>
        <w:tc>
          <w:tcPr>
            <w:tcW w:w="1515" w:type="dxa"/>
            <w:tcBorders>
              <w:top w:val="single" w:sz="4" w:space="0" w:color="000000"/>
              <w:left w:val="nil"/>
              <w:bottom w:val="single" w:sz="4" w:space="0" w:color="000000"/>
              <w:right w:val="single" w:sz="4" w:space="0" w:color="000000"/>
            </w:tcBorders>
            <w:hideMark/>
          </w:tcPr>
          <w:p w14:paraId="44FF793B" w14:textId="77777777" w:rsidR="004B41D9" w:rsidRPr="008D3BF2" w:rsidRDefault="004B41D9" w:rsidP="002E6B2C">
            <w:pPr>
              <w:pStyle w:val="TableParagraph"/>
              <w:spacing w:line="240" w:lineRule="auto"/>
              <w:ind w:left="9"/>
            </w:pPr>
            <w:r w:rsidRPr="008D3BF2">
              <w:rPr>
                <w:spacing w:val="-2"/>
              </w:rPr>
              <w:t>2713.73454</w:t>
            </w:r>
          </w:p>
        </w:tc>
        <w:tc>
          <w:tcPr>
            <w:tcW w:w="1019" w:type="dxa"/>
            <w:tcBorders>
              <w:top w:val="single" w:sz="4" w:space="0" w:color="000000"/>
              <w:left w:val="nil"/>
              <w:bottom w:val="single" w:sz="4" w:space="0" w:color="000000"/>
              <w:right w:val="single" w:sz="4" w:space="0" w:color="000000"/>
            </w:tcBorders>
            <w:hideMark/>
          </w:tcPr>
          <w:p w14:paraId="17DAB8C9" w14:textId="77777777" w:rsidR="004B41D9" w:rsidRPr="008D3BF2" w:rsidRDefault="004B41D9" w:rsidP="002E6B2C">
            <w:pPr>
              <w:pStyle w:val="TableParagraph"/>
              <w:spacing w:line="240" w:lineRule="auto"/>
            </w:pPr>
            <w:r w:rsidRPr="008D3BF2">
              <w:rPr>
                <w:spacing w:val="-2"/>
              </w:rPr>
              <w:t>1.05762</w:t>
            </w:r>
          </w:p>
        </w:tc>
        <w:tc>
          <w:tcPr>
            <w:tcW w:w="1008" w:type="dxa"/>
            <w:tcBorders>
              <w:top w:val="single" w:sz="4" w:space="0" w:color="000000"/>
              <w:left w:val="nil"/>
              <w:bottom w:val="single" w:sz="4" w:space="0" w:color="000000"/>
              <w:right w:val="single" w:sz="4" w:space="0" w:color="000000"/>
            </w:tcBorders>
            <w:hideMark/>
          </w:tcPr>
          <w:p w14:paraId="3CEFB429" w14:textId="77777777" w:rsidR="004B41D9" w:rsidRPr="008D3BF2" w:rsidRDefault="004B41D9" w:rsidP="002E6B2C">
            <w:pPr>
              <w:pStyle w:val="TableParagraph"/>
              <w:spacing w:line="240" w:lineRule="auto"/>
              <w:ind w:left="13"/>
            </w:pPr>
            <w:r w:rsidRPr="008D3BF2">
              <w:rPr>
                <w:spacing w:val="-2"/>
              </w:rPr>
              <w:t>.94625</w:t>
            </w:r>
          </w:p>
        </w:tc>
        <w:tc>
          <w:tcPr>
            <w:tcW w:w="854" w:type="dxa"/>
            <w:tcBorders>
              <w:top w:val="single" w:sz="4" w:space="0" w:color="000000"/>
              <w:left w:val="nil"/>
              <w:bottom w:val="single" w:sz="4" w:space="0" w:color="000000"/>
              <w:right w:val="single" w:sz="4" w:space="0" w:color="000000"/>
            </w:tcBorders>
            <w:hideMark/>
          </w:tcPr>
          <w:p w14:paraId="52DF6B20" w14:textId="77777777" w:rsidR="004B41D9" w:rsidRPr="008D3BF2" w:rsidRDefault="004B41D9" w:rsidP="002E6B2C">
            <w:pPr>
              <w:pStyle w:val="TableParagraph"/>
              <w:spacing w:line="240" w:lineRule="auto"/>
              <w:ind w:left="11"/>
            </w:pPr>
            <w:r w:rsidRPr="008D3BF2">
              <w:rPr>
                <w:spacing w:val="-2"/>
              </w:rPr>
              <w:t>.06107</w:t>
            </w:r>
          </w:p>
        </w:tc>
        <w:tc>
          <w:tcPr>
            <w:tcW w:w="888" w:type="dxa"/>
            <w:tcBorders>
              <w:top w:val="single" w:sz="4" w:space="0" w:color="000000"/>
              <w:left w:val="nil"/>
              <w:bottom w:val="single" w:sz="4" w:space="0" w:color="000000"/>
              <w:right w:val="single" w:sz="4" w:space="0" w:color="000000"/>
            </w:tcBorders>
            <w:hideMark/>
          </w:tcPr>
          <w:p w14:paraId="601D897C" w14:textId="77777777" w:rsidR="004B41D9" w:rsidRPr="008D3BF2" w:rsidRDefault="004B41D9" w:rsidP="002E6B2C">
            <w:pPr>
              <w:pStyle w:val="TableParagraph"/>
              <w:spacing w:line="240" w:lineRule="auto"/>
              <w:ind w:left="14"/>
            </w:pPr>
            <w:r w:rsidRPr="008D3BF2">
              <w:rPr>
                <w:spacing w:val="-2"/>
              </w:rPr>
              <w:t>.33904</w:t>
            </w:r>
          </w:p>
        </w:tc>
        <w:tc>
          <w:tcPr>
            <w:tcW w:w="878" w:type="dxa"/>
            <w:tcBorders>
              <w:top w:val="single" w:sz="4" w:space="0" w:color="000000"/>
              <w:left w:val="nil"/>
              <w:bottom w:val="single" w:sz="4" w:space="0" w:color="000000"/>
              <w:right w:val="single" w:sz="4" w:space="0" w:color="000000"/>
            </w:tcBorders>
            <w:hideMark/>
          </w:tcPr>
          <w:p w14:paraId="6830323C" w14:textId="77777777" w:rsidR="004B41D9" w:rsidRPr="008D3BF2" w:rsidRDefault="004B41D9" w:rsidP="002E6B2C">
            <w:pPr>
              <w:pStyle w:val="TableParagraph"/>
              <w:spacing w:line="240" w:lineRule="auto"/>
              <w:ind w:left="15"/>
            </w:pPr>
            <w:r w:rsidRPr="008D3BF2">
              <w:rPr>
                <w:spacing w:val="-2"/>
              </w:rPr>
              <w:t>6.07795</w:t>
            </w:r>
          </w:p>
        </w:tc>
        <w:tc>
          <w:tcPr>
            <w:tcW w:w="1820" w:type="dxa"/>
            <w:tcBorders>
              <w:top w:val="single" w:sz="4" w:space="0" w:color="000000"/>
              <w:left w:val="nil"/>
              <w:bottom w:val="single" w:sz="4" w:space="0" w:color="000000"/>
              <w:right w:val="single" w:sz="4" w:space="0" w:color="000000"/>
            </w:tcBorders>
            <w:hideMark/>
          </w:tcPr>
          <w:p w14:paraId="1C041FFC" w14:textId="77777777" w:rsidR="004B41D9" w:rsidRPr="008D3BF2" w:rsidRDefault="004B41D9" w:rsidP="002E6B2C">
            <w:pPr>
              <w:pStyle w:val="TableParagraph"/>
              <w:spacing w:line="240" w:lineRule="auto"/>
              <w:ind w:left="18"/>
            </w:pPr>
            <w:r w:rsidRPr="008D3BF2">
              <w:rPr>
                <w:spacing w:val="-2"/>
              </w:rPr>
              <w:t>1.64042</w:t>
            </w:r>
          </w:p>
        </w:tc>
      </w:tr>
      <w:tr w:rsidR="004B41D9" w:rsidRPr="008D3BF2" w14:paraId="29D97F2E" w14:textId="77777777" w:rsidTr="00E236D2">
        <w:trPr>
          <w:trHeight w:val="196"/>
        </w:trPr>
        <w:tc>
          <w:tcPr>
            <w:tcW w:w="1297" w:type="dxa"/>
            <w:tcBorders>
              <w:top w:val="single" w:sz="4" w:space="0" w:color="000000"/>
              <w:left w:val="single" w:sz="4" w:space="0" w:color="000000"/>
              <w:bottom w:val="single" w:sz="4" w:space="0" w:color="000000"/>
              <w:right w:val="single" w:sz="4" w:space="0" w:color="000000"/>
            </w:tcBorders>
            <w:hideMark/>
          </w:tcPr>
          <w:p w14:paraId="2731B293" w14:textId="77777777" w:rsidR="004B41D9" w:rsidRPr="008D3BF2" w:rsidRDefault="004B41D9" w:rsidP="002E6B2C">
            <w:pPr>
              <w:pStyle w:val="TableParagraph"/>
              <w:spacing w:line="240" w:lineRule="auto"/>
              <w:ind w:left="8"/>
              <w:jc w:val="both"/>
            </w:pPr>
            <w:r w:rsidRPr="008D3BF2">
              <w:rPr>
                <w:spacing w:val="-2"/>
              </w:rPr>
              <w:t>Minimum</w:t>
            </w:r>
          </w:p>
        </w:tc>
        <w:tc>
          <w:tcPr>
            <w:tcW w:w="1515" w:type="dxa"/>
            <w:tcBorders>
              <w:top w:val="single" w:sz="4" w:space="0" w:color="000000"/>
              <w:left w:val="nil"/>
              <w:bottom w:val="single" w:sz="4" w:space="0" w:color="000000"/>
              <w:right w:val="single" w:sz="4" w:space="0" w:color="000000"/>
            </w:tcBorders>
            <w:hideMark/>
          </w:tcPr>
          <w:p w14:paraId="389C7DE8" w14:textId="77777777" w:rsidR="004B41D9" w:rsidRPr="008D3BF2" w:rsidRDefault="004B41D9" w:rsidP="002E6B2C">
            <w:pPr>
              <w:pStyle w:val="TableParagraph"/>
              <w:spacing w:line="240" w:lineRule="auto"/>
              <w:ind w:left="9"/>
            </w:pPr>
            <w:r w:rsidRPr="008D3BF2">
              <w:t>-</w:t>
            </w:r>
            <w:r w:rsidRPr="008D3BF2">
              <w:rPr>
                <w:spacing w:val="-2"/>
              </w:rPr>
              <w:t>12283</w:t>
            </w:r>
          </w:p>
        </w:tc>
        <w:tc>
          <w:tcPr>
            <w:tcW w:w="1019" w:type="dxa"/>
            <w:tcBorders>
              <w:top w:val="single" w:sz="4" w:space="0" w:color="000000"/>
              <w:left w:val="nil"/>
              <w:bottom w:val="single" w:sz="4" w:space="0" w:color="000000"/>
              <w:right w:val="single" w:sz="4" w:space="0" w:color="000000"/>
            </w:tcBorders>
            <w:hideMark/>
          </w:tcPr>
          <w:p w14:paraId="6696F237" w14:textId="77777777" w:rsidR="004B41D9" w:rsidRPr="008D3BF2" w:rsidRDefault="004B41D9" w:rsidP="002E6B2C">
            <w:pPr>
              <w:pStyle w:val="TableParagraph"/>
              <w:spacing w:line="240" w:lineRule="auto"/>
            </w:pPr>
            <w:r w:rsidRPr="008D3BF2">
              <w:rPr>
                <w:spacing w:val="-2"/>
              </w:rPr>
              <w:t>12.53</w:t>
            </w:r>
          </w:p>
        </w:tc>
        <w:tc>
          <w:tcPr>
            <w:tcW w:w="1008" w:type="dxa"/>
            <w:tcBorders>
              <w:top w:val="single" w:sz="4" w:space="0" w:color="000000"/>
              <w:left w:val="nil"/>
              <w:bottom w:val="single" w:sz="4" w:space="0" w:color="000000"/>
              <w:right w:val="single" w:sz="4" w:space="0" w:color="000000"/>
            </w:tcBorders>
            <w:hideMark/>
          </w:tcPr>
          <w:p w14:paraId="47D70604" w14:textId="77777777" w:rsidR="004B41D9" w:rsidRPr="008D3BF2" w:rsidRDefault="004B41D9" w:rsidP="002E6B2C">
            <w:pPr>
              <w:pStyle w:val="TableParagraph"/>
              <w:spacing w:line="240" w:lineRule="auto"/>
              <w:ind w:left="13"/>
            </w:pPr>
            <w:r w:rsidRPr="008D3BF2">
              <w:rPr>
                <w:spacing w:val="-4"/>
              </w:rPr>
              <w:t>5.78</w:t>
            </w:r>
          </w:p>
        </w:tc>
        <w:tc>
          <w:tcPr>
            <w:tcW w:w="854" w:type="dxa"/>
            <w:tcBorders>
              <w:top w:val="single" w:sz="4" w:space="0" w:color="000000"/>
              <w:left w:val="nil"/>
              <w:bottom w:val="single" w:sz="4" w:space="0" w:color="000000"/>
              <w:right w:val="single" w:sz="4" w:space="0" w:color="000000"/>
            </w:tcBorders>
            <w:hideMark/>
          </w:tcPr>
          <w:p w14:paraId="1F0E9FB9" w14:textId="77777777" w:rsidR="004B41D9" w:rsidRPr="008D3BF2" w:rsidRDefault="004B41D9" w:rsidP="002E6B2C">
            <w:pPr>
              <w:pStyle w:val="TableParagraph"/>
              <w:spacing w:line="240" w:lineRule="auto"/>
              <w:ind w:left="11"/>
            </w:pPr>
            <w:r w:rsidRPr="008D3BF2">
              <w:rPr>
                <w:spacing w:val="-4"/>
              </w:rPr>
              <w:t>2.18</w:t>
            </w:r>
          </w:p>
        </w:tc>
        <w:tc>
          <w:tcPr>
            <w:tcW w:w="888" w:type="dxa"/>
            <w:tcBorders>
              <w:top w:val="single" w:sz="4" w:space="0" w:color="000000"/>
              <w:left w:val="nil"/>
              <w:bottom w:val="single" w:sz="4" w:space="0" w:color="000000"/>
              <w:right w:val="single" w:sz="4" w:space="0" w:color="000000"/>
            </w:tcBorders>
            <w:hideMark/>
          </w:tcPr>
          <w:p w14:paraId="0F122EA3" w14:textId="77777777" w:rsidR="004B41D9" w:rsidRPr="008D3BF2" w:rsidRDefault="004B41D9" w:rsidP="002E6B2C">
            <w:pPr>
              <w:pStyle w:val="TableParagraph"/>
              <w:spacing w:line="240" w:lineRule="auto"/>
              <w:ind w:left="14"/>
            </w:pPr>
            <w:r w:rsidRPr="008D3BF2">
              <w:t>-</w:t>
            </w:r>
            <w:r w:rsidRPr="008D3BF2">
              <w:rPr>
                <w:spacing w:val="-4"/>
              </w:rPr>
              <w:t>1.56</w:t>
            </w:r>
          </w:p>
        </w:tc>
        <w:tc>
          <w:tcPr>
            <w:tcW w:w="878" w:type="dxa"/>
            <w:tcBorders>
              <w:top w:val="single" w:sz="4" w:space="0" w:color="000000"/>
              <w:left w:val="nil"/>
              <w:bottom w:val="single" w:sz="4" w:space="0" w:color="000000"/>
              <w:right w:val="single" w:sz="4" w:space="0" w:color="000000"/>
            </w:tcBorders>
            <w:hideMark/>
          </w:tcPr>
          <w:p w14:paraId="4793E00E" w14:textId="77777777" w:rsidR="004B41D9" w:rsidRPr="008D3BF2" w:rsidRDefault="004B41D9" w:rsidP="002E6B2C">
            <w:pPr>
              <w:pStyle w:val="TableParagraph"/>
              <w:spacing w:line="240" w:lineRule="auto"/>
              <w:ind w:left="15"/>
            </w:pPr>
            <w:r w:rsidRPr="008D3BF2">
              <w:t>-</w:t>
            </w:r>
            <w:r w:rsidRPr="008D3BF2">
              <w:rPr>
                <w:spacing w:val="-2"/>
              </w:rPr>
              <w:t>28.55</w:t>
            </w:r>
          </w:p>
        </w:tc>
        <w:tc>
          <w:tcPr>
            <w:tcW w:w="1820" w:type="dxa"/>
            <w:tcBorders>
              <w:top w:val="single" w:sz="4" w:space="0" w:color="000000"/>
              <w:left w:val="nil"/>
              <w:bottom w:val="single" w:sz="4" w:space="0" w:color="000000"/>
              <w:right w:val="single" w:sz="4" w:space="0" w:color="000000"/>
            </w:tcBorders>
            <w:hideMark/>
          </w:tcPr>
          <w:p w14:paraId="0F0765CF" w14:textId="77777777" w:rsidR="004B41D9" w:rsidRPr="008D3BF2" w:rsidRDefault="004B41D9" w:rsidP="002E6B2C">
            <w:pPr>
              <w:pStyle w:val="TableParagraph"/>
              <w:spacing w:line="240" w:lineRule="auto"/>
              <w:ind w:left="18"/>
            </w:pPr>
            <w:r w:rsidRPr="008D3BF2">
              <w:rPr>
                <w:spacing w:val="-2"/>
              </w:rPr>
              <w:t>46.91</w:t>
            </w:r>
          </w:p>
        </w:tc>
      </w:tr>
      <w:tr w:rsidR="004B41D9" w:rsidRPr="008D3BF2" w14:paraId="3BEB32CB" w14:textId="77777777" w:rsidTr="00E236D2">
        <w:trPr>
          <w:trHeight w:val="197"/>
        </w:trPr>
        <w:tc>
          <w:tcPr>
            <w:tcW w:w="1297" w:type="dxa"/>
            <w:tcBorders>
              <w:top w:val="single" w:sz="4" w:space="0" w:color="000000"/>
              <w:left w:val="single" w:sz="4" w:space="0" w:color="000000"/>
              <w:bottom w:val="single" w:sz="4" w:space="0" w:color="000000"/>
              <w:right w:val="single" w:sz="4" w:space="0" w:color="000000"/>
            </w:tcBorders>
            <w:hideMark/>
          </w:tcPr>
          <w:p w14:paraId="17F0DE68" w14:textId="77777777" w:rsidR="004B41D9" w:rsidRPr="008D3BF2" w:rsidRDefault="004B41D9" w:rsidP="002E6B2C">
            <w:pPr>
              <w:pStyle w:val="TableParagraph"/>
              <w:spacing w:before="1" w:beforeAutospacing="0" w:line="240" w:lineRule="auto"/>
              <w:ind w:left="9"/>
              <w:jc w:val="both"/>
            </w:pPr>
            <w:r w:rsidRPr="008D3BF2">
              <w:rPr>
                <w:spacing w:val="-2"/>
              </w:rPr>
              <w:t>Maximum</w:t>
            </w:r>
          </w:p>
        </w:tc>
        <w:tc>
          <w:tcPr>
            <w:tcW w:w="1515" w:type="dxa"/>
            <w:tcBorders>
              <w:top w:val="single" w:sz="4" w:space="0" w:color="000000"/>
              <w:left w:val="nil"/>
              <w:bottom w:val="single" w:sz="4" w:space="0" w:color="000000"/>
              <w:right w:val="single" w:sz="4" w:space="0" w:color="000000"/>
            </w:tcBorders>
            <w:hideMark/>
          </w:tcPr>
          <w:p w14:paraId="0E90F554" w14:textId="77777777" w:rsidR="004B41D9" w:rsidRPr="008D3BF2" w:rsidRDefault="004B41D9" w:rsidP="002E6B2C">
            <w:pPr>
              <w:pStyle w:val="TableParagraph"/>
              <w:spacing w:before="1" w:beforeAutospacing="0" w:line="240" w:lineRule="auto"/>
              <w:ind w:left="8"/>
            </w:pPr>
            <w:r w:rsidRPr="008D3BF2">
              <w:rPr>
                <w:spacing w:val="-4"/>
              </w:rPr>
              <w:t>1325</w:t>
            </w:r>
          </w:p>
        </w:tc>
        <w:tc>
          <w:tcPr>
            <w:tcW w:w="1019" w:type="dxa"/>
            <w:tcBorders>
              <w:top w:val="single" w:sz="4" w:space="0" w:color="000000"/>
              <w:left w:val="nil"/>
              <w:bottom w:val="single" w:sz="4" w:space="0" w:color="000000"/>
              <w:right w:val="single" w:sz="4" w:space="0" w:color="000000"/>
            </w:tcBorders>
            <w:hideMark/>
          </w:tcPr>
          <w:p w14:paraId="6A205E2C" w14:textId="77777777" w:rsidR="004B41D9" w:rsidRPr="008D3BF2" w:rsidRDefault="004B41D9" w:rsidP="002E6B2C">
            <w:pPr>
              <w:pStyle w:val="TableParagraph"/>
              <w:spacing w:before="1" w:beforeAutospacing="0" w:line="240" w:lineRule="auto"/>
            </w:pPr>
            <w:r w:rsidRPr="008D3BF2">
              <w:rPr>
                <w:spacing w:val="-2"/>
              </w:rPr>
              <w:t>18.38</w:t>
            </w:r>
          </w:p>
        </w:tc>
        <w:tc>
          <w:tcPr>
            <w:tcW w:w="1008" w:type="dxa"/>
            <w:tcBorders>
              <w:top w:val="single" w:sz="4" w:space="0" w:color="000000"/>
              <w:left w:val="nil"/>
              <w:bottom w:val="single" w:sz="4" w:space="0" w:color="000000"/>
              <w:right w:val="single" w:sz="4" w:space="0" w:color="000000"/>
            </w:tcBorders>
            <w:hideMark/>
          </w:tcPr>
          <w:p w14:paraId="76C9A2D6" w14:textId="77777777" w:rsidR="004B41D9" w:rsidRPr="008D3BF2" w:rsidRDefault="004B41D9" w:rsidP="002E6B2C">
            <w:pPr>
              <w:pStyle w:val="TableParagraph"/>
              <w:spacing w:before="1" w:beforeAutospacing="0" w:line="240" w:lineRule="auto"/>
              <w:ind w:left="12"/>
            </w:pPr>
            <w:r w:rsidRPr="008D3BF2">
              <w:rPr>
                <w:spacing w:val="-2"/>
              </w:rPr>
              <w:t>11.24</w:t>
            </w:r>
          </w:p>
        </w:tc>
        <w:tc>
          <w:tcPr>
            <w:tcW w:w="854" w:type="dxa"/>
            <w:tcBorders>
              <w:top w:val="single" w:sz="4" w:space="0" w:color="000000"/>
              <w:left w:val="nil"/>
              <w:bottom w:val="single" w:sz="4" w:space="0" w:color="000000"/>
              <w:right w:val="single" w:sz="4" w:space="0" w:color="000000"/>
            </w:tcBorders>
            <w:hideMark/>
          </w:tcPr>
          <w:p w14:paraId="3078D851" w14:textId="77777777" w:rsidR="004B41D9" w:rsidRPr="008D3BF2" w:rsidRDefault="004B41D9" w:rsidP="002E6B2C">
            <w:pPr>
              <w:pStyle w:val="TableParagraph"/>
              <w:spacing w:before="1" w:beforeAutospacing="0" w:line="240" w:lineRule="auto"/>
              <w:ind w:left="11"/>
            </w:pPr>
            <w:r w:rsidRPr="008D3BF2">
              <w:rPr>
                <w:spacing w:val="-4"/>
              </w:rPr>
              <w:t>2.56</w:t>
            </w:r>
          </w:p>
        </w:tc>
        <w:tc>
          <w:tcPr>
            <w:tcW w:w="888" w:type="dxa"/>
            <w:tcBorders>
              <w:top w:val="single" w:sz="4" w:space="0" w:color="000000"/>
              <w:left w:val="nil"/>
              <w:bottom w:val="single" w:sz="4" w:space="0" w:color="000000"/>
              <w:right w:val="single" w:sz="4" w:space="0" w:color="000000"/>
            </w:tcBorders>
            <w:hideMark/>
          </w:tcPr>
          <w:p w14:paraId="270F568C" w14:textId="77777777" w:rsidR="004B41D9" w:rsidRPr="008D3BF2" w:rsidRDefault="004B41D9" w:rsidP="002E6B2C">
            <w:pPr>
              <w:pStyle w:val="TableParagraph"/>
              <w:spacing w:before="1" w:beforeAutospacing="0" w:line="240" w:lineRule="auto"/>
              <w:ind w:left="15"/>
            </w:pPr>
            <w:r w:rsidRPr="008D3BF2">
              <w:rPr>
                <w:spacing w:val="-5"/>
              </w:rPr>
              <w:t>.16</w:t>
            </w:r>
          </w:p>
        </w:tc>
        <w:tc>
          <w:tcPr>
            <w:tcW w:w="878" w:type="dxa"/>
            <w:tcBorders>
              <w:top w:val="single" w:sz="4" w:space="0" w:color="000000"/>
              <w:left w:val="nil"/>
              <w:bottom w:val="single" w:sz="4" w:space="0" w:color="000000"/>
              <w:right w:val="single" w:sz="4" w:space="0" w:color="000000"/>
            </w:tcBorders>
            <w:hideMark/>
          </w:tcPr>
          <w:p w14:paraId="1277F867" w14:textId="77777777" w:rsidR="004B41D9" w:rsidRPr="008D3BF2" w:rsidRDefault="004B41D9" w:rsidP="002E6B2C">
            <w:pPr>
              <w:pStyle w:val="TableParagraph"/>
              <w:spacing w:before="1" w:beforeAutospacing="0" w:line="240" w:lineRule="auto"/>
              <w:ind w:left="14"/>
            </w:pPr>
            <w:r w:rsidRPr="008D3BF2">
              <w:rPr>
                <w:spacing w:val="-4"/>
              </w:rPr>
              <w:t>2.75</w:t>
            </w:r>
          </w:p>
        </w:tc>
        <w:tc>
          <w:tcPr>
            <w:tcW w:w="1820" w:type="dxa"/>
            <w:tcBorders>
              <w:top w:val="single" w:sz="4" w:space="0" w:color="000000"/>
              <w:left w:val="nil"/>
              <w:bottom w:val="single" w:sz="4" w:space="0" w:color="000000"/>
              <w:right w:val="single" w:sz="4" w:space="0" w:color="000000"/>
            </w:tcBorders>
            <w:hideMark/>
          </w:tcPr>
          <w:p w14:paraId="1F813C18" w14:textId="77777777" w:rsidR="004B41D9" w:rsidRPr="008D3BF2" w:rsidRDefault="004B41D9" w:rsidP="002E6B2C">
            <w:pPr>
              <w:pStyle w:val="TableParagraph"/>
              <w:spacing w:before="1" w:beforeAutospacing="0" w:line="240" w:lineRule="auto"/>
              <w:ind w:left="18"/>
            </w:pPr>
            <w:r w:rsidRPr="008D3BF2">
              <w:rPr>
                <w:spacing w:val="-2"/>
              </w:rPr>
              <w:t>56.47</w:t>
            </w:r>
          </w:p>
        </w:tc>
      </w:tr>
    </w:tbl>
    <w:p w14:paraId="490879ED" w14:textId="2249D584" w:rsidR="004B41D9" w:rsidRPr="008D3BF2" w:rsidRDefault="004B41D9" w:rsidP="002E6B2C">
      <w:pPr>
        <w:spacing w:line="240" w:lineRule="auto"/>
        <w:ind w:left="40"/>
        <w:jc w:val="both"/>
        <w:rPr>
          <w:rFonts w:ascii="Times New Roman" w:hAnsi="Times New Roman" w:cs="Times New Roman"/>
        </w:rPr>
      </w:pPr>
      <w:r w:rsidRPr="008D3BF2">
        <w:rPr>
          <w:rFonts w:ascii="Times New Roman" w:hAnsi="Times New Roman" w:cs="Times New Roman"/>
          <w:b/>
        </w:rPr>
        <w:t xml:space="preserve">Source: </w:t>
      </w:r>
      <w:r w:rsidRPr="008D3BF2">
        <w:rPr>
          <w:rFonts w:ascii="Times New Roman" w:hAnsi="Times New Roman" w:cs="Times New Roman"/>
        </w:rPr>
        <w:t>PNB's annual reports from 2015-2016 to 2019-2020</w:t>
      </w:r>
    </w:p>
    <w:p w14:paraId="7334E480" w14:textId="23B1E639" w:rsidR="008311B9" w:rsidRPr="008D3BF2" w:rsidRDefault="008311B9" w:rsidP="002E6B2C">
      <w:pPr>
        <w:spacing w:line="240" w:lineRule="auto"/>
        <w:ind w:left="40"/>
        <w:jc w:val="both"/>
        <w:rPr>
          <w:rFonts w:ascii="Times New Roman" w:hAnsi="Times New Roman" w:cs="Times New Roman"/>
        </w:rPr>
      </w:pPr>
      <w:r w:rsidRPr="008D3BF2">
        <w:rPr>
          <w:rFonts w:ascii="Times New Roman" w:hAnsi="Times New Roman" w:cs="Times New Roman"/>
        </w:rPr>
        <w:t>The financial metrics of the Punjab National Bank (PNB) are shown in Table 1. The average net profit figures for the bank are negative, or (-4914.2000 Cr).   It is determined that before the merger, the bank's financial condition was dire.  According to the table above, PNB's Gross NPA to Gross Advance ratio rose from 12.90% in 2015–16 to 18.38% in 2017–18 before falling to 14.21% in 2019–20. But between 2017 and 2018, PNB's Net NPA to Net Advance ratio rose from 8.61 percent in 2015 to 16 to 11.24 percent before falling to 5.78 percent between 2019 and 20.</w:t>
      </w:r>
      <w:r w:rsidRPr="008D3BF2">
        <w:t xml:space="preserve"> </w:t>
      </w:r>
      <w:r w:rsidRPr="008D3BF2">
        <w:rPr>
          <w:rFonts w:ascii="Times New Roman" w:hAnsi="Times New Roman" w:cs="Times New Roman"/>
        </w:rPr>
        <w:t>This ratio affects the bank's reputation in general, and a rise in the NNPA ratio causes a bank to lose a lot of money. The fourth ratio (NIM) displays the Net Interest Margin, which was 2.35% between 2015 and 2016 and 2.41% between 2019 and 20. The table above shows Return on Assets (ROA).  It should be mentioned that PNB recorded a negative return on assets (ROA) of -1.21% in three fiscal years: 2015–16, 2017–18, and 2018–19. These figures highlight PNB's concerning situation.  Additionally, as the previous table illustrates, the net profit split by capital, including reserve and surplus, results in a profit for equity shareholders.</w:t>
      </w:r>
      <w:r w:rsidRPr="008D3BF2">
        <w:t xml:space="preserve"> </w:t>
      </w:r>
      <w:r w:rsidRPr="008D3BF2">
        <w:rPr>
          <w:rFonts w:ascii="Times New Roman" w:hAnsi="Times New Roman" w:cs="Times New Roman"/>
        </w:rPr>
        <w:t>It was -28.55 percent in 2017–18 and -21.02 percent in 2018–19. It was.69 percent in 2019–20, a significant decrease throughout the research and even negative in the last two years.  The final ratio, the Cost-to-Income ratio, peaked in 2019–20 at 56.47% and fell to 46.91% in 2018–19.</w:t>
      </w:r>
    </w:p>
    <w:p w14:paraId="5D1EC9F4" w14:textId="77777777" w:rsidR="00DF7B3C" w:rsidRPr="008D3BF2" w:rsidRDefault="00DF7B3C" w:rsidP="00CC3DE9">
      <w:pPr>
        <w:pStyle w:val="BodyText"/>
        <w:spacing w:before="105" w:beforeAutospacing="0" w:line="240" w:lineRule="auto"/>
        <w:jc w:val="center"/>
        <w:rPr>
          <w:b/>
          <w:sz w:val="22"/>
          <w:szCs w:val="22"/>
        </w:rPr>
      </w:pPr>
    </w:p>
    <w:p w14:paraId="21A7449D" w14:textId="77777777" w:rsidR="00DF7B3C" w:rsidRPr="008D3BF2" w:rsidRDefault="00DF7B3C" w:rsidP="00CC3DE9">
      <w:pPr>
        <w:pStyle w:val="BodyText"/>
        <w:spacing w:before="105" w:beforeAutospacing="0" w:line="240" w:lineRule="auto"/>
        <w:jc w:val="center"/>
        <w:rPr>
          <w:b/>
          <w:sz w:val="22"/>
          <w:szCs w:val="22"/>
        </w:rPr>
      </w:pPr>
    </w:p>
    <w:p w14:paraId="01B243A0" w14:textId="77777777" w:rsidR="00DF7B3C" w:rsidRPr="008D3BF2" w:rsidRDefault="00DF7B3C" w:rsidP="00CC3DE9">
      <w:pPr>
        <w:pStyle w:val="BodyText"/>
        <w:spacing w:before="105" w:beforeAutospacing="0" w:line="240" w:lineRule="auto"/>
        <w:jc w:val="center"/>
        <w:rPr>
          <w:b/>
          <w:sz w:val="22"/>
          <w:szCs w:val="22"/>
        </w:rPr>
      </w:pPr>
    </w:p>
    <w:p w14:paraId="1F61A73D" w14:textId="29000AFD" w:rsidR="009100AE" w:rsidRPr="008D3BF2" w:rsidRDefault="009100AE" w:rsidP="00CC3DE9">
      <w:pPr>
        <w:pStyle w:val="BodyText"/>
        <w:spacing w:before="105" w:beforeAutospacing="0" w:line="240" w:lineRule="auto"/>
        <w:jc w:val="center"/>
        <w:rPr>
          <w:b/>
          <w:sz w:val="22"/>
          <w:szCs w:val="22"/>
        </w:rPr>
      </w:pPr>
      <w:r w:rsidRPr="008D3BF2">
        <w:rPr>
          <w:b/>
          <w:sz w:val="22"/>
          <w:szCs w:val="22"/>
        </w:rPr>
        <w:lastRenderedPageBreak/>
        <w:t>Table 2:</w:t>
      </w:r>
      <w:r w:rsidRPr="008D3BF2">
        <w:rPr>
          <w:b/>
          <w:spacing w:val="-1"/>
          <w:sz w:val="22"/>
          <w:szCs w:val="22"/>
        </w:rPr>
        <w:t xml:space="preserve"> </w:t>
      </w:r>
      <w:r w:rsidRPr="008D3BF2">
        <w:rPr>
          <w:b/>
          <w:sz w:val="22"/>
          <w:szCs w:val="22"/>
        </w:rPr>
        <w:t>Punjab</w:t>
      </w:r>
      <w:r w:rsidRPr="008D3BF2">
        <w:rPr>
          <w:b/>
          <w:spacing w:val="-2"/>
          <w:sz w:val="22"/>
          <w:szCs w:val="22"/>
        </w:rPr>
        <w:t xml:space="preserve"> </w:t>
      </w:r>
      <w:r w:rsidRPr="008D3BF2">
        <w:rPr>
          <w:b/>
          <w:sz w:val="22"/>
          <w:szCs w:val="22"/>
        </w:rPr>
        <w:t>National</w:t>
      </w:r>
      <w:r w:rsidRPr="008D3BF2">
        <w:rPr>
          <w:b/>
          <w:spacing w:val="-2"/>
          <w:sz w:val="22"/>
          <w:szCs w:val="22"/>
        </w:rPr>
        <w:t xml:space="preserve"> </w:t>
      </w:r>
      <w:r w:rsidRPr="008D3BF2">
        <w:rPr>
          <w:b/>
          <w:sz w:val="22"/>
          <w:szCs w:val="22"/>
        </w:rPr>
        <w:t>Bank</w:t>
      </w:r>
      <w:r w:rsidRPr="008D3BF2">
        <w:rPr>
          <w:b/>
          <w:spacing w:val="-2"/>
          <w:sz w:val="22"/>
          <w:szCs w:val="22"/>
        </w:rPr>
        <w:t xml:space="preserve"> </w:t>
      </w:r>
      <w:r w:rsidRPr="008D3BF2">
        <w:rPr>
          <w:b/>
          <w:sz w:val="22"/>
          <w:szCs w:val="22"/>
        </w:rPr>
        <w:t>FY 2020-2021</w:t>
      </w:r>
      <w:r w:rsidRPr="008D3BF2">
        <w:rPr>
          <w:b/>
          <w:spacing w:val="-1"/>
          <w:sz w:val="22"/>
          <w:szCs w:val="22"/>
        </w:rPr>
        <w:t xml:space="preserve"> </w:t>
      </w:r>
      <w:r w:rsidRPr="008D3BF2">
        <w:rPr>
          <w:b/>
          <w:sz w:val="22"/>
          <w:szCs w:val="22"/>
        </w:rPr>
        <w:t>to</w:t>
      </w:r>
      <w:r w:rsidRPr="008D3BF2">
        <w:rPr>
          <w:b/>
          <w:spacing w:val="-3"/>
          <w:sz w:val="22"/>
          <w:szCs w:val="22"/>
        </w:rPr>
        <w:t xml:space="preserve"> </w:t>
      </w:r>
      <w:r w:rsidRPr="008D3BF2">
        <w:rPr>
          <w:b/>
          <w:sz w:val="22"/>
          <w:szCs w:val="22"/>
        </w:rPr>
        <w:t>2024-2025</w:t>
      </w:r>
      <w:r w:rsidRPr="008D3BF2">
        <w:rPr>
          <w:b/>
          <w:spacing w:val="-1"/>
          <w:sz w:val="22"/>
          <w:szCs w:val="22"/>
        </w:rPr>
        <w:t xml:space="preserve"> </w:t>
      </w:r>
      <w:r w:rsidRPr="008D3BF2">
        <w:rPr>
          <w:b/>
          <w:sz w:val="22"/>
          <w:szCs w:val="22"/>
        </w:rPr>
        <w:t>(Post-</w:t>
      </w:r>
      <w:r w:rsidRPr="008D3BF2">
        <w:rPr>
          <w:b/>
          <w:spacing w:val="-1"/>
          <w:sz w:val="22"/>
          <w:szCs w:val="22"/>
        </w:rPr>
        <w:t xml:space="preserve"> </w:t>
      </w:r>
      <w:r w:rsidRPr="008D3BF2">
        <w:rPr>
          <w:b/>
          <w:sz w:val="22"/>
          <w:szCs w:val="22"/>
        </w:rPr>
        <w:t>Merger</w:t>
      </w:r>
      <w:r w:rsidRPr="008D3BF2">
        <w:rPr>
          <w:b/>
          <w:spacing w:val="-1"/>
          <w:sz w:val="22"/>
          <w:szCs w:val="22"/>
        </w:rPr>
        <w:t xml:space="preserve"> </w:t>
      </w:r>
      <w:r w:rsidRPr="008D3BF2">
        <w:rPr>
          <w:b/>
          <w:spacing w:val="-2"/>
          <w:sz w:val="22"/>
          <w:szCs w:val="22"/>
        </w:rPr>
        <w:t>Performance)</w:t>
      </w:r>
    </w:p>
    <w:tbl>
      <w:tblPr>
        <w:tblpPr w:leftFromText="180" w:rightFromText="180" w:vertAnchor="text" w:horzAnchor="margin" w:tblpY="239"/>
        <w:tblW w:w="9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3"/>
        <w:gridCol w:w="1486"/>
        <w:gridCol w:w="1000"/>
        <w:gridCol w:w="988"/>
        <w:gridCol w:w="838"/>
        <w:gridCol w:w="871"/>
        <w:gridCol w:w="861"/>
        <w:gridCol w:w="1785"/>
      </w:tblGrid>
      <w:tr w:rsidR="009100AE" w:rsidRPr="008D3BF2" w14:paraId="3D0FA092"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00598C4E" w14:textId="77777777" w:rsidR="009100AE" w:rsidRPr="008D3BF2" w:rsidRDefault="009100AE" w:rsidP="002E6B2C">
            <w:pPr>
              <w:pStyle w:val="TableParagraph"/>
              <w:spacing w:before="1" w:beforeAutospacing="0" w:line="240" w:lineRule="auto"/>
              <w:ind w:left="9"/>
              <w:jc w:val="both"/>
            </w:pPr>
            <w:r w:rsidRPr="008D3BF2">
              <w:rPr>
                <w:spacing w:val="-5"/>
              </w:rPr>
              <w:t>FY</w:t>
            </w:r>
          </w:p>
        </w:tc>
        <w:tc>
          <w:tcPr>
            <w:tcW w:w="1486" w:type="dxa"/>
            <w:tcBorders>
              <w:top w:val="single" w:sz="4" w:space="0" w:color="000000"/>
              <w:left w:val="nil"/>
              <w:bottom w:val="single" w:sz="4" w:space="0" w:color="000000"/>
              <w:right w:val="single" w:sz="4" w:space="0" w:color="000000"/>
            </w:tcBorders>
            <w:hideMark/>
          </w:tcPr>
          <w:p w14:paraId="06684835" w14:textId="77777777" w:rsidR="009100AE" w:rsidRPr="008D3BF2" w:rsidRDefault="009100AE" w:rsidP="002E6B2C">
            <w:pPr>
              <w:pStyle w:val="TableParagraph"/>
              <w:spacing w:before="1" w:beforeAutospacing="0" w:line="240" w:lineRule="auto"/>
              <w:ind w:left="8"/>
              <w:jc w:val="both"/>
            </w:pPr>
            <w:r w:rsidRPr="008D3BF2">
              <w:t>Net</w:t>
            </w:r>
            <w:r w:rsidRPr="008D3BF2">
              <w:rPr>
                <w:spacing w:val="-1"/>
              </w:rPr>
              <w:t xml:space="preserve"> </w:t>
            </w:r>
            <w:r w:rsidRPr="008D3BF2">
              <w:t>Profit</w:t>
            </w:r>
            <w:r w:rsidRPr="008D3BF2">
              <w:rPr>
                <w:spacing w:val="-2"/>
              </w:rPr>
              <w:t xml:space="preserve"> </w:t>
            </w:r>
            <w:r w:rsidRPr="008D3BF2">
              <w:t>(₹</w:t>
            </w:r>
            <w:r w:rsidRPr="008D3BF2">
              <w:rPr>
                <w:spacing w:val="-1"/>
              </w:rPr>
              <w:t xml:space="preserve"> </w:t>
            </w:r>
            <w:r w:rsidRPr="008D3BF2">
              <w:rPr>
                <w:spacing w:val="-5"/>
              </w:rPr>
              <w:t>Cr)</w:t>
            </w:r>
          </w:p>
        </w:tc>
        <w:tc>
          <w:tcPr>
            <w:tcW w:w="1000" w:type="dxa"/>
            <w:tcBorders>
              <w:top w:val="single" w:sz="4" w:space="0" w:color="000000"/>
              <w:left w:val="nil"/>
              <w:bottom w:val="single" w:sz="4" w:space="0" w:color="000000"/>
              <w:right w:val="single" w:sz="4" w:space="0" w:color="000000"/>
            </w:tcBorders>
            <w:hideMark/>
          </w:tcPr>
          <w:p w14:paraId="69A6D1C0" w14:textId="77777777" w:rsidR="009100AE" w:rsidRPr="008D3BF2" w:rsidRDefault="009100AE" w:rsidP="002E6B2C">
            <w:pPr>
              <w:pStyle w:val="TableParagraph"/>
              <w:spacing w:before="1" w:beforeAutospacing="0" w:line="240" w:lineRule="auto"/>
              <w:jc w:val="both"/>
            </w:pPr>
            <w:r w:rsidRPr="008D3BF2">
              <w:t>GNPA</w:t>
            </w:r>
            <w:r w:rsidRPr="008D3BF2">
              <w:rPr>
                <w:spacing w:val="-1"/>
              </w:rPr>
              <w:t xml:space="preserve"> </w:t>
            </w:r>
            <w:r w:rsidRPr="008D3BF2">
              <w:rPr>
                <w:spacing w:val="-5"/>
              </w:rPr>
              <w:t>(%)</w:t>
            </w:r>
          </w:p>
        </w:tc>
        <w:tc>
          <w:tcPr>
            <w:tcW w:w="988" w:type="dxa"/>
            <w:tcBorders>
              <w:top w:val="single" w:sz="4" w:space="0" w:color="000000"/>
              <w:left w:val="nil"/>
              <w:bottom w:val="single" w:sz="4" w:space="0" w:color="000000"/>
              <w:right w:val="single" w:sz="4" w:space="0" w:color="000000"/>
            </w:tcBorders>
            <w:hideMark/>
          </w:tcPr>
          <w:p w14:paraId="3FC99950" w14:textId="77777777" w:rsidR="009100AE" w:rsidRPr="008D3BF2" w:rsidRDefault="009100AE" w:rsidP="002E6B2C">
            <w:pPr>
              <w:pStyle w:val="TableParagraph"/>
              <w:spacing w:before="1" w:beforeAutospacing="0" w:line="240" w:lineRule="auto"/>
              <w:ind w:left="11"/>
              <w:jc w:val="both"/>
            </w:pPr>
            <w:r w:rsidRPr="008D3BF2">
              <w:t>NNPA</w:t>
            </w:r>
            <w:r w:rsidRPr="008D3BF2">
              <w:rPr>
                <w:spacing w:val="-2"/>
              </w:rPr>
              <w:t xml:space="preserve"> </w:t>
            </w:r>
            <w:r w:rsidRPr="008D3BF2">
              <w:rPr>
                <w:spacing w:val="-5"/>
              </w:rPr>
              <w:t>(%)</w:t>
            </w:r>
          </w:p>
        </w:tc>
        <w:tc>
          <w:tcPr>
            <w:tcW w:w="838" w:type="dxa"/>
            <w:tcBorders>
              <w:top w:val="single" w:sz="4" w:space="0" w:color="000000"/>
              <w:left w:val="nil"/>
              <w:bottom w:val="single" w:sz="4" w:space="0" w:color="000000"/>
              <w:right w:val="single" w:sz="4" w:space="0" w:color="000000"/>
            </w:tcBorders>
            <w:hideMark/>
          </w:tcPr>
          <w:p w14:paraId="340B6E9A" w14:textId="77777777" w:rsidR="009100AE" w:rsidRPr="008D3BF2" w:rsidRDefault="009100AE" w:rsidP="002E6B2C">
            <w:pPr>
              <w:pStyle w:val="TableParagraph"/>
              <w:spacing w:before="1" w:beforeAutospacing="0" w:line="240" w:lineRule="auto"/>
              <w:ind w:left="9"/>
              <w:jc w:val="both"/>
            </w:pPr>
            <w:r w:rsidRPr="008D3BF2">
              <w:t>NIM</w:t>
            </w:r>
            <w:r w:rsidRPr="008D3BF2">
              <w:rPr>
                <w:spacing w:val="-1"/>
              </w:rPr>
              <w:t xml:space="preserve"> </w:t>
            </w:r>
            <w:r w:rsidRPr="008D3BF2">
              <w:rPr>
                <w:spacing w:val="-5"/>
              </w:rPr>
              <w:t>(%)</w:t>
            </w:r>
          </w:p>
        </w:tc>
        <w:tc>
          <w:tcPr>
            <w:tcW w:w="871" w:type="dxa"/>
            <w:tcBorders>
              <w:top w:val="single" w:sz="4" w:space="0" w:color="000000"/>
              <w:left w:val="nil"/>
              <w:bottom w:val="single" w:sz="4" w:space="0" w:color="000000"/>
              <w:right w:val="single" w:sz="4" w:space="0" w:color="000000"/>
            </w:tcBorders>
            <w:hideMark/>
          </w:tcPr>
          <w:p w14:paraId="359EC9EF" w14:textId="77777777" w:rsidR="009100AE" w:rsidRPr="008D3BF2" w:rsidRDefault="009100AE" w:rsidP="002E6B2C">
            <w:pPr>
              <w:pStyle w:val="TableParagraph"/>
              <w:spacing w:before="1" w:beforeAutospacing="0" w:line="240" w:lineRule="auto"/>
              <w:ind w:left="12"/>
              <w:jc w:val="both"/>
            </w:pPr>
            <w:r w:rsidRPr="008D3BF2">
              <w:t>ROA</w:t>
            </w:r>
            <w:r w:rsidRPr="008D3BF2">
              <w:rPr>
                <w:spacing w:val="-1"/>
              </w:rPr>
              <w:t xml:space="preserve"> </w:t>
            </w:r>
            <w:r w:rsidRPr="008D3BF2">
              <w:rPr>
                <w:spacing w:val="-5"/>
              </w:rPr>
              <w:t>(%)</w:t>
            </w:r>
          </w:p>
        </w:tc>
        <w:tc>
          <w:tcPr>
            <w:tcW w:w="861" w:type="dxa"/>
            <w:tcBorders>
              <w:top w:val="single" w:sz="4" w:space="0" w:color="000000"/>
              <w:left w:val="nil"/>
              <w:bottom w:val="single" w:sz="4" w:space="0" w:color="000000"/>
              <w:right w:val="single" w:sz="4" w:space="0" w:color="000000"/>
            </w:tcBorders>
            <w:hideMark/>
          </w:tcPr>
          <w:p w14:paraId="27B5B450" w14:textId="77777777" w:rsidR="009100AE" w:rsidRPr="008D3BF2" w:rsidRDefault="009100AE" w:rsidP="002E6B2C">
            <w:pPr>
              <w:pStyle w:val="TableParagraph"/>
              <w:spacing w:before="1" w:beforeAutospacing="0" w:line="240" w:lineRule="auto"/>
              <w:ind w:left="13"/>
              <w:jc w:val="both"/>
            </w:pPr>
            <w:r w:rsidRPr="008D3BF2">
              <w:t>ROE</w:t>
            </w:r>
            <w:r w:rsidRPr="008D3BF2">
              <w:rPr>
                <w:spacing w:val="-1"/>
              </w:rPr>
              <w:t xml:space="preserve"> </w:t>
            </w:r>
            <w:r w:rsidRPr="008D3BF2">
              <w:rPr>
                <w:spacing w:val="-5"/>
              </w:rPr>
              <w:t>(%)</w:t>
            </w:r>
          </w:p>
        </w:tc>
        <w:tc>
          <w:tcPr>
            <w:tcW w:w="1785" w:type="dxa"/>
            <w:tcBorders>
              <w:top w:val="single" w:sz="4" w:space="0" w:color="000000"/>
              <w:left w:val="nil"/>
              <w:bottom w:val="single" w:sz="4" w:space="0" w:color="000000"/>
              <w:right w:val="single" w:sz="4" w:space="0" w:color="000000"/>
            </w:tcBorders>
            <w:hideMark/>
          </w:tcPr>
          <w:p w14:paraId="00D3166A" w14:textId="77777777" w:rsidR="009100AE" w:rsidRPr="008D3BF2" w:rsidRDefault="009100AE" w:rsidP="002E6B2C">
            <w:pPr>
              <w:pStyle w:val="TableParagraph"/>
              <w:spacing w:before="1" w:beforeAutospacing="0" w:line="240" w:lineRule="auto"/>
              <w:ind w:left="15"/>
              <w:jc w:val="both"/>
            </w:pPr>
            <w:r w:rsidRPr="008D3BF2">
              <w:t>Cost-to-Income</w:t>
            </w:r>
            <w:r w:rsidRPr="008D3BF2">
              <w:rPr>
                <w:spacing w:val="-4"/>
              </w:rPr>
              <w:t xml:space="preserve"> </w:t>
            </w:r>
            <w:r w:rsidRPr="008D3BF2">
              <w:rPr>
                <w:spacing w:val="-5"/>
              </w:rPr>
              <w:t>(%)</w:t>
            </w:r>
          </w:p>
        </w:tc>
      </w:tr>
      <w:tr w:rsidR="009100AE" w:rsidRPr="008D3BF2" w14:paraId="606E02BB"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1B8FE67F" w14:textId="77777777" w:rsidR="009100AE" w:rsidRPr="008D3BF2" w:rsidRDefault="009100AE" w:rsidP="002E6B2C">
            <w:pPr>
              <w:pStyle w:val="TableParagraph"/>
              <w:spacing w:line="240" w:lineRule="auto"/>
              <w:ind w:left="8"/>
              <w:jc w:val="both"/>
            </w:pPr>
            <w:r w:rsidRPr="008D3BF2">
              <w:t>2020-</w:t>
            </w:r>
            <w:r w:rsidRPr="008D3BF2">
              <w:rPr>
                <w:spacing w:val="-4"/>
              </w:rPr>
              <w:t>2021</w:t>
            </w:r>
          </w:p>
        </w:tc>
        <w:tc>
          <w:tcPr>
            <w:tcW w:w="1486" w:type="dxa"/>
            <w:tcBorders>
              <w:top w:val="single" w:sz="4" w:space="0" w:color="000000"/>
              <w:left w:val="nil"/>
              <w:bottom w:val="single" w:sz="4" w:space="0" w:color="000000"/>
              <w:right w:val="single" w:sz="4" w:space="0" w:color="000000"/>
            </w:tcBorders>
            <w:hideMark/>
          </w:tcPr>
          <w:p w14:paraId="7A8A52D3" w14:textId="77777777" w:rsidR="009100AE" w:rsidRPr="008D3BF2" w:rsidRDefault="009100AE" w:rsidP="002E6B2C">
            <w:pPr>
              <w:pStyle w:val="TableParagraph"/>
              <w:spacing w:line="240" w:lineRule="auto"/>
            </w:pPr>
            <w:r w:rsidRPr="008D3BF2">
              <w:rPr>
                <w:spacing w:val="-2"/>
              </w:rPr>
              <w:t>2,021.62</w:t>
            </w:r>
          </w:p>
        </w:tc>
        <w:tc>
          <w:tcPr>
            <w:tcW w:w="1000" w:type="dxa"/>
            <w:tcBorders>
              <w:top w:val="single" w:sz="4" w:space="0" w:color="000000"/>
              <w:left w:val="nil"/>
              <w:bottom w:val="single" w:sz="4" w:space="0" w:color="000000"/>
              <w:right w:val="single" w:sz="4" w:space="0" w:color="000000"/>
            </w:tcBorders>
            <w:hideMark/>
          </w:tcPr>
          <w:p w14:paraId="27986DCD" w14:textId="77777777" w:rsidR="009100AE" w:rsidRPr="008D3BF2" w:rsidRDefault="009100AE" w:rsidP="002E6B2C">
            <w:pPr>
              <w:pStyle w:val="TableParagraph"/>
              <w:spacing w:line="240" w:lineRule="auto"/>
            </w:pPr>
            <w:r w:rsidRPr="008D3BF2">
              <w:rPr>
                <w:spacing w:val="-2"/>
              </w:rPr>
              <w:t>14.12</w:t>
            </w:r>
          </w:p>
        </w:tc>
        <w:tc>
          <w:tcPr>
            <w:tcW w:w="988" w:type="dxa"/>
            <w:tcBorders>
              <w:top w:val="single" w:sz="4" w:space="0" w:color="000000"/>
              <w:left w:val="nil"/>
              <w:bottom w:val="single" w:sz="4" w:space="0" w:color="000000"/>
              <w:right w:val="single" w:sz="4" w:space="0" w:color="000000"/>
            </w:tcBorders>
            <w:hideMark/>
          </w:tcPr>
          <w:p w14:paraId="1DB922C6" w14:textId="77777777" w:rsidR="009100AE" w:rsidRPr="008D3BF2" w:rsidRDefault="009100AE" w:rsidP="002E6B2C">
            <w:pPr>
              <w:pStyle w:val="TableParagraph"/>
              <w:spacing w:line="240" w:lineRule="auto"/>
              <w:ind w:left="13"/>
            </w:pPr>
            <w:r w:rsidRPr="008D3BF2">
              <w:rPr>
                <w:spacing w:val="-4"/>
              </w:rPr>
              <w:t>5.73</w:t>
            </w:r>
          </w:p>
        </w:tc>
        <w:tc>
          <w:tcPr>
            <w:tcW w:w="838" w:type="dxa"/>
            <w:tcBorders>
              <w:top w:val="single" w:sz="4" w:space="0" w:color="000000"/>
              <w:left w:val="nil"/>
              <w:bottom w:val="single" w:sz="4" w:space="0" w:color="000000"/>
              <w:right w:val="single" w:sz="4" w:space="0" w:color="000000"/>
            </w:tcBorders>
            <w:hideMark/>
          </w:tcPr>
          <w:p w14:paraId="6277BC7A" w14:textId="77777777" w:rsidR="009100AE" w:rsidRPr="008D3BF2" w:rsidRDefault="009100AE" w:rsidP="002E6B2C">
            <w:pPr>
              <w:pStyle w:val="TableParagraph"/>
              <w:spacing w:line="240" w:lineRule="auto"/>
              <w:ind w:left="11"/>
            </w:pPr>
            <w:r w:rsidRPr="008D3BF2">
              <w:rPr>
                <w:spacing w:val="-4"/>
              </w:rPr>
              <w:t>2.88</w:t>
            </w:r>
          </w:p>
        </w:tc>
        <w:tc>
          <w:tcPr>
            <w:tcW w:w="871" w:type="dxa"/>
            <w:tcBorders>
              <w:top w:val="single" w:sz="4" w:space="0" w:color="000000"/>
              <w:left w:val="nil"/>
              <w:bottom w:val="single" w:sz="4" w:space="0" w:color="000000"/>
              <w:right w:val="single" w:sz="4" w:space="0" w:color="000000"/>
            </w:tcBorders>
            <w:hideMark/>
          </w:tcPr>
          <w:p w14:paraId="26867727" w14:textId="77777777" w:rsidR="009100AE" w:rsidRPr="008D3BF2" w:rsidRDefault="009100AE" w:rsidP="002E6B2C">
            <w:pPr>
              <w:pStyle w:val="TableParagraph"/>
              <w:spacing w:line="240" w:lineRule="auto"/>
              <w:ind w:left="15"/>
            </w:pPr>
            <w:r w:rsidRPr="008D3BF2">
              <w:rPr>
                <w:spacing w:val="-5"/>
              </w:rPr>
              <w:t>.16</w:t>
            </w:r>
          </w:p>
        </w:tc>
        <w:tc>
          <w:tcPr>
            <w:tcW w:w="861" w:type="dxa"/>
            <w:tcBorders>
              <w:top w:val="single" w:sz="4" w:space="0" w:color="000000"/>
              <w:left w:val="nil"/>
              <w:bottom w:val="single" w:sz="4" w:space="0" w:color="000000"/>
              <w:right w:val="single" w:sz="4" w:space="0" w:color="000000"/>
            </w:tcBorders>
            <w:hideMark/>
          </w:tcPr>
          <w:p w14:paraId="0F95DD0D" w14:textId="77777777" w:rsidR="009100AE" w:rsidRPr="008D3BF2" w:rsidRDefault="009100AE" w:rsidP="002E6B2C">
            <w:pPr>
              <w:pStyle w:val="TableParagraph"/>
              <w:spacing w:line="240" w:lineRule="auto"/>
              <w:ind w:left="14"/>
            </w:pPr>
            <w:r w:rsidRPr="008D3BF2">
              <w:rPr>
                <w:spacing w:val="-4"/>
              </w:rPr>
              <w:t>3.24</w:t>
            </w:r>
          </w:p>
        </w:tc>
        <w:tc>
          <w:tcPr>
            <w:tcW w:w="1785" w:type="dxa"/>
            <w:tcBorders>
              <w:top w:val="single" w:sz="4" w:space="0" w:color="000000"/>
              <w:left w:val="nil"/>
              <w:bottom w:val="single" w:sz="4" w:space="0" w:color="000000"/>
              <w:right w:val="single" w:sz="4" w:space="0" w:color="000000"/>
            </w:tcBorders>
            <w:hideMark/>
          </w:tcPr>
          <w:p w14:paraId="034DF2F3" w14:textId="77777777" w:rsidR="009100AE" w:rsidRPr="008D3BF2" w:rsidRDefault="009100AE" w:rsidP="002E6B2C">
            <w:pPr>
              <w:pStyle w:val="TableParagraph"/>
              <w:spacing w:line="240" w:lineRule="auto"/>
              <w:ind w:left="18"/>
            </w:pPr>
            <w:r w:rsidRPr="008D3BF2">
              <w:rPr>
                <w:spacing w:val="-2"/>
              </w:rPr>
              <w:t>46.43</w:t>
            </w:r>
          </w:p>
        </w:tc>
      </w:tr>
      <w:tr w:rsidR="009100AE" w:rsidRPr="008D3BF2" w14:paraId="1C445442"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776BB173" w14:textId="77777777" w:rsidR="009100AE" w:rsidRPr="008D3BF2" w:rsidRDefault="009100AE" w:rsidP="002E6B2C">
            <w:pPr>
              <w:pStyle w:val="TableParagraph"/>
              <w:spacing w:line="240" w:lineRule="auto"/>
              <w:ind w:left="8"/>
              <w:jc w:val="both"/>
            </w:pPr>
            <w:r w:rsidRPr="008D3BF2">
              <w:t>2021-</w:t>
            </w:r>
            <w:r w:rsidRPr="008D3BF2">
              <w:rPr>
                <w:spacing w:val="-4"/>
              </w:rPr>
              <w:t>2022</w:t>
            </w:r>
          </w:p>
        </w:tc>
        <w:tc>
          <w:tcPr>
            <w:tcW w:w="1486" w:type="dxa"/>
            <w:tcBorders>
              <w:top w:val="single" w:sz="4" w:space="0" w:color="000000"/>
              <w:left w:val="nil"/>
              <w:bottom w:val="single" w:sz="4" w:space="0" w:color="000000"/>
              <w:right w:val="single" w:sz="4" w:space="0" w:color="000000"/>
            </w:tcBorders>
            <w:hideMark/>
          </w:tcPr>
          <w:p w14:paraId="798380BC" w14:textId="77777777" w:rsidR="009100AE" w:rsidRPr="008D3BF2" w:rsidRDefault="009100AE" w:rsidP="002E6B2C">
            <w:pPr>
              <w:pStyle w:val="TableParagraph"/>
              <w:spacing w:line="240" w:lineRule="auto"/>
            </w:pPr>
            <w:r w:rsidRPr="008D3BF2">
              <w:rPr>
                <w:spacing w:val="-2"/>
              </w:rPr>
              <w:t>3,456.96</w:t>
            </w:r>
          </w:p>
        </w:tc>
        <w:tc>
          <w:tcPr>
            <w:tcW w:w="1000" w:type="dxa"/>
            <w:tcBorders>
              <w:top w:val="single" w:sz="4" w:space="0" w:color="000000"/>
              <w:left w:val="nil"/>
              <w:bottom w:val="single" w:sz="4" w:space="0" w:color="000000"/>
              <w:right w:val="single" w:sz="4" w:space="0" w:color="000000"/>
            </w:tcBorders>
            <w:hideMark/>
          </w:tcPr>
          <w:p w14:paraId="44EEA528" w14:textId="77777777" w:rsidR="009100AE" w:rsidRPr="008D3BF2" w:rsidRDefault="009100AE" w:rsidP="002E6B2C">
            <w:pPr>
              <w:pStyle w:val="TableParagraph"/>
              <w:spacing w:line="240" w:lineRule="auto"/>
            </w:pPr>
            <w:r w:rsidRPr="008D3BF2">
              <w:rPr>
                <w:spacing w:val="-2"/>
              </w:rPr>
              <w:t>11.78</w:t>
            </w:r>
          </w:p>
        </w:tc>
        <w:tc>
          <w:tcPr>
            <w:tcW w:w="988" w:type="dxa"/>
            <w:tcBorders>
              <w:top w:val="single" w:sz="4" w:space="0" w:color="000000"/>
              <w:left w:val="nil"/>
              <w:bottom w:val="single" w:sz="4" w:space="0" w:color="000000"/>
              <w:right w:val="single" w:sz="4" w:space="0" w:color="000000"/>
            </w:tcBorders>
            <w:hideMark/>
          </w:tcPr>
          <w:p w14:paraId="1242C8EC" w14:textId="77777777" w:rsidR="009100AE" w:rsidRPr="008D3BF2" w:rsidRDefault="009100AE" w:rsidP="002E6B2C">
            <w:pPr>
              <w:pStyle w:val="TableParagraph"/>
              <w:spacing w:line="240" w:lineRule="auto"/>
              <w:ind w:left="13"/>
            </w:pPr>
            <w:r w:rsidRPr="008D3BF2">
              <w:rPr>
                <w:spacing w:val="-4"/>
              </w:rPr>
              <w:t>4.80</w:t>
            </w:r>
          </w:p>
        </w:tc>
        <w:tc>
          <w:tcPr>
            <w:tcW w:w="838" w:type="dxa"/>
            <w:tcBorders>
              <w:top w:val="single" w:sz="4" w:space="0" w:color="000000"/>
              <w:left w:val="nil"/>
              <w:bottom w:val="single" w:sz="4" w:space="0" w:color="000000"/>
              <w:right w:val="single" w:sz="4" w:space="0" w:color="000000"/>
            </w:tcBorders>
            <w:hideMark/>
          </w:tcPr>
          <w:p w14:paraId="2722D3F6" w14:textId="77777777" w:rsidR="009100AE" w:rsidRPr="008D3BF2" w:rsidRDefault="009100AE" w:rsidP="002E6B2C">
            <w:pPr>
              <w:pStyle w:val="TableParagraph"/>
              <w:spacing w:line="240" w:lineRule="auto"/>
              <w:ind w:left="11"/>
            </w:pPr>
            <w:r w:rsidRPr="008D3BF2">
              <w:rPr>
                <w:spacing w:val="-4"/>
              </w:rPr>
              <w:t>2.34</w:t>
            </w:r>
          </w:p>
        </w:tc>
        <w:tc>
          <w:tcPr>
            <w:tcW w:w="871" w:type="dxa"/>
            <w:tcBorders>
              <w:top w:val="single" w:sz="4" w:space="0" w:color="000000"/>
              <w:left w:val="nil"/>
              <w:bottom w:val="single" w:sz="4" w:space="0" w:color="000000"/>
              <w:right w:val="single" w:sz="4" w:space="0" w:color="000000"/>
            </w:tcBorders>
            <w:hideMark/>
          </w:tcPr>
          <w:p w14:paraId="7E2A501E" w14:textId="77777777" w:rsidR="009100AE" w:rsidRPr="008D3BF2" w:rsidRDefault="009100AE" w:rsidP="002E6B2C">
            <w:pPr>
              <w:pStyle w:val="TableParagraph"/>
              <w:spacing w:line="240" w:lineRule="auto"/>
              <w:ind w:left="15"/>
            </w:pPr>
            <w:r w:rsidRPr="008D3BF2">
              <w:rPr>
                <w:spacing w:val="-5"/>
              </w:rPr>
              <w:t>.26</w:t>
            </w:r>
          </w:p>
        </w:tc>
        <w:tc>
          <w:tcPr>
            <w:tcW w:w="861" w:type="dxa"/>
            <w:tcBorders>
              <w:top w:val="single" w:sz="4" w:space="0" w:color="000000"/>
              <w:left w:val="nil"/>
              <w:bottom w:val="single" w:sz="4" w:space="0" w:color="000000"/>
              <w:right w:val="single" w:sz="4" w:space="0" w:color="000000"/>
            </w:tcBorders>
            <w:hideMark/>
          </w:tcPr>
          <w:p w14:paraId="3850813D" w14:textId="77777777" w:rsidR="009100AE" w:rsidRPr="008D3BF2" w:rsidRDefault="009100AE" w:rsidP="002E6B2C">
            <w:pPr>
              <w:pStyle w:val="TableParagraph"/>
              <w:spacing w:line="240" w:lineRule="auto"/>
              <w:ind w:left="14"/>
            </w:pPr>
            <w:r w:rsidRPr="008D3BF2">
              <w:rPr>
                <w:spacing w:val="-4"/>
              </w:rPr>
              <w:t>4.29</w:t>
            </w:r>
          </w:p>
        </w:tc>
        <w:tc>
          <w:tcPr>
            <w:tcW w:w="1785" w:type="dxa"/>
            <w:tcBorders>
              <w:top w:val="single" w:sz="4" w:space="0" w:color="000000"/>
              <w:left w:val="nil"/>
              <w:bottom w:val="single" w:sz="4" w:space="0" w:color="000000"/>
              <w:right w:val="single" w:sz="4" w:space="0" w:color="000000"/>
            </w:tcBorders>
            <w:hideMark/>
          </w:tcPr>
          <w:p w14:paraId="037AE232" w14:textId="77777777" w:rsidR="009100AE" w:rsidRPr="008D3BF2" w:rsidRDefault="009100AE" w:rsidP="002E6B2C">
            <w:pPr>
              <w:pStyle w:val="TableParagraph"/>
              <w:spacing w:line="240" w:lineRule="auto"/>
              <w:ind w:left="18"/>
            </w:pPr>
            <w:r w:rsidRPr="008D3BF2">
              <w:rPr>
                <w:spacing w:val="-2"/>
              </w:rPr>
              <w:t>49.36</w:t>
            </w:r>
          </w:p>
        </w:tc>
      </w:tr>
      <w:tr w:rsidR="009100AE" w:rsidRPr="008D3BF2" w14:paraId="23297E6E"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04613562" w14:textId="77777777" w:rsidR="009100AE" w:rsidRPr="008D3BF2" w:rsidRDefault="009100AE" w:rsidP="002E6B2C">
            <w:pPr>
              <w:pStyle w:val="TableParagraph"/>
              <w:spacing w:before="1" w:beforeAutospacing="0" w:line="240" w:lineRule="auto"/>
              <w:ind w:left="8"/>
              <w:jc w:val="both"/>
            </w:pPr>
            <w:r w:rsidRPr="008D3BF2">
              <w:t>2022-</w:t>
            </w:r>
            <w:r w:rsidRPr="008D3BF2">
              <w:rPr>
                <w:spacing w:val="-4"/>
              </w:rPr>
              <w:t>2023</w:t>
            </w:r>
          </w:p>
        </w:tc>
        <w:tc>
          <w:tcPr>
            <w:tcW w:w="1486" w:type="dxa"/>
            <w:tcBorders>
              <w:top w:val="single" w:sz="4" w:space="0" w:color="000000"/>
              <w:left w:val="nil"/>
              <w:bottom w:val="single" w:sz="4" w:space="0" w:color="000000"/>
              <w:right w:val="single" w:sz="4" w:space="0" w:color="000000"/>
            </w:tcBorders>
            <w:hideMark/>
          </w:tcPr>
          <w:p w14:paraId="20499611" w14:textId="77777777" w:rsidR="009100AE" w:rsidRPr="008D3BF2" w:rsidRDefault="009100AE" w:rsidP="002E6B2C">
            <w:pPr>
              <w:pStyle w:val="TableParagraph"/>
              <w:spacing w:before="1" w:beforeAutospacing="0" w:line="240" w:lineRule="auto"/>
            </w:pPr>
            <w:r w:rsidRPr="008D3BF2">
              <w:rPr>
                <w:spacing w:val="-2"/>
              </w:rPr>
              <w:t>2,507.20</w:t>
            </w:r>
          </w:p>
        </w:tc>
        <w:tc>
          <w:tcPr>
            <w:tcW w:w="1000" w:type="dxa"/>
            <w:tcBorders>
              <w:top w:val="single" w:sz="4" w:space="0" w:color="000000"/>
              <w:left w:val="nil"/>
              <w:bottom w:val="single" w:sz="4" w:space="0" w:color="000000"/>
              <w:right w:val="single" w:sz="4" w:space="0" w:color="000000"/>
            </w:tcBorders>
            <w:hideMark/>
          </w:tcPr>
          <w:p w14:paraId="420EDD1F" w14:textId="77777777" w:rsidR="009100AE" w:rsidRPr="008D3BF2" w:rsidRDefault="009100AE" w:rsidP="002E6B2C">
            <w:pPr>
              <w:pStyle w:val="TableParagraph"/>
              <w:spacing w:before="1" w:beforeAutospacing="0" w:line="240" w:lineRule="auto"/>
              <w:ind w:left="11"/>
            </w:pPr>
            <w:r w:rsidRPr="008D3BF2">
              <w:rPr>
                <w:spacing w:val="-4"/>
              </w:rPr>
              <w:t>8.74</w:t>
            </w:r>
          </w:p>
        </w:tc>
        <w:tc>
          <w:tcPr>
            <w:tcW w:w="988" w:type="dxa"/>
            <w:tcBorders>
              <w:top w:val="single" w:sz="4" w:space="0" w:color="000000"/>
              <w:left w:val="nil"/>
              <w:bottom w:val="single" w:sz="4" w:space="0" w:color="000000"/>
              <w:right w:val="single" w:sz="4" w:space="0" w:color="000000"/>
            </w:tcBorders>
            <w:hideMark/>
          </w:tcPr>
          <w:p w14:paraId="4F45CB06" w14:textId="77777777" w:rsidR="009100AE" w:rsidRPr="008D3BF2" w:rsidRDefault="009100AE" w:rsidP="002E6B2C">
            <w:pPr>
              <w:pStyle w:val="TableParagraph"/>
              <w:spacing w:before="1" w:beforeAutospacing="0" w:line="240" w:lineRule="auto"/>
              <w:ind w:left="13"/>
            </w:pPr>
            <w:r w:rsidRPr="008D3BF2">
              <w:rPr>
                <w:spacing w:val="-4"/>
              </w:rPr>
              <w:t>2.72</w:t>
            </w:r>
          </w:p>
        </w:tc>
        <w:tc>
          <w:tcPr>
            <w:tcW w:w="838" w:type="dxa"/>
            <w:tcBorders>
              <w:top w:val="single" w:sz="4" w:space="0" w:color="000000"/>
              <w:left w:val="nil"/>
              <w:bottom w:val="single" w:sz="4" w:space="0" w:color="000000"/>
              <w:right w:val="single" w:sz="4" w:space="0" w:color="000000"/>
            </w:tcBorders>
            <w:hideMark/>
          </w:tcPr>
          <w:p w14:paraId="438A7A13" w14:textId="77777777" w:rsidR="009100AE" w:rsidRPr="008D3BF2" w:rsidRDefault="009100AE" w:rsidP="002E6B2C">
            <w:pPr>
              <w:pStyle w:val="TableParagraph"/>
              <w:spacing w:before="1" w:beforeAutospacing="0" w:line="240" w:lineRule="auto"/>
              <w:ind w:left="11"/>
            </w:pPr>
            <w:r w:rsidRPr="008D3BF2">
              <w:rPr>
                <w:spacing w:val="-4"/>
              </w:rPr>
              <w:t>2.48</w:t>
            </w:r>
          </w:p>
        </w:tc>
        <w:tc>
          <w:tcPr>
            <w:tcW w:w="871" w:type="dxa"/>
            <w:tcBorders>
              <w:top w:val="single" w:sz="4" w:space="0" w:color="000000"/>
              <w:left w:val="nil"/>
              <w:bottom w:val="single" w:sz="4" w:space="0" w:color="000000"/>
              <w:right w:val="single" w:sz="4" w:space="0" w:color="000000"/>
            </w:tcBorders>
            <w:hideMark/>
          </w:tcPr>
          <w:p w14:paraId="3279FD06" w14:textId="77777777" w:rsidR="009100AE" w:rsidRPr="008D3BF2" w:rsidRDefault="009100AE" w:rsidP="002E6B2C">
            <w:pPr>
              <w:pStyle w:val="TableParagraph"/>
              <w:spacing w:before="1" w:beforeAutospacing="0" w:line="240" w:lineRule="auto"/>
              <w:ind w:left="15"/>
            </w:pPr>
            <w:r w:rsidRPr="008D3BF2">
              <w:rPr>
                <w:spacing w:val="-5"/>
              </w:rPr>
              <w:t>.17</w:t>
            </w:r>
          </w:p>
        </w:tc>
        <w:tc>
          <w:tcPr>
            <w:tcW w:w="861" w:type="dxa"/>
            <w:tcBorders>
              <w:top w:val="single" w:sz="4" w:space="0" w:color="000000"/>
              <w:left w:val="nil"/>
              <w:bottom w:val="single" w:sz="4" w:space="0" w:color="000000"/>
              <w:right w:val="single" w:sz="4" w:space="0" w:color="000000"/>
            </w:tcBorders>
            <w:hideMark/>
          </w:tcPr>
          <w:p w14:paraId="0CECAC05" w14:textId="77777777" w:rsidR="009100AE" w:rsidRPr="008D3BF2" w:rsidRDefault="009100AE" w:rsidP="002E6B2C">
            <w:pPr>
              <w:pStyle w:val="TableParagraph"/>
              <w:spacing w:before="1" w:beforeAutospacing="0" w:line="240" w:lineRule="auto"/>
              <w:ind w:left="14"/>
            </w:pPr>
            <w:r w:rsidRPr="008D3BF2">
              <w:rPr>
                <w:spacing w:val="-4"/>
              </w:rPr>
              <w:t>3.54</w:t>
            </w:r>
          </w:p>
        </w:tc>
        <w:tc>
          <w:tcPr>
            <w:tcW w:w="1785" w:type="dxa"/>
            <w:tcBorders>
              <w:top w:val="single" w:sz="4" w:space="0" w:color="000000"/>
              <w:left w:val="nil"/>
              <w:bottom w:val="single" w:sz="4" w:space="0" w:color="000000"/>
              <w:right w:val="single" w:sz="4" w:space="0" w:color="000000"/>
            </w:tcBorders>
            <w:hideMark/>
          </w:tcPr>
          <w:p w14:paraId="6E8FF150" w14:textId="77777777" w:rsidR="009100AE" w:rsidRPr="008D3BF2" w:rsidRDefault="009100AE" w:rsidP="002E6B2C">
            <w:pPr>
              <w:pStyle w:val="TableParagraph"/>
              <w:spacing w:before="1" w:beforeAutospacing="0" w:line="240" w:lineRule="auto"/>
              <w:ind w:left="18"/>
            </w:pPr>
            <w:r w:rsidRPr="008D3BF2">
              <w:rPr>
                <w:spacing w:val="-2"/>
              </w:rPr>
              <w:t>51.48</w:t>
            </w:r>
          </w:p>
        </w:tc>
      </w:tr>
      <w:tr w:rsidR="009100AE" w:rsidRPr="008D3BF2" w14:paraId="459262DC"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09E3F8E3" w14:textId="77777777" w:rsidR="009100AE" w:rsidRPr="008D3BF2" w:rsidRDefault="009100AE" w:rsidP="002E6B2C">
            <w:pPr>
              <w:pStyle w:val="TableParagraph"/>
              <w:spacing w:before="1" w:beforeAutospacing="0" w:line="240" w:lineRule="auto"/>
              <w:ind w:left="8"/>
              <w:jc w:val="both"/>
            </w:pPr>
            <w:r w:rsidRPr="008D3BF2">
              <w:t>2023-</w:t>
            </w:r>
            <w:r w:rsidRPr="008D3BF2">
              <w:rPr>
                <w:spacing w:val="-4"/>
              </w:rPr>
              <w:t>2024</w:t>
            </w:r>
          </w:p>
        </w:tc>
        <w:tc>
          <w:tcPr>
            <w:tcW w:w="1486" w:type="dxa"/>
            <w:tcBorders>
              <w:top w:val="single" w:sz="4" w:space="0" w:color="000000"/>
              <w:left w:val="nil"/>
              <w:bottom w:val="single" w:sz="4" w:space="0" w:color="000000"/>
              <w:right w:val="single" w:sz="4" w:space="0" w:color="000000"/>
            </w:tcBorders>
            <w:hideMark/>
          </w:tcPr>
          <w:p w14:paraId="09CFD56A" w14:textId="77777777" w:rsidR="009100AE" w:rsidRPr="008D3BF2" w:rsidRDefault="009100AE" w:rsidP="002E6B2C">
            <w:pPr>
              <w:pStyle w:val="TableParagraph"/>
              <w:spacing w:before="1" w:beforeAutospacing="0" w:line="240" w:lineRule="auto"/>
            </w:pPr>
            <w:r w:rsidRPr="008D3BF2">
              <w:rPr>
                <w:spacing w:val="-2"/>
              </w:rPr>
              <w:t>8,244.62</w:t>
            </w:r>
          </w:p>
        </w:tc>
        <w:tc>
          <w:tcPr>
            <w:tcW w:w="1000" w:type="dxa"/>
            <w:tcBorders>
              <w:top w:val="single" w:sz="4" w:space="0" w:color="000000"/>
              <w:left w:val="nil"/>
              <w:bottom w:val="single" w:sz="4" w:space="0" w:color="000000"/>
              <w:right w:val="single" w:sz="4" w:space="0" w:color="000000"/>
            </w:tcBorders>
            <w:hideMark/>
          </w:tcPr>
          <w:p w14:paraId="053AF8C9" w14:textId="77777777" w:rsidR="009100AE" w:rsidRPr="008D3BF2" w:rsidRDefault="009100AE" w:rsidP="002E6B2C">
            <w:pPr>
              <w:pStyle w:val="TableParagraph"/>
              <w:spacing w:before="1" w:beforeAutospacing="0" w:line="240" w:lineRule="auto"/>
              <w:ind w:left="11"/>
            </w:pPr>
            <w:r w:rsidRPr="008D3BF2">
              <w:rPr>
                <w:spacing w:val="-4"/>
              </w:rPr>
              <w:t>5.73</w:t>
            </w:r>
          </w:p>
        </w:tc>
        <w:tc>
          <w:tcPr>
            <w:tcW w:w="988" w:type="dxa"/>
            <w:tcBorders>
              <w:top w:val="single" w:sz="4" w:space="0" w:color="000000"/>
              <w:left w:val="nil"/>
              <w:bottom w:val="single" w:sz="4" w:space="0" w:color="000000"/>
              <w:right w:val="single" w:sz="4" w:space="0" w:color="000000"/>
            </w:tcBorders>
            <w:hideMark/>
          </w:tcPr>
          <w:p w14:paraId="4266F01D" w14:textId="77777777" w:rsidR="009100AE" w:rsidRPr="008D3BF2" w:rsidRDefault="009100AE" w:rsidP="002E6B2C">
            <w:pPr>
              <w:pStyle w:val="TableParagraph"/>
              <w:spacing w:before="1" w:beforeAutospacing="0" w:line="240" w:lineRule="auto"/>
              <w:ind w:left="12"/>
            </w:pPr>
            <w:r w:rsidRPr="008D3BF2">
              <w:rPr>
                <w:spacing w:val="-5"/>
              </w:rPr>
              <w:t>.73</w:t>
            </w:r>
          </w:p>
        </w:tc>
        <w:tc>
          <w:tcPr>
            <w:tcW w:w="838" w:type="dxa"/>
            <w:tcBorders>
              <w:top w:val="single" w:sz="4" w:space="0" w:color="000000"/>
              <w:left w:val="nil"/>
              <w:bottom w:val="single" w:sz="4" w:space="0" w:color="000000"/>
              <w:right w:val="single" w:sz="4" w:space="0" w:color="000000"/>
            </w:tcBorders>
            <w:hideMark/>
          </w:tcPr>
          <w:p w14:paraId="0216721D" w14:textId="77777777" w:rsidR="009100AE" w:rsidRPr="008D3BF2" w:rsidRDefault="009100AE" w:rsidP="002E6B2C">
            <w:pPr>
              <w:pStyle w:val="TableParagraph"/>
              <w:spacing w:before="1" w:beforeAutospacing="0" w:line="240" w:lineRule="auto"/>
              <w:ind w:left="11"/>
            </w:pPr>
            <w:r w:rsidRPr="008D3BF2">
              <w:rPr>
                <w:spacing w:val="-4"/>
              </w:rPr>
              <w:t>2.67</w:t>
            </w:r>
          </w:p>
        </w:tc>
        <w:tc>
          <w:tcPr>
            <w:tcW w:w="871" w:type="dxa"/>
            <w:tcBorders>
              <w:top w:val="single" w:sz="4" w:space="0" w:color="000000"/>
              <w:left w:val="nil"/>
              <w:bottom w:val="single" w:sz="4" w:space="0" w:color="000000"/>
              <w:right w:val="single" w:sz="4" w:space="0" w:color="000000"/>
            </w:tcBorders>
            <w:hideMark/>
          </w:tcPr>
          <w:p w14:paraId="32247364" w14:textId="77777777" w:rsidR="009100AE" w:rsidRPr="008D3BF2" w:rsidRDefault="009100AE" w:rsidP="002E6B2C">
            <w:pPr>
              <w:pStyle w:val="TableParagraph"/>
              <w:spacing w:before="1" w:beforeAutospacing="0" w:line="240" w:lineRule="auto"/>
              <w:ind w:left="15"/>
            </w:pPr>
            <w:r w:rsidRPr="008D3BF2">
              <w:rPr>
                <w:spacing w:val="-5"/>
              </w:rPr>
              <w:t>.57</w:t>
            </w:r>
          </w:p>
        </w:tc>
        <w:tc>
          <w:tcPr>
            <w:tcW w:w="861" w:type="dxa"/>
            <w:tcBorders>
              <w:top w:val="single" w:sz="4" w:space="0" w:color="000000"/>
              <w:left w:val="nil"/>
              <w:bottom w:val="single" w:sz="4" w:space="0" w:color="000000"/>
              <w:right w:val="single" w:sz="4" w:space="0" w:color="000000"/>
            </w:tcBorders>
            <w:hideMark/>
          </w:tcPr>
          <w:p w14:paraId="3B6B874B" w14:textId="77777777" w:rsidR="009100AE" w:rsidRPr="008D3BF2" w:rsidRDefault="009100AE" w:rsidP="002E6B2C">
            <w:pPr>
              <w:pStyle w:val="TableParagraph"/>
              <w:spacing w:before="1" w:beforeAutospacing="0" w:line="240" w:lineRule="auto"/>
              <w:ind w:left="14"/>
            </w:pPr>
            <w:r w:rsidRPr="008D3BF2">
              <w:rPr>
                <w:spacing w:val="-4"/>
              </w:rPr>
              <w:t>8.92</w:t>
            </w:r>
          </w:p>
        </w:tc>
        <w:tc>
          <w:tcPr>
            <w:tcW w:w="1785" w:type="dxa"/>
            <w:tcBorders>
              <w:top w:val="single" w:sz="4" w:space="0" w:color="000000"/>
              <w:left w:val="nil"/>
              <w:bottom w:val="single" w:sz="4" w:space="0" w:color="000000"/>
              <w:right w:val="single" w:sz="4" w:space="0" w:color="000000"/>
            </w:tcBorders>
            <w:hideMark/>
          </w:tcPr>
          <w:p w14:paraId="27320910" w14:textId="77777777" w:rsidR="009100AE" w:rsidRPr="008D3BF2" w:rsidRDefault="009100AE" w:rsidP="002E6B2C">
            <w:pPr>
              <w:pStyle w:val="TableParagraph"/>
              <w:spacing w:before="1" w:beforeAutospacing="0" w:line="240" w:lineRule="auto"/>
              <w:ind w:left="18"/>
            </w:pPr>
            <w:r w:rsidRPr="008D3BF2">
              <w:rPr>
                <w:spacing w:val="-2"/>
              </w:rPr>
              <w:t>53.49</w:t>
            </w:r>
          </w:p>
        </w:tc>
      </w:tr>
      <w:tr w:rsidR="009100AE" w:rsidRPr="008D3BF2" w14:paraId="58A007CF"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1BE766AB" w14:textId="77777777" w:rsidR="009100AE" w:rsidRPr="008D3BF2" w:rsidRDefault="009100AE" w:rsidP="002E6B2C">
            <w:pPr>
              <w:pStyle w:val="TableParagraph"/>
              <w:spacing w:line="240" w:lineRule="auto"/>
              <w:ind w:left="8"/>
              <w:jc w:val="both"/>
            </w:pPr>
            <w:r w:rsidRPr="008D3BF2">
              <w:t>2024-</w:t>
            </w:r>
            <w:r w:rsidRPr="008D3BF2">
              <w:rPr>
                <w:spacing w:val="-4"/>
              </w:rPr>
              <w:t>2025</w:t>
            </w:r>
          </w:p>
        </w:tc>
        <w:tc>
          <w:tcPr>
            <w:tcW w:w="1486" w:type="dxa"/>
            <w:tcBorders>
              <w:top w:val="single" w:sz="4" w:space="0" w:color="000000"/>
              <w:left w:val="nil"/>
              <w:bottom w:val="single" w:sz="4" w:space="0" w:color="000000"/>
              <w:right w:val="single" w:sz="4" w:space="0" w:color="000000"/>
            </w:tcBorders>
            <w:hideMark/>
          </w:tcPr>
          <w:p w14:paraId="175A724F" w14:textId="77777777" w:rsidR="009100AE" w:rsidRPr="008D3BF2" w:rsidRDefault="009100AE" w:rsidP="002E6B2C">
            <w:pPr>
              <w:pStyle w:val="TableParagraph"/>
              <w:spacing w:line="240" w:lineRule="auto"/>
              <w:ind w:left="9"/>
            </w:pPr>
            <w:r w:rsidRPr="008D3BF2">
              <w:rPr>
                <w:spacing w:val="-2"/>
              </w:rPr>
              <w:t>16631.01</w:t>
            </w:r>
          </w:p>
        </w:tc>
        <w:tc>
          <w:tcPr>
            <w:tcW w:w="1000" w:type="dxa"/>
            <w:tcBorders>
              <w:top w:val="single" w:sz="4" w:space="0" w:color="000000"/>
              <w:left w:val="nil"/>
              <w:bottom w:val="single" w:sz="4" w:space="0" w:color="000000"/>
              <w:right w:val="single" w:sz="4" w:space="0" w:color="000000"/>
            </w:tcBorders>
            <w:hideMark/>
          </w:tcPr>
          <w:p w14:paraId="03DFFF6B" w14:textId="77777777" w:rsidR="009100AE" w:rsidRPr="008D3BF2" w:rsidRDefault="009100AE" w:rsidP="002E6B2C">
            <w:pPr>
              <w:pStyle w:val="TableParagraph"/>
              <w:spacing w:line="240" w:lineRule="auto"/>
              <w:ind w:left="11"/>
            </w:pPr>
            <w:r w:rsidRPr="008D3BF2">
              <w:rPr>
                <w:spacing w:val="-4"/>
              </w:rPr>
              <w:t>3.95</w:t>
            </w:r>
          </w:p>
        </w:tc>
        <w:tc>
          <w:tcPr>
            <w:tcW w:w="988" w:type="dxa"/>
            <w:tcBorders>
              <w:top w:val="single" w:sz="4" w:space="0" w:color="000000"/>
              <w:left w:val="nil"/>
              <w:bottom w:val="single" w:sz="4" w:space="0" w:color="000000"/>
              <w:right w:val="single" w:sz="4" w:space="0" w:color="000000"/>
            </w:tcBorders>
            <w:hideMark/>
          </w:tcPr>
          <w:p w14:paraId="4356609F" w14:textId="77777777" w:rsidR="009100AE" w:rsidRPr="008D3BF2" w:rsidRDefault="009100AE" w:rsidP="002E6B2C">
            <w:pPr>
              <w:pStyle w:val="TableParagraph"/>
              <w:spacing w:line="240" w:lineRule="auto"/>
              <w:ind w:left="12"/>
            </w:pPr>
            <w:r w:rsidRPr="008D3BF2">
              <w:rPr>
                <w:spacing w:val="-5"/>
              </w:rPr>
              <w:t>.40</w:t>
            </w:r>
          </w:p>
        </w:tc>
        <w:tc>
          <w:tcPr>
            <w:tcW w:w="838" w:type="dxa"/>
            <w:tcBorders>
              <w:top w:val="single" w:sz="4" w:space="0" w:color="000000"/>
              <w:left w:val="nil"/>
              <w:bottom w:val="single" w:sz="4" w:space="0" w:color="000000"/>
              <w:right w:val="single" w:sz="4" w:space="0" w:color="000000"/>
            </w:tcBorders>
            <w:hideMark/>
          </w:tcPr>
          <w:p w14:paraId="63C588CE" w14:textId="77777777" w:rsidR="009100AE" w:rsidRPr="008D3BF2" w:rsidRDefault="009100AE" w:rsidP="002E6B2C">
            <w:pPr>
              <w:pStyle w:val="TableParagraph"/>
              <w:spacing w:line="240" w:lineRule="auto"/>
              <w:ind w:left="11"/>
            </w:pPr>
            <w:r w:rsidRPr="008D3BF2">
              <w:rPr>
                <w:spacing w:val="-4"/>
              </w:rPr>
              <w:t>2.93</w:t>
            </w:r>
          </w:p>
        </w:tc>
        <w:tc>
          <w:tcPr>
            <w:tcW w:w="871" w:type="dxa"/>
            <w:tcBorders>
              <w:top w:val="single" w:sz="4" w:space="0" w:color="000000"/>
              <w:left w:val="nil"/>
              <w:bottom w:val="single" w:sz="4" w:space="0" w:color="000000"/>
              <w:right w:val="single" w:sz="4" w:space="0" w:color="000000"/>
            </w:tcBorders>
            <w:hideMark/>
          </w:tcPr>
          <w:p w14:paraId="2C1E26E5" w14:textId="77777777" w:rsidR="009100AE" w:rsidRPr="008D3BF2" w:rsidRDefault="009100AE" w:rsidP="002E6B2C">
            <w:pPr>
              <w:pStyle w:val="TableParagraph"/>
              <w:spacing w:line="240" w:lineRule="auto"/>
              <w:ind w:left="15"/>
            </w:pPr>
            <w:r w:rsidRPr="008D3BF2">
              <w:rPr>
                <w:spacing w:val="-5"/>
              </w:rPr>
              <w:t>.99</w:t>
            </w:r>
          </w:p>
        </w:tc>
        <w:tc>
          <w:tcPr>
            <w:tcW w:w="861" w:type="dxa"/>
            <w:tcBorders>
              <w:top w:val="single" w:sz="4" w:space="0" w:color="000000"/>
              <w:left w:val="nil"/>
              <w:bottom w:val="single" w:sz="4" w:space="0" w:color="000000"/>
              <w:right w:val="single" w:sz="4" w:space="0" w:color="000000"/>
            </w:tcBorders>
            <w:hideMark/>
          </w:tcPr>
          <w:p w14:paraId="1BC6F3CA" w14:textId="77777777" w:rsidR="009100AE" w:rsidRPr="008D3BF2" w:rsidRDefault="009100AE" w:rsidP="002E6B2C">
            <w:pPr>
              <w:pStyle w:val="TableParagraph"/>
              <w:spacing w:line="240" w:lineRule="auto"/>
              <w:ind w:left="14"/>
            </w:pPr>
            <w:r w:rsidRPr="008D3BF2">
              <w:rPr>
                <w:spacing w:val="-4"/>
              </w:rPr>
              <w:t>13.9</w:t>
            </w:r>
          </w:p>
        </w:tc>
        <w:tc>
          <w:tcPr>
            <w:tcW w:w="1785" w:type="dxa"/>
            <w:tcBorders>
              <w:top w:val="single" w:sz="4" w:space="0" w:color="000000"/>
              <w:left w:val="nil"/>
              <w:bottom w:val="single" w:sz="4" w:space="0" w:color="000000"/>
              <w:right w:val="single" w:sz="4" w:space="0" w:color="000000"/>
            </w:tcBorders>
            <w:hideMark/>
          </w:tcPr>
          <w:p w14:paraId="3A8342A2" w14:textId="77777777" w:rsidR="009100AE" w:rsidRPr="008D3BF2" w:rsidRDefault="009100AE" w:rsidP="002E6B2C">
            <w:pPr>
              <w:pStyle w:val="TableParagraph"/>
              <w:spacing w:line="240" w:lineRule="auto"/>
              <w:ind w:left="18"/>
            </w:pPr>
            <w:r w:rsidRPr="008D3BF2">
              <w:rPr>
                <w:spacing w:val="-2"/>
              </w:rPr>
              <w:t>54.59</w:t>
            </w:r>
          </w:p>
        </w:tc>
      </w:tr>
      <w:tr w:rsidR="009100AE" w:rsidRPr="008D3BF2" w14:paraId="4B222D4C"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0E586A91" w14:textId="77777777" w:rsidR="009100AE" w:rsidRPr="008D3BF2" w:rsidRDefault="009100AE" w:rsidP="002E6B2C">
            <w:pPr>
              <w:pStyle w:val="TableParagraph"/>
              <w:spacing w:line="240" w:lineRule="auto"/>
              <w:jc w:val="both"/>
            </w:pPr>
            <w:r w:rsidRPr="008D3BF2">
              <w:rPr>
                <w:spacing w:val="-4"/>
              </w:rPr>
              <w:t>Mean</w:t>
            </w:r>
          </w:p>
        </w:tc>
        <w:tc>
          <w:tcPr>
            <w:tcW w:w="1486" w:type="dxa"/>
            <w:tcBorders>
              <w:top w:val="single" w:sz="4" w:space="0" w:color="000000"/>
              <w:left w:val="nil"/>
              <w:bottom w:val="single" w:sz="4" w:space="0" w:color="000000"/>
              <w:right w:val="single" w:sz="4" w:space="0" w:color="000000"/>
            </w:tcBorders>
            <w:hideMark/>
          </w:tcPr>
          <w:p w14:paraId="70FCF266" w14:textId="77777777" w:rsidR="009100AE" w:rsidRPr="008D3BF2" w:rsidRDefault="009100AE" w:rsidP="002E6B2C">
            <w:pPr>
              <w:pStyle w:val="TableParagraph"/>
              <w:spacing w:line="240" w:lineRule="auto"/>
            </w:pPr>
            <w:r w:rsidRPr="008D3BF2">
              <w:rPr>
                <w:spacing w:val="-2"/>
              </w:rPr>
              <w:t>6572.2820</w:t>
            </w:r>
          </w:p>
        </w:tc>
        <w:tc>
          <w:tcPr>
            <w:tcW w:w="1000" w:type="dxa"/>
            <w:tcBorders>
              <w:top w:val="single" w:sz="4" w:space="0" w:color="000000"/>
              <w:left w:val="nil"/>
              <w:bottom w:val="single" w:sz="4" w:space="0" w:color="000000"/>
              <w:right w:val="single" w:sz="4" w:space="0" w:color="000000"/>
            </w:tcBorders>
            <w:hideMark/>
          </w:tcPr>
          <w:p w14:paraId="32EC15F6" w14:textId="77777777" w:rsidR="009100AE" w:rsidRPr="008D3BF2" w:rsidRDefault="009100AE" w:rsidP="002E6B2C">
            <w:pPr>
              <w:pStyle w:val="TableParagraph"/>
              <w:spacing w:line="240" w:lineRule="auto"/>
              <w:ind w:left="11"/>
            </w:pPr>
            <w:r w:rsidRPr="008D3BF2">
              <w:rPr>
                <w:spacing w:val="-2"/>
              </w:rPr>
              <w:t>8.8640</w:t>
            </w:r>
          </w:p>
        </w:tc>
        <w:tc>
          <w:tcPr>
            <w:tcW w:w="988" w:type="dxa"/>
            <w:tcBorders>
              <w:top w:val="single" w:sz="4" w:space="0" w:color="000000"/>
              <w:left w:val="nil"/>
              <w:bottom w:val="single" w:sz="4" w:space="0" w:color="000000"/>
              <w:right w:val="single" w:sz="4" w:space="0" w:color="000000"/>
            </w:tcBorders>
            <w:hideMark/>
          </w:tcPr>
          <w:p w14:paraId="26134F37" w14:textId="77777777" w:rsidR="009100AE" w:rsidRPr="008D3BF2" w:rsidRDefault="009100AE" w:rsidP="002E6B2C">
            <w:pPr>
              <w:pStyle w:val="TableParagraph"/>
              <w:spacing w:line="240" w:lineRule="auto"/>
              <w:ind w:left="13"/>
            </w:pPr>
            <w:r w:rsidRPr="008D3BF2">
              <w:rPr>
                <w:spacing w:val="-2"/>
              </w:rPr>
              <w:t>2.8760</w:t>
            </w:r>
          </w:p>
        </w:tc>
        <w:tc>
          <w:tcPr>
            <w:tcW w:w="838" w:type="dxa"/>
            <w:tcBorders>
              <w:top w:val="single" w:sz="4" w:space="0" w:color="000000"/>
              <w:left w:val="nil"/>
              <w:bottom w:val="single" w:sz="4" w:space="0" w:color="000000"/>
              <w:right w:val="single" w:sz="4" w:space="0" w:color="000000"/>
            </w:tcBorders>
            <w:hideMark/>
          </w:tcPr>
          <w:p w14:paraId="4DD2CA72" w14:textId="77777777" w:rsidR="009100AE" w:rsidRPr="008D3BF2" w:rsidRDefault="009100AE" w:rsidP="002E6B2C">
            <w:pPr>
              <w:pStyle w:val="TableParagraph"/>
              <w:spacing w:line="240" w:lineRule="auto"/>
              <w:ind w:left="11"/>
            </w:pPr>
            <w:r w:rsidRPr="008D3BF2">
              <w:rPr>
                <w:spacing w:val="-2"/>
              </w:rPr>
              <w:t>2.6600</w:t>
            </w:r>
          </w:p>
        </w:tc>
        <w:tc>
          <w:tcPr>
            <w:tcW w:w="871" w:type="dxa"/>
            <w:tcBorders>
              <w:top w:val="single" w:sz="4" w:space="0" w:color="000000"/>
              <w:left w:val="nil"/>
              <w:bottom w:val="single" w:sz="4" w:space="0" w:color="000000"/>
              <w:right w:val="single" w:sz="4" w:space="0" w:color="000000"/>
            </w:tcBorders>
            <w:hideMark/>
          </w:tcPr>
          <w:p w14:paraId="2AAD4C9C" w14:textId="77777777" w:rsidR="009100AE" w:rsidRPr="008D3BF2" w:rsidRDefault="009100AE" w:rsidP="002E6B2C">
            <w:pPr>
              <w:pStyle w:val="TableParagraph"/>
              <w:spacing w:line="240" w:lineRule="auto"/>
              <w:ind w:left="15"/>
            </w:pPr>
            <w:r w:rsidRPr="008D3BF2">
              <w:rPr>
                <w:spacing w:val="-2"/>
              </w:rPr>
              <w:t>.4300</w:t>
            </w:r>
          </w:p>
        </w:tc>
        <w:tc>
          <w:tcPr>
            <w:tcW w:w="861" w:type="dxa"/>
            <w:tcBorders>
              <w:top w:val="single" w:sz="4" w:space="0" w:color="000000"/>
              <w:left w:val="nil"/>
              <w:bottom w:val="single" w:sz="4" w:space="0" w:color="000000"/>
              <w:right w:val="single" w:sz="4" w:space="0" w:color="000000"/>
            </w:tcBorders>
            <w:hideMark/>
          </w:tcPr>
          <w:p w14:paraId="5560C44D" w14:textId="77777777" w:rsidR="009100AE" w:rsidRPr="008D3BF2" w:rsidRDefault="009100AE" w:rsidP="002E6B2C">
            <w:pPr>
              <w:pStyle w:val="TableParagraph"/>
              <w:spacing w:line="240" w:lineRule="auto"/>
              <w:ind w:left="14"/>
            </w:pPr>
            <w:r w:rsidRPr="008D3BF2">
              <w:rPr>
                <w:spacing w:val="-2"/>
              </w:rPr>
              <w:t>6.7780</w:t>
            </w:r>
          </w:p>
        </w:tc>
        <w:tc>
          <w:tcPr>
            <w:tcW w:w="1785" w:type="dxa"/>
            <w:tcBorders>
              <w:top w:val="single" w:sz="4" w:space="0" w:color="000000"/>
              <w:left w:val="nil"/>
              <w:bottom w:val="single" w:sz="4" w:space="0" w:color="000000"/>
              <w:right w:val="single" w:sz="4" w:space="0" w:color="000000"/>
            </w:tcBorders>
            <w:hideMark/>
          </w:tcPr>
          <w:p w14:paraId="7C57B0AF" w14:textId="77777777" w:rsidR="009100AE" w:rsidRPr="008D3BF2" w:rsidRDefault="009100AE" w:rsidP="002E6B2C">
            <w:pPr>
              <w:pStyle w:val="TableParagraph"/>
              <w:spacing w:line="240" w:lineRule="auto"/>
              <w:ind w:left="18"/>
            </w:pPr>
            <w:r w:rsidRPr="008D3BF2">
              <w:rPr>
                <w:spacing w:val="-2"/>
              </w:rPr>
              <w:t>51.0700</w:t>
            </w:r>
          </w:p>
        </w:tc>
      </w:tr>
      <w:tr w:rsidR="009100AE" w:rsidRPr="008D3BF2" w14:paraId="52A5B918"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7930A308" w14:textId="77777777" w:rsidR="009100AE" w:rsidRPr="008D3BF2" w:rsidRDefault="009100AE" w:rsidP="002E6B2C">
            <w:pPr>
              <w:pStyle w:val="TableParagraph"/>
              <w:spacing w:before="1" w:beforeAutospacing="0" w:line="240" w:lineRule="auto"/>
              <w:jc w:val="both"/>
            </w:pPr>
            <w:r w:rsidRPr="008D3BF2">
              <w:t>Std.</w:t>
            </w:r>
            <w:r w:rsidRPr="008D3BF2">
              <w:rPr>
                <w:spacing w:val="-1"/>
              </w:rPr>
              <w:t xml:space="preserve"> </w:t>
            </w:r>
            <w:r w:rsidRPr="008D3BF2">
              <w:rPr>
                <w:spacing w:val="-2"/>
              </w:rPr>
              <w:t>Deviation</w:t>
            </w:r>
          </w:p>
        </w:tc>
        <w:tc>
          <w:tcPr>
            <w:tcW w:w="1486" w:type="dxa"/>
            <w:tcBorders>
              <w:top w:val="single" w:sz="4" w:space="0" w:color="000000"/>
              <w:left w:val="nil"/>
              <w:bottom w:val="single" w:sz="4" w:space="0" w:color="000000"/>
              <w:right w:val="single" w:sz="4" w:space="0" w:color="000000"/>
            </w:tcBorders>
            <w:hideMark/>
          </w:tcPr>
          <w:p w14:paraId="59EB75B9" w14:textId="77777777" w:rsidR="009100AE" w:rsidRPr="008D3BF2" w:rsidRDefault="009100AE" w:rsidP="002E6B2C">
            <w:pPr>
              <w:pStyle w:val="TableParagraph"/>
              <w:spacing w:before="1" w:beforeAutospacing="0" w:line="240" w:lineRule="auto"/>
              <w:ind w:left="9"/>
            </w:pPr>
            <w:r w:rsidRPr="008D3BF2">
              <w:rPr>
                <w:spacing w:val="-2"/>
              </w:rPr>
              <w:t>6142.34017</w:t>
            </w:r>
          </w:p>
        </w:tc>
        <w:tc>
          <w:tcPr>
            <w:tcW w:w="1000" w:type="dxa"/>
            <w:tcBorders>
              <w:top w:val="single" w:sz="4" w:space="0" w:color="000000"/>
              <w:left w:val="nil"/>
              <w:bottom w:val="single" w:sz="4" w:space="0" w:color="000000"/>
              <w:right w:val="single" w:sz="4" w:space="0" w:color="000000"/>
            </w:tcBorders>
            <w:hideMark/>
          </w:tcPr>
          <w:p w14:paraId="391011F3" w14:textId="77777777" w:rsidR="009100AE" w:rsidRPr="008D3BF2" w:rsidRDefault="009100AE" w:rsidP="002E6B2C">
            <w:pPr>
              <w:pStyle w:val="TableParagraph"/>
              <w:spacing w:before="1" w:beforeAutospacing="0" w:line="240" w:lineRule="auto"/>
            </w:pPr>
            <w:r w:rsidRPr="008D3BF2">
              <w:rPr>
                <w:spacing w:val="-2"/>
              </w:rPr>
              <w:t>4.18668</w:t>
            </w:r>
          </w:p>
        </w:tc>
        <w:tc>
          <w:tcPr>
            <w:tcW w:w="988" w:type="dxa"/>
            <w:tcBorders>
              <w:top w:val="single" w:sz="4" w:space="0" w:color="000000"/>
              <w:left w:val="nil"/>
              <w:bottom w:val="single" w:sz="4" w:space="0" w:color="000000"/>
              <w:right w:val="single" w:sz="4" w:space="0" w:color="000000"/>
            </w:tcBorders>
            <w:hideMark/>
          </w:tcPr>
          <w:p w14:paraId="388D65A7" w14:textId="77777777" w:rsidR="009100AE" w:rsidRPr="008D3BF2" w:rsidRDefault="009100AE" w:rsidP="002E6B2C">
            <w:pPr>
              <w:pStyle w:val="TableParagraph"/>
              <w:spacing w:before="1" w:beforeAutospacing="0" w:line="240" w:lineRule="auto"/>
              <w:ind w:left="12"/>
            </w:pPr>
            <w:r w:rsidRPr="008D3BF2">
              <w:rPr>
                <w:spacing w:val="-2"/>
              </w:rPr>
              <w:t>2.37736</w:t>
            </w:r>
          </w:p>
        </w:tc>
        <w:tc>
          <w:tcPr>
            <w:tcW w:w="838" w:type="dxa"/>
            <w:tcBorders>
              <w:top w:val="single" w:sz="4" w:space="0" w:color="000000"/>
              <w:left w:val="nil"/>
              <w:bottom w:val="single" w:sz="4" w:space="0" w:color="000000"/>
              <w:right w:val="single" w:sz="4" w:space="0" w:color="000000"/>
            </w:tcBorders>
            <w:hideMark/>
          </w:tcPr>
          <w:p w14:paraId="2381915C" w14:textId="77777777" w:rsidR="009100AE" w:rsidRPr="008D3BF2" w:rsidRDefault="009100AE" w:rsidP="002E6B2C">
            <w:pPr>
              <w:pStyle w:val="TableParagraph"/>
              <w:spacing w:before="1" w:beforeAutospacing="0" w:line="240" w:lineRule="auto"/>
              <w:ind w:left="11"/>
            </w:pPr>
            <w:r w:rsidRPr="008D3BF2">
              <w:rPr>
                <w:spacing w:val="-2"/>
              </w:rPr>
              <w:t>.25308</w:t>
            </w:r>
          </w:p>
        </w:tc>
        <w:tc>
          <w:tcPr>
            <w:tcW w:w="871" w:type="dxa"/>
            <w:tcBorders>
              <w:top w:val="single" w:sz="4" w:space="0" w:color="000000"/>
              <w:left w:val="nil"/>
              <w:bottom w:val="single" w:sz="4" w:space="0" w:color="000000"/>
              <w:right w:val="single" w:sz="4" w:space="0" w:color="000000"/>
            </w:tcBorders>
            <w:hideMark/>
          </w:tcPr>
          <w:p w14:paraId="3CB23A28" w14:textId="77777777" w:rsidR="009100AE" w:rsidRPr="008D3BF2" w:rsidRDefault="009100AE" w:rsidP="002E6B2C">
            <w:pPr>
              <w:pStyle w:val="TableParagraph"/>
              <w:spacing w:before="1" w:beforeAutospacing="0" w:line="240" w:lineRule="auto"/>
              <w:ind w:left="14"/>
            </w:pPr>
            <w:r w:rsidRPr="008D3BF2">
              <w:rPr>
                <w:spacing w:val="-2"/>
              </w:rPr>
              <w:t>.35447</w:t>
            </w:r>
          </w:p>
        </w:tc>
        <w:tc>
          <w:tcPr>
            <w:tcW w:w="861" w:type="dxa"/>
            <w:tcBorders>
              <w:top w:val="single" w:sz="4" w:space="0" w:color="000000"/>
              <w:left w:val="nil"/>
              <w:bottom w:val="single" w:sz="4" w:space="0" w:color="000000"/>
              <w:right w:val="single" w:sz="4" w:space="0" w:color="000000"/>
            </w:tcBorders>
            <w:hideMark/>
          </w:tcPr>
          <w:p w14:paraId="1C6DF22A" w14:textId="77777777" w:rsidR="009100AE" w:rsidRPr="008D3BF2" w:rsidRDefault="009100AE" w:rsidP="002E6B2C">
            <w:pPr>
              <w:pStyle w:val="TableParagraph"/>
              <w:spacing w:before="1" w:beforeAutospacing="0" w:line="240" w:lineRule="auto"/>
              <w:ind w:left="15"/>
            </w:pPr>
            <w:r w:rsidRPr="008D3BF2">
              <w:rPr>
                <w:spacing w:val="-2"/>
              </w:rPr>
              <w:t>4.59628</w:t>
            </w:r>
          </w:p>
        </w:tc>
        <w:tc>
          <w:tcPr>
            <w:tcW w:w="1785" w:type="dxa"/>
            <w:tcBorders>
              <w:top w:val="single" w:sz="4" w:space="0" w:color="000000"/>
              <w:left w:val="nil"/>
              <w:bottom w:val="single" w:sz="4" w:space="0" w:color="000000"/>
              <w:right w:val="single" w:sz="4" w:space="0" w:color="000000"/>
            </w:tcBorders>
            <w:hideMark/>
          </w:tcPr>
          <w:p w14:paraId="40F002BC" w14:textId="77777777" w:rsidR="009100AE" w:rsidRPr="008D3BF2" w:rsidRDefault="009100AE" w:rsidP="002E6B2C">
            <w:pPr>
              <w:pStyle w:val="TableParagraph"/>
              <w:spacing w:before="1" w:beforeAutospacing="0" w:line="240" w:lineRule="auto"/>
              <w:ind w:left="18"/>
            </w:pPr>
            <w:r w:rsidRPr="008D3BF2">
              <w:rPr>
                <w:spacing w:val="-2"/>
              </w:rPr>
              <w:t>3.27371</w:t>
            </w:r>
          </w:p>
        </w:tc>
      </w:tr>
      <w:tr w:rsidR="009100AE" w:rsidRPr="008D3BF2" w14:paraId="5D7722D6"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3ABA9C8B" w14:textId="77777777" w:rsidR="009100AE" w:rsidRPr="008D3BF2" w:rsidRDefault="009100AE" w:rsidP="002E6B2C">
            <w:pPr>
              <w:pStyle w:val="TableParagraph"/>
              <w:spacing w:line="240" w:lineRule="auto"/>
              <w:jc w:val="both"/>
            </w:pPr>
            <w:r w:rsidRPr="008D3BF2">
              <w:t>Std.</w:t>
            </w:r>
            <w:r w:rsidRPr="008D3BF2">
              <w:rPr>
                <w:spacing w:val="-1"/>
              </w:rPr>
              <w:t xml:space="preserve"> </w:t>
            </w:r>
            <w:r w:rsidRPr="008D3BF2">
              <w:rPr>
                <w:spacing w:val="-2"/>
              </w:rPr>
              <w:t>Error</w:t>
            </w:r>
          </w:p>
        </w:tc>
        <w:tc>
          <w:tcPr>
            <w:tcW w:w="1486" w:type="dxa"/>
            <w:tcBorders>
              <w:top w:val="single" w:sz="4" w:space="0" w:color="000000"/>
              <w:left w:val="nil"/>
              <w:bottom w:val="single" w:sz="4" w:space="0" w:color="000000"/>
              <w:right w:val="single" w:sz="4" w:space="0" w:color="000000"/>
            </w:tcBorders>
            <w:hideMark/>
          </w:tcPr>
          <w:p w14:paraId="24145DA2" w14:textId="77777777" w:rsidR="009100AE" w:rsidRPr="008D3BF2" w:rsidRDefault="009100AE" w:rsidP="002E6B2C">
            <w:pPr>
              <w:pStyle w:val="TableParagraph"/>
              <w:spacing w:line="240" w:lineRule="auto"/>
              <w:ind w:left="9"/>
            </w:pPr>
            <w:r w:rsidRPr="008D3BF2">
              <w:rPr>
                <w:spacing w:val="-2"/>
              </w:rPr>
              <w:t>2746.93803</w:t>
            </w:r>
          </w:p>
        </w:tc>
        <w:tc>
          <w:tcPr>
            <w:tcW w:w="1000" w:type="dxa"/>
            <w:tcBorders>
              <w:top w:val="single" w:sz="4" w:space="0" w:color="000000"/>
              <w:left w:val="nil"/>
              <w:bottom w:val="single" w:sz="4" w:space="0" w:color="000000"/>
              <w:right w:val="single" w:sz="4" w:space="0" w:color="000000"/>
            </w:tcBorders>
            <w:hideMark/>
          </w:tcPr>
          <w:p w14:paraId="3C58E139" w14:textId="77777777" w:rsidR="009100AE" w:rsidRPr="008D3BF2" w:rsidRDefault="009100AE" w:rsidP="002E6B2C">
            <w:pPr>
              <w:pStyle w:val="TableParagraph"/>
              <w:spacing w:line="240" w:lineRule="auto"/>
            </w:pPr>
            <w:r w:rsidRPr="008D3BF2">
              <w:rPr>
                <w:spacing w:val="-2"/>
              </w:rPr>
              <w:t>1.87234</w:t>
            </w:r>
          </w:p>
        </w:tc>
        <w:tc>
          <w:tcPr>
            <w:tcW w:w="988" w:type="dxa"/>
            <w:tcBorders>
              <w:top w:val="single" w:sz="4" w:space="0" w:color="000000"/>
              <w:left w:val="nil"/>
              <w:bottom w:val="single" w:sz="4" w:space="0" w:color="000000"/>
              <w:right w:val="single" w:sz="4" w:space="0" w:color="000000"/>
            </w:tcBorders>
            <w:hideMark/>
          </w:tcPr>
          <w:p w14:paraId="38C52B96" w14:textId="77777777" w:rsidR="009100AE" w:rsidRPr="008D3BF2" w:rsidRDefault="009100AE" w:rsidP="002E6B2C">
            <w:pPr>
              <w:pStyle w:val="TableParagraph"/>
              <w:spacing w:line="240" w:lineRule="auto"/>
              <w:ind w:left="12"/>
            </w:pPr>
            <w:r w:rsidRPr="008D3BF2">
              <w:rPr>
                <w:spacing w:val="-2"/>
              </w:rPr>
              <w:t>1.06319</w:t>
            </w:r>
          </w:p>
        </w:tc>
        <w:tc>
          <w:tcPr>
            <w:tcW w:w="838" w:type="dxa"/>
            <w:tcBorders>
              <w:top w:val="single" w:sz="4" w:space="0" w:color="000000"/>
              <w:left w:val="nil"/>
              <w:bottom w:val="single" w:sz="4" w:space="0" w:color="000000"/>
              <w:right w:val="single" w:sz="4" w:space="0" w:color="000000"/>
            </w:tcBorders>
            <w:hideMark/>
          </w:tcPr>
          <w:p w14:paraId="7F25F833" w14:textId="77777777" w:rsidR="009100AE" w:rsidRPr="008D3BF2" w:rsidRDefault="009100AE" w:rsidP="002E6B2C">
            <w:pPr>
              <w:pStyle w:val="TableParagraph"/>
              <w:spacing w:line="240" w:lineRule="auto"/>
              <w:ind w:left="11"/>
            </w:pPr>
            <w:r w:rsidRPr="008D3BF2">
              <w:rPr>
                <w:spacing w:val="-2"/>
              </w:rPr>
              <w:t>.11318</w:t>
            </w:r>
          </w:p>
        </w:tc>
        <w:tc>
          <w:tcPr>
            <w:tcW w:w="871" w:type="dxa"/>
            <w:tcBorders>
              <w:top w:val="single" w:sz="4" w:space="0" w:color="000000"/>
              <w:left w:val="nil"/>
              <w:bottom w:val="single" w:sz="4" w:space="0" w:color="000000"/>
              <w:right w:val="single" w:sz="4" w:space="0" w:color="000000"/>
            </w:tcBorders>
            <w:hideMark/>
          </w:tcPr>
          <w:p w14:paraId="6EAFAD24" w14:textId="77777777" w:rsidR="009100AE" w:rsidRPr="008D3BF2" w:rsidRDefault="009100AE" w:rsidP="002E6B2C">
            <w:pPr>
              <w:pStyle w:val="TableParagraph"/>
              <w:spacing w:line="240" w:lineRule="auto"/>
              <w:ind w:left="14"/>
            </w:pPr>
            <w:r w:rsidRPr="008D3BF2">
              <w:rPr>
                <w:spacing w:val="-2"/>
              </w:rPr>
              <w:t>.15852</w:t>
            </w:r>
          </w:p>
        </w:tc>
        <w:tc>
          <w:tcPr>
            <w:tcW w:w="861" w:type="dxa"/>
            <w:tcBorders>
              <w:top w:val="single" w:sz="4" w:space="0" w:color="000000"/>
              <w:left w:val="nil"/>
              <w:bottom w:val="single" w:sz="4" w:space="0" w:color="000000"/>
              <w:right w:val="single" w:sz="4" w:space="0" w:color="000000"/>
            </w:tcBorders>
            <w:hideMark/>
          </w:tcPr>
          <w:p w14:paraId="64923E94" w14:textId="77777777" w:rsidR="009100AE" w:rsidRPr="008D3BF2" w:rsidRDefault="009100AE" w:rsidP="002E6B2C">
            <w:pPr>
              <w:pStyle w:val="TableParagraph"/>
              <w:spacing w:line="240" w:lineRule="auto"/>
              <w:ind w:left="15"/>
            </w:pPr>
            <w:r w:rsidRPr="008D3BF2">
              <w:rPr>
                <w:spacing w:val="-2"/>
              </w:rPr>
              <w:t>2.05552</w:t>
            </w:r>
          </w:p>
        </w:tc>
        <w:tc>
          <w:tcPr>
            <w:tcW w:w="1785" w:type="dxa"/>
            <w:tcBorders>
              <w:top w:val="single" w:sz="4" w:space="0" w:color="000000"/>
              <w:left w:val="nil"/>
              <w:bottom w:val="single" w:sz="4" w:space="0" w:color="000000"/>
              <w:right w:val="single" w:sz="4" w:space="0" w:color="000000"/>
            </w:tcBorders>
            <w:hideMark/>
          </w:tcPr>
          <w:p w14:paraId="5977A162" w14:textId="77777777" w:rsidR="009100AE" w:rsidRPr="008D3BF2" w:rsidRDefault="009100AE" w:rsidP="002E6B2C">
            <w:pPr>
              <w:pStyle w:val="TableParagraph"/>
              <w:spacing w:line="240" w:lineRule="auto"/>
              <w:ind w:left="18"/>
            </w:pPr>
            <w:r w:rsidRPr="008D3BF2">
              <w:rPr>
                <w:spacing w:val="-2"/>
              </w:rPr>
              <w:t>1.46405</w:t>
            </w:r>
          </w:p>
        </w:tc>
      </w:tr>
      <w:tr w:rsidR="009100AE" w:rsidRPr="008D3BF2" w14:paraId="58124A08" w14:textId="77777777" w:rsidTr="008D3BF2">
        <w:trPr>
          <w:trHeight w:val="185"/>
        </w:trPr>
        <w:tc>
          <w:tcPr>
            <w:tcW w:w="1273" w:type="dxa"/>
            <w:tcBorders>
              <w:top w:val="single" w:sz="4" w:space="0" w:color="000000"/>
              <w:left w:val="single" w:sz="4" w:space="0" w:color="000000"/>
              <w:bottom w:val="single" w:sz="4" w:space="0" w:color="000000"/>
              <w:right w:val="single" w:sz="4" w:space="0" w:color="000000"/>
            </w:tcBorders>
            <w:hideMark/>
          </w:tcPr>
          <w:p w14:paraId="3E805DB5" w14:textId="77777777" w:rsidR="009100AE" w:rsidRPr="008D3BF2" w:rsidRDefault="009100AE" w:rsidP="002E6B2C">
            <w:pPr>
              <w:pStyle w:val="TableParagraph"/>
              <w:spacing w:line="240" w:lineRule="auto"/>
              <w:ind w:left="8"/>
              <w:jc w:val="both"/>
            </w:pPr>
            <w:r w:rsidRPr="008D3BF2">
              <w:rPr>
                <w:spacing w:val="-2"/>
              </w:rPr>
              <w:t>Minimum</w:t>
            </w:r>
          </w:p>
        </w:tc>
        <w:tc>
          <w:tcPr>
            <w:tcW w:w="1486" w:type="dxa"/>
            <w:tcBorders>
              <w:top w:val="single" w:sz="4" w:space="0" w:color="000000"/>
              <w:left w:val="nil"/>
              <w:bottom w:val="single" w:sz="4" w:space="0" w:color="000000"/>
              <w:right w:val="single" w:sz="4" w:space="0" w:color="000000"/>
            </w:tcBorders>
            <w:hideMark/>
          </w:tcPr>
          <w:p w14:paraId="5D97CD28" w14:textId="77777777" w:rsidR="009100AE" w:rsidRPr="008D3BF2" w:rsidRDefault="009100AE" w:rsidP="002E6B2C">
            <w:pPr>
              <w:pStyle w:val="TableParagraph"/>
              <w:spacing w:line="240" w:lineRule="auto"/>
            </w:pPr>
            <w:r w:rsidRPr="008D3BF2">
              <w:rPr>
                <w:spacing w:val="-2"/>
              </w:rPr>
              <w:t>2021.62</w:t>
            </w:r>
          </w:p>
        </w:tc>
        <w:tc>
          <w:tcPr>
            <w:tcW w:w="1000" w:type="dxa"/>
            <w:tcBorders>
              <w:top w:val="single" w:sz="4" w:space="0" w:color="000000"/>
              <w:left w:val="nil"/>
              <w:bottom w:val="single" w:sz="4" w:space="0" w:color="000000"/>
              <w:right w:val="single" w:sz="4" w:space="0" w:color="000000"/>
            </w:tcBorders>
            <w:hideMark/>
          </w:tcPr>
          <w:p w14:paraId="23A660A8" w14:textId="77777777" w:rsidR="009100AE" w:rsidRPr="008D3BF2" w:rsidRDefault="009100AE" w:rsidP="002E6B2C">
            <w:pPr>
              <w:pStyle w:val="TableParagraph"/>
              <w:spacing w:line="240" w:lineRule="auto"/>
              <w:ind w:left="11"/>
            </w:pPr>
            <w:r w:rsidRPr="008D3BF2">
              <w:rPr>
                <w:spacing w:val="-4"/>
              </w:rPr>
              <w:t>3.95</w:t>
            </w:r>
          </w:p>
        </w:tc>
        <w:tc>
          <w:tcPr>
            <w:tcW w:w="988" w:type="dxa"/>
            <w:tcBorders>
              <w:top w:val="single" w:sz="4" w:space="0" w:color="000000"/>
              <w:left w:val="nil"/>
              <w:bottom w:val="single" w:sz="4" w:space="0" w:color="000000"/>
              <w:right w:val="single" w:sz="4" w:space="0" w:color="000000"/>
            </w:tcBorders>
            <w:hideMark/>
          </w:tcPr>
          <w:p w14:paraId="40D6E0CD" w14:textId="77777777" w:rsidR="009100AE" w:rsidRPr="008D3BF2" w:rsidRDefault="009100AE" w:rsidP="002E6B2C">
            <w:pPr>
              <w:pStyle w:val="TableParagraph"/>
              <w:spacing w:line="240" w:lineRule="auto"/>
              <w:ind w:left="12"/>
            </w:pPr>
            <w:r w:rsidRPr="008D3BF2">
              <w:rPr>
                <w:spacing w:val="-5"/>
              </w:rPr>
              <w:t>.40</w:t>
            </w:r>
          </w:p>
        </w:tc>
        <w:tc>
          <w:tcPr>
            <w:tcW w:w="838" w:type="dxa"/>
            <w:tcBorders>
              <w:top w:val="single" w:sz="4" w:space="0" w:color="000000"/>
              <w:left w:val="nil"/>
              <w:bottom w:val="single" w:sz="4" w:space="0" w:color="000000"/>
              <w:right w:val="single" w:sz="4" w:space="0" w:color="000000"/>
            </w:tcBorders>
            <w:hideMark/>
          </w:tcPr>
          <w:p w14:paraId="0E7AF52A" w14:textId="77777777" w:rsidR="009100AE" w:rsidRPr="008D3BF2" w:rsidRDefault="009100AE" w:rsidP="002E6B2C">
            <w:pPr>
              <w:pStyle w:val="TableParagraph"/>
              <w:spacing w:line="240" w:lineRule="auto"/>
              <w:ind w:left="11"/>
            </w:pPr>
            <w:r w:rsidRPr="008D3BF2">
              <w:rPr>
                <w:spacing w:val="-4"/>
              </w:rPr>
              <w:t>2.34</w:t>
            </w:r>
          </w:p>
        </w:tc>
        <w:tc>
          <w:tcPr>
            <w:tcW w:w="871" w:type="dxa"/>
            <w:tcBorders>
              <w:top w:val="single" w:sz="4" w:space="0" w:color="000000"/>
              <w:left w:val="nil"/>
              <w:bottom w:val="single" w:sz="4" w:space="0" w:color="000000"/>
              <w:right w:val="single" w:sz="4" w:space="0" w:color="000000"/>
            </w:tcBorders>
            <w:hideMark/>
          </w:tcPr>
          <w:p w14:paraId="1E1BF3D3" w14:textId="77777777" w:rsidR="009100AE" w:rsidRPr="008D3BF2" w:rsidRDefault="009100AE" w:rsidP="002E6B2C">
            <w:pPr>
              <w:pStyle w:val="TableParagraph"/>
              <w:spacing w:line="240" w:lineRule="auto"/>
              <w:ind w:left="15"/>
            </w:pPr>
            <w:r w:rsidRPr="008D3BF2">
              <w:rPr>
                <w:spacing w:val="-5"/>
              </w:rPr>
              <w:t>.16</w:t>
            </w:r>
          </w:p>
        </w:tc>
        <w:tc>
          <w:tcPr>
            <w:tcW w:w="861" w:type="dxa"/>
            <w:tcBorders>
              <w:top w:val="single" w:sz="4" w:space="0" w:color="000000"/>
              <w:left w:val="nil"/>
              <w:bottom w:val="single" w:sz="4" w:space="0" w:color="000000"/>
              <w:right w:val="single" w:sz="4" w:space="0" w:color="000000"/>
            </w:tcBorders>
            <w:hideMark/>
          </w:tcPr>
          <w:p w14:paraId="31659588" w14:textId="77777777" w:rsidR="009100AE" w:rsidRPr="008D3BF2" w:rsidRDefault="009100AE" w:rsidP="002E6B2C">
            <w:pPr>
              <w:pStyle w:val="TableParagraph"/>
              <w:spacing w:line="240" w:lineRule="auto"/>
              <w:ind w:left="14"/>
            </w:pPr>
            <w:r w:rsidRPr="008D3BF2">
              <w:rPr>
                <w:spacing w:val="-4"/>
              </w:rPr>
              <w:t>3.24</w:t>
            </w:r>
          </w:p>
        </w:tc>
        <w:tc>
          <w:tcPr>
            <w:tcW w:w="1785" w:type="dxa"/>
            <w:tcBorders>
              <w:top w:val="single" w:sz="4" w:space="0" w:color="000000"/>
              <w:left w:val="nil"/>
              <w:bottom w:val="single" w:sz="4" w:space="0" w:color="000000"/>
              <w:right w:val="single" w:sz="4" w:space="0" w:color="000000"/>
            </w:tcBorders>
            <w:hideMark/>
          </w:tcPr>
          <w:p w14:paraId="21265EDF" w14:textId="77777777" w:rsidR="009100AE" w:rsidRPr="008D3BF2" w:rsidRDefault="009100AE" w:rsidP="002E6B2C">
            <w:pPr>
              <w:pStyle w:val="TableParagraph"/>
              <w:spacing w:line="240" w:lineRule="auto"/>
              <w:ind w:left="18"/>
            </w:pPr>
            <w:r w:rsidRPr="008D3BF2">
              <w:rPr>
                <w:spacing w:val="-2"/>
              </w:rPr>
              <w:t>46.43</w:t>
            </w:r>
          </w:p>
        </w:tc>
      </w:tr>
      <w:tr w:rsidR="009100AE" w:rsidRPr="008D3BF2" w14:paraId="095C18E5" w14:textId="77777777" w:rsidTr="008D3BF2">
        <w:trPr>
          <w:trHeight w:val="186"/>
        </w:trPr>
        <w:tc>
          <w:tcPr>
            <w:tcW w:w="1273" w:type="dxa"/>
            <w:tcBorders>
              <w:top w:val="single" w:sz="4" w:space="0" w:color="000000"/>
              <w:left w:val="single" w:sz="4" w:space="0" w:color="000000"/>
              <w:bottom w:val="single" w:sz="4" w:space="0" w:color="000000"/>
              <w:right w:val="single" w:sz="4" w:space="0" w:color="000000"/>
            </w:tcBorders>
            <w:hideMark/>
          </w:tcPr>
          <w:p w14:paraId="50AEF783" w14:textId="77777777" w:rsidR="009100AE" w:rsidRPr="008D3BF2" w:rsidRDefault="009100AE" w:rsidP="002E6B2C">
            <w:pPr>
              <w:pStyle w:val="TableParagraph"/>
              <w:spacing w:before="1" w:beforeAutospacing="0" w:line="240" w:lineRule="auto"/>
              <w:ind w:left="9"/>
              <w:jc w:val="both"/>
            </w:pPr>
            <w:r w:rsidRPr="008D3BF2">
              <w:rPr>
                <w:spacing w:val="-2"/>
              </w:rPr>
              <w:t>Maximum</w:t>
            </w:r>
          </w:p>
        </w:tc>
        <w:tc>
          <w:tcPr>
            <w:tcW w:w="1486" w:type="dxa"/>
            <w:tcBorders>
              <w:top w:val="single" w:sz="4" w:space="0" w:color="000000"/>
              <w:left w:val="nil"/>
              <w:bottom w:val="single" w:sz="4" w:space="0" w:color="000000"/>
              <w:right w:val="single" w:sz="4" w:space="0" w:color="000000"/>
            </w:tcBorders>
            <w:hideMark/>
          </w:tcPr>
          <w:p w14:paraId="635A37ED" w14:textId="77777777" w:rsidR="009100AE" w:rsidRPr="008D3BF2" w:rsidRDefault="009100AE" w:rsidP="002E6B2C">
            <w:pPr>
              <w:pStyle w:val="TableParagraph"/>
              <w:spacing w:before="1" w:beforeAutospacing="0" w:line="240" w:lineRule="auto"/>
              <w:ind w:left="9"/>
            </w:pPr>
            <w:r w:rsidRPr="008D3BF2">
              <w:rPr>
                <w:spacing w:val="-2"/>
              </w:rPr>
              <w:t>16631.01</w:t>
            </w:r>
          </w:p>
        </w:tc>
        <w:tc>
          <w:tcPr>
            <w:tcW w:w="1000" w:type="dxa"/>
            <w:tcBorders>
              <w:top w:val="single" w:sz="4" w:space="0" w:color="000000"/>
              <w:left w:val="nil"/>
              <w:bottom w:val="single" w:sz="4" w:space="0" w:color="000000"/>
              <w:right w:val="single" w:sz="4" w:space="0" w:color="000000"/>
            </w:tcBorders>
            <w:hideMark/>
          </w:tcPr>
          <w:p w14:paraId="1720690D" w14:textId="77777777" w:rsidR="009100AE" w:rsidRPr="008D3BF2" w:rsidRDefault="009100AE" w:rsidP="002E6B2C">
            <w:pPr>
              <w:pStyle w:val="TableParagraph"/>
              <w:spacing w:before="1" w:beforeAutospacing="0" w:line="240" w:lineRule="auto"/>
            </w:pPr>
            <w:r w:rsidRPr="008D3BF2">
              <w:rPr>
                <w:spacing w:val="-2"/>
              </w:rPr>
              <w:t>14.12</w:t>
            </w:r>
          </w:p>
        </w:tc>
        <w:tc>
          <w:tcPr>
            <w:tcW w:w="988" w:type="dxa"/>
            <w:tcBorders>
              <w:top w:val="single" w:sz="4" w:space="0" w:color="000000"/>
              <w:left w:val="nil"/>
              <w:bottom w:val="single" w:sz="4" w:space="0" w:color="000000"/>
              <w:right w:val="single" w:sz="4" w:space="0" w:color="000000"/>
            </w:tcBorders>
            <w:hideMark/>
          </w:tcPr>
          <w:p w14:paraId="516AC50E" w14:textId="77777777" w:rsidR="009100AE" w:rsidRPr="008D3BF2" w:rsidRDefault="009100AE" w:rsidP="002E6B2C">
            <w:pPr>
              <w:pStyle w:val="TableParagraph"/>
              <w:spacing w:before="1" w:beforeAutospacing="0" w:line="240" w:lineRule="auto"/>
              <w:ind w:left="13"/>
            </w:pPr>
            <w:r w:rsidRPr="008D3BF2">
              <w:rPr>
                <w:spacing w:val="-4"/>
              </w:rPr>
              <w:t>5.73</w:t>
            </w:r>
          </w:p>
        </w:tc>
        <w:tc>
          <w:tcPr>
            <w:tcW w:w="838" w:type="dxa"/>
            <w:tcBorders>
              <w:top w:val="single" w:sz="4" w:space="0" w:color="000000"/>
              <w:left w:val="nil"/>
              <w:bottom w:val="single" w:sz="4" w:space="0" w:color="000000"/>
              <w:right w:val="single" w:sz="4" w:space="0" w:color="000000"/>
            </w:tcBorders>
            <w:hideMark/>
          </w:tcPr>
          <w:p w14:paraId="08167FCF" w14:textId="77777777" w:rsidR="009100AE" w:rsidRPr="008D3BF2" w:rsidRDefault="009100AE" w:rsidP="002E6B2C">
            <w:pPr>
              <w:pStyle w:val="TableParagraph"/>
              <w:spacing w:before="1" w:beforeAutospacing="0" w:line="240" w:lineRule="auto"/>
              <w:ind w:left="11"/>
            </w:pPr>
            <w:r w:rsidRPr="008D3BF2">
              <w:rPr>
                <w:spacing w:val="-4"/>
              </w:rPr>
              <w:t>2.93</w:t>
            </w:r>
          </w:p>
        </w:tc>
        <w:tc>
          <w:tcPr>
            <w:tcW w:w="871" w:type="dxa"/>
            <w:tcBorders>
              <w:top w:val="single" w:sz="4" w:space="0" w:color="000000"/>
              <w:left w:val="nil"/>
              <w:bottom w:val="single" w:sz="4" w:space="0" w:color="000000"/>
              <w:right w:val="single" w:sz="4" w:space="0" w:color="000000"/>
            </w:tcBorders>
            <w:hideMark/>
          </w:tcPr>
          <w:p w14:paraId="6231D3E1" w14:textId="77777777" w:rsidR="009100AE" w:rsidRPr="008D3BF2" w:rsidRDefault="009100AE" w:rsidP="002E6B2C">
            <w:pPr>
              <w:pStyle w:val="TableParagraph"/>
              <w:spacing w:before="1" w:beforeAutospacing="0" w:line="240" w:lineRule="auto"/>
              <w:ind w:left="15"/>
            </w:pPr>
            <w:r w:rsidRPr="008D3BF2">
              <w:rPr>
                <w:spacing w:val="-5"/>
              </w:rPr>
              <w:t>.99</w:t>
            </w:r>
          </w:p>
        </w:tc>
        <w:tc>
          <w:tcPr>
            <w:tcW w:w="861" w:type="dxa"/>
            <w:tcBorders>
              <w:top w:val="single" w:sz="4" w:space="0" w:color="000000"/>
              <w:left w:val="nil"/>
              <w:bottom w:val="single" w:sz="4" w:space="0" w:color="000000"/>
              <w:right w:val="single" w:sz="4" w:space="0" w:color="000000"/>
            </w:tcBorders>
            <w:hideMark/>
          </w:tcPr>
          <w:p w14:paraId="2C9A5AF9" w14:textId="77777777" w:rsidR="009100AE" w:rsidRPr="008D3BF2" w:rsidRDefault="009100AE" w:rsidP="002E6B2C">
            <w:pPr>
              <w:pStyle w:val="TableParagraph"/>
              <w:spacing w:before="1" w:beforeAutospacing="0" w:line="240" w:lineRule="auto"/>
              <w:ind w:left="15"/>
            </w:pPr>
            <w:r w:rsidRPr="008D3BF2">
              <w:rPr>
                <w:spacing w:val="-2"/>
              </w:rPr>
              <w:t>13.90</w:t>
            </w:r>
          </w:p>
        </w:tc>
        <w:tc>
          <w:tcPr>
            <w:tcW w:w="1785" w:type="dxa"/>
            <w:tcBorders>
              <w:top w:val="single" w:sz="4" w:space="0" w:color="000000"/>
              <w:left w:val="nil"/>
              <w:bottom w:val="single" w:sz="4" w:space="0" w:color="000000"/>
              <w:right w:val="single" w:sz="4" w:space="0" w:color="000000"/>
            </w:tcBorders>
            <w:hideMark/>
          </w:tcPr>
          <w:p w14:paraId="38A0BC14" w14:textId="77777777" w:rsidR="009100AE" w:rsidRPr="008D3BF2" w:rsidRDefault="009100AE" w:rsidP="002E6B2C">
            <w:pPr>
              <w:pStyle w:val="TableParagraph"/>
              <w:spacing w:before="1" w:beforeAutospacing="0" w:line="240" w:lineRule="auto"/>
              <w:ind w:left="18"/>
            </w:pPr>
            <w:r w:rsidRPr="008D3BF2">
              <w:rPr>
                <w:spacing w:val="-2"/>
              </w:rPr>
              <w:t>54.59</w:t>
            </w:r>
          </w:p>
        </w:tc>
      </w:tr>
    </w:tbl>
    <w:p w14:paraId="35E231E5" w14:textId="7FC5C075" w:rsidR="009100AE" w:rsidRPr="008D3BF2" w:rsidRDefault="009100AE" w:rsidP="002E6B2C">
      <w:pPr>
        <w:pStyle w:val="BodyText"/>
        <w:spacing w:before="11" w:beforeAutospacing="0" w:line="240" w:lineRule="auto"/>
        <w:jc w:val="both"/>
        <w:rPr>
          <w:sz w:val="22"/>
          <w:szCs w:val="22"/>
        </w:rPr>
      </w:pPr>
      <w:r w:rsidRPr="008D3BF2">
        <w:rPr>
          <w:sz w:val="22"/>
          <w:szCs w:val="22"/>
        </w:rPr>
        <w:t xml:space="preserve"> </w:t>
      </w:r>
      <w:r w:rsidRPr="008D3BF2">
        <w:rPr>
          <w:b/>
          <w:sz w:val="22"/>
          <w:szCs w:val="22"/>
        </w:rPr>
        <w:t>Source:</w:t>
      </w:r>
      <w:r w:rsidRPr="008D3BF2">
        <w:rPr>
          <w:spacing w:val="-1"/>
          <w:sz w:val="22"/>
          <w:szCs w:val="22"/>
        </w:rPr>
        <w:t xml:space="preserve"> PNB's annual reports from 2020-2021 to 2024-2025</w:t>
      </w:r>
    </w:p>
    <w:p w14:paraId="503BC0D6" w14:textId="1C71D2C1" w:rsidR="009100AE" w:rsidRPr="008D3BF2" w:rsidRDefault="009100AE" w:rsidP="002E6B2C">
      <w:pPr>
        <w:spacing w:line="240" w:lineRule="auto"/>
        <w:ind w:left="40"/>
        <w:jc w:val="both"/>
        <w:rPr>
          <w:rFonts w:ascii="Times New Roman" w:hAnsi="Times New Roman" w:cs="Times New Roman"/>
        </w:rPr>
      </w:pPr>
      <w:r w:rsidRPr="008D3BF2">
        <w:rPr>
          <w:rFonts w:ascii="Times New Roman" w:hAnsi="Times New Roman" w:cs="Times New Roman"/>
        </w:rPr>
        <w:t>The financial data for Oriental Bank of Commerce, United Bank of India (Amalgamating Banks), and Punjab National Bank (Amalgamated) are shown in Table 2. The Net Profit, Gross NPA to Gross Advance, Net NPA to Net Advance, Net Interest Margin, Return on Equity, Return on Assets, and Cost-to-Income ratio are examples of financial metrics. The PNB bank had negative net earnings before it acquired Oriental Bank of Commerce and United Bank of India. But as a result of the merger, the bank's average net profit is currently 6572.2820 Cr. However, since the merger, both the GNPA ratio and the NNPA ratio have dropped from 14.12 percent to 3.95 percent and 5.73 percent, respectively.40</w:t>
      </w:r>
      <w:proofErr w:type="gramStart"/>
      <w:r w:rsidRPr="008D3BF2">
        <w:rPr>
          <w:rFonts w:ascii="Times New Roman" w:hAnsi="Times New Roman" w:cs="Times New Roman"/>
        </w:rPr>
        <w:t>%.Following</w:t>
      </w:r>
      <w:proofErr w:type="gramEnd"/>
      <w:r w:rsidRPr="008D3BF2">
        <w:rPr>
          <w:rFonts w:ascii="Times New Roman" w:hAnsi="Times New Roman" w:cs="Times New Roman"/>
        </w:rPr>
        <w:t xml:space="preserve"> the merger, the net interest margin also increases, rising from 2.34 percent to 2.93 percent. Furthermore, the company's Return on Equity increases from 3.24% to 13.9% following the merger, while the Return on Assets increases from 1.6%.  The Cost-to-Income ratio peaked between 2024 and 2025. 54.59%, the lowest percentage in 2020–2021 (46.43%).   The combination also increases the bank's operational efficiency.  Consequently, the merger of Oriental Bank of Commerce and United Bank of India benefits PNB Bank.</w:t>
      </w:r>
    </w:p>
    <w:p w14:paraId="732E2C81" w14:textId="4D6E3737" w:rsidR="008D3BF2" w:rsidRPr="008D3BF2" w:rsidRDefault="002E6B2C" w:rsidP="008D3BF2">
      <w:pPr>
        <w:spacing w:after="0" w:line="240" w:lineRule="auto"/>
        <w:ind w:left="2" w:right="1"/>
        <w:jc w:val="center"/>
        <w:rPr>
          <w:rFonts w:ascii="Times New Roman" w:hAnsi="Times New Roman" w:cs="Times New Roman"/>
          <w:b/>
          <w:spacing w:val="-2"/>
        </w:rPr>
      </w:pPr>
      <w:r w:rsidRPr="008D3BF2">
        <w:rPr>
          <w:rFonts w:ascii="Times New Roman" w:hAnsi="Times New Roman" w:cs="Times New Roman"/>
          <w:b/>
        </w:rPr>
        <w:t xml:space="preserve">Table </w:t>
      </w:r>
      <w:proofErr w:type="gramStart"/>
      <w:r w:rsidRPr="008D3BF2">
        <w:rPr>
          <w:rFonts w:ascii="Times New Roman" w:hAnsi="Times New Roman" w:cs="Times New Roman"/>
          <w:b/>
        </w:rPr>
        <w:t>3:Hypothesis</w:t>
      </w:r>
      <w:proofErr w:type="gramEnd"/>
      <w:r w:rsidRPr="008D3BF2">
        <w:rPr>
          <w:rFonts w:ascii="Times New Roman" w:hAnsi="Times New Roman" w:cs="Times New Roman"/>
          <w:b/>
          <w:spacing w:val="-2"/>
        </w:rPr>
        <w:t xml:space="preserve"> </w:t>
      </w:r>
      <w:r w:rsidRPr="008D3BF2">
        <w:rPr>
          <w:rFonts w:ascii="Times New Roman" w:hAnsi="Times New Roman" w:cs="Times New Roman"/>
          <w:b/>
        </w:rPr>
        <w:t>Testing</w:t>
      </w:r>
      <w:r w:rsidRPr="008D3BF2">
        <w:rPr>
          <w:rFonts w:ascii="Times New Roman" w:hAnsi="Times New Roman" w:cs="Times New Roman"/>
          <w:b/>
          <w:spacing w:val="-2"/>
        </w:rPr>
        <w:t xml:space="preserve"> </w:t>
      </w:r>
      <w:r w:rsidRPr="008D3BF2">
        <w:rPr>
          <w:rFonts w:ascii="Times New Roman" w:hAnsi="Times New Roman" w:cs="Times New Roman"/>
          <w:b/>
        </w:rPr>
        <w:t>for</w:t>
      </w:r>
      <w:r w:rsidRPr="008D3BF2">
        <w:rPr>
          <w:rFonts w:ascii="Times New Roman" w:hAnsi="Times New Roman" w:cs="Times New Roman"/>
          <w:b/>
          <w:spacing w:val="-4"/>
        </w:rPr>
        <w:t xml:space="preserve"> </w:t>
      </w:r>
      <w:r w:rsidRPr="008D3BF2">
        <w:rPr>
          <w:rFonts w:ascii="Times New Roman" w:hAnsi="Times New Roman" w:cs="Times New Roman"/>
          <w:b/>
        </w:rPr>
        <w:t>Profitability,</w:t>
      </w:r>
      <w:r w:rsidRPr="008D3BF2">
        <w:rPr>
          <w:rFonts w:ascii="Times New Roman" w:hAnsi="Times New Roman" w:cs="Times New Roman"/>
          <w:b/>
          <w:spacing w:val="-3"/>
        </w:rPr>
        <w:t xml:space="preserve"> </w:t>
      </w:r>
      <w:r w:rsidRPr="008D3BF2">
        <w:rPr>
          <w:rFonts w:ascii="Times New Roman" w:hAnsi="Times New Roman" w:cs="Times New Roman"/>
          <w:b/>
        </w:rPr>
        <w:t>Asset</w:t>
      </w:r>
      <w:r w:rsidRPr="008D3BF2">
        <w:rPr>
          <w:rFonts w:ascii="Times New Roman" w:hAnsi="Times New Roman" w:cs="Times New Roman"/>
          <w:b/>
          <w:spacing w:val="-2"/>
        </w:rPr>
        <w:t xml:space="preserve"> </w:t>
      </w:r>
      <w:r w:rsidRPr="008D3BF2">
        <w:rPr>
          <w:rFonts w:ascii="Times New Roman" w:hAnsi="Times New Roman" w:cs="Times New Roman"/>
          <w:b/>
        </w:rPr>
        <w:t>Quality</w:t>
      </w:r>
      <w:r w:rsidRPr="008D3BF2">
        <w:rPr>
          <w:rFonts w:ascii="Times New Roman" w:hAnsi="Times New Roman" w:cs="Times New Roman"/>
          <w:b/>
          <w:spacing w:val="-2"/>
        </w:rPr>
        <w:t xml:space="preserve"> </w:t>
      </w:r>
      <w:r w:rsidRPr="008D3BF2">
        <w:rPr>
          <w:rFonts w:ascii="Times New Roman" w:hAnsi="Times New Roman" w:cs="Times New Roman"/>
          <w:b/>
        </w:rPr>
        <w:t>and</w:t>
      </w:r>
      <w:r w:rsidRPr="008D3BF2">
        <w:rPr>
          <w:rFonts w:ascii="Times New Roman" w:hAnsi="Times New Roman" w:cs="Times New Roman"/>
          <w:b/>
          <w:spacing w:val="-3"/>
        </w:rPr>
        <w:t xml:space="preserve"> </w:t>
      </w:r>
      <w:r w:rsidRPr="008D3BF2">
        <w:rPr>
          <w:rFonts w:ascii="Times New Roman" w:hAnsi="Times New Roman" w:cs="Times New Roman"/>
          <w:b/>
        </w:rPr>
        <w:t>Operational</w:t>
      </w:r>
      <w:r w:rsidRPr="008D3BF2">
        <w:rPr>
          <w:rFonts w:ascii="Times New Roman" w:hAnsi="Times New Roman" w:cs="Times New Roman"/>
          <w:b/>
          <w:spacing w:val="-3"/>
        </w:rPr>
        <w:t xml:space="preserve"> </w:t>
      </w:r>
      <w:r w:rsidRPr="008D3BF2">
        <w:rPr>
          <w:rFonts w:ascii="Times New Roman" w:hAnsi="Times New Roman" w:cs="Times New Roman"/>
          <w:b/>
        </w:rPr>
        <w:t>Efficiency</w:t>
      </w:r>
      <w:r w:rsidRPr="008D3BF2">
        <w:rPr>
          <w:rFonts w:ascii="Times New Roman" w:hAnsi="Times New Roman" w:cs="Times New Roman"/>
          <w:b/>
          <w:spacing w:val="-1"/>
        </w:rPr>
        <w:t xml:space="preserve"> </w:t>
      </w:r>
      <w:r w:rsidRPr="008D3BF2">
        <w:rPr>
          <w:rFonts w:ascii="Times New Roman" w:hAnsi="Times New Roman" w:cs="Times New Roman"/>
          <w:b/>
        </w:rPr>
        <w:t>(t-</w:t>
      </w:r>
      <w:r w:rsidRPr="008D3BF2">
        <w:rPr>
          <w:rFonts w:ascii="Times New Roman" w:hAnsi="Times New Roman" w:cs="Times New Roman"/>
          <w:b/>
          <w:spacing w:val="-2"/>
        </w:rPr>
        <w:t>test)</w:t>
      </w:r>
    </w:p>
    <w:tbl>
      <w:tblPr>
        <w:tblpPr w:leftFromText="180" w:rightFromText="180" w:vertAnchor="text" w:horzAnchor="margin" w:tblpXSpec="center" w:tblpY="268"/>
        <w:tblW w:w="9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01"/>
        <w:gridCol w:w="1528"/>
        <w:gridCol w:w="1400"/>
        <w:gridCol w:w="468"/>
        <w:gridCol w:w="973"/>
        <w:gridCol w:w="1745"/>
        <w:gridCol w:w="1155"/>
      </w:tblGrid>
      <w:tr w:rsidR="008D3BF2" w:rsidRPr="008D3BF2" w14:paraId="733028AC" w14:textId="77777777" w:rsidTr="008D3BF2">
        <w:trPr>
          <w:trHeight w:val="96"/>
        </w:trPr>
        <w:tc>
          <w:tcPr>
            <w:tcW w:w="2401" w:type="dxa"/>
            <w:tcBorders>
              <w:top w:val="single" w:sz="4" w:space="0" w:color="000000"/>
              <w:left w:val="single" w:sz="4" w:space="0" w:color="000000"/>
              <w:bottom w:val="single" w:sz="4" w:space="0" w:color="000000"/>
              <w:right w:val="single" w:sz="4" w:space="0" w:color="000000"/>
            </w:tcBorders>
            <w:hideMark/>
          </w:tcPr>
          <w:p w14:paraId="1DC00491" w14:textId="77777777" w:rsidR="008D3BF2" w:rsidRPr="008D3BF2" w:rsidRDefault="008D3BF2" w:rsidP="008D3BF2">
            <w:pPr>
              <w:pStyle w:val="TableParagraph"/>
              <w:spacing w:before="0" w:beforeAutospacing="0" w:after="0" w:line="360" w:lineRule="auto"/>
              <w:ind w:left="0"/>
              <w:rPr>
                <w:sz w:val="20"/>
                <w:szCs w:val="20"/>
              </w:rPr>
            </w:pPr>
            <w:r w:rsidRPr="008D3BF2">
              <w:rPr>
                <w:spacing w:val="-2"/>
                <w:sz w:val="20"/>
                <w:szCs w:val="20"/>
              </w:rPr>
              <w:t>Parameters</w:t>
            </w:r>
          </w:p>
        </w:tc>
        <w:tc>
          <w:tcPr>
            <w:tcW w:w="1528" w:type="dxa"/>
            <w:tcBorders>
              <w:top w:val="single" w:sz="4" w:space="0" w:color="000000"/>
              <w:left w:val="nil"/>
              <w:bottom w:val="single" w:sz="4" w:space="0" w:color="000000"/>
              <w:right w:val="single" w:sz="4" w:space="0" w:color="000000"/>
            </w:tcBorders>
            <w:hideMark/>
          </w:tcPr>
          <w:p w14:paraId="6A7BDF9A"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Duration</w:t>
            </w:r>
          </w:p>
        </w:tc>
        <w:tc>
          <w:tcPr>
            <w:tcW w:w="1400" w:type="dxa"/>
            <w:tcBorders>
              <w:top w:val="single" w:sz="4" w:space="0" w:color="000000"/>
              <w:left w:val="nil"/>
              <w:bottom w:val="single" w:sz="4" w:space="0" w:color="000000"/>
              <w:right w:val="single" w:sz="4" w:space="0" w:color="000000"/>
            </w:tcBorders>
            <w:hideMark/>
          </w:tcPr>
          <w:p w14:paraId="2D3E083D" w14:textId="77777777" w:rsidR="008D3BF2" w:rsidRPr="008D3BF2" w:rsidRDefault="008D3BF2" w:rsidP="008D3BF2">
            <w:pPr>
              <w:pStyle w:val="TableParagraph"/>
              <w:spacing w:before="0" w:beforeAutospacing="0" w:after="0" w:line="360" w:lineRule="auto"/>
              <w:ind w:left="6"/>
              <w:rPr>
                <w:sz w:val="20"/>
                <w:szCs w:val="20"/>
              </w:rPr>
            </w:pPr>
            <w:r w:rsidRPr="008D3BF2">
              <w:rPr>
                <w:spacing w:val="-4"/>
                <w:sz w:val="20"/>
                <w:szCs w:val="20"/>
              </w:rPr>
              <w:t>Mean</w:t>
            </w:r>
          </w:p>
        </w:tc>
        <w:tc>
          <w:tcPr>
            <w:tcW w:w="468" w:type="dxa"/>
            <w:tcBorders>
              <w:top w:val="single" w:sz="4" w:space="0" w:color="000000"/>
              <w:left w:val="nil"/>
              <w:bottom w:val="single" w:sz="4" w:space="0" w:color="000000"/>
              <w:right w:val="single" w:sz="4" w:space="0" w:color="000000"/>
            </w:tcBorders>
            <w:hideMark/>
          </w:tcPr>
          <w:p w14:paraId="3FCED836" w14:textId="77777777" w:rsidR="008D3BF2" w:rsidRPr="008D3BF2" w:rsidRDefault="008D3BF2" w:rsidP="008D3BF2">
            <w:pPr>
              <w:pStyle w:val="TableParagraph"/>
              <w:spacing w:before="0" w:beforeAutospacing="0" w:after="0" w:line="360" w:lineRule="auto"/>
              <w:ind w:left="72"/>
              <w:rPr>
                <w:sz w:val="20"/>
                <w:szCs w:val="20"/>
              </w:rPr>
            </w:pPr>
            <w:r w:rsidRPr="008D3BF2">
              <w:rPr>
                <w:spacing w:val="-5"/>
                <w:sz w:val="20"/>
                <w:szCs w:val="20"/>
              </w:rPr>
              <w:t>df</w:t>
            </w:r>
          </w:p>
        </w:tc>
        <w:tc>
          <w:tcPr>
            <w:tcW w:w="973" w:type="dxa"/>
            <w:tcBorders>
              <w:top w:val="single" w:sz="4" w:space="0" w:color="000000"/>
              <w:left w:val="nil"/>
              <w:bottom w:val="single" w:sz="4" w:space="0" w:color="000000"/>
              <w:right w:val="single" w:sz="4" w:space="0" w:color="000000"/>
            </w:tcBorders>
            <w:hideMark/>
          </w:tcPr>
          <w:p w14:paraId="7D497777" w14:textId="77777777" w:rsidR="008D3BF2" w:rsidRPr="008D3BF2" w:rsidRDefault="008D3BF2" w:rsidP="008D3BF2">
            <w:pPr>
              <w:pStyle w:val="TableParagraph"/>
              <w:spacing w:before="0" w:beforeAutospacing="0" w:after="0" w:line="360" w:lineRule="auto"/>
              <w:ind w:left="222"/>
              <w:rPr>
                <w:sz w:val="20"/>
                <w:szCs w:val="20"/>
              </w:rPr>
            </w:pPr>
            <w:r w:rsidRPr="008D3BF2">
              <w:rPr>
                <w:sz w:val="20"/>
                <w:szCs w:val="20"/>
              </w:rPr>
              <w:t>t-</w:t>
            </w:r>
            <w:r w:rsidRPr="008D3BF2">
              <w:rPr>
                <w:spacing w:val="-2"/>
                <w:sz w:val="20"/>
                <w:szCs w:val="20"/>
              </w:rPr>
              <w:t>value</w:t>
            </w:r>
          </w:p>
        </w:tc>
        <w:tc>
          <w:tcPr>
            <w:tcW w:w="1745" w:type="dxa"/>
            <w:tcBorders>
              <w:top w:val="single" w:sz="4" w:space="0" w:color="000000"/>
              <w:left w:val="nil"/>
              <w:bottom w:val="single" w:sz="4" w:space="0" w:color="000000"/>
              <w:right w:val="single" w:sz="4" w:space="0" w:color="000000"/>
            </w:tcBorders>
            <w:hideMark/>
          </w:tcPr>
          <w:p w14:paraId="067906FF" w14:textId="77777777" w:rsidR="008D3BF2" w:rsidRPr="008D3BF2" w:rsidRDefault="008D3BF2" w:rsidP="008D3BF2">
            <w:pPr>
              <w:pStyle w:val="TableParagraph"/>
              <w:spacing w:before="0" w:beforeAutospacing="0" w:after="0" w:line="360" w:lineRule="auto"/>
              <w:ind w:left="426"/>
              <w:rPr>
                <w:sz w:val="20"/>
                <w:szCs w:val="20"/>
              </w:rPr>
            </w:pPr>
            <w:r w:rsidRPr="008D3BF2">
              <w:rPr>
                <w:sz w:val="20"/>
                <w:szCs w:val="20"/>
              </w:rPr>
              <w:t>Sig.</w:t>
            </w:r>
            <w:r w:rsidRPr="008D3BF2">
              <w:rPr>
                <w:spacing w:val="-2"/>
                <w:sz w:val="20"/>
                <w:szCs w:val="20"/>
              </w:rPr>
              <w:t xml:space="preserve"> </w:t>
            </w:r>
            <w:r w:rsidRPr="008D3BF2">
              <w:rPr>
                <w:sz w:val="20"/>
                <w:szCs w:val="20"/>
              </w:rPr>
              <w:t>(2-</w:t>
            </w:r>
            <w:r w:rsidRPr="008D3BF2">
              <w:rPr>
                <w:spacing w:val="-2"/>
                <w:sz w:val="20"/>
                <w:szCs w:val="20"/>
              </w:rPr>
              <w:t>tailed)</w:t>
            </w:r>
          </w:p>
        </w:tc>
        <w:tc>
          <w:tcPr>
            <w:tcW w:w="1155" w:type="dxa"/>
            <w:tcBorders>
              <w:top w:val="single" w:sz="4" w:space="0" w:color="000000"/>
              <w:left w:val="nil"/>
              <w:bottom w:val="single" w:sz="4" w:space="0" w:color="000000"/>
              <w:right w:val="single" w:sz="4" w:space="0" w:color="000000"/>
            </w:tcBorders>
            <w:hideMark/>
          </w:tcPr>
          <w:p w14:paraId="6C0E145D" w14:textId="77777777" w:rsidR="008D3BF2" w:rsidRPr="008D3BF2" w:rsidRDefault="008D3BF2" w:rsidP="008D3BF2">
            <w:pPr>
              <w:pStyle w:val="TableParagraph"/>
              <w:spacing w:before="0" w:beforeAutospacing="0" w:after="0" w:line="360" w:lineRule="auto"/>
              <w:ind w:left="6"/>
              <w:jc w:val="both"/>
              <w:rPr>
                <w:sz w:val="20"/>
                <w:szCs w:val="20"/>
              </w:rPr>
            </w:pPr>
            <w:r w:rsidRPr="008D3BF2">
              <w:rPr>
                <w:spacing w:val="-4"/>
                <w:sz w:val="20"/>
                <w:szCs w:val="20"/>
              </w:rPr>
              <w:t>Null</w:t>
            </w:r>
          </w:p>
        </w:tc>
      </w:tr>
      <w:tr w:rsidR="008D3BF2" w:rsidRPr="008D3BF2" w14:paraId="1BE81FA8" w14:textId="77777777" w:rsidTr="008D3BF2">
        <w:trPr>
          <w:trHeight w:val="96"/>
        </w:trPr>
        <w:tc>
          <w:tcPr>
            <w:tcW w:w="2401" w:type="dxa"/>
            <w:vMerge w:val="restart"/>
            <w:tcBorders>
              <w:top w:val="nil"/>
              <w:left w:val="single" w:sz="4" w:space="0" w:color="000000"/>
              <w:bottom w:val="single" w:sz="4" w:space="0" w:color="000000"/>
              <w:right w:val="single" w:sz="4" w:space="0" w:color="000000"/>
            </w:tcBorders>
            <w:hideMark/>
          </w:tcPr>
          <w:p w14:paraId="1995361D" w14:textId="77777777" w:rsidR="008D3BF2" w:rsidRPr="008D3BF2" w:rsidRDefault="008D3BF2" w:rsidP="008D3BF2">
            <w:pPr>
              <w:pStyle w:val="TableParagraph"/>
              <w:spacing w:before="0" w:beforeAutospacing="0" w:after="0" w:line="360" w:lineRule="auto"/>
              <w:ind w:left="682"/>
              <w:jc w:val="both"/>
              <w:rPr>
                <w:sz w:val="20"/>
                <w:szCs w:val="20"/>
              </w:rPr>
            </w:pPr>
            <w:r w:rsidRPr="008D3BF2">
              <w:rPr>
                <w:sz w:val="20"/>
                <w:szCs w:val="20"/>
              </w:rPr>
              <w:t>Return on</w:t>
            </w:r>
            <w:r w:rsidRPr="008D3BF2">
              <w:rPr>
                <w:spacing w:val="-1"/>
                <w:sz w:val="20"/>
                <w:szCs w:val="20"/>
              </w:rPr>
              <w:t xml:space="preserve"> </w:t>
            </w:r>
            <w:r w:rsidRPr="008D3BF2">
              <w:rPr>
                <w:spacing w:val="-2"/>
                <w:sz w:val="20"/>
                <w:szCs w:val="20"/>
              </w:rPr>
              <w:t>Assets</w:t>
            </w:r>
          </w:p>
        </w:tc>
        <w:tc>
          <w:tcPr>
            <w:tcW w:w="1528" w:type="dxa"/>
            <w:tcBorders>
              <w:top w:val="single" w:sz="4" w:space="0" w:color="000000"/>
              <w:left w:val="nil"/>
              <w:bottom w:val="single" w:sz="4" w:space="0" w:color="000000"/>
              <w:right w:val="single" w:sz="4" w:space="0" w:color="000000"/>
            </w:tcBorders>
            <w:hideMark/>
          </w:tcPr>
          <w:p w14:paraId="0C49B21B"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Pre-Merger</w:t>
            </w:r>
          </w:p>
        </w:tc>
        <w:tc>
          <w:tcPr>
            <w:tcW w:w="1400" w:type="dxa"/>
            <w:tcBorders>
              <w:top w:val="single" w:sz="4" w:space="0" w:color="000000"/>
              <w:left w:val="nil"/>
              <w:bottom w:val="single" w:sz="4" w:space="0" w:color="000000"/>
              <w:right w:val="single" w:sz="4" w:space="0" w:color="000000"/>
            </w:tcBorders>
            <w:hideMark/>
          </w:tcPr>
          <w:p w14:paraId="024278CC" w14:textId="77777777" w:rsidR="008D3BF2" w:rsidRPr="008D3BF2" w:rsidRDefault="008D3BF2" w:rsidP="008D3BF2">
            <w:pPr>
              <w:pStyle w:val="TableParagraph"/>
              <w:spacing w:before="0" w:beforeAutospacing="0" w:after="0" w:line="360" w:lineRule="auto"/>
              <w:ind w:left="6"/>
              <w:rPr>
                <w:sz w:val="20"/>
                <w:szCs w:val="20"/>
              </w:rPr>
            </w:pPr>
            <w:r w:rsidRPr="008D3BF2">
              <w:rPr>
                <w:sz w:val="20"/>
                <w:szCs w:val="20"/>
              </w:rPr>
              <w:t>-</w:t>
            </w:r>
            <w:r w:rsidRPr="008D3BF2">
              <w:rPr>
                <w:spacing w:val="-2"/>
                <w:sz w:val="20"/>
                <w:szCs w:val="20"/>
              </w:rPr>
              <w:t>.6160</w:t>
            </w:r>
          </w:p>
        </w:tc>
        <w:tc>
          <w:tcPr>
            <w:tcW w:w="468" w:type="dxa"/>
            <w:vMerge w:val="restart"/>
            <w:tcBorders>
              <w:top w:val="nil"/>
              <w:left w:val="nil"/>
              <w:bottom w:val="single" w:sz="4" w:space="0" w:color="000000"/>
              <w:right w:val="single" w:sz="4" w:space="0" w:color="000000"/>
            </w:tcBorders>
            <w:hideMark/>
          </w:tcPr>
          <w:p w14:paraId="4B20EC6C" w14:textId="77777777" w:rsidR="008D3BF2" w:rsidRPr="008D3BF2" w:rsidRDefault="008D3BF2" w:rsidP="008D3BF2">
            <w:pPr>
              <w:pStyle w:val="TableParagraph"/>
              <w:spacing w:before="0" w:beforeAutospacing="0" w:after="0" w:line="360" w:lineRule="auto"/>
              <w:ind w:left="3"/>
              <w:rPr>
                <w:sz w:val="20"/>
                <w:szCs w:val="20"/>
              </w:rPr>
            </w:pPr>
            <w:r w:rsidRPr="008D3BF2">
              <w:rPr>
                <w:spacing w:val="-10"/>
                <w:sz w:val="20"/>
                <w:szCs w:val="20"/>
              </w:rPr>
              <w:t>4</w:t>
            </w:r>
          </w:p>
        </w:tc>
        <w:tc>
          <w:tcPr>
            <w:tcW w:w="973" w:type="dxa"/>
            <w:vMerge w:val="restart"/>
            <w:tcBorders>
              <w:top w:val="nil"/>
              <w:left w:val="nil"/>
              <w:bottom w:val="single" w:sz="4" w:space="0" w:color="000000"/>
              <w:right w:val="single" w:sz="4" w:space="0" w:color="000000"/>
            </w:tcBorders>
            <w:hideMark/>
          </w:tcPr>
          <w:p w14:paraId="491ABB8F" w14:textId="77777777" w:rsidR="008D3BF2" w:rsidRPr="008D3BF2" w:rsidRDefault="008D3BF2" w:rsidP="008D3BF2">
            <w:pPr>
              <w:pStyle w:val="TableParagraph"/>
              <w:spacing w:before="0" w:beforeAutospacing="0" w:after="0" w:line="360" w:lineRule="auto"/>
              <w:ind w:left="254"/>
              <w:rPr>
                <w:sz w:val="20"/>
                <w:szCs w:val="20"/>
              </w:rPr>
            </w:pPr>
            <w:r w:rsidRPr="008D3BF2">
              <w:rPr>
                <w:sz w:val="20"/>
                <w:szCs w:val="20"/>
              </w:rPr>
              <w:t>-</w:t>
            </w:r>
            <w:r w:rsidRPr="008D3BF2">
              <w:rPr>
                <w:spacing w:val="-2"/>
                <w:sz w:val="20"/>
                <w:szCs w:val="20"/>
              </w:rPr>
              <w:t>3.270</w:t>
            </w:r>
          </w:p>
        </w:tc>
        <w:tc>
          <w:tcPr>
            <w:tcW w:w="1745" w:type="dxa"/>
            <w:vMerge w:val="restart"/>
            <w:tcBorders>
              <w:top w:val="nil"/>
              <w:left w:val="nil"/>
              <w:bottom w:val="single" w:sz="4" w:space="0" w:color="000000"/>
              <w:right w:val="single" w:sz="4" w:space="0" w:color="000000"/>
            </w:tcBorders>
            <w:hideMark/>
          </w:tcPr>
          <w:p w14:paraId="219A4301" w14:textId="77777777" w:rsidR="008D3BF2" w:rsidRPr="008D3BF2" w:rsidRDefault="008D3BF2" w:rsidP="008D3BF2">
            <w:pPr>
              <w:pStyle w:val="TableParagraph"/>
              <w:spacing w:before="0" w:beforeAutospacing="0" w:after="0" w:line="360" w:lineRule="auto"/>
              <w:ind w:left="7"/>
              <w:rPr>
                <w:sz w:val="20"/>
                <w:szCs w:val="20"/>
              </w:rPr>
            </w:pPr>
            <w:r w:rsidRPr="008D3BF2">
              <w:rPr>
                <w:spacing w:val="-4"/>
                <w:sz w:val="20"/>
                <w:szCs w:val="20"/>
              </w:rPr>
              <w:t>.031</w:t>
            </w:r>
          </w:p>
        </w:tc>
        <w:tc>
          <w:tcPr>
            <w:tcW w:w="1155" w:type="dxa"/>
            <w:vMerge w:val="restart"/>
            <w:tcBorders>
              <w:top w:val="nil"/>
              <w:left w:val="nil"/>
              <w:bottom w:val="single" w:sz="4" w:space="0" w:color="000000"/>
              <w:right w:val="single" w:sz="4" w:space="0" w:color="000000"/>
            </w:tcBorders>
            <w:hideMark/>
          </w:tcPr>
          <w:p w14:paraId="36093FFA" w14:textId="77777777" w:rsidR="008D3BF2" w:rsidRPr="008D3BF2" w:rsidRDefault="008D3BF2" w:rsidP="008D3BF2">
            <w:pPr>
              <w:pStyle w:val="TableParagraph"/>
              <w:spacing w:before="0" w:beforeAutospacing="0" w:after="0" w:line="360" w:lineRule="auto"/>
              <w:ind w:left="332"/>
              <w:rPr>
                <w:sz w:val="20"/>
                <w:szCs w:val="20"/>
              </w:rPr>
            </w:pPr>
            <w:r w:rsidRPr="008D3BF2">
              <w:rPr>
                <w:spacing w:val="-2"/>
                <w:sz w:val="20"/>
                <w:szCs w:val="20"/>
              </w:rPr>
              <w:t>Rejected</w:t>
            </w:r>
          </w:p>
        </w:tc>
      </w:tr>
      <w:tr w:rsidR="008D3BF2" w:rsidRPr="008D3BF2" w14:paraId="5F0B5BF0" w14:textId="77777777" w:rsidTr="008D3BF2">
        <w:trPr>
          <w:trHeight w:val="96"/>
        </w:trPr>
        <w:tc>
          <w:tcPr>
            <w:tcW w:w="2401" w:type="dxa"/>
            <w:vMerge/>
            <w:tcBorders>
              <w:top w:val="nil"/>
              <w:left w:val="single" w:sz="4" w:space="0" w:color="000000"/>
              <w:bottom w:val="single" w:sz="4" w:space="0" w:color="000000"/>
              <w:right w:val="single" w:sz="4" w:space="0" w:color="000000"/>
            </w:tcBorders>
            <w:vAlign w:val="center"/>
            <w:hideMark/>
          </w:tcPr>
          <w:p w14:paraId="33132E99" w14:textId="77777777" w:rsidR="008D3BF2" w:rsidRPr="008D3BF2" w:rsidRDefault="008D3BF2" w:rsidP="008D3BF2">
            <w:pPr>
              <w:spacing w:after="0" w:line="360" w:lineRule="auto"/>
              <w:jc w:val="both"/>
              <w:rPr>
                <w:rFonts w:ascii="Times New Roman" w:hAnsi="Times New Roman" w:cs="Times New Roman"/>
                <w:sz w:val="20"/>
                <w:szCs w:val="20"/>
              </w:rPr>
            </w:pPr>
          </w:p>
        </w:tc>
        <w:tc>
          <w:tcPr>
            <w:tcW w:w="1528" w:type="dxa"/>
            <w:tcBorders>
              <w:top w:val="single" w:sz="4" w:space="0" w:color="000000"/>
              <w:left w:val="nil"/>
              <w:bottom w:val="single" w:sz="4" w:space="0" w:color="000000"/>
              <w:right w:val="single" w:sz="4" w:space="0" w:color="000000"/>
            </w:tcBorders>
            <w:hideMark/>
          </w:tcPr>
          <w:p w14:paraId="01EF70C3"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Post-Merger</w:t>
            </w:r>
          </w:p>
        </w:tc>
        <w:tc>
          <w:tcPr>
            <w:tcW w:w="1400" w:type="dxa"/>
            <w:tcBorders>
              <w:top w:val="single" w:sz="4" w:space="0" w:color="000000"/>
              <w:left w:val="nil"/>
              <w:bottom w:val="single" w:sz="4" w:space="0" w:color="000000"/>
              <w:right w:val="single" w:sz="4" w:space="0" w:color="000000"/>
            </w:tcBorders>
            <w:hideMark/>
          </w:tcPr>
          <w:p w14:paraId="59C59FC3"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.4300</w:t>
            </w:r>
          </w:p>
        </w:tc>
        <w:tc>
          <w:tcPr>
            <w:tcW w:w="468" w:type="dxa"/>
            <w:vMerge/>
            <w:tcBorders>
              <w:top w:val="nil"/>
              <w:left w:val="nil"/>
              <w:bottom w:val="single" w:sz="4" w:space="0" w:color="000000"/>
              <w:right w:val="single" w:sz="4" w:space="0" w:color="000000"/>
            </w:tcBorders>
            <w:vAlign w:val="center"/>
            <w:hideMark/>
          </w:tcPr>
          <w:p w14:paraId="0D8EDB28"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973" w:type="dxa"/>
            <w:vMerge/>
            <w:tcBorders>
              <w:top w:val="nil"/>
              <w:left w:val="nil"/>
              <w:bottom w:val="single" w:sz="4" w:space="0" w:color="000000"/>
              <w:right w:val="single" w:sz="4" w:space="0" w:color="000000"/>
            </w:tcBorders>
            <w:vAlign w:val="center"/>
            <w:hideMark/>
          </w:tcPr>
          <w:p w14:paraId="3C7A3372"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745" w:type="dxa"/>
            <w:vMerge/>
            <w:tcBorders>
              <w:top w:val="nil"/>
              <w:left w:val="nil"/>
              <w:bottom w:val="single" w:sz="4" w:space="0" w:color="000000"/>
              <w:right w:val="single" w:sz="4" w:space="0" w:color="000000"/>
            </w:tcBorders>
            <w:vAlign w:val="center"/>
            <w:hideMark/>
          </w:tcPr>
          <w:p w14:paraId="371472CF"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155" w:type="dxa"/>
            <w:vMerge/>
            <w:tcBorders>
              <w:top w:val="nil"/>
              <w:left w:val="nil"/>
              <w:bottom w:val="single" w:sz="4" w:space="0" w:color="000000"/>
              <w:right w:val="single" w:sz="4" w:space="0" w:color="000000"/>
            </w:tcBorders>
            <w:vAlign w:val="center"/>
            <w:hideMark/>
          </w:tcPr>
          <w:p w14:paraId="2685333C" w14:textId="77777777" w:rsidR="008D3BF2" w:rsidRPr="008D3BF2" w:rsidRDefault="008D3BF2" w:rsidP="008D3BF2">
            <w:pPr>
              <w:spacing w:after="0" w:line="360" w:lineRule="auto"/>
              <w:jc w:val="center"/>
              <w:rPr>
                <w:rFonts w:ascii="Times New Roman" w:hAnsi="Times New Roman" w:cs="Times New Roman"/>
                <w:sz w:val="20"/>
                <w:szCs w:val="20"/>
              </w:rPr>
            </w:pPr>
          </w:p>
        </w:tc>
      </w:tr>
      <w:tr w:rsidR="008D3BF2" w:rsidRPr="008D3BF2" w14:paraId="02A58038" w14:textId="77777777" w:rsidTr="008D3BF2">
        <w:trPr>
          <w:trHeight w:val="96"/>
        </w:trPr>
        <w:tc>
          <w:tcPr>
            <w:tcW w:w="2401" w:type="dxa"/>
            <w:vMerge w:val="restart"/>
            <w:tcBorders>
              <w:top w:val="nil"/>
              <w:left w:val="single" w:sz="4" w:space="0" w:color="000000"/>
              <w:bottom w:val="single" w:sz="4" w:space="0" w:color="000000"/>
              <w:right w:val="single" w:sz="4" w:space="0" w:color="000000"/>
            </w:tcBorders>
            <w:hideMark/>
          </w:tcPr>
          <w:p w14:paraId="51D2E98B" w14:textId="77777777" w:rsidR="008D3BF2" w:rsidRPr="008D3BF2" w:rsidRDefault="008D3BF2" w:rsidP="008D3BF2">
            <w:pPr>
              <w:pStyle w:val="TableParagraph"/>
              <w:spacing w:before="0" w:beforeAutospacing="0" w:after="0" w:line="360" w:lineRule="auto"/>
              <w:ind w:left="677"/>
              <w:jc w:val="both"/>
              <w:rPr>
                <w:sz w:val="20"/>
                <w:szCs w:val="20"/>
              </w:rPr>
            </w:pPr>
            <w:r w:rsidRPr="008D3BF2">
              <w:rPr>
                <w:sz w:val="20"/>
                <w:szCs w:val="20"/>
              </w:rPr>
              <w:t>Return on</w:t>
            </w:r>
            <w:r w:rsidRPr="008D3BF2">
              <w:rPr>
                <w:spacing w:val="-1"/>
                <w:sz w:val="20"/>
                <w:szCs w:val="20"/>
              </w:rPr>
              <w:t xml:space="preserve"> </w:t>
            </w:r>
            <w:r w:rsidRPr="008D3BF2">
              <w:rPr>
                <w:spacing w:val="-2"/>
                <w:sz w:val="20"/>
                <w:szCs w:val="20"/>
              </w:rPr>
              <w:t>Equity</w:t>
            </w:r>
          </w:p>
        </w:tc>
        <w:tc>
          <w:tcPr>
            <w:tcW w:w="1528" w:type="dxa"/>
            <w:tcBorders>
              <w:top w:val="single" w:sz="4" w:space="0" w:color="000000"/>
              <w:left w:val="nil"/>
              <w:bottom w:val="single" w:sz="4" w:space="0" w:color="000000"/>
              <w:right w:val="single" w:sz="4" w:space="0" w:color="000000"/>
            </w:tcBorders>
            <w:hideMark/>
          </w:tcPr>
          <w:p w14:paraId="23564DCB"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Pre-Merger</w:t>
            </w:r>
          </w:p>
        </w:tc>
        <w:tc>
          <w:tcPr>
            <w:tcW w:w="1400" w:type="dxa"/>
            <w:tcBorders>
              <w:top w:val="single" w:sz="4" w:space="0" w:color="000000"/>
              <w:left w:val="nil"/>
              <w:bottom w:val="single" w:sz="4" w:space="0" w:color="000000"/>
              <w:right w:val="single" w:sz="4" w:space="0" w:color="000000"/>
            </w:tcBorders>
            <w:hideMark/>
          </w:tcPr>
          <w:p w14:paraId="40F3257C" w14:textId="77777777" w:rsidR="008D3BF2" w:rsidRPr="008D3BF2" w:rsidRDefault="008D3BF2" w:rsidP="008D3BF2">
            <w:pPr>
              <w:pStyle w:val="TableParagraph"/>
              <w:spacing w:before="0" w:beforeAutospacing="0" w:after="0" w:line="360" w:lineRule="auto"/>
              <w:ind w:left="6"/>
              <w:rPr>
                <w:sz w:val="20"/>
                <w:szCs w:val="20"/>
              </w:rPr>
            </w:pPr>
            <w:r w:rsidRPr="008D3BF2">
              <w:rPr>
                <w:sz w:val="20"/>
                <w:szCs w:val="20"/>
              </w:rPr>
              <w:t>-</w:t>
            </w:r>
            <w:r w:rsidRPr="008D3BF2">
              <w:rPr>
                <w:spacing w:val="-2"/>
                <w:sz w:val="20"/>
                <w:szCs w:val="20"/>
              </w:rPr>
              <w:t>10.9920</w:t>
            </w:r>
          </w:p>
        </w:tc>
        <w:tc>
          <w:tcPr>
            <w:tcW w:w="468" w:type="dxa"/>
            <w:vMerge w:val="restart"/>
            <w:tcBorders>
              <w:top w:val="nil"/>
              <w:left w:val="nil"/>
              <w:bottom w:val="single" w:sz="4" w:space="0" w:color="000000"/>
              <w:right w:val="single" w:sz="4" w:space="0" w:color="000000"/>
            </w:tcBorders>
            <w:hideMark/>
          </w:tcPr>
          <w:p w14:paraId="4AF1DD7D" w14:textId="77777777" w:rsidR="008D3BF2" w:rsidRPr="008D3BF2" w:rsidRDefault="008D3BF2" w:rsidP="008D3BF2">
            <w:pPr>
              <w:pStyle w:val="TableParagraph"/>
              <w:spacing w:before="0" w:beforeAutospacing="0" w:after="0" w:line="360" w:lineRule="auto"/>
              <w:ind w:left="3"/>
              <w:rPr>
                <w:sz w:val="20"/>
                <w:szCs w:val="20"/>
              </w:rPr>
            </w:pPr>
            <w:r w:rsidRPr="008D3BF2">
              <w:rPr>
                <w:spacing w:val="-10"/>
                <w:sz w:val="20"/>
                <w:szCs w:val="20"/>
              </w:rPr>
              <w:t>4</w:t>
            </w:r>
          </w:p>
        </w:tc>
        <w:tc>
          <w:tcPr>
            <w:tcW w:w="973" w:type="dxa"/>
            <w:vMerge w:val="restart"/>
            <w:tcBorders>
              <w:top w:val="nil"/>
              <w:left w:val="nil"/>
              <w:bottom w:val="single" w:sz="4" w:space="0" w:color="000000"/>
              <w:right w:val="single" w:sz="4" w:space="0" w:color="000000"/>
            </w:tcBorders>
            <w:hideMark/>
          </w:tcPr>
          <w:p w14:paraId="3BCADD47" w14:textId="77777777" w:rsidR="008D3BF2" w:rsidRPr="008D3BF2" w:rsidRDefault="008D3BF2" w:rsidP="008D3BF2">
            <w:pPr>
              <w:pStyle w:val="TableParagraph"/>
              <w:spacing w:before="0" w:beforeAutospacing="0" w:after="0" w:line="360" w:lineRule="auto"/>
              <w:ind w:left="254"/>
              <w:rPr>
                <w:sz w:val="20"/>
                <w:szCs w:val="20"/>
              </w:rPr>
            </w:pPr>
            <w:r w:rsidRPr="008D3BF2">
              <w:rPr>
                <w:sz w:val="20"/>
                <w:szCs w:val="20"/>
              </w:rPr>
              <w:t>-</w:t>
            </w:r>
            <w:r w:rsidRPr="008D3BF2">
              <w:rPr>
                <w:spacing w:val="-2"/>
                <w:sz w:val="20"/>
                <w:szCs w:val="20"/>
              </w:rPr>
              <w:t>3.070</w:t>
            </w:r>
          </w:p>
        </w:tc>
        <w:tc>
          <w:tcPr>
            <w:tcW w:w="1745" w:type="dxa"/>
            <w:vMerge w:val="restart"/>
            <w:tcBorders>
              <w:top w:val="nil"/>
              <w:left w:val="nil"/>
              <w:bottom w:val="single" w:sz="4" w:space="0" w:color="000000"/>
              <w:right w:val="single" w:sz="4" w:space="0" w:color="000000"/>
            </w:tcBorders>
            <w:hideMark/>
          </w:tcPr>
          <w:p w14:paraId="7097B09A" w14:textId="77777777" w:rsidR="008D3BF2" w:rsidRPr="008D3BF2" w:rsidRDefault="008D3BF2" w:rsidP="008D3BF2">
            <w:pPr>
              <w:pStyle w:val="TableParagraph"/>
              <w:spacing w:before="0" w:beforeAutospacing="0" w:after="0" w:line="360" w:lineRule="auto"/>
              <w:ind w:left="7"/>
              <w:rPr>
                <w:sz w:val="20"/>
                <w:szCs w:val="20"/>
              </w:rPr>
            </w:pPr>
            <w:r w:rsidRPr="008D3BF2">
              <w:rPr>
                <w:spacing w:val="-4"/>
                <w:sz w:val="20"/>
                <w:szCs w:val="20"/>
              </w:rPr>
              <w:t>.037</w:t>
            </w:r>
          </w:p>
        </w:tc>
        <w:tc>
          <w:tcPr>
            <w:tcW w:w="1155" w:type="dxa"/>
            <w:vMerge w:val="restart"/>
            <w:tcBorders>
              <w:top w:val="nil"/>
              <w:left w:val="nil"/>
              <w:bottom w:val="single" w:sz="4" w:space="0" w:color="000000"/>
              <w:right w:val="single" w:sz="4" w:space="0" w:color="000000"/>
            </w:tcBorders>
            <w:hideMark/>
          </w:tcPr>
          <w:p w14:paraId="065EEC8D" w14:textId="77777777" w:rsidR="008D3BF2" w:rsidRPr="008D3BF2" w:rsidRDefault="008D3BF2" w:rsidP="008D3BF2">
            <w:pPr>
              <w:pStyle w:val="TableParagraph"/>
              <w:spacing w:before="0" w:beforeAutospacing="0" w:after="0" w:line="360" w:lineRule="auto"/>
              <w:ind w:left="308"/>
              <w:rPr>
                <w:sz w:val="20"/>
                <w:szCs w:val="20"/>
              </w:rPr>
            </w:pPr>
            <w:r w:rsidRPr="008D3BF2">
              <w:rPr>
                <w:spacing w:val="-2"/>
                <w:sz w:val="20"/>
                <w:szCs w:val="20"/>
              </w:rPr>
              <w:t>Rejected</w:t>
            </w:r>
          </w:p>
        </w:tc>
      </w:tr>
      <w:tr w:rsidR="008D3BF2" w:rsidRPr="008D3BF2" w14:paraId="168FF7A6" w14:textId="77777777" w:rsidTr="008D3BF2">
        <w:trPr>
          <w:trHeight w:val="96"/>
        </w:trPr>
        <w:tc>
          <w:tcPr>
            <w:tcW w:w="2401" w:type="dxa"/>
            <w:vMerge/>
            <w:tcBorders>
              <w:top w:val="nil"/>
              <w:left w:val="single" w:sz="4" w:space="0" w:color="000000"/>
              <w:bottom w:val="single" w:sz="4" w:space="0" w:color="000000"/>
              <w:right w:val="single" w:sz="4" w:space="0" w:color="000000"/>
            </w:tcBorders>
            <w:vAlign w:val="center"/>
            <w:hideMark/>
          </w:tcPr>
          <w:p w14:paraId="22349127" w14:textId="77777777" w:rsidR="008D3BF2" w:rsidRPr="008D3BF2" w:rsidRDefault="008D3BF2" w:rsidP="008D3BF2">
            <w:pPr>
              <w:spacing w:after="0" w:line="360" w:lineRule="auto"/>
              <w:jc w:val="both"/>
              <w:rPr>
                <w:rFonts w:ascii="Times New Roman" w:hAnsi="Times New Roman" w:cs="Times New Roman"/>
                <w:sz w:val="20"/>
                <w:szCs w:val="20"/>
              </w:rPr>
            </w:pPr>
          </w:p>
        </w:tc>
        <w:tc>
          <w:tcPr>
            <w:tcW w:w="1528" w:type="dxa"/>
            <w:tcBorders>
              <w:top w:val="single" w:sz="4" w:space="0" w:color="000000"/>
              <w:left w:val="nil"/>
              <w:bottom w:val="single" w:sz="4" w:space="0" w:color="000000"/>
              <w:right w:val="single" w:sz="4" w:space="0" w:color="000000"/>
            </w:tcBorders>
            <w:hideMark/>
          </w:tcPr>
          <w:p w14:paraId="55B15079"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Post-Merger</w:t>
            </w:r>
          </w:p>
        </w:tc>
        <w:tc>
          <w:tcPr>
            <w:tcW w:w="1400" w:type="dxa"/>
            <w:tcBorders>
              <w:top w:val="single" w:sz="4" w:space="0" w:color="000000"/>
              <w:left w:val="nil"/>
              <w:bottom w:val="single" w:sz="4" w:space="0" w:color="000000"/>
              <w:right w:val="single" w:sz="4" w:space="0" w:color="000000"/>
            </w:tcBorders>
            <w:hideMark/>
          </w:tcPr>
          <w:p w14:paraId="0E69117E" w14:textId="77777777" w:rsidR="008D3BF2" w:rsidRPr="008D3BF2" w:rsidRDefault="008D3BF2" w:rsidP="008D3BF2">
            <w:pPr>
              <w:pStyle w:val="TableParagraph"/>
              <w:spacing w:before="0" w:beforeAutospacing="0" w:after="0" w:line="360" w:lineRule="auto"/>
              <w:ind w:left="8"/>
              <w:rPr>
                <w:sz w:val="20"/>
                <w:szCs w:val="20"/>
              </w:rPr>
            </w:pPr>
            <w:r w:rsidRPr="008D3BF2">
              <w:rPr>
                <w:spacing w:val="-2"/>
                <w:sz w:val="20"/>
                <w:szCs w:val="20"/>
              </w:rPr>
              <w:t>6.7780</w:t>
            </w:r>
          </w:p>
        </w:tc>
        <w:tc>
          <w:tcPr>
            <w:tcW w:w="468" w:type="dxa"/>
            <w:vMerge/>
            <w:tcBorders>
              <w:top w:val="nil"/>
              <w:left w:val="nil"/>
              <w:bottom w:val="single" w:sz="4" w:space="0" w:color="000000"/>
              <w:right w:val="single" w:sz="4" w:space="0" w:color="000000"/>
            </w:tcBorders>
            <w:vAlign w:val="center"/>
            <w:hideMark/>
          </w:tcPr>
          <w:p w14:paraId="6FD0D8F3"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973" w:type="dxa"/>
            <w:vMerge/>
            <w:tcBorders>
              <w:top w:val="nil"/>
              <w:left w:val="nil"/>
              <w:bottom w:val="single" w:sz="4" w:space="0" w:color="000000"/>
              <w:right w:val="single" w:sz="4" w:space="0" w:color="000000"/>
            </w:tcBorders>
            <w:vAlign w:val="center"/>
            <w:hideMark/>
          </w:tcPr>
          <w:p w14:paraId="3A1FDBBD"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745" w:type="dxa"/>
            <w:vMerge/>
            <w:tcBorders>
              <w:top w:val="nil"/>
              <w:left w:val="nil"/>
              <w:bottom w:val="single" w:sz="4" w:space="0" w:color="000000"/>
              <w:right w:val="single" w:sz="4" w:space="0" w:color="000000"/>
            </w:tcBorders>
            <w:vAlign w:val="center"/>
            <w:hideMark/>
          </w:tcPr>
          <w:p w14:paraId="733DA611"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155" w:type="dxa"/>
            <w:vMerge/>
            <w:tcBorders>
              <w:top w:val="nil"/>
              <w:left w:val="nil"/>
              <w:bottom w:val="single" w:sz="4" w:space="0" w:color="000000"/>
              <w:right w:val="single" w:sz="4" w:space="0" w:color="000000"/>
            </w:tcBorders>
            <w:vAlign w:val="center"/>
            <w:hideMark/>
          </w:tcPr>
          <w:p w14:paraId="1F18D429" w14:textId="77777777" w:rsidR="008D3BF2" w:rsidRPr="008D3BF2" w:rsidRDefault="008D3BF2" w:rsidP="008D3BF2">
            <w:pPr>
              <w:spacing w:after="0" w:line="360" w:lineRule="auto"/>
              <w:jc w:val="center"/>
              <w:rPr>
                <w:rFonts w:ascii="Times New Roman" w:hAnsi="Times New Roman" w:cs="Times New Roman"/>
                <w:sz w:val="20"/>
                <w:szCs w:val="20"/>
              </w:rPr>
            </w:pPr>
          </w:p>
        </w:tc>
      </w:tr>
      <w:tr w:rsidR="008D3BF2" w:rsidRPr="008D3BF2" w14:paraId="3424FCD3" w14:textId="77777777" w:rsidTr="008D3BF2">
        <w:trPr>
          <w:trHeight w:val="96"/>
        </w:trPr>
        <w:tc>
          <w:tcPr>
            <w:tcW w:w="2401" w:type="dxa"/>
            <w:vMerge w:val="restart"/>
            <w:tcBorders>
              <w:top w:val="nil"/>
              <w:left w:val="single" w:sz="4" w:space="0" w:color="000000"/>
              <w:bottom w:val="single" w:sz="4" w:space="0" w:color="000000"/>
              <w:right w:val="single" w:sz="4" w:space="0" w:color="000000"/>
            </w:tcBorders>
            <w:hideMark/>
          </w:tcPr>
          <w:p w14:paraId="2C1C4B1C" w14:textId="77777777" w:rsidR="008D3BF2" w:rsidRPr="008D3BF2" w:rsidRDefault="008D3BF2" w:rsidP="008D3BF2">
            <w:pPr>
              <w:pStyle w:val="TableParagraph"/>
              <w:spacing w:before="0" w:beforeAutospacing="0" w:after="0" w:line="360" w:lineRule="auto"/>
              <w:ind w:left="587"/>
              <w:jc w:val="both"/>
              <w:rPr>
                <w:sz w:val="20"/>
                <w:szCs w:val="20"/>
              </w:rPr>
            </w:pPr>
            <w:r w:rsidRPr="008D3BF2">
              <w:rPr>
                <w:sz w:val="20"/>
                <w:szCs w:val="20"/>
              </w:rPr>
              <w:t>Net</w:t>
            </w:r>
            <w:r w:rsidRPr="008D3BF2">
              <w:rPr>
                <w:spacing w:val="-4"/>
                <w:sz w:val="20"/>
                <w:szCs w:val="20"/>
              </w:rPr>
              <w:t xml:space="preserve"> </w:t>
            </w:r>
            <w:r w:rsidRPr="008D3BF2">
              <w:rPr>
                <w:sz w:val="20"/>
                <w:szCs w:val="20"/>
              </w:rPr>
              <w:t>Interest</w:t>
            </w:r>
            <w:r w:rsidRPr="008D3BF2">
              <w:rPr>
                <w:spacing w:val="-2"/>
                <w:sz w:val="20"/>
                <w:szCs w:val="20"/>
              </w:rPr>
              <w:t xml:space="preserve"> Margin</w:t>
            </w:r>
          </w:p>
        </w:tc>
        <w:tc>
          <w:tcPr>
            <w:tcW w:w="1528" w:type="dxa"/>
            <w:tcBorders>
              <w:top w:val="single" w:sz="4" w:space="0" w:color="000000"/>
              <w:left w:val="nil"/>
              <w:bottom w:val="single" w:sz="4" w:space="0" w:color="000000"/>
              <w:right w:val="single" w:sz="4" w:space="0" w:color="000000"/>
            </w:tcBorders>
            <w:hideMark/>
          </w:tcPr>
          <w:p w14:paraId="547A46AA"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Pre-Merger</w:t>
            </w:r>
          </w:p>
        </w:tc>
        <w:tc>
          <w:tcPr>
            <w:tcW w:w="1400" w:type="dxa"/>
            <w:tcBorders>
              <w:top w:val="single" w:sz="4" w:space="0" w:color="000000"/>
              <w:left w:val="nil"/>
              <w:bottom w:val="single" w:sz="4" w:space="0" w:color="000000"/>
              <w:right w:val="single" w:sz="4" w:space="0" w:color="000000"/>
            </w:tcBorders>
            <w:hideMark/>
          </w:tcPr>
          <w:p w14:paraId="71F5CB43" w14:textId="77777777" w:rsidR="008D3BF2" w:rsidRPr="008D3BF2" w:rsidRDefault="008D3BF2" w:rsidP="008D3BF2">
            <w:pPr>
              <w:pStyle w:val="TableParagraph"/>
              <w:spacing w:before="0" w:beforeAutospacing="0" w:after="0" w:line="360" w:lineRule="auto"/>
              <w:ind w:left="8"/>
              <w:rPr>
                <w:sz w:val="20"/>
                <w:szCs w:val="20"/>
              </w:rPr>
            </w:pPr>
            <w:r w:rsidRPr="008D3BF2">
              <w:rPr>
                <w:spacing w:val="-2"/>
                <w:sz w:val="20"/>
                <w:szCs w:val="20"/>
              </w:rPr>
              <w:t>2.3700</w:t>
            </w:r>
          </w:p>
        </w:tc>
        <w:tc>
          <w:tcPr>
            <w:tcW w:w="468" w:type="dxa"/>
            <w:vMerge w:val="restart"/>
            <w:tcBorders>
              <w:top w:val="nil"/>
              <w:left w:val="nil"/>
              <w:bottom w:val="single" w:sz="4" w:space="0" w:color="000000"/>
              <w:right w:val="single" w:sz="4" w:space="0" w:color="000000"/>
            </w:tcBorders>
            <w:hideMark/>
          </w:tcPr>
          <w:p w14:paraId="7D83AB91" w14:textId="77777777" w:rsidR="008D3BF2" w:rsidRPr="008D3BF2" w:rsidRDefault="008D3BF2" w:rsidP="008D3BF2">
            <w:pPr>
              <w:pStyle w:val="TableParagraph"/>
              <w:spacing w:before="0" w:beforeAutospacing="0" w:after="0" w:line="360" w:lineRule="auto"/>
              <w:ind w:left="3"/>
              <w:rPr>
                <w:sz w:val="20"/>
                <w:szCs w:val="20"/>
              </w:rPr>
            </w:pPr>
            <w:r w:rsidRPr="008D3BF2">
              <w:rPr>
                <w:spacing w:val="-10"/>
                <w:sz w:val="20"/>
                <w:szCs w:val="20"/>
              </w:rPr>
              <w:t>4</w:t>
            </w:r>
          </w:p>
        </w:tc>
        <w:tc>
          <w:tcPr>
            <w:tcW w:w="973" w:type="dxa"/>
            <w:vMerge w:val="restart"/>
            <w:tcBorders>
              <w:top w:val="nil"/>
              <w:left w:val="nil"/>
              <w:bottom w:val="single" w:sz="4" w:space="0" w:color="000000"/>
              <w:right w:val="single" w:sz="4" w:space="0" w:color="000000"/>
            </w:tcBorders>
            <w:hideMark/>
          </w:tcPr>
          <w:p w14:paraId="3F59DEF9" w14:textId="77777777" w:rsidR="008D3BF2" w:rsidRPr="008D3BF2" w:rsidRDefault="008D3BF2" w:rsidP="008D3BF2">
            <w:pPr>
              <w:pStyle w:val="TableParagraph"/>
              <w:spacing w:before="0" w:beforeAutospacing="0" w:after="0" w:line="360" w:lineRule="auto"/>
              <w:ind w:left="254"/>
              <w:rPr>
                <w:sz w:val="20"/>
                <w:szCs w:val="20"/>
              </w:rPr>
            </w:pPr>
            <w:r w:rsidRPr="008D3BF2">
              <w:rPr>
                <w:sz w:val="20"/>
                <w:szCs w:val="20"/>
              </w:rPr>
              <w:t>-</w:t>
            </w:r>
            <w:r w:rsidRPr="008D3BF2">
              <w:rPr>
                <w:spacing w:val="-2"/>
                <w:sz w:val="20"/>
                <w:szCs w:val="20"/>
              </w:rPr>
              <w:t>1.964</w:t>
            </w:r>
          </w:p>
        </w:tc>
        <w:tc>
          <w:tcPr>
            <w:tcW w:w="1745" w:type="dxa"/>
            <w:vMerge w:val="restart"/>
            <w:tcBorders>
              <w:top w:val="nil"/>
              <w:left w:val="nil"/>
              <w:bottom w:val="single" w:sz="4" w:space="0" w:color="000000"/>
              <w:right w:val="single" w:sz="4" w:space="0" w:color="000000"/>
            </w:tcBorders>
            <w:hideMark/>
          </w:tcPr>
          <w:p w14:paraId="75CBD5B0" w14:textId="77777777" w:rsidR="008D3BF2" w:rsidRPr="008D3BF2" w:rsidRDefault="008D3BF2" w:rsidP="008D3BF2">
            <w:pPr>
              <w:pStyle w:val="TableParagraph"/>
              <w:spacing w:before="0" w:beforeAutospacing="0" w:after="0" w:line="360" w:lineRule="auto"/>
              <w:ind w:left="7"/>
              <w:rPr>
                <w:sz w:val="20"/>
                <w:szCs w:val="20"/>
              </w:rPr>
            </w:pPr>
            <w:r w:rsidRPr="008D3BF2">
              <w:rPr>
                <w:spacing w:val="-4"/>
                <w:sz w:val="20"/>
                <w:szCs w:val="20"/>
              </w:rPr>
              <w:t>.121</w:t>
            </w:r>
          </w:p>
        </w:tc>
        <w:tc>
          <w:tcPr>
            <w:tcW w:w="1155" w:type="dxa"/>
            <w:vMerge w:val="restart"/>
            <w:tcBorders>
              <w:top w:val="nil"/>
              <w:left w:val="nil"/>
              <w:bottom w:val="single" w:sz="4" w:space="0" w:color="000000"/>
              <w:right w:val="single" w:sz="4" w:space="0" w:color="000000"/>
            </w:tcBorders>
            <w:hideMark/>
          </w:tcPr>
          <w:p w14:paraId="27D1BBF9" w14:textId="77777777" w:rsidR="008D3BF2" w:rsidRPr="008D3BF2" w:rsidRDefault="008D3BF2" w:rsidP="008D3BF2">
            <w:pPr>
              <w:pStyle w:val="TableParagraph"/>
              <w:spacing w:before="0" w:beforeAutospacing="0" w:after="0" w:line="360" w:lineRule="auto"/>
              <w:ind w:left="284"/>
              <w:rPr>
                <w:sz w:val="20"/>
                <w:szCs w:val="20"/>
              </w:rPr>
            </w:pPr>
            <w:r w:rsidRPr="008D3BF2">
              <w:rPr>
                <w:spacing w:val="-2"/>
                <w:sz w:val="20"/>
                <w:szCs w:val="20"/>
              </w:rPr>
              <w:t>Accepted</w:t>
            </w:r>
          </w:p>
        </w:tc>
      </w:tr>
      <w:tr w:rsidR="008D3BF2" w:rsidRPr="008D3BF2" w14:paraId="5C3EB20B" w14:textId="77777777" w:rsidTr="008D3BF2">
        <w:trPr>
          <w:trHeight w:val="96"/>
        </w:trPr>
        <w:tc>
          <w:tcPr>
            <w:tcW w:w="2401" w:type="dxa"/>
            <w:vMerge/>
            <w:tcBorders>
              <w:top w:val="nil"/>
              <w:left w:val="single" w:sz="4" w:space="0" w:color="000000"/>
              <w:bottom w:val="single" w:sz="4" w:space="0" w:color="000000"/>
              <w:right w:val="single" w:sz="4" w:space="0" w:color="000000"/>
            </w:tcBorders>
            <w:vAlign w:val="center"/>
            <w:hideMark/>
          </w:tcPr>
          <w:p w14:paraId="0A03FB6E" w14:textId="77777777" w:rsidR="008D3BF2" w:rsidRPr="008D3BF2" w:rsidRDefault="008D3BF2" w:rsidP="008D3BF2">
            <w:pPr>
              <w:spacing w:after="0" w:line="360" w:lineRule="auto"/>
              <w:rPr>
                <w:rFonts w:ascii="Times New Roman" w:hAnsi="Times New Roman" w:cs="Times New Roman"/>
                <w:sz w:val="20"/>
                <w:szCs w:val="20"/>
              </w:rPr>
            </w:pPr>
          </w:p>
        </w:tc>
        <w:tc>
          <w:tcPr>
            <w:tcW w:w="1528" w:type="dxa"/>
            <w:tcBorders>
              <w:top w:val="single" w:sz="4" w:space="0" w:color="000000"/>
              <w:left w:val="nil"/>
              <w:bottom w:val="single" w:sz="4" w:space="0" w:color="000000"/>
              <w:right w:val="single" w:sz="4" w:space="0" w:color="000000"/>
            </w:tcBorders>
            <w:hideMark/>
          </w:tcPr>
          <w:p w14:paraId="55D15718"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Post-Merger</w:t>
            </w:r>
          </w:p>
        </w:tc>
        <w:tc>
          <w:tcPr>
            <w:tcW w:w="1400" w:type="dxa"/>
            <w:tcBorders>
              <w:top w:val="single" w:sz="4" w:space="0" w:color="000000"/>
              <w:left w:val="nil"/>
              <w:bottom w:val="single" w:sz="4" w:space="0" w:color="000000"/>
              <w:right w:val="single" w:sz="4" w:space="0" w:color="000000"/>
            </w:tcBorders>
            <w:hideMark/>
          </w:tcPr>
          <w:p w14:paraId="5B070D08" w14:textId="77777777" w:rsidR="008D3BF2" w:rsidRPr="008D3BF2" w:rsidRDefault="008D3BF2" w:rsidP="008D3BF2">
            <w:pPr>
              <w:pStyle w:val="TableParagraph"/>
              <w:spacing w:before="0" w:beforeAutospacing="0" w:after="0" w:line="360" w:lineRule="auto"/>
              <w:ind w:left="8"/>
              <w:rPr>
                <w:sz w:val="20"/>
                <w:szCs w:val="20"/>
              </w:rPr>
            </w:pPr>
            <w:r w:rsidRPr="008D3BF2">
              <w:rPr>
                <w:spacing w:val="-2"/>
                <w:sz w:val="20"/>
                <w:szCs w:val="20"/>
              </w:rPr>
              <w:t>2.6600</w:t>
            </w:r>
          </w:p>
        </w:tc>
        <w:tc>
          <w:tcPr>
            <w:tcW w:w="468" w:type="dxa"/>
            <w:vMerge/>
            <w:tcBorders>
              <w:top w:val="nil"/>
              <w:left w:val="nil"/>
              <w:bottom w:val="single" w:sz="4" w:space="0" w:color="000000"/>
              <w:right w:val="single" w:sz="4" w:space="0" w:color="000000"/>
            </w:tcBorders>
            <w:vAlign w:val="center"/>
            <w:hideMark/>
          </w:tcPr>
          <w:p w14:paraId="388BD987"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973" w:type="dxa"/>
            <w:vMerge/>
            <w:tcBorders>
              <w:top w:val="nil"/>
              <w:left w:val="nil"/>
              <w:bottom w:val="single" w:sz="4" w:space="0" w:color="000000"/>
              <w:right w:val="single" w:sz="4" w:space="0" w:color="000000"/>
            </w:tcBorders>
            <w:vAlign w:val="center"/>
            <w:hideMark/>
          </w:tcPr>
          <w:p w14:paraId="6824DFEA"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745" w:type="dxa"/>
            <w:vMerge/>
            <w:tcBorders>
              <w:top w:val="nil"/>
              <w:left w:val="nil"/>
              <w:bottom w:val="single" w:sz="4" w:space="0" w:color="000000"/>
              <w:right w:val="single" w:sz="4" w:space="0" w:color="000000"/>
            </w:tcBorders>
            <w:vAlign w:val="center"/>
            <w:hideMark/>
          </w:tcPr>
          <w:p w14:paraId="69AF05F9"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155" w:type="dxa"/>
            <w:vMerge/>
            <w:tcBorders>
              <w:top w:val="nil"/>
              <w:left w:val="nil"/>
              <w:bottom w:val="single" w:sz="4" w:space="0" w:color="000000"/>
              <w:right w:val="single" w:sz="4" w:space="0" w:color="000000"/>
            </w:tcBorders>
            <w:vAlign w:val="center"/>
            <w:hideMark/>
          </w:tcPr>
          <w:p w14:paraId="7A8505DC" w14:textId="77777777" w:rsidR="008D3BF2" w:rsidRPr="008D3BF2" w:rsidRDefault="008D3BF2" w:rsidP="008D3BF2">
            <w:pPr>
              <w:spacing w:after="0" w:line="360" w:lineRule="auto"/>
              <w:jc w:val="center"/>
              <w:rPr>
                <w:rFonts w:ascii="Times New Roman" w:hAnsi="Times New Roman" w:cs="Times New Roman"/>
                <w:sz w:val="20"/>
                <w:szCs w:val="20"/>
              </w:rPr>
            </w:pPr>
          </w:p>
        </w:tc>
      </w:tr>
      <w:tr w:rsidR="008D3BF2" w:rsidRPr="008D3BF2" w14:paraId="3853E4B9" w14:textId="77777777" w:rsidTr="008D3BF2">
        <w:trPr>
          <w:trHeight w:val="96"/>
        </w:trPr>
        <w:tc>
          <w:tcPr>
            <w:tcW w:w="2401" w:type="dxa"/>
            <w:vMerge w:val="restart"/>
            <w:tcBorders>
              <w:top w:val="nil"/>
              <w:left w:val="single" w:sz="4" w:space="0" w:color="000000"/>
              <w:bottom w:val="single" w:sz="4" w:space="0" w:color="000000"/>
              <w:right w:val="single" w:sz="4" w:space="0" w:color="000000"/>
            </w:tcBorders>
            <w:hideMark/>
          </w:tcPr>
          <w:p w14:paraId="6C414A34" w14:textId="77777777" w:rsidR="008D3BF2" w:rsidRPr="008D3BF2" w:rsidRDefault="008D3BF2" w:rsidP="008D3BF2">
            <w:pPr>
              <w:pStyle w:val="TableParagraph"/>
              <w:spacing w:before="0" w:beforeAutospacing="0" w:after="0" w:line="360" w:lineRule="auto"/>
              <w:ind w:left="8"/>
              <w:rPr>
                <w:sz w:val="20"/>
                <w:szCs w:val="20"/>
              </w:rPr>
            </w:pPr>
            <w:r w:rsidRPr="008D3BF2">
              <w:rPr>
                <w:sz w:val="20"/>
                <w:szCs w:val="20"/>
              </w:rPr>
              <w:t>Net</w:t>
            </w:r>
            <w:r w:rsidRPr="008D3BF2">
              <w:rPr>
                <w:spacing w:val="-3"/>
                <w:sz w:val="20"/>
                <w:szCs w:val="20"/>
              </w:rPr>
              <w:t xml:space="preserve"> </w:t>
            </w:r>
            <w:r w:rsidRPr="008D3BF2">
              <w:rPr>
                <w:spacing w:val="-2"/>
                <w:sz w:val="20"/>
                <w:szCs w:val="20"/>
              </w:rPr>
              <w:t>Profit</w:t>
            </w:r>
          </w:p>
        </w:tc>
        <w:tc>
          <w:tcPr>
            <w:tcW w:w="1528" w:type="dxa"/>
            <w:tcBorders>
              <w:top w:val="single" w:sz="4" w:space="0" w:color="000000"/>
              <w:left w:val="nil"/>
              <w:bottom w:val="single" w:sz="4" w:space="0" w:color="000000"/>
              <w:right w:val="single" w:sz="4" w:space="0" w:color="000000"/>
            </w:tcBorders>
            <w:hideMark/>
          </w:tcPr>
          <w:p w14:paraId="1FC8908C"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Pre-Merger</w:t>
            </w:r>
          </w:p>
        </w:tc>
        <w:tc>
          <w:tcPr>
            <w:tcW w:w="1400" w:type="dxa"/>
            <w:tcBorders>
              <w:top w:val="single" w:sz="4" w:space="0" w:color="000000"/>
              <w:left w:val="nil"/>
              <w:bottom w:val="single" w:sz="4" w:space="0" w:color="000000"/>
              <w:right w:val="single" w:sz="4" w:space="0" w:color="000000"/>
            </w:tcBorders>
            <w:hideMark/>
          </w:tcPr>
          <w:p w14:paraId="6C5E14D0" w14:textId="77777777" w:rsidR="008D3BF2" w:rsidRPr="008D3BF2" w:rsidRDefault="008D3BF2" w:rsidP="008D3BF2">
            <w:pPr>
              <w:pStyle w:val="TableParagraph"/>
              <w:spacing w:before="0" w:beforeAutospacing="0" w:after="0" w:line="360" w:lineRule="auto"/>
              <w:ind w:left="6"/>
              <w:rPr>
                <w:sz w:val="20"/>
                <w:szCs w:val="20"/>
              </w:rPr>
            </w:pPr>
            <w:r w:rsidRPr="008D3BF2">
              <w:rPr>
                <w:sz w:val="20"/>
                <w:szCs w:val="20"/>
              </w:rPr>
              <w:t>-</w:t>
            </w:r>
            <w:r w:rsidRPr="008D3BF2">
              <w:rPr>
                <w:spacing w:val="-2"/>
                <w:sz w:val="20"/>
                <w:szCs w:val="20"/>
              </w:rPr>
              <w:t>4914.2000</w:t>
            </w:r>
          </w:p>
        </w:tc>
        <w:tc>
          <w:tcPr>
            <w:tcW w:w="468" w:type="dxa"/>
            <w:vMerge w:val="restart"/>
            <w:tcBorders>
              <w:top w:val="nil"/>
              <w:left w:val="nil"/>
              <w:bottom w:val="single" w:sz="4" w:space="0" w:color="000000"/>
              <w:right w:val="single" w:sz="4" w:space="0" w:color="000000"/>
            </w:tcBorders>
            <w:hideMark/>
          </w:tcPr>
          <w:p w14:paraId="7051541D" w14:textId="77777777" w:rsidR="008D3BF2" w:rsidRPr="008D3BF2" w:rsidRDefault="008D3BF2" w:rsidP="008D3BF2">
            <w:pPr>
              <w:pStyle w:val="TableParagraph"/>
              <w:spacing w:before="0" w:beforeAutospacing="0" w:after="0" w:line="360" w:lineRule="auto"/>
              <w:ind w:left="3"/>
              <w:rPr>
                <w:sz w:val="20"/>
                <w:szCs w:val="20"/>
              </w:rPr>
            </w:pPr>
            <w:r w:rsidRPr="008D3BF2">
              <w:rPr>
                <w:spacing w:val="-10"/>
                <w:sz w:val="20"/>
                <w:szCs w:val="20"/>
              </w:rPr>
              <w:t>4</w:t>
            </w:r>
          </w:p>
        </w:tc>
        <w:tc>
          <w:tcPr>
            <w:tcW w:w="973" w:type="dxa"/>
            <w:vMerge w:val="restart"/>
            <w:tcBorders>
              <w:top w:val="nil"/>
              <w:left w:val="nil"/>
              <w:bottom w:val="single" w:sz="4" w:space="0" w:color="000000"/>
              <w:right w:val="single" w:sz="4" w:space="0" w:color="000000"/>
            </w:tcBorders>
            <w:hideMark/>
          </w:tcPr>
          <w:p w14:paraId="7B14D3BE" w14:textId="77777777" w:rsidR="008D3BF2" w:rsidRPr="008D3BF2" w:rsidRDefault="008D3BF2" w:rsidP="008D3BF2">
            <w:pPr>
              <w:pStyle w:val="TableParagraph"/>
              <w:spacing w:before="0" w:beforeAutospacing="0" w:after="0" w:line="360" w:lineRule="auto"/>
              <w:ind w:left="254"/>
              <w:rPr>
                <w:sz w:val="20"/>
                <w:szCs w:val="20"/>
              </w:rPr>
            </w:pPr>
            <w:r w:rsidRPr="008D3BF2">
              <w:rPr>
                <w:sz w:val="20"/>
                <w:szCs w:val="20"/>
              </w:rPr>
              <w:t>-</w:t>
            </w:r>
            <w:r w:rsidRPr="008D3BF2">
              <w:rPr>
                <w:spacing w:val="-2"/>
                <w:sz w:val="20"/>
                <w:szCs w:val="20"/>
              </w:rPr>
              <w:t>3.660</w:t>
            </w:r>
          </w:p>
        </w:tc>
        <w:tc>
          <w:tcPr>
            <w:tcW w:w="1745" w:type="dxa"/>
            <w:vMerge w:val="restart"/>
            <w:tcBorders>
              <w:top w:val="nil"/>
              <w:left w:val="nil"/>
              <w:bottom w:val="single" w:sz="4" w:space="0" w:color="000000"/>
              <w:right w:val="single" w:sz="4" w:space="0" w:color="000000"/>
            </w:tcBorders>
            <w:hideMark/>
          </w:tcPr>
          <w:p w14:paraId="690C1FED" w14:textId="77777777" w:rsidR="008D3BF2" w:rsidRPr="008D3BF2" w:rsidRDefault="008D3BF2" w:rsidP="008D3BF2">
            <w:pPr>
              <w:pStyle w:val="TableParagraph"/>
              <w:spacing w:before="0" w:beforeAutospacing="0" w:after="0" w:line="360" w:lineRule="auto"/>
              <w:ind w:left="7" w:right="3"/>
              <w:rPr>
                <w:sz w:val="20"/>
                <w:szCs w:val="20"/>
              </w:rPr>
            </w:pPr>
            <w:r w:rsidRPr="008D3BF2">
              <w:rPr>
                <w:spacing w:val="-5"/>
                <w:sz w:val="20"/>
                <w:szCs w:val="20"/>
              </w:rPr>
              <w:t>022</w:t>
            </w:r>
          </w:p>
        </w:tc>
        <w:tc>
          <w:tcPr>
            <w:tcW w:w="1155" w:type="dxa"/>
            <w:vMerge w:val="restart"/>
            <w:tcBorders>
              <w:top w:val="nil"/>
              <w:left w:val="nil"/>
              <w:bottom w:val="single" w:sz="4" w:space="0" w:color="000000"/>
              <w:right w:val="single" w:sz="4" w:space="0" w:color="000000"/>
            </w:tcBorders>
            <w:hideMark/>
          </w:tcPr>
          <w:p w14:paraId="1131A356" w14:textId="77777777" w:rsidR="008D3BF2" w:rsidRPr="008D3BF2" w:rsidRDefault="008D3BF2" w:rsidP="008D3BF2">
            <w:pPr>
              <w:pStyle w:val="TableParagraph"/>
              <w:spacing w:before="0" w:beforeAutospacing="0" w:after="0" w:line="360" w:lineRule="auto"/>
              <w:ind w:left="308"/>
              <w:rPr>
                <w:sz w:val="20"/>
                <w:szCs w:val="20"/>
              </w:rPr>
            </w:pPr>
            <w:r w:rsidRPr="008D3BF2">
              <w:rPr>
                <w:spacing w:val="-2"/>
                <w:sz w:val="20"/>
                <w:szCs w:val="20"/>
              </w:rPr>
              <w:t>Rejected</w:t>
            </w:r>
          </w:p>
        </w:tc>
      </w:tr>
      <w:tr w:rsidR="008D3BF2" w:rsidRPr="008D3BF2" w14:paraId="14B1F914" w14:textId="77777777" w:rsidTr="008D3BF2">
        <w:trPr>
          <w:trHeight w:val="96"/>
        </w:trPr>
        <w:tc>
          <w:tcPr>
            <w:tcW w:w="2401" w:type="dxa"/>
            <w:vMerge/>
            <w:tcBorders>
              <w:top w:val="nil"/>
              <w:left w:val="single" w:sz="4" w:space="0" w:color="000000"/>
              <w:bottom w:val="single" w:sz="4" w:space="0" w:color="000000"/>
              <w:right w:val="single" w:sz="4" w:space="0" w:color="000000"/>
            </w:tcBorders>
            <w:vAlign w:val="center"/>
            <w:hideMark/>
          </w:tcPr>
          <w:p w14:paraId="057A55D1"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528" w:type="dxa"/>
            <w:tcBorders>
              <w:top w:val="single" w:sz="4" w:space="0" w:color="000000"/>
              <w:left w:val="nil"/>
              <w:bottom w:val="single" w:sz="4" w:space="0" w:color="000000"/>
              <w:right w:val="single" w:sz="4" w:space="0" w:color="000000"/>
            </w:tcBorders>
            <w:hideMark/>
          </w:tcPr>
          <w:p w14:paraId="413AE6C7"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Post-Merger</w:t>
            </w:r>
          </w:p>
        </w:tc>
        <w:tc>
          <w:tcPr>
            <w:tcW w:w="1400" w:type="dxa"/>
            <w:tcBorders>
              <w:top w:val="single" w:sz="4" w:space="0" w:color="000000"/>
              <w:left w:val="nil"/>
              <w:bottom w:val="single" w:sz="4" w:space="0" w:color="000000"/>
              <w:right w:val="single" w:sz="4" w:space="0" w:color="000000"/>
            </w:tcBorders>
            <w:hideMark/>
          </w:tcPr>
          <w:p w14:paraId="0BB42E72"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6572.2820</w:t>
            </w:r>
          </w:p>
        </w:tc>
        <w:tc>
          <w:tcPr>
            <w:tcW w:w="468" w:type="dxa"/>
            <w:vMerge/>
            <w:tcBorders>
              <w:top w:val="nil"/>
              <w:left w:val="nil"/>
              <w:bottom w:val="single" w:sz="4" w:space="0" w:color="000000"/>
              <w:right w:val="single" w:sz="4" w:space="0" w:color="000000"/>
            </w:tcBorders>
            <w:vAlign w:val="center"/>
            <w:hideMark/>
          </w:tcPr>
          <w:p w14:paraId="1A669033"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973" w:type="dxa"/>
            <w:vMerge/>
            <w:tcBorders>
              <w:top w:val="nil"/>
              <w:left w:val="nil"/>
              <w:bottom w:val="single" w:sz="4" w:space="0" w:color="000000"/>
              <w:right w:val="single" w:sz="4" w:space="0" w:color="000000"/>
            </w:tcBorders>
            <w:vAlign w:val="center"/>
            <w:hideMark/>
          </w:tcPr>
          <w:p w14:paraId="6BB6C4A0"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745" w:type="dxa"/>
            <w:vMerge/>
            <w:tcBorders>
              <w:top w:val="nil"/>
              <w:left w:val="nil"/>
              <w:bottom w:val="single" w:sz="4" w:space="0" w:color="000000"/>
              <w:right w:val="single" w:sz="4" w:space="0" w:color="000000"/>
            </w:tcBorders>
            <w:vAlign w:val="center"/>
            <w:hideMark/>
          </w:tcPr>
          <w:p w14:paraId="5DA20EA2"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155" w:type="dxa"/>
            <w:vMerge/>
            <w:tcBorders>
              <w:top w:val="nil"/>
              <w:left w:val="nil"/>
              <w:bottom w:val="single" w:sz="4" w:space="0" w:color="000000"/>
              <w:right w:val="single" w:sz="4" w:space="0" w:color="000000"/>
            </w:tcBorders>
            <w:vAlign w:val="center"/>
            <w:hideMark/>
          </w:tcPr>
          <w:p w14:paraId="2D1834E5" w14:textId="77777777" w:rsidR="008D3BF2" w:rsidRPr="008D3BF2" w:rsidRDefault="008D3BF2" w:rsidP="008D3BF2">
            <w:pPr>
              <w:spacing w:after="0" w:line="360" w:lineRule="auto"/>
              <w:jc w:val="center"/>
              <w:rPr>
                <w:rFonts w:ascii="Times New Roman" w:hAnsi="Times New Roman" w:cs="Times New Roman"/>
                <w:sz w:val="20"/>
                <w:szCs w:val="20"/>
              </w:rPr>
            </w:pPr>
          </w:p>
        </w:tc>
      </w:tr>
      <w:tr w:rsidR="008D3BF2" w:rsidRPr="008D3BF2" w14:paraId="7E29F5B0" w14:textId="77777777" w:rsidTr="008D3BF2">
        <w:trPr>
          <w:trHeight w:val="96"/>
        </w:trPr>
        <w:tc>
          <w:tcPr>
            <w:tcW w:w="2401" w:type="dxa"/>
            <w:vMerge w:val="restart"/>
            <w:tcBorders>
              <w:top w:val="nil"/>
              <w:left w:val="single" w:sz="4" w:space="0" w:color="000000"/>
              <w:bottom w:val="single" w:sz="4" w:space="0" w:color="000000"/>
              <w:right w:val="single" w:sz="4" w:space="0" w:color="000000"/>
            </w:tcBorders>
            <w:hideMark/>
          </w:tcPr>
          <w:p w14:paraId="0AAD3D79" w14:textId="77777777" w:rsidR="008D3BF2" w:rsidRPr="008D3BF2" w:rsidRDefault="008D3BF2" w:rsidP="008D3BF2">
            <w:pPr>
              <w:pStyle w:val="TableParagraph"/>
              <w:spacing w:before="0" w:beforeAutospacing="0" w:after="0" w:line="360" w:lineRule="auto"/>
              <w:ind w:left="8"/>
              <w:rPr>
                <w:sz w:val="20"/>
                <w:szCs w:val="20"/>
              </w:rPr>
            </w:pPr>
            <w:r w:rsidRPr="008D3BF2">
              <w:rPr>
                <w:sz w:val="20"/>
                <w:szCs w:val="20"/>
              </w:rPr>
              <w:t>Gross</w:t>
            </w:r>
            <w:r w:rsidRPr="008D3BF2">
              <w:rPr>
                <w:spacing w:val="-2"/>
                <w:sz w:val="20"/>
                <w:szCs w:val="20"/>
              </w:rPr>
              <w:t xml:space="preserve"> </w:t>
            </w:r>
            <w:r w:rsidRPr="008D3BF2">
              <w:rPr>
                <w:spacing w:val="-5"/>
                <w:sz w:val="20"/>
                <w:szCs w:val="20"/>
              </w:rPr>
              <w:t>NPA</w:t>
            </w:r>
          </w:p>
        </w:tc>
        <w:tc>
          <w:tcPr>
            <w:tcW w:w="1528" w:type="dxa"/>
            <w:tcBorders>
              <w:top w:val="single" w:sz="4" w:space="0" w:color="000000"/>
              <w:left w:val="nil"/>
              <w:bottom w:val="single" w:sz="4" w:space="0" w:color="000000"/>
              <w:right w:val="single" w:sz="4" w:space="0" w:color="000000"/>
            </w:tcBorders>
            <w:hideMark/>
          </w:tcPr>
          <w:p w14:paraId="331C1031"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Pre-Merger</w:t>
            </w:r>
          </w:p>
        </w:tc>
        <w:tc>
          <w:tcPr>
            <w:tcW w:w="1400" w:type="dxa"/>
            <w:tcBorders>
              <w:top w:val="single" w:sz="4" w:space="0" w:color="000000"/>
              <w:left w:val="nil"/>
              <w:bottom w:val="single" w:sz="4" w:space="0" w:color="000000"/>
              <w:right w:val="single" w:sz="4" w:space="0" w:color="000000"/>
            </w:tcBorders>
            <w:hideMark/>
          </w:tcPr>
          <w:p w14:paraId="56A5FB58"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14.7040</w:t>
            </w:r>
          </w:p>
        </w:tc>
        <w:tc>
          <w:tcPr>
            <w:tcW w:w="468" w:type="dxa"/>
            <w:vMerge w:val="restart"/>
            <w:tcBorders>
              <w:top w:val="nil"/>
              <w:left w:val="nil"/>
              <w:bottom w:val="single" w:sz="4" w:space="0" w:color="000000"/>
              <w:right w:val="single" w:sz="4" w:space="0" w:color="000000"/>
            </w:tcBorders>
            <w:hideMark/>
          </w:tcPr>
          <w:p w14:paraId="38A84D1D" w14:textId="77777777" w:rsidR="008D3BF2" w:rsidRPr="008D3BF2" w:rsidRDefault="008D3BF2" w:rsidP="008D3BF2">
            <w:pPr>
              <w:pStyle w:val="TableParagraph"/>
              <w:spacing w:before="0" w:beforeAutospacing="0" w:after="0" w:line="360" w:lineRule="auto"/>
              <w:ind w:left="3"/>
              <w:rPr>
                <w:sz w:val="20"/>
                <w:szCs w:val="20"/>
              </w:rPr>
            </w:pPr>
            <w:r w:rsidRPr="008D3BF2">
              <w:rPr>
                <w:spacing w:val="-10"/>
                <w:sz w:val="20"/>
                <w:szCs w:val="20"/>
              </w:rPr>
              <w:t>4</w:t>
            </w:r>
          </w:p>
        </w:tc>
        <w:tc>
          <w:tcPr>
            <w:tcW w:w="973" w:type="dxa"/>
            <w:vMerge w:val="restart"/>
            <w:tcBorders>
              <w:top w:val="nil"/>
              <w:left w:val="nil"/>
              <w:bottom w:val="single" w:sz="4" w:space="0" w:color="000000"/>
              <w:right w:val="single" w:sz="4" w:space="0" w:color="000000"/>
            </w:tcBorders>
            <w:hideMark/>
          </w:tcPr>
          <w:p w14:paraId="2BA32BD3" w14:textId="77777777" w:rsidR="008D3BF2" w:rsidRPr="008D3BF2" w:rsidRDefault="008D3BF2" w:rsidP="008D3BF2">
            <w:pPr>
              <w:pStyle w:val="TableParagraph"/>
              <w:spacing w:before="0" w:beforeAutospacing="0" w:after="0" w:line="360" w:lineRule="auto"/>
              <w:ind w:left="284"/>
              <w:rPr>
                <w:sz w:val="20"/>
                <w:szCs w:val="20"/>
              </w:rPr>
            </w:pPr>
            <w:r w:rsidRPr="008D3BF2">
              <w:rPr>
                <w:spacing w:val="-2"/>
                <w:sz w:val="20"/>
                <w:szCs w:val="20"/>
              </w:rPr>
              <w:t>2.334</w:t>
            </w:r>
          </w:p>
        </w:tc>
        <w:tc>
          <w:tcPr>
            <w:tcW w:w="1745" w:type="dxa"/>
            <w:vMerge w:val="restart"/>
            <w:tcBorders>
              <w:top w:val="nil"/>
              <w:left w:val="nil"/>
              <w:bottom w:val="single" w:sz="4" w:space="0" w:color="000000"/>
              <w:right w:val="single" w:sz="4" w:space="0" w:color="000000"/>
            </w:tcBorders>
            <w:hideMark/>
          </w:tcPr>
          <w:p w14:paraId="2DD512C6" w14:textId="77777777" w:rsidR="008D3BF2" w:rsidRPr="008D3BF2" w:rsidRDefault="008D3BF2" w:rsidP="008D3BF2">
            <w:pPr>
              <w:pStyle w:val="TableParagraph"/>
              <w:spacing w:before="0" w:beforeAutospacing="0" w:after="0" w:line="360" w:lineRule="auto"/>
              <w:ind w:left="7"/>
              <w:rPr>
                <w:sz w:val="20"/>
                <w:szCs w:val="20"/>
              </w:rPr>
            </w:pPr>
            <w:r w:rsidRPr="008D3BF2">
              <w:rPr>
                <w:spacing w:val="-4"/>
                <w:sz w:val="20"/>
                <w:szCs w:val="20"/>
              </w:rPr>
              <w:t>.080</w:t>
            </w:r>
          </w:p>
        </w:tc>
        <w:tc>
          <w:tcPr>
            <w:tcW w:w="1155" w:type="dxa"/>
            <w:vMerge w:val="restart"/>
            <w:tcBorders>
              <w:top w:val="nil"/>
              <w:left w:val="nil"/>
              <w:bottom w:val="single" w:sz="4" w:space="0" w:color="000000"/>
              <w:right w:val="single" w:sz="4" w:space="0" w:color="000000"/>
            </w:tcBorders>
            <w:hideMark/>
          </w:tcPr>
          <w:p w14:paraId="623DF697" w14:textId="77777777" w:rsidR="008D3BF2" w:rsidRPr="008D3BF2" w:rsidRDefault="008D3BF2" w:rsidP="008D3BF2">
            <w:pPr>
              <w:pStyle w:val="TableParagraph"/>
              <w:spacing w:before="0" w:beforeAutospacing="0" w:after="0" w:line="360" w:lineRule="auto"/>
              <w:ind w:left="284"/>
              <w:rPr>
                <w:sz w:val="20"/>
                <w:szCs w:val="20"/>
              </w:rPr>
            </w:pPr>
            <w:r w:rsidRPr="008D3BF2">
              <w:rPr>
                <w:spacing w:val="-2"/>
                <w:sz w:val="20"/>
                <w:szCs w:val="20"/>
              </w:rPr>
              <w:t>Accepted</w:t>
            </w:r>
          </w:p>
        </w:tc>
      </w:tr>
      <w:tr w:rsidR="008D3BF2" w:rsidRPr="008D3BF2" w14:paraId="4BE4B07D" w14:textId="77777777" w:rsidTr="008D3BF2">
        <w:trPr>
          <w:trHeight w:val="96"/>
        </w:trPr>
        <w:tc>
          <w:tcPr>
            <w:tcW w:w="2401" w:type="dxa"/>
            <w:vMerge/>
            <w:tcBorders>
              <w:top w:val="nil"/>
              <w:left w:val="single" w:sz="4" w:space="0" w:color="000000"/>
              <w:bottom w:val="single" w:sz="4" w:space="0" w:color="000000"/>
              <w:right w:val="single" w:sz="4" w:space="0" w:color="000000"/>
            </w:tcBorders>
            <w:vAlign w:val="center"/>
            <w:hideMark/>
          </w:tcPr>
          <w:p w14:paraId="2AC3644A"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528" w:type="dxa"/>
            <w:tcBorders>
              <w:top w:val="single" w:sz="4" w:space="0" w:color="000000"/>
              <w:left w:val="nil"/>
              <w:bottom w:val="single" w:sz="4" w:space="0" w:color="000000"/>
              <w:right w:val="single" w:sz="4" w:space="0" w:color="000000"/>
            </w:tcBorders>
            <w:hideMark/>
          </w:tcPr>
          <w:p w14:paraId="24EB2E65"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Post-Merger</w:t>
            </w:r>
          </w:p>
        </w:tc>
        <w:tc>
          <w:tcPr>
            <w:tcW w:w="1400" w:type="dxa"/>
            <w:tcBorders>
              <w:top w:val="single" w:sz="4" w:space="0" w:color="000000"/>
              <w:left w:val="nil"/>
              <w:bottom w:val="single" w:sz="4" w:space="0" w:color="000000"/>
              <w:right w:val="single" w:sz="4" w:space="0" w:color="000000"/>
            </w:tcBorders>
            <w:hideMark/>
          </w:tcPr>
          <w:p w14:paraId="6D5FA56A" w14:textId="77777777" w:rsidR="008D3BF2" w:rsidRPr="008D3BF2" w:rsidRDefault="008D3BF2" w:rsidP="008D3BF2">
            <w:pPr>
              <w:pStyle w:val="TableParagraph"/>
              <w:spacing w:before="0" w:beforeAutospacing="0" w:after="0" w:line="360" w:lineRule="auto"/>
              <w:ind w:left="8"/>
              <w:rPr>
                <w:sz w:val="20"/>
                <w:szCs w:val="20"/>
              </w:rPr>
            </w:pPr>
            <w:r w:rsidRPr="008D3BF2">
              <w:rPr>
                <w:spacing w:val="-2"/>
                <w:sz w:val="20"/>
                <w:szCs w:val="20"/>
              </w:rPr>
              <w:t>8.8640</w:t>
            </w:r>
          </w:p>
        </w:tc>
        <w:tc>
          <w:tcPr>
            <w:tcW w:w="468" w:type="dxa"/>
            <w:vMerge/>
            <w:tcBorders>
              <w:top w:val="nil"/>
              <w:left w:val="nil"/>
              <w:bottom w:val="single" w:sz="4" w:space="0" w:color="000000"/>
              <w:right w:val="single" w:sz="4" w:space="0" w:color="000000"/>
            </w:tcBorders>
            <w:vAlign w:val="center"/>
            <w:hideMark/>
          </w:tcPr>
          <w:p w14:paraId="0959D3B7"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973" w:type="dxa"/>
            <w:vMerge/>
            <w:tcBorders>
              <w:top w:val="nil"/>
              <w:left w:val="nil"/>
              <w:bottom w:val="single" w:sz="4" w:space="0" w:color="000000"/>
              <w:right w:val="single" w:sz="4" w:space="0" w:color="000000"/>
            </w:tcBorders>
            <w:vAlign w:val="center"/>
            <w:hideMark/>
          </w:tcPr>
          <w:p w14:paraId="561BBEDD"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745" w:type="dxa"/>
            <w:vMerge/>
            <w:tcBorders>
              <w:top w:val="nil"/>
              <w:left w:val="nil"/>
              <w:bottom w:val="single" w:sz="4" w:space="0" w:color="000000"/>
              <w:right w:val="single" w:sz="4" w:space="0" w:color="000000"/>
            </w:tcBorders>
            <w:vAlign w:val="center"/>
            <w:hideMark/>
          </w:tcPr>
          <w:p w14:paraId="017604A6"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155" w:type="dxa"/>
            <w:vMerge/>
            <w:tcBorders>
              <w:top w:val="nil"/>
              <w:left w:val="nil"/>
              <w:bottom w:val="single" w:sz="4" w:space="0" w:color="000000"/>
              <w:right w:val="single" w:sz="4" w:space="0" w:color="000000"/>
            </w:tcBorders>
            <w:vAlign w:val="center"/>
            <w:hideMark/>
          </w:tcPr>
          <w:p w14:paraId="279CF80C" w14:textId="77777777" w:rsidR="008D3BF2" w:rsidRPr="008D3BF2" w:rsidRDefault="008D3BF2" w:rsidP="008D3BF2">
            <w:pPr>
              <w:spacing w:after="0" w:line="360" w:lineRule="auto"/>
              <w:jc w:val="center"/>
              <w:rPr>
                <w:rFonts w:ascii="Times New Roman" w:hAnsi="Times New Roman" w:cs="Times New Roman"/>
                <w:sz w:val="20"/>
                <w:szCs w:val="20"/>
              </w:rPr>
            </w:pPr>
          </w:p>
        </w:tc>
      </w:tr>
      <w:tr w:rsidR="008D3BF2" w:rsidRPr="008D3BF2" w14:paraId="796B1F28" w14:textId="77777777" w:rsidTr="008D3BF2">
        <w:trPr>
          <w:trHeight w:val="421"/>
        </w:trPr>
        <w:tc>
          <w:tcPr>
            <w:tcW w:w="2401" w:type="dxa"/>
            <w:vMerge w:val="restart"/>
            <w:tcBorders>
              <w:top w:val="nil"/>
              <w:left w:val="single" w:sz="4" w:space="0" w:color="000000"/>
              <w:bottom w:val="single" w:sz="4" w:space="0" w:color="000000"/>
              <w:right w:val="single" w:sz="4" w:space="0" w:color="000000"/>
            </w:tcBorders>
            <w:hideMark/>
          </w:tcPr>
          <w:p w14:paraId="1F537F5F" w14:textId="77777777" w:rsidR="008D3BF2" w:rsidRPr="008D3BF2" w:rsidRDefault="008D3BF2" w:rsidP="008D3BF2">
            <w:pPr>
              <w:pStyle w:val="TableParagraph"/>
              <w:spacing w:before="0" w:beforeAutospacing="0" w:after="0" w:line="360" w:lineRule="auto"/>
              <w:ind w:left="8"/>
              <w:rPr>
                <w:sz w:val="20"/>
                <w:szCs w:val="20"/>
              </w:rPr>
            </w:pPr>
            <w:r w:rsidRPr="008D3BF2">
              <w:rPr>
                <w:sz w:val="20"/>
                <w:szCs w:val="20"/>
              </w:rPr>
              <w:t>Net</w:t>
            </w:r>
            <w:r w:rsidRPr="008D3BF2">
              <w:rPr>
                <w:spacing w:val="-1"/>
                <w:sz w:val="20"/>
                <w:szCs w:val="20"/>
              </w:rPr>
              <w:t xml:space="preserve"> </w:t>
            </w:r>
            <w:r w:rsidRPr="008D3BF2">
              <w:rPr>
                <w:spacing w:val="-5"/>
                <w:sz w:val="20"/>
                <w:szCs w:val="20"/>
              </w:rPr>
              <w:t>NPA</w:t>
            </w:r>
          </w:p>
        </w:tc>
        <w:tc>
          <w:tcPr>
            <w:tcW w:w="1528" w:type="dxa"/>
            <w:tcBorders>
              <w:top w:val="single" w:sz="4" w:space="0" w:color="000000"/>
              <w:left w:val="nil"/>
              <w:bottom w:val="single" w:sz="4" w:space="0" w:color="000000"/>
              <w:right w:val="single" w:sz="4" w:space="0" w:color="000000"/>
            </w:tcBorders>
            <w:hideMark/>
          </w:tcPr>
          <w:p w14:paraId="614A141C"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Pre-Merger</w:t>
            </w:r>
          </w:p>
        </w:tc>
        <w:tc>
          <w:tcPr>
            <w:tcW w:w="1400" w:type="dxa"/>
            <w:tcBorders>
              <w:top w:val="single" w:sz="4" w:space="0" w:color="000000"/>
              <w:left w:val="nil"/>
              <w:bottom w:val="single" w:sz="4" w:space="0" w:color="000000"/>
              <w:right w:val="single" w:sz="4" w:space="0" w:color="000000"/>
            </w:tcBorders>
            <w:hideMark/>
          </w:tcPr>
          <w:p w14:paraId="71F263A4" w14:textId="77777777" w:rsidR="008D3BF2" w:rsidRPr="008D3BF2" w:rsidRDefault="008D3BF2" w:rsidP="008D3BF2">
            <w:pPr>
              <w:pStyle w:val="TableParagraph"/>
              <w:spacing w:before="0" w:beforeAutospacing="0" w:after="0" w:line="360" w:lineRule="auto"/>
              <w:ind w:left="8"/>
              <w:rPr>
                <w:sz w:val="20"/>
                <w:szCs w:val="20"/>
              </w:rPr>
            </w:pPr>
            <w:r w:rsidRPr="008D3BF2">
              <w:rPr>
                <w:spacing w:val="-2"/>
                <w:sz w:val="20"/>
                <w:szCs w:val="20"/>
              </w:rPr>
              <w:t>8.0000</w:t>
            </w:r>
          </w:p>
        </w:tc>
        <w:tc>
          <w:tcPr>
            <w:tcW w:w="468" w:type="dxa"/>
            <w:vMerge w:val="restart"/>
            <w:tcBorders>
              <w:top w:val="nil"/>
              <w:left w:val="nil"/>
              <w:bottom w:val="single" w:sz="4" w:space="0" w:color="000000"/>
              <w:right w:val="single" w:sz="4" w:space="0" w:color="000000"/>
            </w:tcBorders>
            <w:hideMark/>
          </w:tcPr>
          <w:p w14:paraId="7AE572E0" w14:textId="77777777" w:rsidR="008D3BF2" w:rsidRPr="008D3BF2" w:rsidRDefault="008D3BF2" w:rsidP="008D3BF2">
            <w:pPr>
              <w:pStyle w:val="TableParagraph"/>
              <w:spacing w:before="0" w:beforeAutospacing="0" w:after="0" w:line="360" w:lineRule="auto"/>
              <w:ind w:left="3"/>
              <w:rPr>
                <w:sz w:val="20"/>
                <w:szCs w:val="20"/>
              </w:rPr>
            </w:pPr>
            <w:r w:rsidRPr="008D3BF2">
              <w:rPr>
                <w:spacing w:val="-10"/>
                <w:sz w:val="20"/>
                <w:szCs w:val="20"/>
              </w:rPr>
              <w:t>4</w:t>
            </w:r>
          </w:p>
        </w:tc>
        <w:tc>
          <w:tcPr>
            <w:tcW w:w="973" w:type="dxa"/>
            <w:vMerge w:val="restart"/>
            <w:tcBorders>
              <w:top w:val="nil"/>
              <w:left w:val="nil"/>
              <w:bottom w:val="single" w:sz="4" w:space="0" w:color="000000"/>
              <w:right w:val="single" w:sz="4" w:space="0" w:color="000000"/>
            </w:tcBorders>
            <w:hideMark/>
          </w:tcPr>
          <w:p w14:paraId="4F74F595" w14:textId="77777777" w:rsidR="008D3BF2" w:rsidRPr="008D3BF2" w:rsidRDefault="008D3BF2" w:rsidP="008D3BF2">
            <w:pPr>
              <w:pStyle w:val="TableParagraph"/>
              <w:spacing w:before="0" w:beforeAutospacing="0" w:after="0" w:line="360" w:lineRule="auto"/>
              <w:ind w:left="284"/>
              <w:rPr>
                <w:sz w:val="20"/>
                <w:szCs w:val="20"/>
              </w:rPr>
            </w:pPr>
            <w:r w:rsidRPr="008D3BF2">
              <w:rPr>
                <w:spacing w:val="-2"/>
                <w:sz w:val="20"/>
                <w:szCs w:val="20"/>
              </w:rPr>
              <w:t>4.930</w:t>
            </w:r>
          </w:p>
        </w:tc>
        <w:tc>
          <w:tcPr>
            <w:tcW w:w="1745" w:type="dxa"/>
            <w:vMerge w:val="restart"/>
            <w:tcBorders>
              <w:top w:val="nil"/>
              <w:left w:val="nil"/>
              <w:bottom w:val="single" w:sz="4" w:space="0" w:color="000000"/>
              <w:right w:val="single" w:sz="4" w:space="0" w:color="000000"/>
            </w:tcBorders>
            <w:hideMark/>
          </w:tcPr>
          <w:p w14:paraId="54FE38DC" w14:textId="77777777" w:rsidR="008D3BF2" w:rsidRPr="008D3BF2" w:rsidRDefault="008D3BF2" w:rsidP="008D3BF2">
            <w:pPr>
              <w:pStyle w:val="TableParagraph"/>
              <w:spacing w:before="0" w:beforeAutospacing="0" w:after="0" w:line="360" w:lineRule="auto"/>
              <w:ind w:left="7"/>
              <w:rPr>
                <w:sz w:val="20"/>
                <w:szCs w:val="20"/>
              </w:rPr>
            </w:pPr>
            <w:r w:rsidRPr="008D3BF2">
              <w:rPr>
                <w:spacing w:val="-4"/>
                <w:sz w:val="20"/>
                <w:szCs w:val="20"/>
              </w:rPr>
              <w:t>.008</w:t>
            </w:r>
          </w:p>
        </w:tc>
        <w:tc>
          <w:tcPr>
            <w:tcW w:w="1155" w:type="dxa"/>
            <w:vMerge w:val="restart"/>
            <w:tcBorders>
              <w:top w:val="nil"/>
              <w:left w:val="nil"/>
              <w:bottom w:val="single" w:sz="4" w:space="0" w:color="000000"/>
              <w:right w:val="single" w:sz="4" w:space="0" w:color="000000"/>
            </w:tcBorders>
            <w:hideMark/>
          </w:tcPr>
          <w:p w14:paraId="37D820B2" w14:textId="77777777" w:rsidR="008D3BF2" w:rsidRPr="008D3BF2" w:rsidRDefault="008D3BF2" w:rsidP="008D3BF2">
            <w:pPr>
              <w:pStyle w:val="TableParagraph"/>
              <w:spacing w:before="0" w:beforeAutospacing="0" w:after="0" w:line="360" w:lineRule="auto"/>
              <w:ind w:left="308"/>
              <w:rPr>
                <w:sz w:val="20"/>
                <w:szCs w:val="20"/>
              </w:rPr>
            </w:pPr>
            <w:r w:rsidRPr="008D3BF2">
              <w:rPr>
                <w:spacing w:val="-2"/>
                <w:sz w:val="20"/>
                <w:szCs w:val="20"/>
              </w:rPr>
              <w:t>Rejected</w:t>
            </w:r>
          </w:p>
        </w:tc>
      </w:tr>
      <w:tr w:rsidR="008D3BF2" w:rsidRPr="008D3BF2" w14:paraId="52C69575" w14:textId="77777777" w:rsidTr="008D3BF2">
        <w:trPr>
          <w:trHeight w:val="96"/>
        </w:trPr>
        <w:tc>
          <w:tcPr>
            <w:tcW w:w="2401" w:type="dxa"/>
            <w:vMerge/>
            <w:tcBorders>
              <w:top w:val="nil"/>
              <w:left w:val="single" w:sz="4" w:space="0" w:color="000000"/>
              <w:bottom w:val="single" w:sz="4" w:space="0" w:color="000000"/>
              <w:right w:val="single" w:sz="4" w:space="0" w:color="000000"/>
            </w:tcBorders>
            <w:vAlign w:val="center"/>
            <w:hideMark/>
          </w:tcPr>
          <w:p w14:paraId="1D974136"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528" w:type="dxa"/>
            <w:tcBorders>
              <w:top w:val="single" w:sz="4" w:space="0" w:color="000000"/>
              <w:left w:val="nil"/>
              <w:bottom w:val="single" w:sz="4" w:space="0" w:color="000000"/>
              <w:right w:val="single" w:sz="4" w:space="0" w:color="000000"/>
            </w:tcBorders>
            <w:hideMark/>
          </w:tcPr>
          <w:p w14:paraId="4EAD7BE0"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Post-Merger</w:t>
            </w:r>
          </w:p>
        </w:tc>
        <w:tc>
          <w:tcPr>
            <w:tcW w:w="1400" w:type="dxa"/>
            <w:tcBorders>
              <w:top w:val="single" w:sz="4" w:space="0" w:color="000000"/>
              <w:left w:val="nil"/>
              <w:bottom w:val="single" w:sz="4" w:space="0" w:color="000000"/>
              <w:right w:val="single" w:sz="4" w:space="0" w:color="000000"/>
            </w:tcBorders>
            <w:hideMark/>
          </w:tcPr>
          <w:p w14:paraId="7076103F" w14:textId="77777777" w:rsidR="008D3BF2" w:rsidRPr="008D3BF2" w:rsidRDefault="008D3BF2" w:rsidP="008D3BF2">
            <w:pPr>
              <w:pStyle w:val="TableParagraph"/>
              <w:spacing w:before="0" w:beforeAutospacing="0" w:after="0" w:line="360" w:lineRule="auto"/>
              <w:ind w:left="8"/>
              <w:rPr>
                <w:sz w:val="20"/>
                <w:szCs w:val="20"/>
              </w:rPr>
            </w:pPr>
            <w:r w:rsidRPr="008D3BF2">
              <w:rPr>
                <w:spacing w:val="-2"/>
                <w:sz w:val="20"/>
                <w:szCs w:val="20"/>
              </w:rPr>
              <w:t>2.8760</w:t>
            </w:r>
          </w:p>
        </w:tc>
        <w:tc>
          <w:tcPr>
            <w:tcW w:w="468" w:type="dxa"/>
            <w:vMerge/>
            <w:tcBorders>
              <w:top w:val="nil"/>
              <w:left w:val="nil"/>
              <w:bottom w:val="single" w:sz="4" w:space="0" w:color="000000"/>
              <w:right w:val="single" w:sz="4" w:space="0" w:color="000000"/>
            </w:tcBorders>
            <w:vAlign w:val="center"/>
            <w:hideMark/>
          </w:tcPr>
          <w:p w14:paraId="7C5A32D9"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973" w:type="dxa"/>
            <w:vMerge/>
            <w:tcBorders>
              <w:top w:val="nil"/>
              <w:left w:val="nil"/>
              <w:bottom w:val="single" w:sz="4" w:space="0" w:color="000000"/>
              <w:right w:val="single" w:sz="4" w:space="0" w:color="000000"/>
            </w:tcBorders>
            <w:vAlign w:val="center"/>
            <w:hideMark/>
          </w:tcPr>
          <w:p w14:paraId="2B5DB9AD"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745" w:type="dxa"/>
            <w:vMerge/>
            <w:tcBorders>
              <w:top w:val="nil"/>
              <w:left w:val="nil"/>
              <w:bottom w:val="single" w:sz="4" w:space="0" w:color="000000"/>
              <w:right w:val="single" w:sz="4" w:space="0" w:color="000000"/>
            </w:tcBorders>
            <w:vAlign w:val="center"/>
            <w:hideMark/>
          </w:tcPr>
          <w:p w14:paraId="45A8EBA7" w14:textId="77777777" w:rsidR="008D3BF2" w:rsidRPr="008D3BF2" w:rsidRDefault="008D3BF2" w:rsidP="008D3BF2">
            <w:pPr>
              <w:spacing w:after="0" w:line="360" w:lineRule="auto"/>
              <w:jc w:val="center"/>
              <w:rPr>
                <w:rFonts w:ascii="Times New Roman" w:hAnsi="Times New Roman" w:cs="Times New Roman"/>
                <w:sz w:val="20"/>
                <w:szCs w:val="20"/>
              </w:rPr>
            </w:pPr>
          </w:p>
        </w:tc>
        <w:tc>
          <w:tcPr>
            <w:tcW w:w="1155" w:type="dxa"/>
            <w:vMerge/>
            <w:tcBorders>
              <w:top w:val="nil"/>
              <w:left w:val="nil"/>
              <w:bottom w:val="single" w:sz="4" w:space="0" w:color="000000"/>
              <w:right w:val="single" w:sz="4" w:space="0" w:color="000000"/>
            </w:tcBorders>
            <w:vAlign w:val="center"/>
            <w:hideMark/>
          </w:tcPr>
          <w:p w14:paraId="7C653C48" w14:textId="77777777" w:rsidR="008D3BF2" w:rsidRPr="008D3BF2" w:rsidRDefault="008D3BF2" w:rsidP="008D3BF2">
            <w:pPr>
              <w:spacing w:after="0" w:line="360" w:lineRule="auto"/>
              <w:jc w:val="center"/>
              <w:rPr>
                <w:rFonts w:ascii="Times New Roman" w:hAnsi="Times New Roman" w:cs="Times New Roman"/>
                <w:sz w:val="20"/>
                <w:szCs w:val="20"/>
              </w:rPr>
            </w:pPr>
          </w:p>
        </w:tc>
      </w:tr>
      <w:tr w:rsidR="008D3BF2" w:rsidRPr="008D3BF2" w14:paraId="1C7DDBA3" w14:textId="77777777" w:rsidTr="008D3BF2">
        <w:trPr>
          <w:trHeight w:val="96"/>
        </w:trPr>
        <w:tc>
          <w:tcPr>
            <w:tcW w:w="2401" w:type="dxa"/>
            <w:vMerge w:val="restart"/>
            <w:tcBorders>
              <w:top w:val="nil"/>
              <w:left w:val="single" w:sz="4" w:space="0" w:color="000000"/>
              <w:bottom w:val="single" w:sz="4" w:space="0" w:color="000000"/>
              <w:right w:val="single" w:sz="4" w:space="0" w:color="000000"/>
            </w:tcBorders>
            <w:hideMark/>
          </w:tcPr>
          <w:p w14:paraId="27609AB9" w14:textId="77777777" w:rsidR="008D3BF2" w:rsidRPr="008D3BF2" w:rsidRDefault="008D3BF2" w:rsidP="008D3BF2">
            <w:pPr>
              <w:pStyle w:val="TableParagraph"/>
              <w:spacing w:before="0" w:beforeAutospacing="0" w:after="0" w:line="360" w:lineRule="auto"/>
              <w:ind w:left="710"/>
              <w:jc w:val="left"/>
              <w:rPr>
                <w:sz w:val="20"/>
                <w:szCs w:val="20"/>
              </w:rPr>
            </w:pPr>
            <w:r w:rsidRPr="008D3BF2">
              <w:rPr>
                <w:sz w:val="20"/>
                <w:szCs w:val="20"/>
              </w:rPr>
              <w:t>Cost-to-</w:t>
            </w:r>
            <w:r w:rsidRPr="008D3BF2">
              <w:rPr>
                <w:spacing w:val="-1"/>
                <w:sz w:val="20"/>
                <w:szCs w:val="20"/>
              </w:rPr>
              <w:t xml:space="preserve"> </w:t>
            </w:r>
            <w:r w:rsidRPr="008D3BF2">
              <w:rPr>
                <w:spacing w:val="-2"/>
                <w:sz w:val="20"/>
                <w:szCs w:val="20"/>
              </w:rPr>
              <w:t>Income</w:t>
            </w:r>
          </w:p>
        </w:tc>
        <w:tc>
          <w:tcPr>
            <w:tcW w:w="1528" w:type="dxa"/>
            <w:tcBorders>
              <w:top w:val="single" w:sz="4" w:space="0" w:color="000000"/>
              <w:left w:val="nil"/>
              <w:bottom w:val="single" w:sz="4" w:space="0" w:color="000000"/>
              <w:right w:val="single" w:sz="4" w:space="0" w:color="000000"/>
            </w:tcBorders>
            <w:hideMark/>
          </w:tcPr>
          <w:p w14:paraId="401C704B"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Pre-Merger</w:t>
            </w:r>
          </w:p>
        </w:tc>
        <w:tc>
          <w:tcPr>
            <w:tcW w:w="1400" w:type="dxa"/>
            <w:tcBorders>
              <w:top w:val="single" w:sz="4" w:space="0" w:color="000000"/>
              <w:left w:val="nil"/>
              <w:bottom w:val="single" w:sz="4" w:space="0" w:color="000000"/>
              <w:right w:val="single" w:sz="4" w:space="0" w:color="000000"/>
            </w:tcBorders>
            <w:hideMark/>
          </w:tcPr>
          <w:p w14:paraId="1E0CB2DB" w14:textId="77777777" w:rsidR="008D3BF2" w:rsidRPr="008D3BF2" w:rsidRDefault="008D3BF2" w:rsidP="008D3BF2">
            <w:pPr>
              <w:pStyle w:val="TableParagraph"/>
              <w:spacing w:before="0" w:beforeAutospacing="0" w:after="0" w:line="360" w:lineRule="auto"/>
              <w:ind w:left="6"/>
              <w:rPr>
                <w:sz w:val="20"/>
                <w:szCs w:val="20"/>
              </w:rPr>
            </w:pPr>
            <w:r w:rsidRPr="008D3BF2">
              <w:rPr>
                <w:spacing w:val="-2"/>
                <w:sz w:val="20"/>
                <w:szCs w:val="20"/>
              </w:rPr>
              <w:t>51.5620</w:t>
            </w:r>
          </w:p>
        </w:tc>
        <w:tc>
          <w:tcPr>
            <w:tcW w:w="468" w:type="dxa"/>
            <w:vMerge w:val="restart"/>
            <w:tcBorders>
              <w:top w:val="nil"/>
              <w:left w:val="nil"/>
              <w:bottom w:val="single" w:sz="4" w:space="0" w:color="000000"/>
              <w:right w:val="single" w:sz="4" w:space="0" w:color="000000"/>
            </w:tcBorders>
            <w:hideMark/>
          </w:tcPr>
          <w:p w14:paraId="68364B94" w14:textId="77777777" w:rsidR="008D3BF2" w:rsidRPr="008D3BF2" w:rsidRDefault="008D3BF2" w:rsidP="008D3BF2">
            <w:pPr>
              <w:pStyle w:val="TableParagraph"/>
              <w:spacing w:before="0" w:beforeAutospacing="0" w:after="0" w:line="360" w:lineRule="auto"/>
              <w:ind w:left="3"/>
              <w:rPr>
                <w:sz w:val="20"/>
                <w:szCs w:val="20"/>
              </w:rPr>
            </w:pPr>
            <w:r w:rsidRPr="008D3BF2">
              <w:rPr>
                <w:spacing w:val="-10"/>
                <w:sz w:val="20"/>
                <w:szCs w:val="20"/>
              </w:rPr>
              <w:t>4</w:t>
            </w:r>
          </w:p>
        </w:tc>
        <w:tc>
          <w:tcPr>
            <w:tcW w:w="973" w:type="dxa"/>
            <w:vMerge w:val="restart"/>
            <w:tcBorders>
              <w:top w:val="nil"/>
              <w:left w:val="nil"/>
              <w:bottom w:val="single" w:sz="4" w:space="0" w:color="000000"/>
              <w:right w:val="single" w:sz="4" w:space="0" w:color="000000"/>
            </w:tcBorders>
            <w:hideMark/>
          </w:tcPr>
          <w:p w14:paraId="05FE6CAC" w14:textId="77777777" w:rsidR="008D3BF2" w:rsidRPr="008D3BF2" w:rsidRDefault="008D3BF2" w:rsidP="008D3BF2">
            <w:pPr>
              <w:pStyle w:val="TableParagraph"/>
              <w:spacing w:before="0" w:beforeAutospacing="0" w:after="0" w:line="360" w:lineRule="auto"/>
              <w:ind w:left="330"/>
              <w:rPr>
                <w:sz w:val="20"/>
                <w:szCs w:val="20"/>
              </w:rPr>
            </w:pPr>
            <w:r w:rsidRPr="008D3BF2">
              <w:rPr>
                <w:spacing w:val="-4"/>
                <w:sz w:val="20"/>
                <w:szCs w:val="20"/>
              </w:rPr>
              <w:t>.216</w:t>
            </w:r>
          </w:p>
        </w:tc>
        <w:tc>
          <w:tcPr>
            <w:tcW w:w="1745" w:type="dxa"/>
            <w:vMerge w:val="restart"/>
            <w:tcBorders>
              <w:top w:val="nil"/>
              <w:left w:val="nil"/>
              <w:bottom w:val="single" w:sz="4" w:space="0" w:color="000000"/>
              <w:right w:val="single" w:sz="4" w:space="0" w:color="000000"/>
            </w:tcBorders>
            <w:hideMark/>
          </w:tcPr>
          <w:p w14:paraId="0C9BB849" w14:textId="77777777" w:rsidR="008D3BF2" w:rsidRPr="008D3BF2" w:rsidRDefault="008D3BF2" w:rsidP="008D3BF2">
            <w:pPr>
              <w:pStyle w:val="TableParagraph"/>
              <w:spacing w:before="0" w:beforeAutospacing="0" w:after="0" w:line="360" w:lineRule="auto"/>
              <w:ind w:left="385"/>
              <w:rPr>
                <w:sz w:val="20"/>
                <w:szCs w:val="20"/>
              </w:rPr>
            </w:pPr>
            <w:r w:rsidRPr="008D3BF2">
              <w:rPr>
                <w:spacing w:val="-4"/>
                <w:sz w:val="20"/>
                <w:szCs w:val="20"/>
              </w:rPr>
              <w:t>.839</w:t>
            </w:r>
          </w:p>
        </w:tc>
        <w:tc>
          <w:tcPr>
            <w:tcW w:w="1155" w:type="dxa"/>
            <w:vMerge w:val="restart"/>
            <w:tcBorders>
              <w:top w:val="nil"/>
              <w:left w:val="nil"/>
              <w:bottom w:val="single" w:sz="4" w:space="0" w:color="000000"/>
              <w:right w:val="single" w:sz="4" w:space="0" w:color="000000"/>
            </w:tcBorders>
            <w:hideMark/>
          </w:tcPr>
          <w:p w14:paraId="4CF98C08" w14:textId="77777777" w:rsidR="008D3BF2" w:rsidRPr="008D3BF2" w:rsidRDefault="008D3BF2" w:rsidP="008D3BF2">
            <w:pPr>
              <w:pStyle w:val="TableParagraph"/>
              <w:spacing w:before="0" w:beforeAutospacing="0" w:after="0" w:line="360" w:lineRule="auto"/>
              <w:ind w:left="284"/>
              <w:rPr>
                <w:sz w:val="20"/>
                <w:szCs w:val="20"/>
              </w:rPr>
            </w:pPr>
            <w:r w:rsidRPr="008D3BF2">
              <w:rPr>
                <w:spacing w:val="-2"/>
                <w:sz w:val="20"/>
                <w:szCs w:val="20"/>
              </w:rPr>
              <w:t>Accepted</w:t>
            </w:r>
          </w:p>
        </w:tc>
      </w:tr>
      <w:tr w:rsidR="008D3BF2" w:rsidRPr="008D3BF2" w14:paraId="798135EC" w14:textId="77777777" w:rsidTr="008D3BF2">
        <w:trPr>
          <w:trHeight w:val="96"/>
        </w:trPr>
        <w:tc>
          <w:tcPr>
            <w:tcW w:w="2401" w:type="dxa"/>
            <w:vMerge/>
            <w:tcBorders>
              <w:top w:val="nil"/>
              <w:left w:val="single" w:sz="4" w:space="0" w:color="000000"/>
              <w:bottom w:val="single" w:sz="4" w:space="0" w:color="000000"/>
              <w:right w:val="single" w:sz="4" w:space="0" w:color="000000"/>
            </w:tcBorders>
            <w:vAlign w:val="center"/>
            <w:hideMark/>
          </w:tcPr>
          <w:p w14:paraId="235FAFB1" w14:textId="77777777" w:rsidR="008D3BF2" w:rsidRPr="008D3BF2" w:rsidRDefault="008D3BF2" w:rsidP="008D3BF2">
            <w:pPr>
              <w:spacing w:after="0" w:line="240" w:lineRule="auto"/>
              <w:jc w:val="center"/>
              <w:rPr>
                <w:rFonts w:ascii="Times New Roman" w:hAnsi="Times New Roman" w:cs="Times New Roman"/>
              </w:rPr>
            </w:pPr>
          </w:p>
        </w:tc>
        <w:tc>
          <w:tcPr>
            <w:tcW w:w="1528" w:type="dxa"/>
            <w:tcBorders>
              <w:top w:val="single" w:sz="4" w:space="0" w:color="000000"/>
              <w:left w:val="nil"/>
              <w:bottom w:val="single" w:sz="4" w:space="0" w:color="000000"/>
              <w:right w:val="single" w:sz="4" w:space="0" w:color="000000"/>
            </w:tcBorders>
            <w:hideMark/>
          </w:tcPr>
          <w:p w14:paraId="28E3EAF9" w14:textId="77777777" w:rsidR="008D3BF2" w:rsidRPr="008D3BF2" w:rsidRDefault="008D3BF2" w:rsidP="008D3BF2">
            <w:pPr>
              <w:pStyle w:val="TableParagraph"/>
              <w:spacing w:before="0" w:beforeAutospacing="0" w:line="240" w:lineRule="auto"/>
              <w:ind w:left="6"/>
            </w:pPr>
            <w:r w:rsidRPr="008D3BF2">
              <w:rPr>
                <w:spacing w:val="-2"/>
              </w:rPr>
              <w:t>Post-Merger</w:t>
            </w:r>
          </w:p>
        </w:tc>
        <w:tc>
          <w:tcPr>
            <w:tcW w:w="1400" w:type="dxa"/>
            <w:tcBorders>
              <w:top w:val="single" w:sz="4" w:space="0" w:color="000000"/>
              <w:left w:val="nil"/>
              <w:bottom w:val="single" w:sz="4" w:space="0" w:color="000000"/>
              <w:right w:val="single" w:sz="4" w:space="0" w:color="000000"/>
            </w:tcBorders>
            <w:hideMark/>
          </w:tcPr>
          <w:p w14:paraId="4ABA2BD9" w14:textId="77777777" w:rsidR="008D3BF2" w:rsidRPr="008D3BF2" w:rsidRDefault="008D3BF2" w:rsidP="008D3BF2">
            <w:pPr>
              <w:pStyle w:val="TableParagraph"/>
              <w:spacing w:before="0" w:beforeAutospacing="0" w:line="240" w:lineRule="auto"/>
              <w:ind w:left="6"/>
            </w:pPr>
            <w:r w:rsidRPr="008D3BF2">
              <w:rPr>
                <w:spacing w:val="-2"/>
              </w:rPr>
              <w:t>51.0700</w:t>
            </w:r>
          </w:p>
        </w:tc>
        <w:tc>
          <w:tcPr>
            <w:tcW w:w="468" w:type="dxa"/>
            <w:vMerge/>
            <w:tcBorders>
              <w:top w:val="nil"/>
              <w:left w:val="nil"/>
              <w:bottom w:val="single" w:sz="4" w:space="0" w:color="000000"/>
              <w:right w:val="single" w:sz="4" w:space="0" w:color="000000"/>
            </w:tcBorders>
            <w:vAlign w:val="center"/>
            <w:hideMark/>
          </w:tcPr>
          <w:p w14:paraId="6330F20E" w14:textId="77777777" w:rsidR="008D3BF2" w:rsidRPr="008D3BF2" w:rsidRDefault="008D3BF2" w:rsidP="008D3BF2">
            <w:pPr>
              <w:spacing w:after="0" w:line="240" w:lineRule="auto"/>
              <w:jc w:val="center"/>
              <w:rPr>
                <w:rFonts w:ascii="Times New Roman" w:hAnsi="Times New Roman" w:cs="Times New Roman"/>
              </w:rPr>
            </w:pPr>
          </w:p>
        </w:tc>
        <w:tc>
          <w:tcPr>
            <w:tcW w:w="973" w:type="dxa"/>
            <w:vMerge/>
            <w:tcBorders>
              <w:top w:val="nil"/>
              <w:left w:val="nil"/>
              <w:bottom w:val="single" w:sz="4" w:space="0" w:color="000000"/>
              <w:right w:val="single" w:sz="4" w:space="0" w:color="000000"/>
            </w:tcBorders>
            <w:vAlign w:val="center"/>
            <w:hideMark/>
          </w:tcPr>
          <w:p w14:paraId="67C2F533" w14:textId="77777777" w:rsidR="008D3BF2" w:rsidRPr="008D3BF2" w:rsidRDefault="008D3BF2" w:rsidP="008D3BF2">
            <w:pPr>
              <w:spacing w:after="0" w:line="240" w:lineRule="auto"/>
              <w:jc w:val="center"/>
              <w:rPr>
                <w:rFonts w:ascii="Times New Roman" w:hAnsi="Times New Roman" w:cs="Times New Roman"/>
              </w:rPr>
            </w:pPr>
          </w:p>
        </w:tc>
        <w:tc>
          <w:tcPr>
            <w:tcW w:w="1745" w:type="dxa"/>
            <w:vMerge/>
            <w:tcBorders>
              <w:top w:val="nil"/>
              <w:left w:val="nil"/>
              <w:bottom w:val="single" w:sz="4" w:space="0" w:color="000000"/>
              <w:right w:val="single" w:sz="4" w:space="0" w:color="000000"/>
            </w:tcBorders>
            <w:vAlign w:val="center"/>
            <w:hideMark/>
          </w:tcPr>
          <w:p w14:paraId="3D4597DE" w14:textId="77777777" w:rsidR="008D3BF2" w:rsidRPr="008D3BF2" w:rsidRDefault="008D3BF2" w:rsidP="008D3BF2">
            <w:pPr>
              <w:spacing w:after="0" w:line="240" w:lineRule="auto"/>
              <w:jc w:val="center"/>
              <w:rPr>
                <w:rFonts w:ascii="Times New Roman" w:hAnsi="Times New Roman" w:cs="Times New Roman"/>
              </w:rPr>
            </w:pPr>
          </w:p>
        </w:tc>
        <w:tc>
          <w:tcPr>
            <w:tcW w:w="1155" w:type="dxa"/>
            <w:vMerge/>
            <w:tcBorders>
              <w:top w:val="nil"/>
              <w:left w:val="nil"/>
              <w:bottom w:val="single" w:sz="4" w:space="0" w:color="000000"/>
              <w:right w:val="single" w:sz="4" w:space="0" w:color="000000"/>
            </w:tcBorders>
            <w:vAlign w:val="center"/>
            <w:hideMark/>
          </w:tcPr>
          <w:p w14:paraId="31E00088" w14:textId="77777777" w:rsidR="008D3BF2" w:rsidRPr="008D3BF2" w:rsidRDefault="008D3BF2" w:rsidP="008D3BF2">
            <w:pPr>
              <w:spacing w:after="0" w:line="240" w:lineRule="auto"/>
              <w:jc w:val="center"/>
              <w:rPr>
                <w:rFonts w:ascii="Times New Roman" w:hAnsi="Times New Roman" w:cs="Times New Roman"/>
              </w:rPr>
            </w:pPr>
          </w:p>
        </w:tc>
      </w:tr>
    </w:tbl>
    <w:p w14:paraId="268C2378" w14:textId="11A4687D" w:rsidR="00130759" w:rsidRPr="008D3BF2" w:rsidRDefault="00130759" w:rsidP="002E6B2C">
      <w:pPr>
        <w:pStyle w:val="NormalWeb"/>
        <w:jc w:val="both"/>
        <w:rPr>
          <w:sz w:val="22"/>
          <w:szCs w:val="22"/>
        </w:rPr>
      </w:pPr>
    </w:p>
    <w:p w14:paraId="5E09F408" w14:textId="77777777" w:rsidR="008D21E4" w:rsidRPr="008D3BF2" w:rsidRDefault="008D21E4" w:rsidP="002E6B2C">
      <w:pPr>
        <w:spacing w:line="240" w:lineRule="auto"/>
        <w:jc w:val="both"/>
      </w:pPr>
    </w:p>
    <w:p w14:paraId="784B2E00" w14:textId="4B8D4760" w:rsidR="00CC3DE9" w:rsidRPr="008D3BF2" w:rsidRDefault="001B16B5" w:rsidP="002E6B2C">
      <w:pPr>
        <w:spacing w:line="240" w:lineRule="auto"/>
        <w:jc w:val="both"/>
      </w:pPr>
      <w:r w:rsidRPr="008D3BF2">
        <w:rPr>
          <w:rFonts w:ascii="Times New Roman" w:hAnsi="Times New Roman" w:cs="Times New Roman"/>
          <w:shd w:val="clear" w:color="auto" w:fill="EDFAFF"/>
        </w:rPr>
        <w:lastRenderedPageBreak/>
        <w:t>Because the hypothesis for Return on Assets, Return on Equity, Net Profit, and Net NPA has been rejected, Table 3 shows that the bank's profitability, asset quality, and operational efficiency are not consistent.</w:t>
      </w:r>
      <w:r w:rsidRPr="008D3BF2">
        <w:rPr>
          <w:rFonts w:ascii="Times New Roman" w:hAnsi="Times New Roman" w:cs="Times New Roman"/>
          <w:shd w:val="clear" w:color="auto" w:fill="FFFFFF"/>
        </w:rPr>
        <w:t xml:space="preserve">  Because the hypothesis for Return on Assets, Return on </w:t>
      </w:r>
      <w:proofErr w:type="gramStart"/>
      <w:r w:rsidRPr="008D3BF2">
        <w:rPr>
          <w:rFonts w:ascii="Times New Roman" w:hAnsi="Times New Roman" w:cs="Times New Roman"/>
          <w:shd w:val="clear" w:color="auto" w:fill="FFFFFF"/>
        </w:rPr>
        <w:t>Equity ,Net</w:t>
      </w:r>
      <w:proofErr w:type="gramEnd"/>
      <w:r w:rsidRPr="008D3BF2">
        <w:rPr>
          <w:rFonts w:ascii="Times New Roman" w:hAnsi="Times New Roman" w:cs="Times New Roman"/>
          <w:shd w:val="clear" w:color="auto" w:fill="FFFFFF"/>
        </w:rPr>
        <w:t xml:space="preserve"> profit, and Net NPA has been rejected</w:t>
      </w:r>
      <w:r w:rsidR="008D3BF2" w:rsidRPr="008D3BF2">
        <w:rPr>
          <w:rFonts w:ascii="Times New Roman" w:hAnsi="Times New Roman" w:cs="Times New Roman"/>
          <w:shd w:val="clear" w:color="auto" w:fill="FFFFFF"/>
        </w:rPr>
        <w:t>.</w:t>
      </w:r>
      <w:r w:rsidRPr="008D3BF2">
        <w:rPr>
          <w:rFonts w:ascii="Times New Roman" w:hAnsi="Times New Roman" w:cs="Times New Roman"/>
          <w:shd w:val="clear" w:color="auto" w:fill="FFFFFF"/>
        </w:rPr>
        <w:t xml:space="preserve"> Table 3 shows that the bank’s </w:t>
      </w:r>
      <w:proofErr w:type="gramStart"/>
      <w:r w:rsidRPr="008D3BF2">
        <w:rPr>
          <w:rFonts w:ascii="Times New Roman" w:hAnsi="Times New Roman" w:cs="Times New Roman"/>
          <w:shd w:val="clear" w:color="auto" w:fill="FFFFFF"/>
        </w:rPr>
        <w:t>profitability ,asset</w:t>
      </w:r>
      <w:proofErr w:type="gramEnd"/>
      <w:r w:rsidRPr="008D3BF2">
        <w:rPr>
          <w:rFonts w:ascii="Times New Roman" w:hAnsi="Times New Roman" w:cs="Times New Roman"/>
          <w:shd w:val="clear" w:color="auto" w:fill="FFFFFF"/>
        </w:rPr>
        <w:t xml:space="preserve"> quality and operational efficiency are not consistent. For other metrics, such as the Cost-to-Income ratio, Gross NPA, and Net Interest Margin, which all demonstrate no appreciable variations between the bank's financial metrics prior to and following the merger, framed assumptions have been approved</w:t>
      </w:r>
      <w:r w:rsidRPr="008D3BF2">
        <w:rPr>
          <w:rFonts w:ascii="Open Sans" w:hAnsi="Open Sans" w:cs="Open Sans"/>
          <w:color w:val="5000B9"/>
          <w:shd w:val="clear" w:color="auto" w:fill="FFFFFF"/>
        </w:rPr>
        <w:t>.</w:t>
      </w:r>
    </w:p>
    <w:p w14:paraId="6F5B409A" w14:textId="77777777" w:rsidR="00CC3DE9" w:rsidRPr="008D3BF2" w:rsidRDefault="00CC3DE9" w:rsidP="001B16B5">
      <w:pPr>
        <w:pStyle w:val="Heading3"/>
        <w:spacing w:before="230" w:line="360" w:lineRule="auto"/>
        <w:ind w:left="0"/>
        <w:rPr>
          <w:spacing w:val="-2"/>
          <w:sz w:val="22"/>
          <w:szCs w:val="22"/>
        </w:rPr>
      </w:pPr>
      <w:r w:rsidRPr="008D3BF2">
        <w:rPr>
          <w:spacing w:val="-2"/>
          <w:sz w:val="22"/>
          <w:szCs w:val="22"/>
        </w:rPr>
        <w:t>Suggestion</w:t>
      </w:r>
    </w:p>
    <w:p w14:paraId="6E2C2521" w14:textId="0C1F5615" w:rsidR="008D3BF2" w:rsidRPr="008D3BF2" w:rsidRDefault="00305E3C" w:rsidP="008D3BF2">
      <w:pPr>
        <w:pStyle w:val="Heading3"/>
        <w:spacing w:before="230" w:line="360" w:lineRule="auto"/>
        <w:ind w:left="0"/>
        <w:rPr>
          <w:b w:val="0"/>
          <w:bCs w:val="0"/>
          <w:spacing w:val="-2"/>
          <w:sz w:val="22"/>
          <w:szCs w:val="22"/>
        </w:rPr>
      </w:pPr>
      <w:r w:rsidRPr="008D3BF2">
        <w:rPr>
          <w:b w:val="0"/>
          <w:bCs w:val="0"/>
          <w:sz w:val="22"/>
          <w:szCs w:val="22"/>
          <w:shd w:val="clear" w:color="auto" w:fill="EDFAFF"/>
        </w:rPr>
        <w:t xml:space="preserve">To increase profitability and overall financial performance, Punjab National Bank should improve </w:t>
      </w:r>
      <w:r w:rsidR="008D3BF2">
        <w:rPr>
          <w:b w:val="0"/>
          <w:bCs w:val="0"/>
          <w:sz w:val="22"/>
          <w:szCs w:val="22"/>
          <w:shd w:val="clear" w:color="auto" w:fill="EDFAFF"/>
        </w:rPr>
        <w:t xml:space="preserve">  </w:t>
      </w:r>
      <w:r w:rsidRPr="008D3BF2">
        <w:rPr>
          <w:b w:val="0"/>
          <w:bCs w:val="0"/>
          <w:sz w:val="22"/>
          <w:szCs w:val="22"/>
          <w:shd w:val="clear" w:color="auto" w:fill="EDFAFF"/>
        </w:rPr>
        <w:t>operational efficiency, decrease non-performing assets (NPAs), and strengthen asset quality.</w:t>
      </w:r>
      <w:r w:rsidRPr="008D3BF2">
        <w:rPr>
          <w:b w:val="0"/>
          <w:bCs w:val="0"/>
          <w:sz w:val="22"/>
          <w:szCs w:val="22"/>
          <w:shd w:val="clear" w:color="auto" w:fill="FFFFFF"/>
        </w:rPr>
        <w:t xml:space="preserve"> In order to stop future increases in non-performing assets, banks should improve credit risk management. It is determined that the merger was very beneficial, making PNB the second-biggest public sector bank in India.</w:t>
      </w:r>
    </w:p>
    <w:p w14:paraId="696A5C0B" w14:textId="16023807" w:rsidR="00CC3DE9" w:rsidRPr="008D3BF2" w:rsidRDefault="00CC3DE9" w:rsidP="008D3BF2">
      <w:pPr>
        <w:pStyle w:val="Heading3"/>
        <w:spacing w:before="230" w:line="360" w:lineRule="auto"/>
        <w:ind w:left="0"/>
        <w:rPr>
          <w:b w:val="0"/>
          <w:bCs w:val="0"/>
          <w:spacing w:val="-2"/>
          <w:sz w:val="22"/>
          <w:szCs w:val="22"/>
        </w:rPr>
      </w:pPr>
      <w:r w:rsidRPr="008D3BF2">
        <w:rPr>
          <w:spacing w:val="-2"/>
          <w:sz w:val="22"/>
          <w:szCs w:val="22"/>
        </w:rPr>
        <w:t>Conclusion</w:t>
      </w:r>
    </w:p>
    <w:p w14:paraId="07B7B8C6" w14:textId="77777777" w:rsidR="00CC3DE9" w:rsidRPr="008D3BF2" w:rsidRDefault="00CC3DE9" w:rsidP="002E6B2C">
      <w:pPr>
        <w:spacing w:line="240" w:lineRule="auto"/>
        <w:jc w:val="both"/>
        <w:rPr>
          <w:rFonts w:ascii="Times New Roman" w:hAnsi="Times New Roman" w:cs="Times New Roman"/>
          <w:color w:val="000000" w:themeColor="text1"/>
          <w:shd w:val="clear" w:color="auto" w:fill="FFFFFF"/>
        </w:rPr>
      </w:pPr>
      <w:r w:rsidRPr="008D3BF2">
        <w:rPr>
          <w:rFonts w:ascii="Times New Roman" w:hAnsi="Times New Roman" w:cs="Times New Roman"/>
          <w:color w:val="000000" w:themeColor="text1"/>
          <w:shd w:val="clear" w:color="auto" w:fill="FFFFFF"/>
        </w:rPr>
        <w:t>This study compares the financial performance of Punjab National Bank prior to following the merger between 2015 -2025.The expansion of the Indian financial system has been greatly influenced by the Punjab National Bank, a significant public sector bank in India. Numerous criteria are used to analyse the bank's financial performance</w:t>
      </w:r>
    </w:p>
    <w:p w14:paraId="446449E8" w14:textId="77777777" w:rsidR="00305E3C" w:rsidRPr="008D3BF2" w:rsidRDefault="00CC3DE9" w:rsidP="00305E3C">
      <w:pPr>
        <w:pStyle w:val="Heading3"/>
        <w:spacing w:line="360" w:lineRule="auto"/>
        <w:rPr>
          <w:sz w:val="22"/>
          <w:szCs w:val="22"/>
        </w:rPr>
      </w:pPr>
      <w:r w:rsidRPr="008D3BF2">
        <w:rPr>
          <w:rFonts w:ascii="Open Sans" w:hAnsi="Open Sans" w:cs="Open Sans"/>
          <w:sz w:val="22"/>
          <w:szCs w:val="22"/>
          <w:shd w:val="clear" w:color="auto" w:fill="FFFFFF"/>
        </w:rPr>
        <w:t xml:space="preserve"> </w:t>
      </w:r>
      <w:r w:rsidRPr="008D3BF2">
        <w:rPr>
          <w:b w:val="0"/>
          <w:bCs w:val="0"/>
          <w:sz w:val="22"/>
          <w:szCs w:val="22"/>
          <w:shd w:val="clear" w:color="auto" w:fill="FFFFFF"/>
        </w:rPr>
        <w:t>Following its merger with Oriental Bank of Commerce and United Bank of India, Punjab National Bank also experiences a rise in net profit. Both the bank's performance and operational efficiency have improved since the merger. After the merger, Punjab National Bank surpasses State Bank of India to become the second-largest Public Sector Bank. The merger is advantageous to Punjab National Bank</w:t>
      </w:r>
      <w:r w:rsidRPr="008D3BF2">
        <w:rPr>
          <w:rFonts w:ascii="Open Sans" w:hAnsi="Open Sans" w:cs="Open Sans"/>
          <w:b w:val="0"/>
          <w:bCs w:val="0"/>
          <w:color w:val="252525"/>
          <w:sz w:val="22"/>
          <w:szCs w:val="22"/>
          <w:shd w:val="clear" w:color="auto" w:fill="FFFFFF"/>
        </w:rPr>
        <w:t>.</w:t>
      </w:r>
      <w:r w:rsidR="00305E3C" w:rsidRPr="008D3BF2">
        <w:rPr>
          <w:rFonts w:ascii="Open Sans" w:hAnsi="Open Sans" w:cs="Open Sans"/>
          <w:b w:val="0"/>
          <w:bCs w:val="0"/>
          <w:color w:val="252525"/>
          <w:sz w:val="22"/>
          <w:szCs w:val="22"/>
          <w:shd w:val="clear" w:color="auto" w:fill="FFFFFF"/>
        </w:rPr>
        <w:br/>
      </w:r>
      <w:r w:rsidR="00305E3C" w:rsidRPr="008D3BF2">
        <w:rPr>
          <w:spacing w:val="-2"/>
          <w:sz w:val="22"/>
          <w:szCs w:val="22"/>
        </w:rPr>
        <w:t>References</w:t>
      </w:r>
    </w:p>
    <w:p w14:paraId="567429DD"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t xml:space="preserve">1. </w:t>
      </w:r>
      <w:r w:rsidRPr="008D3BF2">
        <w:rPr>
          <w:rFonts w:ascii="Times New Roman" w:hAnsi="Times New Roman" w:cs="Times New Roman"/>
          <w:b/>
        </w:rPr>
        <w:t>S. Chouhan and M. Singhai</w:t>
      </w:r>
      <w:r w:rsidRPr="008D3BF2">
        <w:rPr>
          <w:rFonts w:ascii="Times New Roman" w:hAnsi="Times New Roman" w:cs="Times New Roman"/>
        </w:rPr>
        <w:t xml:space="preserve"> India's public sector banks' mergers and acquisitions: causes, effects, and performance evaluation The International Journal of Research and Science 2025;14(3):136-138.</w:t>
      </w:r>
    </w:p>
    <w:p w14:paraId="4176E24B"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t xml:space="preserve"> 2. </w:t>
      </w:r>
      <w:r w:rsidRPr="008D3BF2">
        <w:rPr>
          <w:rFonts w:ascii="Times New Roman" w:hAnsi="Times New Roman" w:cs="Times New Roman"/>
          <w:b/>
        </w:rPr>
        <w:t>Singh K and AK Roy</w:t>
      </w:r>
      <w:r w:rsidRPr="008D3BF2">
        <w:rPr>
          <w:rFonts w:ascii="Times New Roman" w:hAnsi="Times New Roman" w:cs="Times New Roman"/>
        </w:rPr>
        <w:t xml:space="preserve"> a comparison of the asset quality of a few Indian banks before and after the merger. The International Journal of Research in Management and Commerce </w:t>
      </w:r>
      <w:proofErr w:type="gramStart"/>
      <w:r w:rsidRPr="008D3BF2">
        <w:rPr>
          <w:rFonts w:ascii="Times New Roman" w:hAnsi="Times New Roman" w:cs="Times New Roman"/>
        </w:rPr>
        <w:t>2024;6:169</w:t>
      </w:r>
      <w:proofErr w:type="gramEnd"/>
      <w:r w:rsidRPr="008D3BF2">
        <w:rPr>
          <w:rFonts w:ascii="Times New Roman" w:hAnsi="Times New Roman" w:cs="Times New Roman"/>
        </w:rPr>
        <w:t>-178.</w:t>
      </w:r>
    </w:p>
    <w:p w14:paraId="08D43D61"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t xml:space="preserve"> 3. </w:t>
      </w:r>
      <w:r w:rsidRPr="008D3BF2">
        <w:rPr>
          <w:rFonts w:ascii="Times New Roman" w:hAnsi="Times New Roman" w:cs="Times New Roman"/>
          <w:b/>
        </w:rPr>
        <w:t>J. Koley</w:t>
      </w:r>
      <w:r w:rsidRPr="008D3BF2">
        <w:rPr>
          <w:rFonts w:ascii="Times New Roman" w:hAnsi="Times New Roman" w:cs="Times New Roman"/>
        </w:rPr>
        <w:t>. A study on Punjab National Bank examines the effect of mergers and acquisitions on the performance of commercial banks in India. An Overview of Research in Business, Management, and Economics 2024;8:77-89.</w:t>
      </w:r>
    </w:p>
    <w:p w14:paraId="51435574"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t xml:space="preserve"> 4. </w:t>
      </w:r>
      <w:r w:rsidRPr="008D3BF2">
        <w:rPr>
          <w:rFonts w:ascii="Times New Roman" w:hAnsi="Times New Roman" w:cs="Times New Roman"/>
          <w:b/>
        </w:rPr>
        <w:t>Das BK, GK KK,</w:t>
      </w:r>
      <w:r w:rsidRPr="008D3BF2">
        <w:rPr>
          <w:rFonts w:ascii="Times New Roman" w:hAnsi="Times New Roman" w:cs="Times New Roman"/>
        </w:rPr>
        <w:t xml:space="preserve"> </w:t>
      </w:r>
      <w:r w:rsidRPr="008D3BF2">
        <w:rPr>
          <w:rFonts w:ascii="Times New Roman" w:hAnsi="Times New Roman" w:cs="Times New Roman"/>
          <w:b/>
        </w:rPr>
        <w:t>and Sinha P.</w:t>
      </w:r>
      <w:r w:rsidRPr="008D3BF2">
        <w:rPr>
          <w:rFonts w:ascii="Times New Roman" w:hAnsi="Times New Roman" w:cs="Times New Roman"/>
        </w:rPr>
        <w:t xml:space="preserve"> a CAMELS rating system analysis of India's public sector banks' financial performance from 2014 to 2023. KIM Business Research Journal 2024;13-22.</w:t>
      </w:r>
    </w:p>
    <w:p w14:paraId="1F322B38"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t xml:space="preserve"> 5. </w:t>
      </w:r>
      <w:r w:rsidRPr="008D3BF2">
        <w:rPr>
          <w:rFonts w:ascii="Times New Roman" w:hAnsi="Times New Roman" w:cs="Times New Roman"/>
          <w:b/>
        </w:rPr>
        <w:t>Majumder A, Maity S.</w:t>
      </w:r>
      <w:r w:rsidRPr="008D3BF2">
        <w:rPr>
          <w:rFonts w:ascii="Times New Roman" w:hAnsi="Times New Roman" w:cs="Times New Roman"/>
        </w:rPr>
        <w:t xml:space="preserve"> A data envelopment analysis comparing the efficiency of public and private sector banks following mergers. Journal of Intelligent Computing and Decision Analytics. 2024;4(1):143-152.</w:t>
      </w:r>
    </w:p>
    <w:p w14:paraId="62B0C248"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t xml:space="preserve"> 6. </w:t>
      </w:r>
      <w:r w:rsidRPr="008D3BF2">
        <w:rPr>
          <w:rFonts w:ascii="Times New Roman" w:hAnsi="Times New Roman" w:cs="Times New Roman"/>
          <w:b/>
        </w:rPr>
        <w:t>T. Joshi.</w:t>
      </w:r>
      <w:r w:rsidRPr="008D3BF2">
        <w:rPr>
          <w:rFonts w:ascii="Times New Roman" w:hAnsi="Times New Roman" w:cs="Times New Roman"/>
        </w:rPr>
        <w:t xml:space="preserve"> The case of megamerger banks: the effect before and after the merger on financial performance. Chemical Bulletin of Europe. 2023;3115-3126.</w:t>
      </w:r>
    </w:p>
    <w:p w14:paraId="321A342D"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lastRenderedPageBreak/>
        <w:t xml:space="preserve"> 7. </w:t>
      </w:r>
      <w:r w:rsidRPr="008D3BF2">
        <w:rPr>
          <w:rFonts w:ascii="Times New Roman" w:hAnsi="Times New Roman" w:cs="Times New Roman"/>
          <w:b/>
        </w:rPr>
        <w:t>Kaur M, Garg A.</w:t>
      </w:r>
      <w:r w:rsidRPr="008D3BF2">
        <w:rPr>
          <w:rFonts w:ascii="Times New Roman" w:hAnsi="Times New Roman" w:cs="Times New Roman"/>
        </w:rPr>
        <w:t xml:space="preserve"> An empirical investigation of the Indian banking sector's most recent acquisitions and mergers. IJRAR stands for the International Journal of Research and Analytical Reviews. 2023;10(3):343-351.</w:t>
      </w:r>
    </w:p>
    <w:p w14:paraId="32506B07"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t xml:space="preserve"> 8. </w:t>
      </w:r>
      <w:r w:rsidRPr="008D3BF2">
        <w:rPr>
          <w:rFonts w:ascii="Times New Roman" w:hAnsi="Times New Roman" w:cs="Times New Roman"/>
          <w:b/>
        </w:rPr>
        <w:t>Dhiman B., Sharma PK</w:t>
      </w:r>
      <w:r w:rsidRPr="008D3BF2">
        <w:rPr>
          <w:rFonts w:ascii="Times New Roman" w:hAnsi="Times New Roman" w:cs="Times New Roman"/>
        </w:rPr>
        <w:t>. Financial performance of a few merged Indian public sector banks affected by non-performing assets. Finance journal from India. 2023;17(7):54-69.</w:t>
      </w:r>
    </w:p>
    <w:p w14:paraId="5226CCB9"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t xml:space="preserve"> 9. </w:t>
      </w:r>
      <w:r w:rsidRPr="008D3BF2">
        <w:rPr>
          <w:rFonts w:ascii="Times New Roman" w:hAnsi="Times New Roman" w:cs="Times New Roman"/>
          <w:b/>
        </w:rPr>
        <w:t>Syed Khaja Safiuddin and Shahana Jabeen A</w:t>
      </w:r>
      <w:r w:rsidRPr="008D3BF2">
        <w:rPr>
          <w:rFonts w:ascii="Times New Roman" w:hAnsi="Times New Roman" w:cs="Times New Roman"/>
        </w:rPr>
        <w:t xml:space="preserve"> study comparing the financial results of a few Indian banks before and after a merger. Journal of Organizational Development. 2022;28(4):8-12.</w:t>
      </w:r>
    </w:p>
    <w:p w14:paraId="3588C59A" w14:textId="77777777" w:rsidR="00305E3C" w:rsidRPr="008D3BF2" w:rsidRDefault="00305E3C" w:rsidP="00305E3C">
      <w:pPr>
        <w:spacing w:line="360" w:lineRule="auto"/>
        <w:ind w:left="40"/>
        <w:jc w:val="both"/>
        <w:rPr>
          <w:rFonts w:ascii="Times New Roman" w:hAnsi="Times New Roman" w:cs="Times New Roman"/>
        </w:rPr>
      </w:pPr>
      <w:r w:rsidRPr="008D3BF2">
        <w:rPr>
          <w:rFonts w:ascii="Times New Roman" w:hAnsi="Times New Roman" w:cs="Times New Roman"/>
        </w:rPr>
        <w:t xml:space="preserve"> 10. </w:t>
      </w:r>
      <w:r w:rsidRPr="008D3BF2">
        <w:rPr>
          <w:rFonts w:ascii="Times New Roman" w:hAnsi="Times New Roman" w:cs="Times New Roman"/>
          <w:b/>
        </w:rPr>
        <w:t>Paul S.</w:t>
      </w:r>
      <w:r w:rsidRPr="008D3BF2">
        <w:rPr>
          <w:rFonts w:ascii="Times New Roman" w:hAnsi="Times New Roman" w:cs="Times New Roman"/>
        </w:rPr>
        <w:t xml:space="preserve">  A look at the Punjab National Bank, United Bank of India, and Oriental Bank of Commerce mergers and acquisitions of Indian banks. Advanced Multidisciplinary Research and Studies: An International Journal 2021;5(2):299-301.</w:t>
      </w:r>
    </w:p>
    <w:p w14:paraId="5B116A1A" w14:textId="77777777" w:rsidR="00305E3C" w:rsidRPr="008D3BF2" w:rsidRDefault="00305E3C" w:rsidP="00305E3C">
      <w:pPr>
        <w:spacing w:line="360" w:lineRule="auto"/>
        <w:jc w:val="both"/>
        <w:rPr>
          <w:rFonts w:ascii="Times New Roman" w:hAnsi="Times New Roman" w:cs="Times New Roman"/>
        </w:rPr>
      </w:pPr>
      <w:r w:rsidRPr="008D3BF2">
        <w:rPr>
          <w:rFonts w:ascii="Times New Roman" w:hAnsi="Times New Roman" w:cs="Times New Roman"/>
        </w:rPr>
        <w:t xml:space="preserve"> </w:t>
      </w:r>
    </w:p>
    <w:p w14:paraId="46205A63" w14:textId="77777777" w:rsidR="00305E3C" w:rsidRPr="008D3BF2" w:rsidRDefault="00305E3C" w:rsidP="00305E3C">
      <w:pPr>
        <w:spacing w:line="360" w:lineRule="auto"/>
        <w:ind w:right="-755"/>
        <w:jc w:val="both"/>
        <w:rPr>
          <w:rFonts w:ascii="Times New Roman" w:hAnsi="Times New Roman" w:cs="Times New Roman"/>
        </w:rPr>
      </w:pPr>
    </w:p>
    <w:p w14:paraId="4D1E6C12" w14:textId="623853DE" w:rsidR="00CC3DE9" w:rsidRPr="008D3BF2" w:rsidRDefault="00CC3DE9" w:rsidP="002E6B2C">
      <w:pPr>
        <w:spacing w:line="240" w:lineRule="auto"/>
        <w:jc w:val="both"/>
        <w:rPr>
          <w:rFonts w:ascii="Times New Roman" w:hAnsi="Times New Roman" w:cs="Times New Roman"/>
          <w:b/>
          <w:bCs/>
        </w:rPr>
      </w:pPr>
    </w:p>
    <w:sectPr w:rsidR="00CC3DE9" w:rsidRPr="008D3BF2" w:rsidSect="00CC3DE9">
      <w:pgSz w:w="12240" w:h="15840"/>
      <w:pgMar w:top="426"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59"/>
    <w:rsid w:val="00087987"/>
    <w:rsid w:val="00130759"/>
    <w:rsid w:val="001427F4"/>
    <w:rsid w:val="001B16B5"/>
    <w:rsid w:val="002958C1"/>
    <w:rsid w:val="002E6B2C"/>
    <w:rsid w:val="00305E3C"/>
    <w:rsid w:val="004B41D9"/>
    <w:rsid w:val="00535C0B"/>
    <w:rsid w:val="005F43F6"/>
    <w:rsid w:val="0063391B"/>
    <w:rsid w:val="006F4E81"/>
    <w:rsid w:val="007002B5"/>
    <w:rsid w:val="008311B9"/>
    <w:rsid w:val="00844A1E"/>
    <w:rsid w:val="008D21E4"/>
    <w:rsid w:val="008D3BF2"/>
    <w:rsid w:val="009100AE"/>
    <w:rsid w:val="00B9722F"/>
    <w:rsid w:val="00BB251D"/>
    <w:rsid w:val="00CC3DE9"/>
    <w:rsid w:val="00D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78C"/>
  <w15:chartTrackingRefBased/>
  <w15:docId w15:val="{7923C06A-D2AB-463A-B7A0-184E5D49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DE9"/>
    <w:pPr>
      <w:spacing w:after="160" w:line="259" w:lineRule="auto"/>
    </w:pPr>
    <w:rPr>
      <w:kern w:val="0"/>
      <w:lang w:val="en-IN"/>
    </w:rPr>
  </w:style>
  <w:style w:type="paragraph" w:styleId="Heading3">
    <w:name w:val="heading 3"/>
    <w:basedOn w:val="Normal"/>
    <w:link w:val="Heading3Char"/>
    <w:uiPriority w:val="99"/>
    <w:qFormat/>
    <w:rsid w:val="0063391B"/>
    <w:pPr>
      <w:spacing w:before="228" w:line="256" w:lineRule="auto"/>
      <w:ind w:left="13"/>
      <w:jc w:val="both"/>
      <w:outlineLvl w:val="2"/>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7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9"/>
    <w:rsid w:val="0063391B"/>
    <w:rPr>
      <w:rFonts w:ascii="Times New Roman" w:eastAsia="Times New Roman" w:hAnsi="Times New Roman" w:cs="Times New Roman"/>
      <w:b/>
      <w:bCs/>
      <w:kern w:val="0"/>
      <w:sz w:val="20"/>
      <w:szCs w:val="20"/>
      <w:lang w:val="en-IN" w:eastAsia="en-IN"/>
    </w:rPr>
  </w:style>
  <w:style w:type="paragraph" w:customStyle="1" w:styleId="TableParagraph">
    <w:name w:val="Table Paragraph"/>
    <w:basedOn w:val="Normal"/>
    <w:rsid w:val="004B41D9"/>
    <w:pPr>
      <w:spacing w:before="100" w:beforeAutospacing="1" w:line="186" w:lineRule="exact"/>
      <w:ind w:left="10"/>
      <w:jc w:val="center"/>
    </w:pPr>
    <w:rPr>
      <w:rFonts w:ascii="Times New Roman" w:eastAsia="Times New Roman" w:hAnsi="Times New Roman" w:cs="Times New Roman"/>
      <w:lang w:eastAsia="en-IN"/>
    </w:rPr>
  </w:style>
  <w:style w:type="paragraph" w:styleId="BodyText">
    <w:name w:val="Body Text"/>
    <w:basedOn w:val="Normal"/>
    <w:link w:val="BodyTextChar"/>
    <w:uiPriority w:val="99"/>
    <w:unhideWhenUsed/>
    <w:rsid w:val="009100AE"/>
    <w:pPr>
      <w:spacing w:before="100" w:beforeAutospacing="1" w:line="256" w:lineRule="auto"/>
    </w:pPr>
    <w:rPr>
      <w:rFonts w:ascii="Times New Roman" w:eastAsia="Times New Roman" w:hAnsi="Times New Roman" w:cs="Times New Roman"/>
      <w:sz w:val="20"/>
      <w:szCs w:val="20"/>
      <w:lang w:eastAsia="en-IN"/>
      <w14:ligatures w14:val="none"/>
    </w:rPr>
  </w:style>
  <w:style w:type="character" w:customStyle="1" w:styleId="BodyTextChar">
    <w:name w:val="Body Text Char"/>
    <w:basedOn w:val="DefaultParagraphFont"/>
    <w:link w:val="BodyText"/>
    <w:uiPriority w:val="99"/>
    <w:rsid w:val="009100AE"/>
    <w:rPr>
      <w:rFonts w:ascii="Times New Roman" w:eastAsia="Times New Roman" w:hAnsi="Times New Roman" w:cs="Times New Roman"/>
      <w:kern w:val="0"/>
      <w:sz w:val="20"/>
      <w:szCs w:val="2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45706">
      <w:bodyDiv w:val="1"/>
      <w:marLeft w:val="0"/>
      <w:marRight w:val="0"/>
      <w:marTop w:val="0"/>
      <w:marBottom w:val="0"/>
      <w:divBdr>
        <w:top w:val="none" w:sz="0" w:space="0" w:color="auto"/>
        <w:left w:val="none" w:sz="0" w:space="0" w:color="auto"/>
        <w:bottom w:val="none" w:sz="0" w:space="0" w:color="auto"/>
        <w:right w:val="none" w:sz="0" w:space="0" w:color="auto"/>
      </w:divBdr>
    </w:div>
    <w:div w:id="824273295">
      <w:bodyDiv w:val="1"/>
      <w:marLeft w:val="0"/>
      <w:marRight w:val="0"/>
      <w:marTop w:val="0"/>
      <w:marBottom w:val="0"/>
      <w:divBdr>
        <w:top w:val="none" w:sz="0" w:space="0" w:color="auto"/>
        <w:left w:val="none" w:sz="0" w:space="0" w:color="auto"/>
        <w:bottom w:val="none" w:sz="0" w:space="0" w:color="auto"/>
        <w:right w:val="none" w:sz="0" w:space="0" w:color="auto"/>
      </w:divBdr>
    </w:div>
    <w:div w:id="1135028206">
      <w:bodyDiv w:val="1"/>
      <w:marLeft w:val="0"/>
      <w:marRight w:val="0"/>
      <w:marTop w:val="0"/>
      <w:marBottom w:val="0"/>
      <w:divBdr>
        <w:top w:val="none" w:sz="0" w:space="0" w:color="auto"/>
        <w:left w:val="none" w:sz="0" w:space="0" w:color="auto"/>
        <w:bottom w:val="none" w:sz="0" w:space="0" w:color="auto"/>
        <w:right w:val="none" w:sz="0" w:space="0" w:color="auto"/>
      </w:divBdr>
    </w:div>
    <w:div w:id="1970696880">
      <w:bodyDiv w:val="1"/>
      <w:marLeft w:val="0"/>
      <w:marRight w:val="0"/>
      <w:marTop w:val="0"/>
      <w:marBottom w:val="0"/>
      <w:divBdr>
        <w:top w:val="none" w:sz="0" w:space="0" w:color="auto"/>
        <w:left w:val="none" w:sz="0" w:space="0" w:color="auto"/>
        <w:bottom w:val="none" w:sz="0" w:space="0" w:color="auto"/>
        <w:right w:val="none" w:sz="0" w:space="0" w:color="auto"/>
      </w:divBdr>
    </w:div>
    <w:div w:id="20800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B0276-04E7-4926-A628-4695751B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system-7</cp:lastModifiedBy>
  <cp:revision>2</cp:revision>
  <dcterms:created xsi:type="dcterms:W3CDTF">2026-06-18T11:03:00Z</dcterms:created>
  <dcterms:modified xsi:type="dcterms:W3CDTF">2026-06-18T11:03:00Z</dcterms:modified>
</cp:coreProperties>
</file>