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B17A3" w14:textId="33A86137" w:rsidR="00F848C5" w:rsidRPr="005A545C" w:rsidRDefault="00F848C5" w:rsidP="005A545C">
      <w:pPr>
        <w:spacing w:line="240" w:lineRule="auto"/>
        <w:jc w:val="center"/>
        <w:rPr>
          <w:rFonts w:ascii="Times New Roman" w:hAnsi="Times New Roman" w:cs="Times New Roman"/>
          <w:b/>
          <w:bCs/>
          <w:sz w:val="36"/>
          <w:szCs w:val="36"/>
        </w:rPr>
      </w:pPr>
      <w:r w:rsidRPr="005A545C">
        <w:rPr>
          <w:rFonts w:ascii="Times New Roman" w:hAnsi="Times New Roman" w:cs="Times New Roman"/>
          <w:b/>
          <w:bCs/>
          <w:sz w:val="36"/>
          <w:szCs w:val="36"/>
        </w:rPr>
        <w:t xml:space="preserve">Flood </w:t>
      </w:r>
      <w:r w:rsidR="00610A8A" w:rsidRPr="005A545C">
        <w:rPr>
          <w:rFonts w:ascii="Times New Roman" w:hAnsi="Times New Roman" w:cs="Times New Roman"/>
          <w:b/>
          <w:bCs/>
          <w:sz w:val="36"/>
          <w:szCs w:val="36"/>
        </w:rPr>
        <w:t>H</w:t>
      </w:r>
      <w:r w:rsidRPr="005A545C">
        <w:rPr>
          <w:rFonts w:ascii="Times New Roman" w:hAnsi="Times New Roman" w:cs="Times New Roman"/>
          <w:b/>
          <w:bCs/>
          <w:sz w:val="36"/>
          <w:szCs w:val="36"/>
        </w:rPr>
        <w:t>azard and Risk Assessment of Lower Magat River Basin using Geospatial Technologies: Basis for developing flood hazard map</w:t>
      </w:r>
    </w:p>
    <w:p w14:paraId="4555711C" w14:textId="20A96449" w:rsidR="001532DC" w:rsidRPr="002B26DA" w:rsidRDefault="00F848C5" w:rsidP="002B26DA">
      <w:pPr>
        <w:spacing w:before="0" w:after="0" w:line="240" w:lineRule="auto"/>
        <w:jc w:val="center"/>
        <w:rPr>
          <w:rFonts w:ascii="Times New Roman" w:hAnsi="Times New Roman" w:cs="Times New Roman"/>
          <w:b/>
          <w:bCs/>
          <w:sz w:val="24"/>
          <w:szCs w:val="24"/>
        </w:rPr>
      </w:pPr>
      <w:r w:rsidRPr="002B26DA">
        <w:rPr>
          <w:rFonts w:ascii="Times New Roman" w:hAnsi="Times New Roman" w:cs="Times New Roman"/>
          <w:b/>
          <w:bCs/>
          <w:sz w:val="24"/>
          <w:szCs w:val="24"/>
        </w:rPr>
        <w:t/>
      </w:r>
    </w:p>
    <w:p w14:paraId="712A0A97" w14:textId="29D7001F" w:rsidR="001532DC" w:rsidRPr="002B26DA" w:rsidRDefault="001532DC" w:rsidP="002B26DA">
      <w:pPr>
        <w:spacing w:before="0" w:line="240" w:lineRule="auto"/>
        <w:jc w:val="center"/>
        <w:rPr>
          <w:rFonts w:ascii="Times New Roman" w:hAnsi="Times New Roman" w:cs="Times New Roman"/>
          <w:b/>
          <w:bCs/>
          <w:sz w:val="24"/>
          <w:szCs w:val="24"/>
        </w:rPr>
      </w:pPr>
      <w:r w:rsidRPr="002B26DA">
        <w:rPr>
          <w:rFonts w:ascii="Times New Roman" w:hAnsi="Times New Roman" w:cs="Times New Roman"/>
          <w:b/>
          <w:bCs/>
          <w:sz w:val="24"/>
          <w:szCs w:val="24"/>
        </w:rPr>
        <w:t/>
      </w:r>
      <w:r w:rsidR="00F909E9">
        <w:rPr>
          <w:rFonts w:ascii="Times New Roman" w:hAnsi="Times New Roman" w:cs="Times New Roman"/>
          <w:b/>
          <w:bCs/>
          <w:sz w:val="24"/>
          <w:szCs w:val="24"/>
        </w:rPr>
        <w:t/>
      </w:r>
      <w:r w:rsidRPr="002B26DA">
        <w:rPr>
          <w:rFonts w:ascii="Times New Roman" w:hAnsi="Times New Roman" w:cs="Times New Roman"/>
          <w:b/>
          <w:bCs/>
          <w:sz w:val="24"/>
          <w:szCs w:val="24"/>
        </w:rPr>
        <w:t/>
      </w:r>
      <w:r w:rsidR="00F848C5" w:rsidRPr="002B26DA">
        <w:rPr>
          <w:rFonts w:ascii="Times New Roman" w:hAnsi="Times New Roman" w:cs="Times New Roman"/>
          <w:b/>
          <w:bCs/>
          <w:sz w:val="24"/>
          <w:szCs w:val="24"/>
        </w:rPr>
        <w:t xml:space="preserve"/>
      </w:r>
      <w:r w:rsidRPr="002B26DA">
        <w:rPr>
          <w:rFonts w:ascii="Times New Roman" w:hAnsi="Times New Roman" w:cs="Times New Roman"/>
          <w:b/>
          <w:bCs/>
          <w:sz w:val="24"/>
          <w:szCs w:val="24"/>
        </w:rPr>
        <w:t/>
      </w:r>
      <w:r w:rsidR="00F909E9">
        <w:rPr>
          <w:rFonts w:ascii="Times New Roman" w:hAnsi="Times New Roman" w:cs="Times New Roman"/>
          <w:b/>
          <w:bCs/>
          <w:sz w:val="24"/>
          <w:szCs w:val="24"/>
        </w:rPr>
        <w:t xml:space="preserve"/>
      </w:r>
      <w:r w:rsidRPr="002B26DA">
        <w:rPr>
          <w:rFonts w:ascii="Times New Roman" w:hAnsi="Times New Roman" w:cs="Times New Roman"/>
          <w:b/>
          <w:bCs/>
          <w:sz w:val="24"/>
          <w:szCs w:val="24"/>
        </w:rPr>
        <w:t/>
      </w:r>
    </w:p>
    <w:p w14:paraId="3F8DA429" w14:textId="0FD5EFE8" w:rsidR="00F848C5" w:rsidRPr="005A545C" w:rsidRDefault="00F848C5" w:rsidP="005A545C">
      <w:pPr>
        <w:spacing w:line="240" w:lineRule="auto"/>
        <w:jc w:val="center"/>
        <w:rPr>
          <w:rFonts w:ascii="Times New Roman" w:hAnsi="Times New Roman" w:cs="Times New Roman"/>
          <w:sz w:val="18"/>
          <w:szCs w:val="18"/>
        </w:rPr>
        <w:sectPr w:rsidR="00F848C5" w:rsidRPr="005A545C" w:rsidSect="005A545C">
          <w:pgSz w:w="11906" w:h="16838" w:code="9"/>
          <w:pgMar w:top="1094" w:right="605" w:bottom="605" w:left="605" w:header="346" w:footer="403" w:gutter="0"/>
          <w:cols w:space="708"/>
          <w:docGrid w:linePitch="360"/>
        </w:sectPr>
      </w:pPr>
    </w:p>
    <w:p w14:paraId="37DF7CC8" w14:textId="77777777" w:rsidR="00F96D35" w:rsidRPr="005A545C" w:rsidRDefault="00F96D35" w:rsidP="005A545C">
      <w:pPr>
        <w:spacing w:line="240" w:lineRule="auto"/>
        <w:rPr>
          <w:rFonts w:ascii="Times New Roman" w:hAnsi="Times New Roman" w:cs="Times New Roman"/>
          <w:sz w:val="20"/>
          <w:szCs w:val="20"/>
        </w:rPr>
        <w:sectPr w:rsidR="00F96D35" w:rsidRPr="005A545C" w:rsidSect="005A545C">
          <w:type w:val="continuous"/>
          <w:pgSz w:w="11906" w:h="16838" w:code="9"/>
          <w:pgMar w:top="1094" w:right="605" w:bottom="605" w:left="605" w:header="0" w:footer="0" w:gutter="0"/>
          <w:cols w:num="2" w:space="708"/>
          <w:docGrid w:linePitch="360"/>
        </w:sectPr>
      </w:pPr>
    </w:p>
    <w:p w14:paraId="0221024F" w14:textId="7EDC9358" w:rsidR="002B26DA" w:rsidRPr="002B26DA" w:rsidRDefault="00C7688C" w:rsidP="005A545C">
      <w:pPr>
        <w:spacing w:line="240" w:lineRule="auto"/>
        <w:jc w:val="both"/>
        <w:rPr>
          <w:rFonts w:ascii="Times New Roman" w:hAnsi="Times New Roman" w:cs="Times New Roman"/>
          <w:b/>
          <w:bCs/>
          <w:sz w:val="28"/>
          <w:szCs w:val="28"/>
          <w:lang w:val="en-US"/>
        </w:rPr>
      </w:pPr>
      <w:r w:rsidRPr="002B26DA">
        <w:rPr>
          <w:rFonts w:ascii="Times New Roman" w:hAnsi="Times New Roman" w:cs="Times New Roman"/>
          <w:b/>
          <w:bCs/>
          <w:sz w:val="28"/>
          <w:szCs w:val="28"/>
        </w:rPr>
        <w:t>A</w:t>
      </w:r>
      <w:r w:rsidR="002B26DA" w:rsidRPr="002B26DA">
        <w:rPr>
          <w:rFonts w:ascii="Times New Roman" w:hAnsi="Times New Roman" w:cs="Times New Roman"/>
          <w:b/>
          <w:bCs/>
          <w:sz w:val="28"/>
          <w:szCs w:val="28"/>
        </w:rPr>
        <w:t>BSTRACT</w:t>
      </w:r>
      <w:r w:rsidR="00F96D35" w:rsidRPr="002B26DA">
        <w:rPr>
          <w:rFonts w:ascii="Times New Roman" w:hAnsi="Times New Roman" w:cs="Times New Roman"/>
          <w:b/>
          <w:bCs/>
          <w:sz w:val="28"/>
          <w:szCs w:val="28"/>
          <w:lang w:val="en-US"/>
        </w:rPr>
        <w:t xml:space="preserve"> </w:t>
      </w:r>
    </w:p>
    <w:p w14:paraId="352E2711" w14:textId="74E4A1D3" w:rsidR="00546C3B" w:rsidRPr="002B26DA" w:rsidRDefault="00F848C5" w:rsidP="005A545C">
      <w:p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This </w:t>
      </w:r>
      <w:r w:rsidR="006F2B34" w:rsidRPr="002B26DA">
        <w:rPr>
          <w:rFonts w:ascii="Times New Roman" w:hAnsi="Times New Roman" w:cs="Times New Roman"/>
          <w:sz w:val="24"/>
          <w:szCs w:val="24"/>
          <w:lang w:val="en-US"/>
        </w:rPr>
        <w:t>study</w:t>
      </w:r>
      <w:r w:rsidRPr="002B26DA">
        <w:rPr>
          <w:rFonts w:ascii="Times New Roman" w:hAnsi="Times New Roman" w:cs="Times New Roman"/>
          <w:sz w:val="24"/>
          <w:szCs w:val="24"/>
          <w:lang w:val="en-US"/>
        </w:rPr>
        <w:t xml:space="preserve"> provides a comprehensive geospatial assessment of flood susceptibility in the Lower Magat River Basin, focusing on the municipalities of Solano, Bayombong, Quezon, and </w:t>
      </w:r>
      <w:proofErr w:type="spellStart"/>
      <w:r w:rsidRPr="002B26DA">
        <w:rPr>
          <w:rFonts w:ascii="Times New Roman" w:hAnsi="Times New Roman" w:cs="Times New Roman"/>
          <w:sz w:val="24"/>
          <w:szCs w:val="24"/>
          <w:lang w:val="en-US"/>
        </w:rPr>
        <w:t>Bagabag</w:t>
      </w:r>
      <w:proofErr w:type="spellEnd"/>
      <w:r w:rsidRPr="002B26DA">
        <w:rPr>
          <w:rFonts w:ascii="Times New Roman" w:hAnsi="Times New Roman" w:cs="Times New Roman"/>
          <w:sz w:val="24"/>
          <w:szCs w:val="24"/>
          <w:lang w:val="en-US"/>
        </w:rPr>
        <w:t xml:space="preserve"> in Nueva Vizcaya. The study addresses the escalating threat of inundation by utilizing the Analytic Hierarchy Process (AHP) to evaluate and weight six critical parameters: distance to rivers, precipitation, elevation, slope, soil type, and land use/land cover (LULC). Results indicate that Distance to Rivers (36.1%) and Precipitation (25.4%) are the primary drivers of flood hazard in the region. The integration of these factors through weighted overlay analysis reveals a heterogeneous distribution of risk, with Solano exhibiting the most pervasive vulnerability, as 71.72% (48.04 sq.km) of its land area is classified as high susceptibility. In contrast, Bayombong and Quezon harbor the most extreme localized risks, with Barangays </w:t>
      </w:r>
      <w:proofErr w:type="spellStart"/>
      <w:r w:rsidRPr="002B26DA">
        <w:rPr>
          <w:rFonts w:ascii="Times New Roman" w:hAnsi="Times New Roman" w:cs="Times New Roman"/>
          <w:sz w:val="24"/>
          <w:szCs w:val="24"/>
          <w:lang w:val="en-US"/>
        </w:rPr>
        <w:t>Casat</w:t>
      </w:r>
      <w:proofErr w:type="spellEnd"/>
      <w:r w:rsidRPr="002B26DA">
        <w:rPr>
          <w:rFonts w:ascii="Times New Roman" w:hAnsi="Times New Roman" w:cs="Times New Roman"/>
          <w:sz w:val="24"/>
          <w:szCs w:val="24"/>
          <w:lang w:val="en-US"/>
        </w:rPr>
        <w:t xml:space="preserve">, </w:t>
      </w:r>
      <w:proofErr w:type="spellStart"/>
      <w:r w:rsidRPr="002B26DA">
        <w:rPr>
          <w:rFonts w:ascii="Times New Roman" w:hAnsi="Times New Roman" w:cs="Times New Roman"/>
          <w:sz w:val="24"/>
          <w:szCs w:val="24"/>
          <w:lang w:val="en-US"/>
        </w:rPr>
        <w:t>Darubba</w:t>
      </w:r>
      <w:proofErr w:type="spellEnd"/>
      <w:r w:rsidRPr="002B26DA">
        <w:rPr>
          <w:rFonts w:ascii="Times New Roman" w:hAnsi="Times New Roman" w:cs="Times New Roman"/>
          <w:sz w:val="24"/>
          <w:szCs w:val="24"/>
          <w:lang w:val="en-US"/>
        </w:rPr>
        <w:t xml:space="preserve">, and </w:t>
      </w:r>
      <w:proofErr w:type="spellStart"/>
      <w:r w:rsidRPr="002B26DA">
        <w:rPr>
          <w:rFonts w:ascii="Times New Roman" w:hAnsi="Times New Roman" w:cs="Times New Roman"/>
          <w:sz w:val="24"/>
          <w:szCs w:val="24"/>
          <w:lang w:val="en-US"/>
        </w:rPr>
        <w:t>Runruno</w:t>
      </w:r>
      <w:proofErr w:type="spellEnd"/>
      <w:r w:rsidRPr="002B26DA">
        <w:rPr>
          <w:rFonts w:ascii="Times New Roman" w:hAnsi="Times New Roman" w:cs="Times New Roman"/>
          <w:sz w:val="24"/>
          <w:szCs w:val="24"/>
          <w:lang w:val="en-US"/>
        </w:rPr>
        <w:t xml:space="preserve"> emerging as critical "Very High" hazard hotspots. The findings demonstrate that high-risk zones are concentrated within a 600-meter buffer of the Magat River, particularly where low-gradient slopes (0–5.8%) and heavy clay soils impede drainage. The study achieved a high consistency ratio (CR &lt; 0.10), validating the model's reliability for land-use planning. It is recommended that local government units integrate these susceptibility maps into their Comprehensive Land Use Plans (CLUP), enforce strict river easement zones, and implement nature-based solutions like reforestation to mitigate runoff. This research serves as a critical baseline for disaster risk reduction, providing a data-driven framework for enhancing community resilience against future flooding events.</w:t>
      </w:r>
    </w:p>
    <w:p w14:paraId="5EEABCA1" w14:textId="7086695A" w:rsidR="00A8300C" w:rsidRPr="002B26DA" w:rsidRDefault="00F96D35" w:rsidP="005A545C">
      <w:pPr>
        <w:spacing w:line="240" w:lineRule="auto"/>
        <w:rPr>
          <w:rFonts w:ascii="Times New Roman" w:hAnsi="Times New Roman" w:cs="Times New Roman"/>
          <w:sz w:val="24"/>
          <w:szCs w:val="24"/>
        </w:rPr>
      </w:pPr>
      <w:r w:rsidRPr="002B26DA">
        <w:rPr>
          <w:rFonts w:ascii="Times New Roman" w:hAnsi="Times New Roman" w:cs="Times New Roman"/>
          <w:b/>
          <w:bCs/>
          <w:sz w:val="24"/>
          <w:szCs w:val="24"/>
        </w:rPr>
        <w:t>Keywords</w:t>
      </w:r>
      <w:r w:rsidRPr="002B26DA">
        <w:rPr>
          <w:rFonts w:ascii="Times New Roman" w:hAnsi="Times New Roman" w:cs="Times New Roman"/>
          <w:sz w:val="24"/>
          <w:szCs w:val="24"/>
        </w:rPr>
        <w:t xml:space="preserve"> – </w:t>
      </w:r>
      <w:r w:rsidR="00F848C5" w:rsidRPr="002B26DA">
        <w:rPr>
          <w:rFonts w:ascii="Times New Roman" w:hAnsi="Times New Roman" w:cs="Times New Roman"/>
          <w:sz w:val="24"/>
          <w:szCs w:val="24"/>
        </w:rPr>
        <w:t>flood susceptibility mapping, analytic hierarchy process (AHP), weighted overlay analysis, Nueva Vizcaya, disaster risk reduction (DRR), land use planning</w:t>
      </w:r>
    </w:p>
    <w:p w14:paraId="5385D0B5" w14:textId="4F1D8810" w:rsidR="00B039A4" w:rsidRPr="002B26DA" w:rsidRDefault="00B039A4" w:rsidP="002B26DA">
      <w:pPr>
        <w:spacing w:line="240" w:lineRule="auto"/>
        <w:rPr>
          <w:rFonts w:ascii="Times New Roman" w:hAnsi="Times New Roman" w:cs="Times New Roman"/>
          <w:b/>
          <w:bCs/>
          <w:sz w:val="28"/>
          <w:szCs w:val="28"/>
        </w:rPr>
      </w:pPr>
      <w:r w:rsidRPr="002B26DA">
        <w:rPr>
          <w:rFonts w:ascii="Times New Roman" w:hAnsi="Times New Roman" w:cs="Times New Roman"/>
          <w:b/>
          <w:bCs/>
          <w:sz w:val="28"/>
          <w:szCs w:val="28"/>
        </w:rPr>
        <w:t>INTRODUCTION</w:t>
      </w:r>
    </w:p>
    <w:p w14:paraId="4D10AD20" w14:textId="77777777" w:rsidR="00F848C5" w:rsidRPr="002B26DA" w:rsidRDefault="00F848C5" w:rsidP="005A545C">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Flooding is one of the most recurrent and destructive natural hazards in the Philippines, primarily due to the country’s geographic location within the Pacific typhoon belt and its exposure to intense monsoon rainfall and strong tropical cyclones. Each year, flooding causes significant damage to lives, infrastructure, agriculture, and local economies, particularly in river basin areas where settlements are concentrated near waterways. Effective flood hazard assessment and mapping are therefore essential tools for disaster risk reduction, land-use planning, and sustainable development, especially in flood-prone regions.</w:t>
      </w:r>
    </w:p>
    <w:p w14:paraId="13CE891B" w14:textId="77777777" w:rsidR="00F848C5" w:rsidRPr="002B26DA" w:rsidRDefault="00F848C5" w:rsidP="005A545C">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 xml:space="preserve">The Lower Magat River Basin, located in Nueva Vizcaya, is one of the areas frequently affected by flooding during the rainy season and periods of intense typhoon activity. Several municipalities within the basin, namely </w:t>
      </w:r>
      <w:proofErr w:type="spellStart"/>
      <w:r w:rsidRPr="002B26DA">
        <w:rPr>
          <w:rFonts w:ascii="Times New Roman" w:hAnsi="Times New Roman" w:cs="Times New Roman"/>
          <w:sz w:val="24"/>
          <w:szCs w:val="24"/>
        </w:rPr>
        <w:t>Bagabag</w:t>
      </w:r>
      <w:proofErr w:type="spellEnd"/>
      <w:r w:rsidRPr="002B26DA">
        <w:rPr>
          <w:rFonts w:ascii="Times New Roman" w:hAnsi="Times New Roman" w:cs="Times New Roman"/>
          <w:sz w:val="24"/>
          <w:szCs w:val="24"/>
        </w:rPr>
        <w:t xml:space="preserve">, Solano, Bayombong, and Quezon are traversed by tributaries such as the </w:t>
      </w:r>
      <w:proofErr w:type="spellStart"/>
      <w:r w:rsidRPr="002B26DA">
        <w:rPr>
          <w:rFonts w:ascii="Times New Roman" w:hAnsi="Times New Roman" w:cs="Times New Roman"/>
          <w:sz w:val="24"/>
          <w:szCs w:val="24"/>
        </w:rPr>
        <w:t>Nangalisan</w:t>
      </w:r>
      <w:proofErr w:type="spellEnd"/>
      <w:r w:rsidRPr="002B26DA">
        <w:rPr>
          <w:rFonts w:ascii="Times New Roman" w:hAnsi="Times New Roman" w:cs="Times New Roman"/>
          <w:sz w:val="24"/>
          <w:szCs w:val="24"/>
        </w:rPr>
        <w:t xml:space="preserve"> River, Lamut River, Sta. Cruz River, Bayombong River, as well as various creeks and seasonal rivers. These water systems, combined with low-lying topography and varying land cover conditions, contribute to increased flood susceptibility in the area. As population growth and land-use changes continue, the potential impacts of flooding are expected to intensify, highlighting the need for accurate and up-to-date flood hazard information.</w:t>
      </w:r>
    </w:p>
    <w:p w14:paraId="756E9A89" w14:textId="77777777" w:rsidR="00F848C5" w:rsidRPr="002B26DA" w:rsidRDefault="00F848C5" w:rsidP="005A545C">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 xml:space="preserve">Geospatial technologies, particularly Geographic Information Systems (GIS), have become vital tools in flood hazard assessment due to their ability to integrate, analyze, and visualize spatial data from multiple sources. GIS allows for systematic evaluation of physical and environmental factors that influence flooding, such as elevation, slope, precipitation, land cover, soil type, and proximity to river systems. By combining these parameters, flood hazard maps can be generated to identify areas with varying levels of flood risk. These maps serve as valuable </w:t>
      </w:r>
      <w:r w:rsidRPr="002B26DA">
        <w:rPr>
          <w:rFonts w:ascii="Times New Roman" w:hAnsi="Times New Roman" w:cs="Times New Roman"/>
          <w:sz w:val="24"/>
          <w:szCs w:val="24"/>
        </w:rPr>
        <w:lastRenderedPageBreak/>
        <w:t>references for local government units, planners, and disaster management agencies in formulating mitigation strategies and emergency preparedness plans.</w:t>
      </w:r>
    </w:p>
    <w:p w14:paraId="2F2B6FC8" w14:textId="77777777" w:rsidR="00F848C5" w:rsidRPr="002B26DA" w:rsidRDefault="00F848C5" w:rsidP="005A545C">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However, despite the availability of flood hazard maps for the Lower Magat River Basin, a critical gap exists in terms of the timeliness and relevance of the geospatial data being used. Information obtained from the Provincial Disaster Risk Reduction and Management Office (PDRRMO) and the Provincial Planning and Development Office (PPDO) indicates the most recent authoritative dataset is the 2015 MGB Hazard Map. Given the dynamic nature of flood-related factors including land-use changes, urban expansion, river morphology alterations, and climate variability these datasets may no longer accurately reflect present conditions on the ground. The continued reliance on outdated spatial information may lead to misinformed planning decisions, inefficient allocation of resources, and reduced effectiveness of flood mitigation strategies.</w:t>
      </w:r>
    </w:p>
    <w:p w14:paraId="306C28CB" w14:textId="77777777" w:rsidR="00F848C5" w:rsidRPr="002B26DA" w:rsidRDefault="00F848C5" w:rsidP="005A545C">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This gap underscores the need for an updated and more comprehensive flood hazard assessment that incorporates recent and higher-resolution spatial data. Addressing this limitation is crucial to improving the accuracy and reliability of flood risk identification and to ensuring that local government units are equipped with relevant and evidence-based tools for disaster preparedness and land-use planning.</w:t>
      </w:r>
    </w:p>
    <w:p w14:paraId="325FF801" w14:textId="77777777" w:rsidR="00F848C5" w:rsidRPr="002B26DA" w:rsidRDefault="00F848C5" w:rsidP="005A545C">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 xml:space="preserve">This study utilized GIS-based techniques to develop a contemporary flood hazard map for the tributaries of the Lower Magat River Basin. Updated secondary data, including digital elevation models, rainfall data, land use, and soil information, were processed using ArcGIS software and the Analytic Hierarchy Process (AHP). The analysis focuses on low-lying areas characterized by high susceptibility due to their topographic features and proximity to river networks. By bridging the gap between the 2015 baseline and present-day conditions, this research provide a scientifically grounded spatial assessment essential for improved flood risk management in Nueva Vizcaya. </w:t>
      </w:r>
    </w:p>
    <w:p w14:paraId="07DBB585" w14:textId="1B47F3C8" w:rsidR="00A952B1" w:rsidRPr="002B26DA" w:rsidRDefault="007601E3" w:rsidP="005A545C">
      <w:pPr>
        <w:spacing w:line="240" w:lineRule="auto"/>
        <w:jc w:val="both"/>
        <w:rPr>
          <w:rFonts w:ascii="Times New Roman" w:hAnsi="Times New Roman" w:cs="Times New Roman"/>
          <w:i/>
          <w:iCs/>
          <w:sz w:val="24"/>
          <w:szCs w:val="24"/>
        </w:rPr>
      </w:pPr>
      <w:r w:rsidRPr="002B26DA">
        <w:rPr>
          <w:rFonts w:ascii="Times New Roman" w:hAnsi="Times New Roman" w:cs="Times New Roman"/>
          <w:b/>
          <w:bCs/>
          <w:i/>
          <w:iCs/>
          <w:sz w:val="24"/>
          <w:szCs w:val="24"/>
          <w:lang w:val="en-US"/>
        </w:rPr>
        <w:t xml:space="preserve">A. </w:t>
      </w:r>
      <w:r w:rsidR="00A952B1" w:rsidRPr="002B26DA">
        <w:rPr>
          <w:rFonts w:ascii="Times New Roman" w:hAnsi="Times New Roman" w:cs="Times New Roman"/>
          <w:b/>
          <w:bCs/>
          <w:i/>
          <w:iCs/>
          <w:sz w:val="24"/>
          <w:szCs w:val="24"/>
          <w:lang w:val="en-US"/>
        </w:rPr>
        <w:t>Objective of the study</w:t>
      </w:r>
    </w:p>
    <w:p w14:paraId="70451EDD" w14:textId="3FCE4B04" w:rsidR="00A952B1" w:rsidRPr="002B26DA" w:rsidRDefault="00F848C5" w:rsidP="005A545C">
      <w:p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To assess the flood susceptibility of Nueva Vizcaya using GIS by identifying flood hazard zones, determining the key environmental and physical factors influencing flood risk, and developing a GIS-based flood hazard map.</w:t>
      </w:r>
    </w:p>
    <w:p w14:paraId="142F1AD6" w14:textId="1BE5B184" w:rsidR="0075126E" w:rsidRPr="002B26DA" w:rsidRDefault="00A952B1" w:rsidP="002B26DA">
      <w:pPr>
        <w:spacing w:line="240" w:lineRule="auto"/>
        <w:rPr>
          <w:rFonts w:ascii="Times New Roman" w:hAnsi="Times New Roman" w:cs="Times New Roman"/>
          <w:b/>
          <w:bCs/>
          <w:sz w:val="28"/>
          <w:szCs w:val="28"/>
        </w:rPr>
      </w:pPr>
      <w:r w:rsidRPr="002B26DA">
        <w:rPr>
          <w:rFonts w:ascii="Times New Roman" w:hAnsi="Times New Roman" w:cs="Times New Roman"/>
          <w:b/>
          <w:bCs/>
          <w:sz w:val="28"/>
          <w:szCs w:val="28"/>
        </w:rPr>
        <w:t>METHODS</w:t>
      </w:r>
    </w:p>
    <w:p w14:paraId="04BC20E9" w14:textId="60D964D3" w:rsidR="0075126E" w:rsidRPr="002B26DA" w:rsidRDefault="00DE0B3E" w:rsidP="005A545C">
      <w:pPr>
        <w:spacing w:line="240" w:lineRule="auto"/>
        <w:rPr>
          <w:rFonts w:ascii="Times New Roman" w:hAnsi="Times New Roman" w:cs="Times New Roman"/>
          <w:b/>
          <w:bCs/>
          <w:i/>
          <w:iCs/>
          <w:sz w:val="24"/>
          <w:szCs w:val="24"/>
        </w:rPr>
      </w:pPr>
      <w:r w:rsidRPr="002B26DA">
        <w:rPr>
          <w:rFonts w:ascii="Times New Roman" w:hAnsi="Times New Roman" w:cs="Times New Roman"/>
          <w:b/>
          <w:bCs/>
          <w:i/>
          <w:iCs/>
          <w:sz w:val="24"/>
          <w:szCs w:val="24"/>
        </w:rPr>
        <w:t xml:space="preserve">A. </w:t>
      </w:r>
      <w:r w:rsidR="0075126E" w:rsidRPr="002B26DA">
        <w:rPr>
          <w:rFonts w:ascii="Times New Roman" w:hAnsi="Times New Roman" w:cs="Times New Roman"/>
          <w:b/>
          <w:bCs/>
          <w:i/>
          <w:iCs/>
          <w:sz w:val="24"/>
          <w:szCs w:val="24"/>
        </w:rPr>
        <w:t>Research Design</w:t>
      </w:r>
    </w:p>
    <w:p w14:paraId="5A18C4C2" w14:textId="77777777" w:rsidR="00EC37BD" w:rsidRPr="002B26DA" w:rsidRDefault="00EC37BD" w:rsidP="005A545C">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 xml:space="preserve">This study employed a quantitative-evaluative research design using Geospatial Multi-Criteria Decision Analysis (MCDA) to assess flood hazard levels in the Lower Magat River Basin, Nueva Vizcaya. This design was appropriate as it allowed for the systematic integration of six key environmental and physical drivers, elevation, slope, land use/land cover, soil type, precipitation, and distance from rivers which collectively governed the hydrological response of the basin. To ensure high-resolution accuracy, secondary datasets were sourced from verified repositories: </w:t>
      </w:r>
      <w:proofErr w:type="spellStart"/>
      <w:r w:rsidRPr="002B26DA">
        <w:rPr>
          <w:rFonts w:ascii="Times New Roman" w:hAnsi="Times New Roman" w:cs="Times New Roman"/>
          <w:sz w:val="24"/>
          <w:szCs w:val="24"/>
        </w:rPr>
        <w:t>IfSAR</w:t>
      </w:r>
      <w:proofErr w:type="spellEnd"/>
      <w:r w:rsidRPr="002B26DA">
        <w:rPr>
          <w:rFonts w:ascii="Times New Roman" w:hAnsi="Times New Roman" w:cs="Times New Roman"/>
          <w:sz w:val="24"/>
          <w:szCs w:val="24"/>
        </w:rPr>
        <w:t xml:space="preserve"> or SRTM-DEM for topographic derivatives (elevation and slope), Sentinel-2 imagery for land cover mapping, CHRS Data Portal for rainfall data, and FAO/UNESCO for soil parameters.</w:t>
      </w:r>
    </w:p>
    <w:p w14:paraId="03411ADA" w14:textId="77777777" w:rsidR="00EC37BD" w:rsidRPr="002B26DA" w:rsidRDefault="00EC37BD" w:rsidP="005A545C">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The core of the methodology utilized the Analytic Hierarchy Process (AHP) to determine the relative influence of each parameter. Through a pairwise comparison matrix, weights were assigned to each factor for instance, prioritizing high precipitation and low elevation as dominant drivers of inundation while ensuring a Consistency Ratio (CR) of less than 0.10 to maintain mathematical rigor. These parameters were processed as standardized thematic layers in ArcGIS and integrated using the Weighted Linear Combination (WLC) method. This process calculated a Flood Susceptibility Index for every pixel in the study area, which was then categorized into low, moderate, and high hazard zones using the Natural Breaks (Jenks) classification method.</w:t>
      </w:r>
    </w:p>
    <w:p w14:paraId="45B25D75" w14:textId="77777777" w:rsidR="00EC37BD" w:rsidRPr="002B26DA" w:rsidRDefault="00EC37BD" w:rsidP="005A545C">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To validate the model's reliability, the research design incorporated a spatial verification phase where the generated hazard map was cross-referenced with historical flood footprints and GPS-tagged disaster records from the PDRRMO of Nueva Vizcaya. This evaluative approach ensured that the “Basis for Developing Flood Hazard Map” cited in the title was scientifically grounded. The final output was designed as a high-resolution decision-support tool for local government units and disaster management agencies, providing an evidence-based framework for land-use zoning, infrastructure prioritization, and sustainable disaster risk reduction strategies within the Lower Magat River Basin.</w:t>
      </w:r>
    </w:p>
    <w:p w14:paraId="00D7EB1E" w14:textId="382D8775" w:rsidR="00A8300C" w:rsidRPr="002B26DA" w:rsidRDefault="00DE0B3E" w:rsidP="005A545C">
      <w:pPr>
        <w:spacing w:line="240" w:lineRule="auto"/>
        <w:jc w:val="both"/>
        <w:rPr>
          <w:rFonts w:ascii="Times New Roman" w:hAnsi="Times New Roman" w:cs="Times New Roman"/>
          <w:b/>
          <w:bCs/>
          <w:i/>
          <w:iCs/>
          <w:sz w:val="24"/>
          <w:szCs w:val="24"/>
          <w:lang w:val="en-US"/>
        </w:rPr>
      </w:pPr>
      <w:r w:rsidRPr="002B26DA">
        <w:rPr>
          <w:rFonts w:ascii="Times New Roman" w:hAnsi="Times New Roman" w:cs="Times New Roman"/>
          <w:b/>
          <w:bCs/>
          <w:i/>
          <w:iCs/>
          <w:sz w:val="24"/>
          <w:szCs w:val="24"/>
          <w:lang w:val="en-US"/>
        </w:rPr>
        <w:t xml:space="preserve">B. </w:t>
      </w:r>
      <w:r w:rsidR="00A8300C" w:rsidRPr="002B26DA">
        <w:rPr>
          <w:rFonts w:ascii="Times New Roman" w:hAnsi="Times New Roman" w:cs="Times New Roman"/>
          <w:b/>
          <w:bCs/>
          <w:i/>
          <w:iCs/>
          <w:sz w:val="24"/>
          <w:szCs w:val="24"/>
          <w:lang w:val="en-US"/>
        </w:rPr>
        <w:t>Conceptual Framework</w:t>
      </w:r>
    </w:p>
    <w:p w14:paraId="5B2D83D3" w14:textId="77777777" w:rsidR="0089751B" w:rsidRDefault="00A8300C" w:rsidP="005A545C">
      <w:p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ab/>
      </w:r>
      <w:r w:rsidR="00EC37BD" w:rsidRPr="002B26DA">
        <w:rPr>
          <w:rFonts w:ascii="Times New Roman" w:hAnsi="Times New Roman" w:cs="Times New Roman"/>
          <w:sz w:val="24"/>
          <w:szCs w:val="24"/>
          <w:lang w:val="en-US"/>
        </w:rPr>
        <w:t>Figure 1 shows the conceptual framework of the study. This research adopted the Input–Process–Output (IPO) Framework to illustrate the development of a GIS-based flood hazard map for Nueva Vizcaya. The input consists of six flood-conditioning factors: elevation, slope, precipitation, land use/land cover (LULC), soil type, and distance from rivers, derived from various geospatial and remote sensing data sources. These datasets were processed using Geographic Information System (GIS) techniques, including raster conversion, reclassification, and standardization. The Analytical Hierarchy Process (AHP) was then employed to assign weights to each factor, followed by the weighted overlay analysis in ArcGIS 10.3 to integrate the thematic layers. The output of the study is a GIS-based flood hazard map that classifies the Province of Nueva Vizcaya into low, moderate, and high flood susceptibility zones.</w:t>
      </w:r>
    </w:p>
    <w:p w14:paraId="302C59BC" w14:textId="044786E5" w:rsidR="00446BEA" w:rsidRPr="0089751B" w:rsidRDefault="0089751B" w:rsidP="0089751B">
      <w:pPr>
        <w:spacing w:line="240" w:lineRule="auto"/>
        <w:rPr>
          <w:rFonts w:ascii="Times New Roman" w:hAnsi="Times New Roman" w:cs="Times New Roman"/>
          <w:b/>
          <w:bCs/>
          <w:sz w:val="24"/>
          <w:szCs w:val="24"/>
        </w:rPr>
      </w:pPr>
      <w:r w:rsidRPr="0089751B">
        <w:rPr>
          <w:rFonts w:ascii="Times New Roman" w:hAnsi="Times New Roman" w:cs="Times New Roman"/>
          <w:b/>
          <w:bCs/>
          <w:sz w:val="24"/>
          <w:szCs w:val="24"/>
        </w:rPr>
        <w:t>Figure 1: Conceptual Framework of the study</w:t>
      </w:r>
      <w:r w:rsidR="00A52C56" w:rsidRPr="0089751B">
        <w:rPr>
          <w:rFonts w:ascii="Times New Roman" w:hAnsi="Times New Roman" w:cs="Times New Roman"/>
          <w:b/>
          <w:bCs/>
          <w:sz w:val="24"/>
          <w:szCs w:val="24"/>
        </w:rPr>
        <w:t xml:space="preserve">    </w:t>
      </w:r>
      <w:r w:rsidR="006351B5" w:rsidRPr="0089751B">
        <w:rPr>
          <w:rFonts w:ascii="Times New Roman" w:hAnsi="Times New Roman" w:cs="Times New Roman"/>
          <w:b/>
          <w:bCs/>
          <w:sz w:val="24"/>
          <w:szCs w:val="24"/>
        </w:rPr>
        <w:t xml:space="preserve">     </w:t>
      </w:r>
      <w:r w:rsidR="00BA5F3F" w:rsidRPr="0089751B">
        <w:rPr>
          <w:rFonts w:ascii="Times New Roman" w:hAnsi="Times New Roman" w:cs="Times New Roman"/>
          <w:b/>
          <w:bCs/>
          <w:sz w:val="24"/>
          <w:szCs w:val="24"/>
        </w:rPr>
        <w:t xml:space="preserve">  </w:t>
      </w:r>
    </w:p>
    <w:p w14:paraId="1112BAFC" w14:textId="0CD5F7B3" w:rsidR="00A8300C" w:rsidRPr="002B26DA" w:rsidRDefault="006351B5" w:rsidP="005A545C">
      <w:pPr>
        <w:spacing w:line="240" w:lineRule="auto"/>
        <w:jc w:val="both"/>
        <w:rPr>
          <w:rFonts w:ascii="Times New Roman" w:hAnsi="Times New Roman" w:cs="Times New Roman"/>
          <w:b/>
          <w:bCs/>
          <w:sz w:val="24"/>
          <w:szCs w:val="24"/>
        </w:rPr>
      </w:pPr>
      <w:r w:rsidRPr="002B26DA">
        <w:rPr>
          <w:rFonts w:ascii="Times New Roman" w:hAnsi="Times New Roman" w:cs="Times New Roman"/>
          <w:sz w:val="24"/>
          <w:szCs w:val="24"/>
        </w:rPr>
        <w:t xml:space="preserve"> </w:t>
      </w:r>
      <w:r w:rsidR="006976D6" w:rsidRPr="002B26DA">
        <w:rPr>
          <w:rFonts w:ascii="Times New Roman" w:hAnsi="Times New Roman" w:cs="Times New Roman"/>
          <w:sz w:val="24"/>
          <w:szCs w:val="24"/>
        </w:rPr>
        <w:t xml:space="preserve">   </w:t>
      </w:r>
      <w:r w:rsidR="00EC37BD" w:rsidRPr="002B26DA">
        <w:rPr>
          <w:rFonts w:ascii="Times New Roman" w:hAnsi="Times New Roman" w:cs="Times New Roman"/>
          <w:sz w:val="24"/>
          <w:szCs w:val="24"/>
        </w:rPr>
        <w:t xml:space="preserve">        </w:t>
      </w:r>
      <w:r w:rsidR="006976D6" w:rsidRPr="002B26DA">
        <w:rPr>
          <w:rFonts w:ascii="Times New Roman" w:hAnsi="Times New Roman" w:cs="Times New Roman"/>
          <w:sz w:val="24"/>
          <w:szCs w:val="24"/>
        </w:rPr>
        <w:t xml:space="preserve"> </w:t>
      </w:r>
      <w:r w:rsidR="0089751B">
        <w:rPr>
          <w:rFonts w:ascii="Times New Roman" w:hAnsi="Times New Roman" w:cs="Times New Roman"/>
          <w:sz w:val="24"/>
          <w:szCs w:val="24"/>
        </w:rPr>
        <w:tab/>
      </w:r>
      <w:r w:rsidR="00EC37BD" w:rsidRPr="002B26DA">
        <w:rPr>
          <w:rFonts w:ascii="Times New Roman" w:hAnsi="Times New Roman" w:cs="Times New Roman"/>
          <w:b/>
          <w:bCs/>
          <w:sz w:val="24"/>
          <w:szCs w:val="24"/>
        </w:rPr>
        <w:t>INPUT</w:t>
      </w:r>
      <w:r w:rsidR="00BA5F3F" w:rsidRPr="002B26DA">
        <w:rPr>
          <w:rFonts w:ascii="Times New Roman" w:hAnsi="Times New Roman" w:cs="Times New Roman"/>
          <w:b/>
          <w:bCs/>
          <w:sz w:val="24"/>
          <w:szCs w:val="24"/>
        </w:rPr>
        <w:t xml:space="preserve">              </w:t>
      </w:r>
      <w:r w:rsidR="006976D6" w:rsidRPr="002B26DA">
        <w:rPr>
          <w:rFonts w:ascii="Times New Roman" w:hAnsi="Times New Roman" w:cs="Times New Roman"/>
          <w:b/>
          <w:bCs/>
          <w:sz w:val="24"/>
          <w:szCs w:val="24"/>
        </w:rPr>
        <w:t xml:space="preserve">   </w:t>
      </w:r>
      <w:r w:rsidR="00BA5F3F" w:rsidRPr="002B26DA">
        <w:rPr>
          <w:rFonts w:ascii="Times New Roman" w:hAnsi="Times New Roman" w:cs="Times New Roman"/>
          <w:b/>
          <w:bCs/>
          <w:sz w:val="24"/>
          <w:szCs w:val="24"/>
        </w:rPr>
        <w:t xml:space="preserve"> </w:t>
      </w:r>
      <w:r w:rsidR="00EC37BD" w:rsidRPr="002B26DA">
        <w:rPr>
          <w:rFonts w:ascii="Times New Roman" w:hAnsi="Times New Roman" w:cs="Times New Roman"/>
          <w:b/>
          <w:bCs/>
          <w:sz w:val="24"/>
          <w:szCs w:val="24"/>
        </w:rPr>
        <w:t xml:space="preserve">        </w:t>
      </w:r>
      <w:r w:rsidR="0089751B">
        <w:rPr>
          <w:rFonts w:ascii="Times New Roman" w:hAnsi="Times New Roman" w:cs="Times New Roman"/>
          <w:b/>
          <w:bCs/>
          <w:sz w:val="24"/>
          <w:szCs w:val="24"/>
        </w:rPr>
        <w:tab/>
        <w:t xml:space="preserve">     </w:t>
      </w:r>
      <w:r w:rsidR="00EC37BD" w:rsidRPr="002B26DA">
        <w:rPr>
          <w:rFonts w:ascii="Times New Roman" w:hAnsi="Times New Roman" w:cs="Times New Roman"/>
          <w:b/>
          <w:bCs/>
          <w:sz w:val="24"/>
          <w:szCs w:val="24"/>
        </w:rPr>
        <w:t>PROCESS</w:t>
      </w:r>
      <w:r w:rsidRPr="002B26DA">
        <w:rPr>
          <w:rFonts w:ascii="Times New Roman" w:hAnsi="Times New Roman" w:cs="Times New Roman"/>
          <w:b/>
          <w:bCs/>
          <w:sz w:val="24"/>
          <w:szCs w:val="24"/>
        </w:rPr>
        <w:t xml:space="preserve">   </w:t>
      </w:r>
      <w:r w:rsidR="00BA5F3F" w:rsidRPr="002B26DA">
        <w:rPr>
          <w:rFonts w:ascii="Times New Roman" w:hAnsi="Times New Roman" w:cs="Times New Roman"/>
          <w:b/>
          <w:bCs/>
          <w:sz w:val="24"/>
          <w:szCs w:val="24"/>
        </w:rPr>
        <w:t xml:space="preserve">             </w:t>
      </w:r>
      <w:r w:rsidR="00EC37BD" w:rsidRPr="002B26DA">
        <w:rPr>
          <w:rFonts w:ascii="Times New Roman" w:hAnsi="Times New Roman" w:cs="Times New Roman"/>
          <w:b/>
          <w:bCs/>
          <w:sz w:val="24"/>
          <w:szCs w:val="24"/>
        </w:rPr>
        <w:t xml:space="preserve"> </w:t>
      </w:r>
      <w:r w:rsidR="0089751B">
        <w:rPr>
          <w:rFonts w:ascii="Times New Roman" w:hAnsi="Times New Roman" w:cs="Times New Roman"/>
          <w:b/>
          <w:bCs/>
          <w:sz w:val="24"/>
          <w:szCs w:val="24"/>
        </w:rPr>
        <w:tab/>
      </w:r>
      <w:r w:rsidR="0089751B">
        <w:rPr>
          <w:rFonts w:ascii="Times New Roman" w:hAnsi="Times New Roman" w:cs="Times New Roman"/>
          <w:b/>
          <w:bCs/>
          <w:sz w:val="24"/>
          <w:szCs w:val="24"/>
        </w:rPr>
        <w:tab/>
        <w:t xml:space="preserve">  </w:t>
      </w:r>
      <w:r w:rsidR="00EC37BD" w:rsidRPr="002B26DA">
        <w:rPr>
          <w:rFonts w:ascii="Times New Roman" w:hAnsi="Times New Roman" w:cs="Times New Roman"/>
          <w:b/>
          <w:bCs/>
          <w:sz w:val="24"/>
          <w:szCs w:val="24"/>
        </w:rPr>
        <w:t xml:space="preserve"> OUTPUT</w:t>
      </w:r>
    </w:p>
    <w:p w14:paraId="437A897E" w14:textId="2B6F4FCA" w:rsidR="00A52C56" w:rsidRPr="002B26DA" w:rsidRDefault="0089751B" w:rsidP="005A545C">
      <w:pPr>
        <w:spacing w:line="240" w:lineRule="auto"/>
        <w:jc w:val="both"/>
        <w:rPr>
          <w:rFonts w:ascii="Times New Roman" w:hAnsi="Times New Roman" w:cs="Times New Roman"/>
          <w:sz w:val="24"/>
          <w:szCs w:val="24"/>
        </w:rPr>
      </w:pPr>
      <w:r w:rsidRPr="002B26DA">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B43A97E" wp14:editId="3E1AECC0">
                <wp:simplePos x="0" y="0"/>
                <wp:positionH relativeFrom="column">
                  <wp:posOffset>2488565</wp:posOffset>
                </wp:positionH>
                <wp:positionV relativeFrom="paragraph">
                  <wp:posOffset>13970</wp:posOffset>
                </wp:positionV>
                <wp:extent cx="1645920" cy="2834640"/>
                <wp:effectExtent l="0" t="0" r="11430" b="22860"/>
                <wp:wrapNone/>
                <wp:docPr id="918209619" name="Rectangle 3"/>
                <wp:cNvGraphicFramePr/>
                <a:graphic xmlns:a="http://schemas.openxmlformats.org/drawingml/2006/main">
                  <a:graphicData uri="http://schemas.microsoft.com/office/word/2010/wordprocessingShape">
                    <wps:wsp>
                      <wps:cNvSpPr/>
                      <wps:spPr>
                        <a:xfrm>
                          <a:off x="0" y="0"/>
                          <a:ext cx="1645920" cy="2834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12BEB3" w14:textId="5C694832" w:rsidR="00EC37BD" w:rsidRPr="0089751B" w:rsidRDefault="00EC37BD" w:rsidP="00EC37BD">
                            <w:pPr>
                              <w:rPr>
                                <w:rFonts w:ascii="Times New Roman" w:hAnsi="Times New Roman" w:cs="Times New Roman"/>
                                <w:sz w:val="24"/>
                                <w:szCs w:val="24"/>
                                <w:lang w:val="en-US"/>
                              </w:rPr>
                            </w:pPr>
                            <w:r w:rsidRPr="0089751B">
                              <w:rPr>
                                <w:rFonts w:ascii="Times New Roman" w:hAnsi="Times New Roman" w:cs="Times New Roman"/>
                                <w:sz w:val="24"/>
                                <w:szCs w:val="24"/>
                                <w:lang w:val="en-US"/>
                              </w:rPr>
                              <w:t>Data Collection and Preparation</w:t>
                            </w:r>
                          </w:p>
                          <w:p w14:paraId="774CC4A5" w14:textId="1D07AE51" w:rsidR="00EC37BD" w:rsidRPr="0089751B" w:rsidRDefault="00EC37BD" w:rsidP="00EC37BD">
                            <w:pPr>
                              <w:rPr>
                                <w:rFonts w:ascii="Times New Roman" w:hAnsi="Times New Roman" w:cs="Times New Roman"/>
                                <w:sz w:val="24"/>
                                <w:szCs w:val="24"/>
                                <w:lang w:val="en-US"/>
                              </w:rPr>
                            </w:pPr>
                            <w:r w:rsidRPr="0089751B">
                              <w:rPr>
                                <w:rFonts w:ascii="Times New Roman" w:hAnsi="Times New Roman" w:cs="Times New Roman"/>
                                <w:sz w:val="24"/>
                                <w:szCs w:val="24"/>
                                <w:lang w:val="en-US"/>
                              </w:rPr>
                              <w:t>Data Processing and Analysis</w:t>
                            </w:r>
                          </w:p>
                          <w:p w14:paraId="1A09ED58" w14:textId="431F1326" w:rsidR="006351B5" w:rsidRPr="0089751B" w:rsidRDefault="00EC37BD" w:rsidP="00EC37BD">
                            <w:pPr>
                              <w:rPr>
                                <w:sz w:val="24"/>
                                <w:szCs w:val="24"/>
                              </w:rPr>
                            </w:pPr>
                            <w:r w:rsidRPr="0089751B">
                              <w:rPr>
                                <w:rFonts w:ascii="Times New Roman" w:hAnsi="Times New Roman" w:cs="Times New Roman"/>
                                <w:sz w:val="24"/>
                                <w:szCs w:val="24"/>
                                <w:lang w:val="en-US"/>
                              </w:rPr>
                              <w:t>Validation and Accuracy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3A97E" id="Rectangle 3" o:spid="_x0000_s1026" style="position:absolute;left:0;text-align:left;margin-left:195.95pt;margin-top:1.1pt;width:129.6pt;height:2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" fillcolor="white [3201]" strokecolor="black [3213]" strokeweight="1pt">
                <v:textbox>
                  <w:txbxContent>
                    <w:p w14:paraId="7712BEB3" w14:textId="5C694832" w:rsidR="00EC37BD" w:rsidRPr="0089751B" w:rsidRDefault="00EC37BD" w:rsidP="00EC37BD">
                      <w:pPr>
                        <w:rPr>
                          <w:rFonts w:ascii="Times New Roman" w:hAnsi="Times New Roman" w:cs="Times New Roman"/>
                          <w:sz w:val="24"/>
                          <w:szCs w:val="24"/>
                          <w:lang w:val="en-US"/>
                        </w:rPr>
                      </w:pPr>
                      <w:r w:rsidRPr="0089751B">
                        <w:rPr>
                          <w:rFonts w:ascii="Times New Roman" w:hAnsi="Times New Roman" w:cs="Times New Roman"/>
                          <w:sz w:val="24"/>
                          <w:szCs w:val="24"/>
                          <w:lang w:val="en-US"/>
                        </w:rPr>
                        <w:t>Data Collection and Preparation</w:t>
                      </w:r>
                    </w:p>
                    <w:p w14:paraId="774CC4A5" w14:textId="1D07AE51" w:rsidR="00EC37BD" w:rsidRPr="0089751B" w:rsidRDefault="00EC37BD" w:rsidP="00EC37BD">
                      <w:pPr>
                        <w:rPr>
                          <w:rFonts w:ascii="Times New Roman" w:hAnsi="Times New Roman" w:cs="Times New Roman"/>
                          <w:sz w:val="24"/>
                          <w:szCs w:val="24"/>
                          <w:lang w:val="en-US"/>
                        </w:rPr>
                      </w:pPr>
                      <w:r w:rsidRPr="0089751B">
                        <w:rPr>
                          <w:rFonts w:ascii="Times New Roman" w:hAnsi="Times New Roman" w:cs="Times New Roman"/>
                          <w:sz w:val="24"/>
                          <w:szCs w:val="24"/>
                          <w:lang w:val="en-US"/>
                        </w:rPr>
                        <w:t>Data Processing and Analysis</w:t>
                      </w:r>
                    </w:p>
                    <w:p w14:paraId="1A09ED58" w14:textId="431F1326" w:rsidR="006351B5" w:rsidRPr="0089751B" w:rsidRDefault="00EC37BD" w:rsidP="00EC37BD">
                      <w:pPr>
                        <w:rPr>
                          <w:sz w:val="24"/>
                          <w:szCs w:val="24"/>
                        </w:rPr>
                      </w:pPr>
                      <w:r w:rsidRPr="0089751B">
                        <w:rPr>
                          <w:rFonts w:ascii="Times New Roman" w:hAnsi="Times New Roman" w:cs="Times New Roman"/>
                          <w:sz w:val="24"/>
                          <w:szCs w:val="24"/>
                          <w:lang w:val="en-US"/>
                        </w:rPr>
                        <w:t>Validation and Accuracy Assessment</w:t>
                      </w:r>
                    </w:p>
                  </w:txbxContent>
                </v:textbox>
              </v:rect>
            </w:pict>
          </mc:Fallback>
        </mc:AlternateContent>
      </w:r>
      <w:r w:rsidRPr="002B26DA">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589DCE3" wp14:editId="760218EF">
                <wp:simplePos x="0" y="0"/>
                <wp:positionH relativeFrom="column">
                  <wp:posOffset>4711065</wp:posOffset>
                </wp:positionH>
                <wp:positionV relativeFrom="paragraph">
                  <wp:posOffset>11430</wp:posOffset>
                </wp:positionV>
                <wp:extent cx="1645920" cy="2834640"/>
                <wp:effectExtent l="0" t="0" r="11430" b="22860"/>
                <wp:wrapNone/>
                <wp:docPr id="1507666851" name="Rectangle 3"/>
                <wp:cNvGraphicFramePr/>
                <a:graphic xmlns:a="http://schemas.openxmlformats.org/drawingml/2006/main">
                  <a:graphicData uri="http://schemas.microsoft.com/office/word/2010/wordprocessingShape">
                    <wps:wsp>
                      <wps:cNvSpPr/>
                      <wps:spPr>
                        <a:xfrm>
                          <a:off x="0" y="0"/>
                          <a:ext cx="1645920" cy="2834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1BF7CF" w14:textId="053B2FDC" w:rsidR="006351B5" w:rsidRPr="0089751B" w:rsidRDefault="00EC37BD" w:rsidP="003561B6">
                            <w:pPr>
                              <w:jc w:val="center"/>
                              <w:rPr>
                                <w:sz w:val="24"/>
                                <w:szCs w:val="24"/>
                              </w:rPr>
                            </w:pPr>
                            <w:r w:rsidRPr="0089751B">
                              <w:rPr>
                                <w:rFonts w:ascii="Times New Roman" w:hAnsi="Times New Roman" w:cs="Times New Roman"/>
                                <w:sz w:val="24"/>
                                <w:szCs w:val="24"/>
                              </w:rPr>
                              <w:t>Flood Hazard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9DCE3" id="_x0000_s1027" style="position:absolute;left:0;text-align:left;margin-left:370.95pt;margin-top:.9pt;width:129.6pt;height:2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" fillcolor="white [3201]" strokecolor="black [3213]" strokeweight="1pt">
                <v:textbox>
                  <w:txbxContent>
                    <w:p w14:paraId="471BF7CF" w14:textId="053B2FDC" w:rsidR="006351B5" w:rsidRPr="0089751B" w:rsidRDefault="00EC37BD" w:rsidP="003561B6">
                      <w:pPr>
                        <w:jc w:val="center"/>
                        <w:rPr>
                          <w:sz w:val="24"/>
                          <w:szCs w:val="24"/>
                        </w:rPr>
                      </w:pPr>
                      <w:r w:rsidRPr="0089751B">
                        <w:rPr>
                          <w:rFonts w:ascii="Times New Roman" w:hAnsi="Times New Roman" w:cs="Times New Roman"/>
                          <w:sz w:val="24"/>
                          <w:szCs w:val="24"/>
                        </w:rPr>
                        <w:t>Flood Hazard Map</w:t>
                      </w:r>
                    </w:p>
                  </w:txbxContent>
                </v:textbox>
              </v:rect>
            </w:pict>
          </mc:Fallback>
        </mc:AlternateContent>
      </w:r>
      <w:r w:rsidR="009A268C" w:rsidRPr="002B26D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2FC5413" wp14:editId="170BBE8C">
                <wp:simplePos x="0" y="0"/>
                <wp:positionH relativeFrom="column">
                  <wp:posOffset>233045</wp:posOffset>
                </wp:positionH>
                <wp:positionV relativeFrom="paragraph">
                  <wp:posOffset>13970</wp:posOffset>
                </wp:positionV>
                <wp:extent cx="1645920" cy="2834640"/>
                <wp:effectExtent l="0" t="0" r="11430" b="22860"/>
                <wp:wrapNone/>
                <wp:docPr id="1692018054" name="Rectangle 3"/>
                <wp:cNvGraphicFramePr/>
                <a:graphic xmlns:a="http://schemas.openxmlformats.org/drawingml/2006/main">
                  <a:graphicData uri="http://schemas.microsoft.com/office/word/2010/wordprocessingShape">
                    <wps:wsp>
                      <wps:cNvSpPr/>
                      <wps:spPr>
                        <a:xfrm>
                          <a:off x="0" y="0"/>
                          <a:ext cx="1645920" cy="2834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DD907F" w14:textId="77777777" w:rsidR="009A268C" w:rsidRPr="0089751B" w:rsidRDefault="009A268C" w:rsidP="0089751B">
                            <w:pPr>
                              <w:pStyle w:val="ListParagraph"/>
                              <w:numPr>
                                <w:ilvl w:val="0"/>
                                <w:numId w:val="21"/>
                              </w:numPr>
                              <w:rPr>
                                <w:rFonts w:ascii="Times New Roman" w:hAnsi="Times New Roman" w:cs="Times New Roman"/>
                                <w:sz w:val="24"/>
                                <w:szCs w:val="24"/>
                                <w:lang w:val="en-US"/>
                              </w:rPr>
                            </w:pPr>
                            <w:r w:rsidRPr="0089751B">
                              <w:rPr>
                                <w:rFonts w:ascii="Times New Roman" w:hAnsi="Times New Roman" w:cs="Times New Roman"/>
                                <w:sz w:val="24"/>
                                <w:szCs w:val="24"/>
                                <w:lang w:val="en-US"/>
                              </w:rPr>
                              <w:t>Digital Elevation Model (DEM)</w:t>
                            </w:r>
                          </w:p>
                          <w:p w14:paraId="26FD2CBC" w14:textId="77777777" w:rsidR="009A268C" w:rsidRPr="0089751B" w:rsidRDefault="009A268C" w:rsidP="0089751B">
                            <w:pPr>
                              <w:pStyle w:val="ListParagraph"/>
                              <w:numPr>
                                <w:ilvl w:val="0"/>
                                <w:numId w:val="21"/>
                              </w:numPr>
                              <w:rPr>
                                <w:rFonts w:ascii="Times New Roman" w:hAnsi="Times New Roman" w:cs="Times New Roman"/>
                                <w:sz w:val="24"/>
                                <w:szCs w:val="24"/>
                                <w:lang w:val="en-US"/>
                              </w:rPr>
                            </w:pPr>
                            <w:r w:rsidRPr="0089751B">
                              <w:rPr>
                                <w:rFonts w:ascii="Times New Roman" w:hAnsi="Times New Roman" w:cs="Times New Roman"/>
                                <w:sz w:val="24"/>
                                <w:szCs w:val="24"/>
                                <w:lang w:val="en-US"/>
                              </w:rPr>
                              <w:t>Rainfall data</w:t>
                            </w:r>
                          </w:p>
                          <w:p w14:paraId="59A9DE8B" w14:textId="77777777" w:rsidR="009A268C" w:rsidRPr="0089751B" w:rsidRDefault="009A268C" w:rsidP="0089751B">
                            <w:pPr>
                              <w:pStyle w:val="ListParagraph"/>
                              <w:numPr>
                                <w:ilvl w:val="0"/>
                                <w:numId w:val="21"/>
                              </w:numPr>
                              <w:rPr>
                                <w:rFonts w:ascii="Times New Roman" w:hAnsi="Times New Roman" w:cs="Times New Roman"/>
                                <w:sz w:val="24"/>
                                <w:szCs w:val="24"/>
                                <w:lang w:val="en-US"/>
                              </w:rPr>
                            </w:pPr>
                            <w:r w:rsidRPr="0089751B">
                              <w:rPr>
                                <w:rFonts w:ascii="Times New Roman" w:hAnsi="Times New Roman" w:cs="Times New Roman"/>
                                <w:sz w:val="24"/>
                                <w:szCs w:val="24"/>
                                <w:lang w:val="en-US"/>
                              </w:rPr>
                              <w:t xml:space="preserve">Land cover/land use </w:t>
                            </w:r>
                          </w:p>
                          <w:p w14:paraId="64CB67D1" w14:textId="77777777" w:rsidR="009A268C" w:rsidRPr="0089751B" w:rsidRDefault="009A268C" w:rsidP="0089751B">
                            <w:pPr>
                              <w:pStyle w:val="ListParagraph"/>
                              <w:numPr>
                                <w:ilvl w:val="0"/>
                                <w:numId w:val="21"/>
                              </w:numPr>
                              <w:rPr>
                                <w:rFonts w:ascii="Times New Roman" w:hAnsi="Times New Roman" w:cs="Times New Roman"/>
                                <w:sz w:val="24"/>
                                <w:szCs w:val="24"/>
                                <w:lang w:val="en-US"/>
                              </w:rPr>
                            </w:pPr>
                            <w:r w:rsidRPr="0089751B">
                              <w:rPr>
                                <w:rFonts w:ascii="Times New Roman" w:hAnsi="Times New Roman" w:cs="Times New Roman"/>
                                <w:sz w:val="24"/>
                                <w:szCs w:val="24"/>
                                <w:lang w:val="en-US"/>
                              </w:rPr>
                              <w:t>Soil type maps</w:t>
                            </w:r>
                          </w:p>
                          <w:p w14:paraId="6A5A9749" w14:textId="77777777" w:rsidR="009A268C" w:rsidRPr="009A268C" w:rsidRDefault="009A268C" w:rsidP="0089751B">
                            <w:pPr>
                              <w:pStyle w:val="ListParagraph"/>
                              <w:numPr>
                                <w:ilvl w:val="0"/>
                                <w:numId w:val="21"/>
                              </w:numPr>
                              <w:rPr>
                                <w:rFonts w:ascii="Times New Roman" w:hAnsi="Times New Roman" w:cs="Times New Roman"/>
                                <w:sz w:val="24"/>
                                <w:szCs w:val="24"/>
                                <w:lang w:val="en-US"/>
                              </w:rPr>
                            </w:pPr>
                            <w:r w:rsidRPr="009A268C">
                              <w:rPr>
                                <w:rFonts w:ascii="Times New Roman" w:hAnsi="Times New Roman" w:cs="Times New Roman"/>
                                <w:sz w:val="24"/>
                                <w:szCs w:val="24"/>
                                <w:lang w:val="en-US"/>
                              </w:rPr>
                              <w:t xml:space="preserve">River and tributary network </w:t>
                            </w:r>
                          </w:p>
                          <w:p w14:paraId="306ACDF9" w14:textId="77777777" w:rsidR="009A268C" w:rsidRPr="009A268C" w:rsidRDefault="009A268C" w:rsidP="0089751B">
                            <w:pPr>
                              <w:pStyle w:val="ListParagraph"/>
                              <w:numPr>
                                <w:ilvl w:val="0"/>
                                <w:numId w:val="21"/>
                              </w:numPr>
                              <w:rPr>
                                <w:rFonts w:ascii="Times New Roman" w:hAnsi="Times New Roman" w:cs="Times New Roman"/>
                                <w:sz w:val="24"/>
                                <w:szCs w:val="24"/>
                                <w:lang w:val="en-US"/>
                              </w:rPr>
                            </w:pPr>
                            <w:r w:rsidRPr="009A268C">
                              <w:rPr>
                                <w:rFonts w:ascii="Times New Roman" w:hAnsi="Times New Roman" w:cs="Times New Roman"/>
                                <w:sz w:val="24"/>
                                <w:szCs w:val="24"/>
                                <w:lang w:val="en-US"/>
                              </w:rPr>
                              <w:t>Administrative boundary shapefiles</w:t>
                            </w:r>
                          </w:p>
                          <w:p w14:paraId="35FEA427" w14:textId="2473EFF2" w:rsidR="00A52C56" w:rsidRDefault="00E63319" w:rsidP="00A52C56">
                            <w:pPr>
                              <w:pStyle w:val="NoSpacing"/>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C5413" id="_x0000_s1028" style="position:absolute;left:0;text-align:left;margin-left:18.35pt;margin-top:1.1pt;width:129.6pt;height:2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" fillcolor="white [3201]" strokecolor="black [3213]" strokeweight="1pt">
                <v:textbox>
                  <w:txbxContent>
                    <w:p w14:paraId="38DD907F" w14:textId="77777777" w:rsidR="009A268C" w:rsidRPr="0089751B" w:rsidRDefault="009A268C" w:rsidP="0089751B">
                      <w:pPr>
                        <w:pStyle w:val="ListParagraph"/>
                        <w:numPr>
                          <w:ilvl w:val="0"/>
                          <w:numId w:val="21"/>
                        </w:numPr>
                        <w:rPr>
                          <w:rFonts w:ascii="Times New Roman" w:hAnsi="Times New Roman" w:cs="Times New Roman"/>
                          <w:sz w:val="24"/>
                          <w:szCs w:val="24"/>
                          <w:lang w:val="en-US"/>
                        </w:rPr>
                      </w:pPr>
                      <w:r w:rsidRPr="0089751B">
                        <w:rPr>
                          <w:rFonts w:ascii="Times New Roman" w:hAnsi="Times New Roman" w:cs="Times New Roman"/>
                          <w:sz w:val="24"/>
                          <w:szCs w:val="24"/>
                          <w:lang w:val="en-US"/>
                        </w:rPr>
                        <w:t>Digital Elevation Model (DEM)</w:t>
                      </w:r>
                    </w:p>
                    <w:p w14:paraId="26FD2CBC" w14:textId="77777777" w:rsidR="009A268C" w:rsidRPr="0089751B" w:rsidRDefault="009A268C" w:rsidP="0089751B">
                      <w:pPr>
                        <w:pStyle w:val="ListParagraph"/>
                        <w:numPr>
                          <w:ilvl w:val="0"/>
                          <w:numId w:val="21"/>
                        </w:numPr>
                        <w:rPr>
                          <w:rFonts w:ascii="Times New Roman" w:hAnsi="Times New Roman" w:cs="Times New Roman"/>
                          <w:sz w:val="24"/>
                          <w:szCs w:val="24"/>
                          <w:lang w:val="en-US"/>
                        </w:rPr>
                      </w:pPr>
                      <w:r w:rsidRPr="0089751B">
                        <w:rPr>
                          <w:rFonts w:ascii="Times New Roman" w:hAnsi="Times New Roman" w:cs="Times New Roman"/>
                          <w:sz w:val="24"/>
                          <w:szCs w:val="24"/>
                          <w:lang w:val="en-US"/>
                        </w:rPr>
                        <w:t>Rainfall data</w:t>
                      </w:r>
                    </w:p>
                    <w:p w14:paraId="59A9DE8B" w14:textId="77777777" w:rsidR="009A268C" w:rsidRPr="0089751B" w:rsidRDefault="009A268C" w:rsidP="0089751B">
                      <w:pPr>
                        <w:pStyle w:val="ListParagraph"/>
                        <w:numPr>
                          <w:ilvl w:val="0"/>
                          <w:numId w:val="21"/>
                        </w:numPr>
                        <w:rPr>
                          <w:rFonts w:ascii="Times New Roman" w:hAnsi="Times New Roman" w:cs="Times New Roman"/>
                          <w:sz w:val="24"/>
                          <w:szCs w:val="24"/>
                          <w:lang w:val="en-US"/>
                        </w:rPr>
                      </w:pPr>
                      <w:r w:rsidRPr="0089751B">
                        <w:rPr>
                          <w:rFonts w:ascii="Times New Roman" w:hAnsi="Times New Roman" w:cs="Times New Roman"/>
                          <w:sz w:val="24"/>
                          <w:szCs w:val="24"/>
                          <w:lang w:val="en-US"/>
                        </w:rPr>
                        <w:t xml:space="preserve">Land cover/land use </w:t>
                      </w:r>
                    </w:p>
                    <w:p w14:paraId="64CB67D1" w14:textId="77777777" w:rsidR="009A268C" w:rsidRPr="0089751B" w:rsidRDefault="009A268C" w:rsidP="0089751B">
                      <w:pPr>
                        <w:pStyle w:val="ListParagraph"/>
                        <w:numPr>
                          <w:ilvl w:val="0"/>
                          <w:numId w:val="21"/>
                        </w:numPr>
                        <w:rPr>
                          <w:rFonts w:ascii="Times New Roman" w:hAnsi="Times New Roman" w:cs="Times New Roman"/>
                          <w:sz w:val="24"/>
                          <w:szCs w:val="24"/>
                          <w:lang w:val="en-US"/>
                        </w:rPr>
                      </w:pPr>
                      <w:r w:rsidRPr="0089751B">
                        <w:rPr>
                          <w:rFonts w:ascii="Times New Roman" w:hAnsi="Times New Roman" w:cs="Times New Roman"/>
                          <w:sz w:val="24"/>
                          <w:szCs w:val="24"/>
                          <w:lang w:val="en-US"/>
                        </w:rPr>
                        <w:t>Soil type maps</w:t>
                      </w:r>
                    </w:p>
                    <w:p w14:paraId="6A5A9749" w14:textId="77777777" w:rsidR="009A268C" w:rsidRPr="009A268C" w:rsidRDefault="009A268C" w:rsidP="0089751B">
                      <w:pPr>
                        <w:pStyle w:val="ListParagraph"/>
                        <w:numPr>
                          <w:ilvl w:val="0"/>
                          <w:numId w:val="21"/>
                        </w:numPr>
                        <w:rPr>
                          <w:rFonts w:ascii="Times New Roman" w:hAnsi="Times New Roman" w:cs="Times New Roman"/>
                          <w:sz w:val="24"/>
                          <w:szCs w:val="24"/>
                          <w:lang w:val="en-US"/>
                        </w:rPr>
                      </w:pPr>
                      <w:r w:rsidRPr="009A268C">
                        <w:rPr>
                          <w:rFonts w:ascii="Times New Roman" w:hAnsi="Times New Roman" w:cs="Times New Roman"/>
                          <w:sz w:val="24"/>
                          <w:szCs w:val="24"/>
                          <w:lang w:val="en-US"/>
                        </w:rPr>
                        <w:t xml:space="preserve">River and tributary network </w:t>
                      </w:r>
                    </w:p>
                    <w:p w14:paraId="306ACDF9" w14:textId="77777777" w:rsidR="009A268C" w:rsidRPr="009A268C" w:rsidRDefault="009A268C" w:rsidP="0089751B">
                      <w:pPr>
                        <w:pStyle w:val="ListParagraph"/>
                        <w:numPr>
                          <w:ilvl w:val="0"/>
                          <w:numId w:val="21"/>
                        </w:numPr>
                        <w:rPr>
                          <w:rFonts w:ascii="Times New Roman" w:hAnsi="Times New Roman" w:cs="Times New Roman"/>
                          <w:sz w:val="24"/>
                          <w:szCs w:val="24"/>
                          <w:lang w:val="en-US"/>
                        </w:rPr>
                      </w:pPr>
                      <w:r w:rsidRPr="009A268C">
                        <w:rPr>
                          <w:rFonts w:ascii="Times New Roman" w:hAnsi="Times New Roman" w:cs="Times New Roman"/>
                          <w:sz w:val="24"/>
                          <w:szCs w:val="24"/>
                          <w:lang w:val="en-US"/>
                        </w:rPr>
                        <w:t>Administrative boundary shapefiles</w:t>
                      </w:r>
                    </w:p>
                    <w:p w14:paraId="35FEA427" w14:textId="2473EFF2" w:rsidR="00A52C56" w:rsidRDefault="00E63319" w:rsidP="00A52C56">
                      <w:pPr>
                        <w:pStyle w:val="NoSpacing"/>
                      </w:pPr>
                      <w:r>
                        <w:t xml:space="preserve"> </w:t>
                      </w:r>
                    </w:p>
                  </w:txbxContent>
                </v:textbox>
              </v:rect>
            </w:pict>
          </mc:Fallback>
        </mc:AlternateContent>
      </w:r>
    </w:p>
    <w:p w14:paraId="54DBF7CD" w14:textId="5CBEE914" w:rsidR="00A52C56" w:rsidRPr="002B26DA" w:rsidRDefault="00A52C56" w:rsidP="005A545C">
      <w:pPr>
        <w:spacing w:line="240" w:lineRule="auto"/>
        <w:jc w:val="both"/>
        <w:rPr>
          <w:rFonts w:ascii="Times New Roman" w:hAnsi="Times New Roman" w:cs="Times New Roman"/>
          <w:sz w:val="24"/>
          <w:szCs w:val="24"/>
        </w:rPr>
      </w:pPr>
    </w:p>
    <w:p w14:paraId="42049816" w14:textId="7F077A17" w:rsidR="00A52C56" w:rsidRPr="002B26DA" w:rsidRDefault="00A52C56" w:rsidP="005A545C">
      <w:pPr>
        <w:spacing w:line="240" w:lineRule="auto"/>
        <w:jc w:val="both"/>
        <w:rPr>
          <w:rFonts w:ascii="Times New Roman" w:hAnsi="Times New Roman" w:cs="Times New Roman"/>
          <w:sz w:val="24"/>
          <w:szCs w:val="24"/>
        </w:rPr>
      </w:pPr>
    </w:p>
    <w:p w14:paraId="774D26B2" w14:textId="492661F5" w:rsidR="00A52C56" w:rsidRPr="002B26DA" w:rsidRDefault="0089751B" w:rsidP="005A545C">
      <w:pPr>
        <w:spacing w:line="240" w:lineRule="auto"/>
        <w:jc w:val="both"/>
        <w:rPr>
          <w:rFonts w:ascii="Times New Roman" w:hAnsi="Times New Roman" w:cs="Times New Roman"/>
          <w:sz w:val="24"/>
          <w:szCs w:val="24"/>
        </w:rPr>
      </w:pPr>
      <w:r w:rsidRPr="002B26DA">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BE7F48F" wp14:editId="126D77A4">
                <wp:simplePos x="0" y="0"/>
                <wp:positionH relativeFrom="column">
                  <wp:posOffset>2023745</wp:posOffset>
                </wp:positionH>
                <wp:positionV relativeFrom="paragraph">
                  <wp:posOffset>151130</wp:posOffset>
                </wp:positionV>
                <wp:extent cx="289560" cy="266700"/>
                <wp:effectExtent l="0" t="19050" r="34290" b="38100"/>
                <wp:wrapNone/>
                <wp:docPr id="1470321587" name="Arrow: Right 6"/>
                <wp:cNvGraphicFramePr/>
                <a:graphic xmlns:a="http://schemas.openxmlformats.org/drawingml/2006/main">
                  <a:graphicData uri="http://schemas.microsoft.com/office/word/2010/wordprocessingShape">
                    <wps:wsp>
                      <wps:cNvSpPr/>
                      <wps:spPr>
                        <a:xfrm>
                          <a:off x="0" y="0"/>
                          <a:ext cx="289560" cy="26670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51B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59.35pt;margin-top:11.9pt;width:22.8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" adj="11653" fillcolor="black [3200]" strokecolor="black [480]" strokeweight="1pt"/>
            </w:pict>
          </mc:Fallback>
        </mc:AlternateContent>
      </w:r>
      <w:r w:rsidRPr="002B26DA">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E5EC0F9" wp14:editId="5450221F">
                <wp:simplePos x="0" y="0"/>
                <wp:positionH relativeFrom="column">
                  <wp:posOffset>4286885</wp:posOffset>
                </wp:positionH>
                <wp:positionV relativeFrom="paragraph">
                  <wp:posOffset>147320</wp:posOffset>
                </wp:positionV>
                <wp:extent cx="289560" cy="266700"/>
                <wp:effectExtent l="0" t="19050" r="34290" b="38100"/>
                <wp:wrapNone/>
                <wp:docPr id="1104478796" name="Arrow: Right 6"/>
                <wp:cNvGraphicFramePr/>
                <a:graphic xmlns:a="http://schemas.openxmlformats.org/drawingml/2006/main">
                  <a:graphicData uri="http://schemas.microsoft.com/office/word/2010/wordprocessingShape">
                    <wps:wsp>
                      <wps:cNvSpPr/>
                      <wps:spPr>
                        <a:xfrm>
                          <a:off x="0" y="0"/>
                          <a:ext cx="289560" cy="26670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A0DF" id="Arrow: Right 6" o:spid="_x0000_s1026" type="#_x0000_t13" style="position:absolute;margin-left:337.55pt;margin-top:11.6pt;width:22.8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" adj="11653" fillcolor="black [3200]" strokecolor="black [480]" strokeweight="1pt"/>
            </w:pict>
          </mc:Fallback>
        </mc:AlternateContent>
      </w:r>
    </w:p>
    <w:p w14:paraId="5405E7BF" w14:textId="1883EECB" w:rsidR="00A52C56" w:rsidRPr="002B26DA" w:rsidRDefault="00A52C56" w:rsidP="005A545C">
      <w:pPr>
        <w:spacing w:line="240" w:lineRule="auto"/>
        <w:jc w:val="both"/>
        <w:rPr>
          <w:rFonts w:ascii="Times New Roman" w:hAnsi="Times New Roman" w:cs="Times New Roman"/>
          <w:sz w:val="24"/>
          <w:szCs w:val="24"/>
        </w:rPr>
      </w:pPr>
    </w:p>
    <w:p w14:paraId="4ED0F0AA" w14:textId="06E8B37F" w:rsidR="00A52C56" w:rsidRPr="002B26DA" w:rsidRDefault="00A52C56" w:rsidP="005A545C">
      <w:pPr>
        <w:spacing w:line="240" w:lineRule="auto"/>
        <w:jc w:val="both"/>
        <w:rPr>
          <w:rFonts w:ascii="Times New Roman" w:hAnsi="Times New Roman" w:cs="Times New Roman"/>
          <w:sz w:val="24"/>
          <w:szCs w:val="24"/>
        </w:rPr>
      </w:pPr>
    </w:p>
    <w:p w14:paraId="4D52E893" w14:textId="6FCDC6BB" w:rsidR="00A52C56" w:rsidRPr="002B26DA" w:rsidRDefault="00A52C56" w:rsidP="005A545C">
      <w:pPr>
        <w:spacing w:line="240" w:lineRule="auto"/>
        <w:jc w:val="both"/>
        <w:rPr>
          <w:rFonts w:ascii="Times New Roman" w:hAnsi="Times New Roman" w:cs="Times New Roman"/>
          <w:sz w:val="24"/>
          <w:szCs w:val="24"/>
        </w:rPr>
      </w:pPr>
    </w:p>
    <w:p w14:paraId="71FB3860" w14:textId="77777777" w:rsidR="00DE0B3E" w:rsidRPr="002B26DA" w:rsidRDefault="00DE0B3E" w:rsidP="005A545C">
      <w:pPr>
        <w:spacing w:line="240" w:lineRule="auto"/>
        <w:jc w:val="both"/>
        <w:rPr>
          <w:rFonts w:ascii="Times New Roman" w:hAnsi="Times New Roman" w:cs="Times New Roman"/>
          <w:sz w:val="24"/>
          <w:szCs w:val="24"/>
        </w:rPr>
      </w:pPr>
    </w:p>
    <w:p w14:paraId="77D6C1A0" w14:textId="77777777" w:rsidR="003561B6" w:rsidRPr="002B26DA" w:rsidRDefault="003561B6" w:rsidP="005A545C">
      <w:pPr>
        <w:spacing w:line="240" w:lineRule="auto"/>
        <w:jc w:val="center"/>
        <w:rPr>
          <w:rFonts w:ascii="Times New Roman" w:hAnsi="Times New Roman" w:cs="Times New Roman"/>
          <w:sz w:val="24"/>
          <w:szCs w:val="24"/>
        </w:rPr>
      </w:pPr>
    </w:p>
    <w:p w14:paraId="4E5D0AA6" w14:textId="4503E4E1" w:rsidR="006976D6" w:rsidRPr="002B26DA" w:rsidRDefault="00DE0B3E" w:rsidP="005A545C">
      <w:pPr>
        <w:spacing w:line="240" w:lineRule="auto"/>
        <w:rPr>
          <w:rFonts w:ascii="Times New Roman" w:hAnsi="Times New Roman" w:cs="Times New Roman"/>
          <w:b/>
          <w:bCs/>
          <w:i/>
          <w:iCs/>
          <w:sz w:val="24"/>
          <w:szCs w:val="24"/>
        </w:rPr>
      </w:pPr>
      <w:r w:rsidRPr="002B26DA">
        <w:rPr>
          <w:rFonts w:ascii="Times New Roman" w:hAnsi="Times New Roman" w:cs="Times New Roman"/>
          <w:b/>
          <w:bCs/>
          <w:i/>
          <w:iCs/>
          <w:sz w:val="24"/>
          <w:szCs w:val="24"/>
        </w:rPr>
        <w:t xml:space="preserve">C. </w:t>
      </w:r>
      <w:r w:rsidR="00E63319" w:rsidRPr="002B26DA">
        <w:rPr>
          <w:rFonts w:ascii="Times New Roman" w:hAnsi="Times New Roman" w:cs="Times New Roman"/>
          <w:b/>
          <w:bCs/>
          <w:i/>
          <w:iCs/>
          <w:sz w:val="24"/>
          <w:szCs w:val="24"/>
        </w:rPr>
        <w:t xml:space="preserve">Research </w:t>
      </w:r>
      <w:r w:rsidR="006976D6" w:rsidRPr="002B26DA">
        <w:rPr>
          <w:rFonts w:ascii="Times New Roman" w:hAnsi="Times New Roman" w:cs="Times New Roman"/>
          <w:b/>
          <w:bCs/>
          <w:i/>
          <w:iCs/>
          <w:sz w:val="24"/>
          <w:szCs w:val="24"/>
        </w:rPr>
        <w:t>Respondents and Sampling Procedures</w:t>
      </w:r>
    </w:p>
    <w:p w14:paraId="3D5623C7" w14:textId="023CAB6C" w:rsidR="00E63319" w:rsidRPr="002B26DA" w:rsidRDefault="00F96068" w:rsidP="002B26DA">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rPr>
        <w:t xml:space="preserve">The population of this study consists of the entire Lower Magat River Basin, covering the municipalities of </w:t>
      </w:r>
      <w:proofErr w:type="spellStart"/>
      <w:r w:rsidRPr="002B26DA">
        <w:rPr>
          <w:rFonts w:ascii="Times New Roman" w:hAnsi="Times New Roman" w:cs="Times New Roman"/>
          <w:sz w:val="24"/>
          <w:szCs w:val="24"/>
        </w:rPr>
        <w:t>Bagabag</w:t>
      </w:r>
      <w:proofErr w:type="spellEnd"/>
      <w:r w:rsidRPr="002B26DA">
        <w:rPr>
          <w:rFonts w:ascii="Times New Roman" w:hAnsi="Times New Roman" w:cs="Times New Roman"/>
          <w:sz w:val="24"/>
          <w:szCs w:val="24"/>
        </w:rPr>
        <w:t>, Solano, Bayombong, and Quezon in the province of Nueva Vizcaya. This population includes all geographic areas, river systems, and environmental features within the basin that may influence flood occurrence and susceptibility. As the study focuses on spatial and environmental analysis rather than human respondents, the population is defined in terms of geographic extent and environmental units rather than individuals.</w:t>
      </w:r>
    </w:p>
    <w:p w14:paraId="4A6A0C8C" w14:textId="454400AC" w:rsidR="00F00015" w:rsidRPr="002B26DA" w:rsidRDefault="006976D6" w:rsidP="005A545C">
      <w:pPr>
        <w:spacing w:line="240" w:lineRule="auto"/>
        <w:jc w:val="both"/>
        <w:rPr>
          <w:rFonts w:ascii="Times New Roman" w:hAnsi="Times New Roman" w:cs="Times New Roman"/>
          <w:b/>
          <w:bCs/>
          <w:i/>
          <w:iCs/>
          <w:sz w:val="24"/>
          <w:szCs w:val="24"/>
          <w:lang w:val="en-US"/>
        </w:rPr>
      </w:pPr>
      <w:r w:rsidRPr="002B26DA">
        <w:rPr>
          <w:rFonts w:ascii="Times New Roman" w:hAnsi="Times New Roman" w:cs="Times New Roman"/>
          <w:b/>
          <w:bCs/>
          <w:i/>
          <w:iCs/>
          <w:sz w:val="24"/>
          <w:szCs w:val="24"/>
          <w:lang w:val="en-US"/>
        </w:rPr>
        <w:t>D</w:t>
      </w:r>
      <w:r w:rsidR="00F00015" w:rsidRPr="002B26DA">
        <w:rPr>
          <w:rFonts w:ascii="Times New Roman" w:hAnsi="Times New Roman" w:cs="Times New Roman"/>
          <w:b/>
          <w:bCs/>
          <w:i/>
          <w:iCs/>
          <w:sz w:val="24"/>
          <w:szCs w:val="24"/>
          <w:lang w:val="en-US"/>
        </w:rPr>
        <w:t>. Statistical Tools and Analysis</w:t>
      </w:r>
    </w:p>
    <w:p w14:paraId="1046B07A" w14:textId="4545D3CD" w:rsidR="00132C66" w:rsidRPr="002B26DA" w:rsidRDefault="00132C66" w:rsidP="002B26DA">
      <w:p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Flood susceptibility was assessed using a Geographic Information System (GIS)-based Multi-Criteria Decision Analysis (MCDA) integrated with the Analytic Hierarchy Process (AHP). Six flood-conditioning factors, elevation, slope, precipitation, land use/land cover (LULC), soil type, and distance from rivers were standardized and processed in ArcGIS 10.3 through raster conversion, reclassification, and spatial analysis.</w:t>
      </w:r>
    </w:p>
    <w:p w14:paraId="577A9322" w14:textId="0C939696" w:rsidR="00132C66" w:rsidRPr="002B26DA" w:rsidRDefault="00132C66" w:rsidP="0089751B">
      <w:p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The relative importance of each factor was determined using AHP through pairwise comparison matrices. The consistency of the assigned weights was evaluated using the Consistency Index (CI) and Consistency Ratio (CR), with a CR value of less than 0.10 indicating acceptable consistency. The validated weights were then applied using the Weighted Linear Combination (WLC) method through the ArcGIS Weighted Overlay tool to compute the Flood Susceptibility Index (FSI).</w:t>
      </w:r>
    </w:p>
    <w:p w14:paraId="6ACBCF6D" w14:textId="146B58D2" w:rsidR="00132C66" w:rsidRPr="002B26DA" w:rsidRDefault="00132C66" w:rsidP="002B26DA">
      <w:pPr>
        <w:spacing w:line="240" w:lineRule="auto"/>
        <w:jc w:val="both"/>
        <w:rPr>
          <w:rFonts w:ascii="Times New Roman" w:hAnsi="Times New Roman" w:cs="Times New Roman"/>
          <w:sz w:val="24"/>
          <w:szCs w:val="24"/>
        </w:rPr>
      </w:pPr>
      <w:r w:rsidRPr="002B26DA">
        <w:rPr>
          <w:rFonts w:ascii="Times New Roman" w:hAnsi="Times New Roman" w:cs="Times New Roman"/>
          <w:sz w:val="24"/>
          <w:szCs w:val="24"/>
          <w:lang w:val="en-US"/>
        </w:rPr>
        <w:t>The resulting continuous FSI raster was classified into low, moderate, and high flood hazard zones using the Natural Breaks (Jenks) classification method, which identifies optimal class boundaries by minimizing within-class variance and maximizing between-class variance. The final GIS-based flood hazard map served as the primary output for identifying flood-prone areas in Nueva Vizcaya.</w:t>
      </w:r>
    </w:p>
    <w:p w14:paraId="668EF9EA" w14:textId="1F027E4E" w:rsidR="002708F4" w:rsidRPr="002B26DA" w:rsidRDefault="002708F4" w:rsidP="002B26DA">
      <w:pPr>
        <w:spacing w:line="240" w:lineRule="auto"/>
        <w:rPr>
          <w:rFonts w:ascii="Times New Roman" w:hAnsi="Times New Roman" w:cs="Times New Roman"/>
          <w:b/>
          <w:bCs/>
          <w:sz w:val="28"/>
          <w:szCs w:val="28"/>
          <w:lang w:val="en-US"/>
        </w:rPr>
      </w:pPr>
      <w:r w:rsidRPr="002B26DA">
        <w:rPr>
          <w:rFonts w:ascii="Times New Roman" w:hAnsi="Times New Roman" w:cs="Times New Roman"/>
          <w:b/>
          <w:bCs/>
          <w:sz w:val="28"/>
          <w:szCs w:val="28"/>
          <w:lang w:val="en-US"/>
        </w:rPr>
        <w:t>RESULTS AND DISCUSSION</w:t>
      </w:r>
    </w:p>
    <w:p w14:paraId="79E6063F" w14:textId="723FCE37" w:rsidR="00612BA6" w:rsidRPr="002B26DA" w:rsidRDefault="00612BA6" w:rsidP="005A545C">
      <w:pPr>
        <w:spacing w:line="240" w:lineRule="auto"/>
        <w:jc w:val="both"/>
        <w:rPr>
          <w:rFonts w:ascii="Times New Roman" w:hAnsi="Times New Roman" w:cs="Times New Roman"/>
          <w:b/>
          <w:bCs/>
          <w:i/>
          <w:iCs/>
          <w:sz w:val="24"/>
          <w:szCs w:val="24"/>
          <w:lang w:val="en-US"/>
        </w:rPr>
      </w:pPr>
      <w:r w:rsidRPr="002B26DA">
        <w:rPr>
          <w:rFonts w:ascii="Times New Roman" w:hAnsi="Times New Roman" w:cs="Times New Roman"/>
          <w:b/>
          <w:bCs/>
          <w:i/>
          <w:iCs/>
          <w:sz w:val="24"/>
          <w:szCs w:val="24"/>
          <w:lang w:val="en-US"/>
        </w:rPr>
        <w:t xml:space="preserve">A. </w:t>
      </w:r>
      <w:r w:rsidR="006F6439" w:rsidRPr="002B26DA">
        <w:rPr>
          <w:rFonts w:ascii="Times New Roman" w:hAnsi="Times New Roman" w:cs="Times New Roman"/>
          <w:b/>
          <w:bCs/>
          <w:i/>
          <w:iCs/>
          <w:sz w:val="24"/>
          <w:szCs w:val="24"/>
          <w:lang w:val="en-US"/>
        </w:rPr>
        <w:t>Spatial Assessment of Flood Hazard Susceptibility Across Nueva Vizcaya Municipalities</w:t>
      </w:r>
    </w:p>
    <w:p w14:paraId="27CE85A3" w14:textId="449B0B09" w:rsidR="00132C66" w:rsidRDefault="00132C66" w:rsidP="002B26DA">
      <w:p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Quezon contains the largest overall physical area susceptible to flooding, with a combined 172.55 sq.km across moderate to very high levels. This is followed closely by </w:t>
      </w:r>
      <w:proofErr w:type="spellStart"/>
      <w:r w:rsidRPr="002B26DA">
        <w:rPr>
          <w:rFonts w:ascii="Times New Roman" w:hAnsi="Times New Roman" w:cs="Times New Roman"/>
          <w:sz w:val="24"/>
          <w:szCs w:val="24"/>
          <w:lang w:val="en-US"/>
        </w:rPr>
        <w:t>Bagabag</w:t>
      </w:r>
      <w:proofErr w:type="spellEnd"/>
      <w:r w:rsidRPr="002B26DA">
        <w:rPr>
          <w:rFonts w:ascii="Times New Roman" w:hAnsi="Times New Roman" w:cs="Times New Roman"/>
          <w:sz w:val="24"/>
          <w:szCs w:val="24"/>
          <w:lang w:val="en-US"/>
        </w:rPr>
        <w:t xml:space="preserve"> with 164.73 sq.km. However, Solano faces the most pervasive threat relative to its size, with 99.91% of its territory classified within moderate and high hazard zones. This comparison underscores that while Quezon and </w:t>
      </w:r>
      <w:proofErr w:type="spellStart"/>
      <w:r w:rsidRPr="002B26DA">
        <w:rPr>
          <w:rFonts w:ascii="Times New Roman" w:hAnsi="Times New Roman" w:cs="Times New Roman"/>
          <w:sz w:val="24"/>
          <w:szCs w:val="24"/>
          <w:lang w:val="en-US"/>
        </w:rPr>
        <w:t>Bagabag</w:t>
      </w:r>
      <w:proofErr w:type="spellEnd"/>
      <w:r w:rsidRPr="002B26DA">
        <w:rPr>
          <w:rFonts w:ascii="Times New Roman" w:hAnsi="Times New Roman" w:cs="Times New Roman"/>
          <w:sz w:val="24"/>
          <w:szCs w:val="24"/>
          <w:lang w:val="en-US"/>
        </w:rPr>
        <w:t xml:space="preserve"> deal with the largest absolute scale of flooding, Solano is the most universally vulnerable municipality, and Bayombong and Quezon harbor the most dangerous "Very High" risk pockets.</w:t>
      </w:r>
    </w:p>
    <w:p w14:paraId="650A4994" w14:textId="11EAC4E4" w:rsidR="0089751B" w:rsidRPr="0089751B" w:rsidRDefault="0089751B" w:rsidP="0089751B">
      <w:pPr>
        <w:spacing w:line="240" w:lineRule="auto"/>
        <w:rPr>
          <w:rFonts w:ascii="Times New Roman" w:hAnsi="Times New Roman" w:cs="Times New Roman"/>
          <w:b/>
          <w:bCs/>
          <w:sz w:val="24"/>
          <w:szCs w:val="24"/>
        </w:rPr>
      </w:pPr>
      <w:r w:rsidRPr="0089751B">
        <w:rPr>
          <w:rFonts w:ascii="Times New Roman" w:hAnsi="Times New Roman" w:cs="Times New Roman"/>
          <w:b/>
          <w:bCs/>
          <w:sz w:val="24"/>
          <w:szCs w:val="24"/>
        </w:rPr>
        <w:t>Table 1: Summary of areas affected by floods in the Lower Magat Basin</w:t>
      </w:r>
    </w:p>
    <w:tbl>
      <w:tblPr>
        <w:tblStyle w:val="TableGrid5"/>
        <w:tblW w:w="0" w:type="auto"/>
        <w:tblLayout w:type="fixed"/>
        <w:tblLook w:val="04A0" w:firstRow="1" w:lastRow="0" w:firstColumn="1" w:lastColumn="0" w:noHBand="0" w:noVBand="1"/>
      </w:tblPr>
      <w:tblGrid>
        <w:gridCol w:w="1632"/>
        <w:gridCol w:w="1081"/>
        <w:gridCol w:w="989"/>
        <w:gridCol w:w="1112"/>
        <w:gridCol w:w="1186"/>
        <w:gridCol w:w="1042"/>
        <w:gridCol w:w="1003"/>
        <w:gridCol w:w="1414"/>
        <w:gridCol w:w="973"/>
      </w:tblGrid>
      <w:tr w:rsidR="0089751B" w:rsidRPr="0089751B" w14:paraId="35056963" w14:textId="77777777" w:rsidTr="004F66C3">
        <w:trPr>
          <w:trHeight w:val="459"/>
        </w:trPr>
        <w:tc>
          <w:tcPr>
            <w:tcW w:w="1632" w:type="dxa"/>
            <w:vMerge w:val="restart"/>
            <w:tcBorders>
              <w:top w:val="single" w:sz="12" w:space="0" w:color="auto"/>
            </w:tcBorders>
          </w:tcPr>
          <w:p w14:paraId="32D44F48" w14:textId="77777777" w:rsidR="0089751B" w:rsidRPr="0089751B" w:rsidRDefault="0089751B" w:rsidP="0089751B">
            <w:pPr>
              <w:spacing w:after="160" w:line="480" w:lineRule="auto"/>
              <w:rPr>
                <w:rFonts w:ascii="Times New Roman" w:eastAsia="Aptos" w:hAnsi="Times New Roman" w:cs="Times New Roman"/>
              </w:rPr>
            </w:pPr>
          </w:p>
          <w:p w14:paraId="15F24923" w14:textId="77777777" w:rsidR="0089751B" w:rsidRPr="0089751B" w:rsidRDefault="0089751B" w:rsidP="0089751B">
            <w:pPr>
              <w:spacing w:after="160" w:line="480" w:lineRule="auto"/>
              <w:rPr>
                <w:rFonts w:ascii="Times New Roman" w:eastAsia="Aptos" w:hAnsi="Times New Roman" w:cs="Times New Roman"/>
              </w:rPr>
            </w:pPr>
            <w:r w:rsidRPr="0089751B">
              <w:rPr>
                <w:rFonts w:ascii="Times New Roman" w:eastAsia="Aptos" w:hAnsi="Times New Roman" w:cs="Times New Roman"/>
              </w:rPr>
              <w:t>Category</w:t>
            </w:r>
          </w:p>
        </w:tc>
        <w:tc>
          <w:tcPr>
            <w:tcW w:w="2070" w:type="dxa"/>
            <w:gridSpan w:val="2"/>
            <w:tcBorders>
              <w:top w:val="single" w:sz="12" w:space="0" w:color="auto"/>
            </w:tcBorders>
          </w:tcPr>
          <w:p w14:paraId="0AEC7E3D" w14:textId="77777777" w:rsidR="0089751B" w:rsidRPr="0089751B" w:rsidRDefault="0089751B" w:rsidP="0089751B">
            <w:pPr>
              <w:spacing w:after="160" w:line="480" w:lineRule="auto"/>
              <w:jc w:val="center"/>
              <w:rPr>
                <w:rFonts w:ascii="Times New Roman" w:eastAsia="Aptos" w:hAnsi="Times New Roman" w:cs="Times New Roman"/>
                <w:b/>
                <w:bCs/>
              </w:rPr>
            </w:pPr>
            <w:r w:rsidRPr="0089751B">
              <w:rPr>
                <w:rFonts w:ascii="Times New Roman" w:eastAsia="Aptos" w:hAnsi="Times New Roman" w:cs="Times New Roman"/>
                <w:b/>
                <w:bCs/>
              </w:rPr>
              <w:t>Solano</w:t>
            </w:r>
          </w:p>
        </w:tc>
        <w:tc>
          <w:tcPr>
            <w:tcW w:w="2298" w:type="dxa"/>
            <w:gridSpan w:val="2"/>
            <w:tcBorders>
              <w:top w:val="single" w:sz="12" w:space="0" w:color="auto"/>
            </w:tcBorders>
          </w:tcPr>
          <w:p w14:paraId="2DB39851" w14:textId="77777777" w:rsidR="0089751B" w:rsidRPr="0089751B" w:rsidRDefault="0089751B" w:rsidP="0089751B">
            <w:pPr>
              <w:spacing w:after="160" w:line="480" w:lineRule="auto"/>
              <w:jc w:val="center"/>
              <w:rPr>
                <w:rFonts w:ascii="Times New Roman" w:eastAsia="Aptos" w:hAnsi="Times New Roman" w:cs="Times New Roman"/>
                <w:b/>
                <w:bCs/>
              </w:rPr>
            </w:pPr>
            <w:r w:rsidRPr="0089751B">
              <w:rPr>
                <w:rFonts w:ascii="Times New Roman" w:eastAsia="Aptos" w:hAnsi="Times New Roman" w:cs="Times New Roman"/>
                <w:b/>
                <w:bCs/>
              </w:rPr>
              <w:t>Bayombong</w:t>
            </w:r>
          </w:p>
        </w:tc>
        <w:tc>
          <w:tcPr>
            <w:tcW w:w="2045" w:type="dxa"/>
            <w:gridSpan w:val="2"/>
            <w:tcBorders>
              <w:top w:val="single" w:sz="12" w:space="0" w:color="auto"/>
            </w:tcBorders>
          </w:tcPr>
          <w:p w14:paraId="5DE73111" w14:textId="77777777" w:rsidR="0089751B" w:rsidRPr="0089751B" w:rsidRDefault="0089751B" w:rsidP="0089751B">
            <w:pPr>
              <w:spacing w:after="160" w:line="480" w:lineRule="auto"/>
              <w:jc w:val="center"/>
              <w:rPr>
                <w:rFonts w:ascii="Times New Roman" w:eastAsia="Aptos" w:hAnsi="Times New Roman" w:cs="Times New Roman"/>
                <w:b/>
                <w:bCs/>
              </w:rPr>
            </w:pPr>
            <w:proofErr w:type="spellStart"/>
            <w:r w:rsidRPr="0089751B">
              <w:rPr>
                <w:rFonts w:ascii="Times New Roman" w:eastAsia="Aptos" w:hAnsi="Times New Roman" w:cs="Times New Roman"/>
                <w:b/>
                <w:bCs/>
              </w:rPr>
              <w:t>Bagabag</w:t>
            </w:r>
            <w:proofErr w:type="spellEnd"/>
          </w:p>
        </w:tc>
        <w:tc>
          <w:tcPr>
            <w:tcW w:w="2387" w:type="dxa"/>
            <w:gridSpan w:val="2"/>
            <w:tcBorders>
              <w:top w:val="single" w:sz="12" w:space="0" w:color="auto"/>
            </w:tcBorders>
          </w:tcPr>
          <w:p w14:paraId="09524A9F" w14:textId="77777777" w:rsidR="0089751B" w:rsidRPr="0089751B" w:rsidRDefault="0089751B" w:rsidP="0089751B">
            <w:pPr>
              <w:spacing w:after="160" w:line="480" w:lineRule="auto"/>
              <w:jc w:val="center"/>
              <w:rPr>
                <w:rFonts w:ascii="Times New Roman" w:eastAsia="Aptos" w:hAnsi="Times New Roman" w:cs="Times New Roman"/>
                <w:b/>
                <w:bCs/>
              </w:rPr>
            </w:pPr>
            <w:r w:rsidRPr="0089751B">
              <w:rPr>
                <w:rFonts w:ascii="Times New Roman" w:eastAsia="Aptos" w:hAnsi="Times New Roman" w:cs="Times New Roman"/>
                <w:b/>
                <w:bCs/>
              </w:rPr>
              <w:t>Quezon</w:t>
            </w:r>
          </w:p>
        </w:tc>
      </w:tr>
      <w:tr w:rsidR="0089751B" w:rsidRPr="0089751B" w14:paraId="51167431" w14:textId="77777777" w:rsidTr="004F66C3">
        <w:trPr>
          <w:trHeight w:val="583"/>
        </w:trPr>
        <w:tc>
          <w:tcPr>
            <w:tcW w:w="1632" w:type="dxa"/>
            <w:vMerge/>
            <w:tcBorders>
              <w:bottom w:val="single" w:sz="12" w:space="0" w:color="auto"/>
            </w:tcBorders>
          </w:tcPr>
          <w:p w14:paraId="2BA8DA93" w14:textId="77777777" w:rsidR="0089751B" w:rsidRPr="0089751B" w:rsidRDefault="0089751B" w:rsidP="0089751B">
            <w:pPr>
              <w:spacing w:after="160" w:line="480" w:lineRule="auto"/>
              <w:rPr>
                <w:rFonts w:ascii="Times New Roman" w:eastAsia="Aptos" w:hAnsi="Times New Roman" w:cs="Times New Roman"/>
              </w:rPr>
            </w:pPr>
          </w:p>
        </w:tc>
        <w:tc>
          <w:tcPr>
            <w:tcW w:w="1081" w:type="dxa"/>
            <w:tcBorders>
              <w:bottom w:val="single" w:sz="12" w:space="0" w:color="auto"/>
            </w:tcBorders>
          </w:tcPr>
          <w:p w14:paraId="07D60A8E"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Area (sq.km)</w:t>
            </w:r>
          </w:p>
        </w:tc>
        <w:tc>
          <w:tcPr>
            <w:tcW w:w="988" w:type="dxa"/>
            <w:tcBorders>
              <w:bottom w:val="single" w:sz="12" w:space="0" w:color="auto"/>
            </w:tcBorders>
          </w:tcPr>
          <w:p w14:paraId="395F9233"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w:t>
            </w:r>
          </w:p>
        </w:tc>
        <w:tc>
          <w:tcPr>
            <w:tcW w:w="1112" w:type="dxa"/>
            <w:tcBorders>
              <w:bottom w:val="single" w:sz="12" w:space="0" w:color="auto"/>
            </w:tcBorders>
          </w:tcPr>
          <w:p w14:paraId="2278733D"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Area (sq.km)</w:t>
            </w:r>
          </w:p>
        </w:tc>
        <w:tc>
          <w:tcPr>
            <w:tcW w:w="1186" w:type="dxa"/>
            <w:tcBorders>
              <w:bottom w:val="single" w:sz="12" w:space="0" w:color="auto"/>
            </w:tcBorders>
          </w:tcPr>
          <w:p w14:paraId="01E9B44B"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w:t>
            </w:r>
          </w:p>
        </w:tc>
        <w:tc>
          <w:tcPr>
            <w:tcW w:w="1042" w:type="dxa"/>
            <w:tcBorders>
              <w:bottom w:val="single" w:sz="12" w:space="0" w:color="auto"/>
            </w:tcBorders>
          </w:tcPr>
          <w:p w14:paraId="7DB65F82"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Area (sq.km)</w:t>
            </w:r>
          </w:p>
        </w:tc>
        <w:tc>
          <w:tcPr>
            <w:tcW w:w="1003" w:type="dxa"/>
            <w:tcBorders>
              <w:bottom w:val="single" w:sz="12" w:space="0" w:color="auto"/>
            </w:tcBorders>
          </w:tcPr>
          <w:p w14:paraId="587AFC42"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w:t>
            </w:r>
          </w:p>
        </w:tc>
        <w:tc>
          <w:tcPr>
            <w:tcW w:w="1414" w:type="dxa"/>
            <w:tcBorders>
              <w:bottom w:val="single" w:sz="12" w:space="0" w:color="auto"/>
            </w:tcBorders>
          </w:tcPr>
          <w:p w14:paraId="012C4E77"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Area (sq.km)</w:t>
            </w:r>
          </w:p>
        </w:tc>
        <w:tc>
          <w:tcPr>
            <w:tcW w:w="972" w:type="dxa"/>
            <w:tcBorders>
              <w:bottom w:val="single" w:sz="12" w:space="0" w:color="auto"/>
            </w:tcBorders>
          </w:tcPr>
          <w:p w14:paraId="1BCAE095"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w:t>
            </w:r>
          </w:p>
        </w:tc>
      </w:tr>
      <w:tr w:rsidR="0089751B" w:rsidRPr="0089751B" w14:paraId="28A6B2C3" w14:textId="77777777" w:rsidTr="004F66C3">
        <w:trPr>
          <w:trHeight w:val="412"/>
        </w:trPr>
        <w:tc>
          <w:tcPr>
            <w:tcW w:w="1632" w:type="dxa"/>
            <w:tcBorders>
              <w:top w:val="single" w:sz="12" w:space="0" w:color="auto"/>
            </w:tcBorders>
          </w:tcPr>
          <w:p w14:paraId="65746CC1" w14:textId="77777777" w:rsidR="0089751B" w:rsidRPr="0089751B" w:rsidRDefault="0089751B" w:rsidP="0089751B">
            <w:pPr>
              <w:spacing w:after="160" w:line="278" w:lineRule="auto"/>
              <w:rPr>
                <w:rFonts w:ascii="Times New Roman" w:eastAsia="Aptos" w:hAnsi="Times New Roman" w:cs="Times New Roman"/>
                <w:b/>
                <w:bCs/>
              </w:rPr>
            </w:pPr>
            <w:r w:rsidRPr="0089751B">
              <w:rPr>
                <w:rFonts w:ascii="Times New Roman" w:eastAsia="Aptos" w:hAnsi="Times New Roman" w:cs="Times New Roman"/>
                <w:b/>
                <w:bCs/>
              </w:rPr>
              <w:t>Very Low</w:t>
            </w:r>
          </w:p>
        </w:tc>
        <w:tc>
          <w:tcPr>
            <w:tcW w:w="1081" w:type="dxa"/>
            <w:tcBorders>
              <w:top w:val="single" w:sz="12" w:space="0" w:color="auto"/>
            </w:tcBorders>
          </w:tcPr>
          <w:p w14:paraId="3E7D0E51"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c>
          <w:tcPr>
            <w:tcW w:w="988" w:type="dxa"/>
            <w:tcBorders>
              <w:top w:val="single" w:sz="12" w:space="0" w:color="auto"/>
            </w:tcBorders>
          </w:tcPr>
          <w:p w14:paraId="5E9B09F9"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c>
          <w:tcPr>
            <w:tcW w:w="1112" w:type="dxa"/>
            <w:tcBorders>
              <w:top w:val="single" w:sz="12" w:space="0" w:color="auto"/>
            </w:tcBorders>
          </w:tcPr>
          <w:p w14:paraId="7CDA7968"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1.34</w:t>
            </w:r>
          </w:p>
        </w:tc>
        <w:tc>
          <w:tcPr>
            <w:tcW w:w="1186" w:type="dxa"/>
            <w:tcBorders>
              <w:top w:val="single" w:sz="12" w:space="0" w:color="auto"/>
            </w:tcBorders>
          </w:tcPr>
          <w:p w14:paraId="647096D2"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0.94 %</w:t>
            </w:r>
          </w:p>
        </w:tc>
        <w:tc>
          <w:tcPr>
            <w:tcW w:w="1042" w:type="dxa"/>
            <w:tcBorders>
              <w:top w:val="single" w:sz="12" w:space="0" w:color="auto"/>
            </w:tcBorders>
          </w:tcPr>
          <w:p w14:paraId="4E56E2DC"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c>
          <w:tcPr>
            <w:tcW w:w="1003" w:type="dxa"/>
            <w:tcBorders>
              <w:top w:val="single" w:sz="12" w:space="0" w:color="auto"/>
            </w:tcBorders>
          </w:tcPr>
          <w:p w14:paraId="7649F353"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c>
          <w:tcPr>
            <w:tcW w:w="1414" w:type="dxa"/>
            <w:tcBorders>
              <w:top w:val="single" w:sz="12" w:space="0" w:color="auto"/>
            </w:tcBorders>
          </w:tcPr>
          <w:p w14:paraId="0E08BC74"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c>
          <w:tcPr>
            <w:tcW w:w="972" w:type="dxa"/>
            <w:tcBorders>
              <w:top w:val="single" w:sz="12" w:space="0" w:color="auto"/>
            </w:tcBorders>
          </w:tcPr>
          <w:p w14:paraId="00326704"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r>
      <w:tr w:rsidR="0089751B" w:rsidRPr="0089751B" w14:paraId="50D5C15E" w14:textId="77777777" w:rsidTr="004F66C3">
        <w:trPr>
          <w:trHeight w:val="528"/>
        </w:trPr>
        <w:tc>
          <w:tcPr>
            <w:tcW w:w="1632" w:type="dxa"/>
          </w:tcPr>
          <w:p w14:paraId="1E24A00F" w14:textId="77777777" w:rsidR="0089751B" w:rsidRPr="0089751B" w:rsidRDefault="0089751B" w:rsidP="0089751B">
            <w:pPr>
              <w:spacing w:after="160" w:line="278" w:lineRule="auto"/>
              <w:rPr>
                <w:rFonts w:ascii="Times New Roman" w:eastAsia="Aptos" w:hAnsi="Times New Roman" w:cs="Times New Roman"/>
                <w:b/>
                <w:bCs/>
              </w:rPr>
            </w:pPr>
            <w:r w:rsidRPr="0089751B">
              <w:rPr>
                <w:rFonts w:ascii="Times New Roman" w:eastAsia="Aptos" w:hAnsi="Times New Roman" w:cs="Times New Roman"/>
                <w:b/>
                <w:bCs/>
              </w:rPr>
              <w:t>Low</w:t>
            </w:r>
          </w:p>
        </w:tc>
        <w:tc>
          <w:tcPr>
            <w:tcW w:w="1081" w:type="dxa"/>
          </w:tcPr>
          <w:p w14:paraId="7E1D30AB"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0.06</w:t>
            </w:r>
          </w:p>
        </w:tc>
        <w:tc>
          <w:tcPr>
            <w:tcW w:w="988" w:type="dxa"/>
          </w:tcPr>
          <w:p w14:paraId="40E10C6D"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0.09 %</w:t>
            </w:r>
          </w:p>
        </w:tc>
        <w:tc>
          <w:tcPr>
            <w:tcW w:w="1112" w:type="dxa"/>
          </w:tcPr>
          <w:p w14:paraId="14A698A1"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20.16</w:t>
            </w:r>
          </w:p>
        </w:tc>
        <w:tc>
          <w:tcPr>
            <w:tcW w:w="1186" w:type="dxa"/>
          </w:tcPr>
          <w:p w14:paraId="563A0299"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14.16 %</w:t>
            </w:r>
          </w:p>
        </w:tc>
        <w:tc>
          <w:tcPr>
            <w:tcW w:w="1042" w:type="dxa"/>
          </w:tcPr>
          <w:p w14:paraId="0A828492"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1.02</w:t>
            </w:r>
          </w:p>
        </w:tc>
        <w:tc>
          <w:tcPr>
            <w:tcW w:w="1003" w:type="dxa"/>
          </w:tcPr>
          <w:p w14:paraId="4C249879"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0.62 %</w:t>
            </w:r>
          </w:p>
        </w:tc>
        <w:tc>
          <w:tcPr>
            <w:tcW w:w="1414" w:type="dxa"/>
          </w:tcPr>
          <w:p w14:paraId="32FA4614"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1.23</w:t>
            </w:r>
          </w:p>
        </w:tc>
        <w:tc>
          <w:tcPr>
            <w:tcW w:w="972" w:type="dxa"/>
          </w:tcPr>
          <w:p w14:paraId="465F4B3A"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0.71%</w:t>
            </w:r>
          </w:p>
        </w:tc>
      </w:tr>
      <w:tr w:rsidR="0089751B" w:rsidRPr="0089751B" w14:paraId="6F75A3B3" w14:textId="77777777" w:rsidTr="004F66C3">
        <w:trPr>
          <w:trHeight w:val="458"/>
        </w:trPr>
        <w:tc>
          <w:tcPr>
            <w:tcW w:w="1632" w:type="dxa"/>
          </w:tcPr>
          <w:p w14:paraId="33681010" w14:textId="77777777" w:rsidR="0089751B" w:rsidRPr="0089751B" w:rsidRDefault="0089751B" w:rsidP="0089751B">
            <w:pPr>
              <w:spacing w:after="160" w:line="278" w:lineRule="auto"/>
              <w:rPr>
                <w:rFonts w:ascii="Times New Roman" w:eastAsia="Aptos" w:hAnsi="Times New Roman" w:cs="Times New Roman"/>
                <w:b/>
                <w:bCs/>
              </w:rPr>
            </w:pPr>
            <w:r w:rsidRPr="0089751B">
              <w:rPr>
                <w:rFonts w:ascii="Times New Roman" w:eastAsia="Aptos" w:hAnsi="Times New Roman" w:cs="Times New Roman"/>
                <w:b/>
                <w:bCs/>
              </w:rPr>
              <w:t>Moderate</w:t>
            </w:r>
          </w:p>
        </w:tc>
        <w:tc>
          <w:tcPr>
            <w:tcW w:w="1081" w:type="dxa"/>
          </w:tcPr>
          <w:p w14:paraId="3A3CF248"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18.88</w:t>
            </w:r>
          </w:p>
        </w:tc>
        <w:tc>
          <w:tcPr>
            <w:tcW w:w="988" w:type="dxa"/>
          </w:tcPr>
          <w:p w14:paraId="4F277E09"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28.19 %</w:t>
            </w:r>
          </w:p>
        </w:tc>
        <w:tc>
          <w:tcPr>
            <w:tcW w:w="1112" w:type="dxa"/>
          </w:tcPr>
          <w:p w14:paraId="391AFCDB"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81.40</w:t>
            </w:r>
          </w:p>
        </w:tc>
        <w:tc>
          <w:tcPr>
            <w:tcW w:w="1186" w:type="dxa"/>
          </w:tcPr>
          <w:p w14:paraId="5B633260"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57.15 %</w:t>
            </w:r>
          </w:p>
        </w:tc>
        <w:tc>
          <w:tcPr>
            <w:tcW w:w="1042" w:type="dxa"/>
          </w:tcPr>
          <w:p w14:paraId="07907E65"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67.67</w:t>
            </w:r>
          </w:p>
        </w:tc>
        <w:tc>
          <w:tcPr>
            <w:tcW w:w="1003" w:type="dxa"/>
          </w:tcPr>
          <w:p w14:paraId="4D4DA349"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40.83 %</w:t>
            </w:r>
          </w:p>
        </w:tc>
        <w:tc>
          <w:tcPr>
            <w:tcW w:w="1414" w:type="dxa"/>
          </w:tcPr>
          <w:p w14:paraId="367E0302"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106.64</w:t>
            </w:r>
          </w:p>
        </w:tc>
        <w:tc>
          <w:tcPr>
            <w:tcW w:w="972" w:type="dxa"/>
          </w:tcPr>
          <w:p w14:paraId="1B463540"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61.36 %</w:t>
            </w:r>
          </w:p>
        </w:tc>
      </w:tr>
      <w:tr w:rsidR="0089751B" w:rsidRPr="0089751B" w14:paraId="44D435B0" w14:textId="77777777" w:rsidTr="004F66C3">
        <w:trPr>
          <w:trHeight w:val="466"/>
        </w:trPr>
        <w:tc>
          <w:tcPr>
            <w:tcW w:w="1632" w:type="dxa"/>
          </w:tcPr>
          <w:p w14:paraId="0F1606DC" w14:textId="77777777" w:rsidR="0089751B" w:rsidRPr="0089751B" w:rsidRDefault="0089751B" w:rsidP="0089751B">
            <w:pPr>
              <w:spacing w:after="160" w:line="278" w:lineRule="auto"/>
              <w:rPr>
                <w:rFonts w:ascii="Times New Roman" w:eastAsia="Aptos" w:hAnsi="Times New Roman" w:cs="Times New Roman"/>
                <w:b/>
                <w:bCs/>
              </w:rPr>
            </w:pPr>
            <w:r w:rsidRPr="0089751B">
              <w:rPr>
                <w:rFonts w:ascii="Times New Roman" w:eastAsia="Aptos" w:hAnsi="Times New Roman" w:cs="Times New Roman"/>
                <w:b/>
                <w:bCs/>
              </w:rPr>
              <w:t>High</w:t>
            </w:r>
          </w:p>
        </w:tc>
        <w:tc>
          <w:tcPr>
            <w:tcW w:w="1081" w:type="dxa"/>
          </w:tcPr>
          <w:p w14:paraId="5B11F113"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48.04</w:t>
            </w:r>
          </w:p>
        </w:tc>
        <w:tc>
          <w:tcPr>
            <w:tcW w:w="988" w:type="dxa"/>
          </w:tcPr>
          <w:p w14:paraId="5A5A46DC"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71.72 %</w:t>
            </w:r>
          </w:p>
        </w:tc>
        <w:tc>
          <w:tcPr>
            <w:tcW w:w="1112" w:type="dxa"/>
          </w:tcPr>
          <w:p w14:paraId="545D4169"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39.23</w:t>
            </w:r>
          </w:p>
        </w:tc>
        <w:tc>
          <w:tcPr>
            <w:tcW w:w="1186" w:type="dxa"/>
          </w:tcPr>
          <w:p w14:paraId="18A32AAB"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27.55 %</w:t>
            </w:r>
          </w:p>
        </w:tc>
        <w:tc>
          <w:tcPr>
            <w:tcW w:w="1042" w:type="dxa"/>
          </w:tcPr>
          <w:p w14:paraId="46A8AD93"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97.06</w:t>
            </w:r>
          </w:p>
        </w:tc>
        <w:tc>
          <w:tcPr>
            <w:tcW w:w="1003" w:type="dxa"/>
          </w:tcPr>
          <w:p w14:paraId="5017B6DE"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58.56 %</w:t>
            </w:r>
          </w:p>
        </w:tc>
        <w:tc>
          <w:tcPr>
            <w:tcW w:w="1414" w:type="dxa"/>
          </w:tcPr>
          <w:p w14:paraId="38CF5404"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65.68</w:t>
            </w:r>
          </w:p>
        </w:tc>
        <w:tc>
          <w:tcPr>
            <w:tcW w:w="972" w:type="dxa"/>
          </w:tcPr>
          <w:p w14:paraId="04D6F07A"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37.79%</w:t>
            </w:r>
          </w:p>
        </w:tc>
      </w:tr>
      <w:tr w:rsidR="0089751B" w:rsidRPr="0089751B" w14:paraId="08D5CA53" w14:textId="77777777" w:rsidTr="004F66C3">
        <w:trPr>
          <w:trHeight w:val="380"/>
        </w:trPr>
        <w:tc>
          <w:tcPr>
            <w:tcW w:w="1632" w:type="dxa"/>
            <w:tcBorders>
              <w:bottom w:val="single" w:sz="12" w:space="0" w:color="auto"/>
            </w:tcBorders>
          </w:tcPr>
          <w:p w14:paraId="1C1C71B6" w14:textId="77777777" w:rsidR="0089751B" w:rsidRPr="0089751B" w:rsidRDefault="0089751B" w:rsidP="0089751B">
            <w:pPr>
              <w:spacing w:after="160" w:line="278" w:lineRule="auto"/>
              <w:rPr>
                <w:rFonts w:ascii="Times New Roman" w:eastAsia="Aptos" w:hAnsi="Times New Roman" w:cs="Times New Roman"/>
                <w:b/>
                <w:bCs/>
              </w:rPr>
            </w:pPr>
            <w:r w:rsidRPr="0089751B">
              <w:rPr>
                <w:rFonts w:ascii="Times New Roman" w:eastAsia="Aptos" w:hAnsi="Times New Roman" w:cs="Times New Roman"/>
                <w:b/>
                <w:bCs/>
              </w:rPr>
              <w:t>Very High</w:t>
            </w:r>
          </w:p>
        </w:tc>
        <w:tc>
          <w:tcPr>
            <w:tcW w:w="1081" w:type="dxa"/>
            <w:tcBorders>
              <w:bottom w:val="single" w:sz="12" w:space="0" w:color="auto"/>
            </w:tcBorders>
          </w:tcPr>
          <w:p w14:paraId="0A43259E"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c>
          <w:tcPr>
            <w:tcW w:w="988" w:type="dxa"/>
            <w:tcBorders>
              <w:bottom w:val="single" w:sz="12" w:space="0" w:color="auto"/>
            </w:tcBorders>
          </w:tcPr>
          <w:p w14:paraId="4D06D159"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c>
          <w:tcPr>
            <w:tcW w:w="1112" w:type="dxa"/>
            <w:tcBorders>
              <w:bottom w:val="single" w:sz="12" w:space="0" w:color="auto"/>
            </w:tcBorders>
          </w:tcPr>
          <w:p w14:paraId="199A30F4"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0.29</w:t>
            </w:r>
          </w:p>
        </w:tc>
        <w:tc>
          <w:tcPr>
            <w:tcW w:w="1186" w:type="dxa"/>
            <w:tcBorders>
              <w:bottom w:val="single" w:sz="12" w:space="0" w:color="auto"/>
            </w:tcBorders>
          </w:tcPr>
          <w:p w14:paraId="4B54D084"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0.20 %</w:t>
            </w:r>
          </w:p>
        </w:tc>
        <w:tc>
          <w:tcPr>
            <w:tcW w:w="1042" w:type="dxa"/>
            <w:tcBorders>
              <w:bottom w:val="single" w:sz="12" w:space="0" w:color="auto"/>
            </w:tcBorders>
          </w:tcPr>
          <w:p w14:paraId="0FD0238F"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c>
          <w:tcPr>
            <w:tcW w:w="1003" w:type="dxa"/>
            <w:tcBorders>
              <w:bottom w:val="single" w:sz="12" w:space="0" w:color="auto"/>
            </w:tcBorders>
          </w:tcPr>
          <w:p w14:paraId="3EF0E2FE"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w:t>
            </w:r>
          </w:p>
        </w:tc>
        <w:tc>
          <w:tcPr>
            <w:tcW w:w="1414" w:type="dxa"/>
            <w:tcBorders>
              <w:bottom w:val="single" w:sz="12" w:space="0" w:color="auto"/>
            </w:tcBorders>
          </w:tcPr>
          <w:p w14:paraId="3A40ED09"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0.23</w:t>
            </w:r>
          </w:p>
        </w:tc>
        <w:tc>
          <w:tcPr>
            <w:tcW w:w="972" w:type="dxa"/>
            <w:tcBorders>
              <w:bottom w:val="single" w:sz="12" w:space="0" w:color="auto"/>
            </w:tcBorders>
          </w:tcPr>
          <w:p w14:paraId="67D2460A" w14:textId="77777777" w:rsidR="0089751B" w:rsidRPr="0089751B" w:rsidRDefault="0089751B" w:rsidP="0089751B">
            <w:pPr>
              <w:spacing w:after="160" w:line="278" w:lineRule="auto"/>
              <w:jc w:val="center"/>
              <w:rPr>
                <w:rFonts w:ascii="Times New Roman" w:eastAsia="Aptos" w:hAnsi="Times New Roman" w:cs="Times New Roman"/>
              </w:rPr>
            </w:pPr>
            <w:r w:rsidRPr="0089751B">
              <w:rPr>
                <w:rFonts w:ascii="Times New Roman" w:eastAsia="Aptos" w:hAnsi="Times New Roman" w:cs="Times New Roman"/>
              </w:rPr>
              <w:t>0.13 %</w:t>
            </w:r>
          </w:p>
        </w:tc>
      </w:tr>
    </w:tbl>
    <w:p w14:paraId="557B69BD" w14:textId="1E059ACB" w:rsidR="006F6439" w:rsidRPr="002B26DA" w:rsidRDefault="006F6439" w:rsidP="005A545C">
      <w:pPr>
        <w:spacing w:line="240" w:lineRule="auto"/>
        <w:jc w:val="both"/>
        <w:rPr>
          <w:rFonts w:ascii="Times New Roman" w:hAnsi="Times New Roman" w:cs="Times New Roman"/>
          <w:b/>
          <w:bCs/>
          <w:i/>
          <w:iCs/>
          <w:sz w:val="24"/>
          <w:szCs w:val="24"/>
          <w:lang w:val="en-US"/>
        </w:rPr>
      </w:pPr>
      <w:r w:rsidRPr="002B26DA">
        <w:rPr>
          <w:rFonts w:ascii="Times New Roman" w:hAnsi="Times New Roman" w:cs="Times New Roman"/>
          <w:b/>
          <w:bCs/>
          <w:i/>
          <w:iCs/>
          <w:sz w:val="24"/>
          <w:szCs w:val="24"/>
          <w:lang w:val="en-US"/>
        </w:rPr>
        <w:t>B. Flood-Conditioning Factors and Criteria Weights</w:t>
      </w:r>
    </w:p>
    <w:p w14:paraId="3CB47165" w14:textId="0C546209" w:rsidR="00132C66" w:rsidRDefault="00132C66" w:rsidP="005A545C">
      <w:pPr>
        <w:pStyle w:val="NoSpacing"/>
        <w:ind w:firstLine="720"/>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As indicated in Table </w:t>
      </w:r>
      <w:r w:rsidR="006F6439" w:rsidRPr="002B26DA">
        <w:rPr>
          <w:rFonts w:ascii="Times New Roman" w:hAnsi="Times New Roman" w:cs="Times New Roman"/>
          <w:sz w:val="24"/>
          <w:szCs w:val="24"/>
          <w:lang w:val="en-US"/>
        </w:rPr>
        <w:t>2</w:t>
      </w:r>
      <w:r w:rsidRPr="002B26DA">
        <w:rPr>
          <w:rFonts w:ascii="Times New Roman" w:hAnsi="Times New Roman" w:cs="Times New Roman"/>
          <w:sz w:val="24"/>
          <w:szCs w:val="24"/>
          <w:lang w:val="en-US"/>
        </w:rPr>
        <w:t>, Each factor’s sub-criteria were assigned a rating from 1 (Very Low) to 5 (Very High) based on their relative influence on flood hazard. For instance, areas within 0-609.18 meters of the river system and regions receiving 2,450-2,506 mm of annual precipitation were assigned the maximum rating of 5, reflecting their critical role in inundation.</w:t>
      </w:r>
    </w:p>
    <w:p w14:paraId="281C74E2" w14:textId="77777777" w:rsidR="0089751B" w:rsidRDefault="0089751B" w:rsidP="005A545C">
      <w:pPr>
        <w:pStyle w:val="NoSpacing"/>
        <w:ind w:firstLine="720"/>
        <w:jc w:val="both"/>
        <w:rPr>
          <w:rFonts w:ascii="Times New Roman" w:hAnsi="Times New Roman" w:cs="Times New Roman"/>
          <w:sz w:val="24"/>
          <w:szCs w:val="24"/>
          <w:lang w:val="en-US"/>
        </w:rPr>
      </w:pPr>
    </w:p>
    <w:p w14:paraId="7673DC8A" w14:textId="77777777" w:rsidR="0089751B" w:rsidRDefault="0089751B" w:rsidP="005A545C">
      <w:pPr>
        <w:pStyle w:val="NoSpacing"/>
        <w:ind w:firstLine="720"/>
        <w:jc w:val="both"/>
        <w:rPr>
          <w:rFonts w:ascii="Times New Roman" w:hAnsi="Times New Roman" w:cs="Times New Roman"/>
          <w:sz w:val="24"/>
          <w:szCs w:val="24"/>
          <w:lang w:val="en-US"/>
        </w:rPr>
      </w:pPr>
    </w:p>
    <w:p w14:paraId="2234E218" w14:textId="77777777" w:rsidR="0089751B" w:rsidRDefault="0089751B" w:rsidP="005A545C">
      <w:pPr>
        <w:pStyle w:val="NoSpacing"/>
        <w:ind w:firstLine="720"/>
        <w:jc w:val="both"/>
        <w:rPr>
          <w:rFonts w:ascii="Times New Roman" w:hAnsi="Times New Roman" w:cs="Times New Roman"/>
          <w:sz w:val="24"/>
          <w:szCs w:val="24"/>
          <w:lang w:val="en-US"/>
        </w:rPr>
      </w:pPr>
    </w:p>
    <w:p w14:paraId="6444C8AE" w14:textId="77777777" w:rsidR="0089751B" w:rsidRDefault="0089751B" w:rsidP="005A545C">
      <w:pPr>
        <w:pStyle w:val="NoSpacing"/>
        <w:ind w:firstLine="720"/>
        <w:jc w:val="both"/>
        <w:rPr>
          <w:rFonts w:ascii="Times New Roman" w:hAnsi="Times New Roman" w:cs="Times New Roman"/>
          <w:sz w:val="24"/>
          <w:szCs w:val="24"/>
          <w:lang w:val="en-US"/>
        </w:rPr>
      </w:pPr>
    </w:p>
    <w:p w14:paraId="7DDB0DE9" w14:textId="77777777" w:rsidR="0089751B" w:rsidRDefault="0089751B" w:rsidP="005A545C">
      <w:pPr>
        <w:pStyle w:val="NoSpacing"/>
        <w:ind w:firstLine="720"/>
        <w:jc w:val="both"/>
        <w:rPr>
          <w:rFonts w:ascii="Times New Roman" w:hAnsi="Times New Roman" w:cs="Times New Roman"/>
          <w:sz w:val="24"/>
          <w:szCs w:val="24"/>
          <w:lang w:val="en-US"/>
        </w:rPr>
      </w:pPr>
    </w:p>
    <w:p w14:paraId="545AB3FD" w14:textId="477370AF" w:rsidR="0089751B" w:rsidRPr="0089751B" w:rsidRDefault="0089751B" w:rsidP="0089751B">
      <w:pPr>
        <w:spacing w:line="240" w:lineRule="auto"/>
        <w:rPr>
          <w:rFonts w:ascii="Times New Roman" w:hAnsi="Times New Roman" w:cs="Times New Roman"/>
          <w:b/>
          <w:bCs/>
          <w:sz w:val="24"/>
          <w:szCs w:val="24"/>
        </w:rPr>
      </w:pPr>
      <w:r w:rsidRPr="0089751B">
        <w:rPr>
          <w:rFonts w:ascii="Times New Roman" w:hAnsi="Times New Roman" w:cs="Times New Roman"/>
          <w:b/>
          <w:bCs/>
          <w:sz w:val="24"/>
          <w:szCs w:val="24"/>
        </w:rPr>
        <w:t xml:space="preserve">Table 2: Flood </w:t>
      </w:r>
      <w:proofErr w:type="spellStart"/>
      <w:r w:rsidRPr="0089751B">
        <w:rPr>
          <w:rFonts w:ascii="Times New Roman" w:hAnsi="Times New Roman" w:cs="Times New Roman"/>
          <w:b/>
          <w:bCs/>
          <w:sz w:val="24"/>
          <w:szCs w:val="24"/>
        </w:rPr>
        <w:t>Suceptibility</w:t>
      </w:r>
      <w:proofErr w:type="spellEnd"/>
      <w:r w:rsidRPr="0089751B">
        <w:rPr>
          <w:rFonts w:ascii="Times New Roman" w:hAnsi="Times New Roman" w:cs="Times New Roman"/>
          <w:b/>
          <w:bCs/>
          <w:sz w:val="24"/>
          <w:szCs w:val="24"/>
        </w:rPr>
        <w:t xml:space="preserve"> Criteria and Sub-criteria Ranges</w:t>
      </w:r>
    </w:p>
    <w:p w14:paraId="628B348B" w14:textId="4D675689" w:rsidR="00132C66" w:rsidRPr="002B26DA" w:rsidRDefault="0089751B" w:rsidP="004F66C3">
      <w:pPr>
        <w:pStyle w:val="NoSpacing"/>
        <w:rPr>
          <w:rFonts w:ascii="Times New Roman" w:hAnsi="Times New Roman" w:cs="Times New Roman"/>
          <w:sz w:val="24"/>
          <w:szCs w:val="24"/>
          <w:lang w:val="en-US"/>
        </w:rPr>
      </w:pPr>
      <w:r w:rsidRPr="0089751B">
        <w:rPr>
          <w:noProof/>
        </w:rPr>
        <w:drawing>
          <wp:inline distT="0" distB="0" distL="0" distR="0" wp14:anchorId="202B7849" wp14:editId="28355E59">
            <wp:extent cx="6233160" cy="5974080"/>
            <wp:effectExtent l="0" t="0" r="0" b="0"/>
            <wp:docPr id="1707138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3661"/>
                    <a:stretch>
                      <a:fillRect/>
                    </a:stretch>
                  </pic:blipFill>
                  <pic:spPr bwMode="auto">
                    <a:xfrm>
                      <a:off x="0" y="0"/>
                      <a:ext cx="6233160" cy="5974080"/>
                    </a:xfrm>
                    <a:prstGeom prst="rect">
                      <a:avLst/>
                    </a:prstGeom>
                    <a:noFill/>
                    <a:ln>
                      <a:noFill/>
                    </a:ln>
                    <a:extLst>
                      <a:ext uri="{53640926-AAD7-44D8-BBD7-CCE9431645EC}">
                        <a14:shadowObscured xmlns:a14="http://schemas.microsoft.com/office/drawing/2010/main"/>
                      </a:ext>
                    </a:extLst>
                  </pic:spPr>
                </pic:pic>
              </a:graphicData>
            </a:graphic>
          </wp:inline>
        </w:drawing>
      </w:r>
    </w:p>
    <w:p w14:paraId="100E93CB" w14:textId="6A4E0001" w:rsidR="00132C66" w:rsidRPr="002B26DA" w:rsidRDefault="00C211DB" w:rsidP="0089751B">
      <w:pPr>
        <w:pStyle w:val="NoSpacing"/>
        <w:jc w:val="both"/>
        <w:rPr>
          <w:rFonts w:ascii="Times New Roman" w:hAnsi="Times New Roman" w:cs="Times New Roman"/>
          <w:sz w:val="24"/>
          <w:szCs w:val="24"/>
        </w:rPr>
      </w:pPr>
      <w:r w:rsidRPr="002B26DA">
        <w:rPr>
          <w:rFonts w:ascii="Times New Roman" w:hAnsi="Times New Roman" w:cs="Times New Roman"/>
          <w:sz w:val="24"/>
          <w:szCs w:val="24"/>
        </w:rPr>
        <w:t>The relative importance of the six flood-conditioning factors was determined using the Analytic Hierarchy Process (AHP) through a pairwise comparison matrix. The resulting normalized weights assigned the highest influence to Distance to Rivers (36.1%) and Precipitation (25.4%), followed by Land Use/Land Cover (16.1%), Slope (10.0%), Soil Type (6.4%), and Elevation (6.0%). The consistency of the pairwise comparisons was evaluated using the Consistency Index (CI) and Consistency Ratio (CR), with the computed CR remaining below the acceptable threshold of 0.10, indicating reliable and consistent expert judgments. The validated weights were subsequently integrated with the reclassified spatial layers using the Weighted Overlay technique in ArcGIS to generate the final GIS-based flood susceptibility map.</w:t>
      </w:r>
    </w:p>
    <w:p w14:paraId="79455BA9" w14:textId="77777777" w:rsidR="003569AA" w:rsidRDefault="003569AA" w:rsidP="003569AA">
      <w:pPr>
        <w:pStyle w:val="NoSpacing"/>
        <w:rPr>
          <w:rFonts w:ascii="Times New Roman" w:hAnsi="Times New Roman" w:cs="Times New Roman"/>
          <w:b/>
          <w:bCs/>
          <w:sz w:val="24"/>
          <w:szCs w:val="24"/>
        </w:rPr>
      </w:pPr>
    </w:p>
    <w:p w14:paraId="59D3768B" w14:textId="77777777" w:rsidR="003569AA" w:rsidRDefault="003569AA" w:rsidP="003569AA">
      <w:pPr>
        <w:pStyle w:val="NoSpacing"/>
        <w:rPr>
          <w:rFonts w:ascii="Times New Roman" w:hAnsi="Times New Roman" w:cs="Times New Roman"/>
          <w:b/>
          <w:bCs/>
          <w:sz w:val="24"/>
          <w:szCs w:val="24"/>
        </w:rPr>
      </w:pPr>
    </w:p>
    <w:p w14:paraId="26F33E09" w14:textId="77777777" w:rsidR="003569AA" w:rsidRDefault="003569AA" w:rsidP="003569AA">
      <w:pPr>
        <w:pStyle w:val="NoSpacing"/>
        <w:rPr>
          <w:rFonts w:ascii="Times New Roman" w:hAnsi="Times New Roman" w:cs="Times New Roman"/>
          <w:b/>
          <w:bCs/>
          <w:sz w:val="24"/>
          <w:szCs w:val="24"/>
        </w:rPr>
      </w:pPr>
    </w:p>
    <w:p w14:paraId="728DE6E2" w14:textId="77777777" w:rsidR="003569AA" w:rsidRDefault="003569AA" w:rsidP="003569AA">
      <w:pPr>
        <w:pStyle w:val="NoSpacing"/>
        <w:rPr>
          <w:rFonts w:ascii="Times New Roman" w:hAnsi="Times New Roman" w:cs="Times New Roman"/>
          <w:b/>
          <w:bCs/>
          <w:sz w:val="24"/>
          <w:szCs w:val="24"/>
        </w:rPr>
      </w:pPr>
    </w:p>
    <w:p w14:paraId="39DE310A" w14:textId="77777777" w:rsidR="003569AA" w:rsidRDefault="003569AA" w:rsidP="003569AA">
      <w:pPr>
        <w:pStyle w:val="NoSpacing"/>
        <w:rPr>
          <w:rFonts w:ascii="Times New Roman" w:hAnsi="Times New Roman" w:cs="Times New Roman"/>
          <w:b/>
          <w:bCs/>
          <w:sz w:val="24"/>
          <w:szCs w:val="24"/>
        </w:rPr>
      </w:pPr>
    </w:p>
    <w:p w14:paraId="656D9B1B" w14:textId="38E4401D" w:rsidR="004F66C3" w:rsidRDefault="003569AA" w:rsidP="003569AA">
      <w:pPr>
        <w:pStyle w:val="NoSpacing"/>
        <w:rPr>
          <w:rFonts w:ascii="Times New Roman" w:hAnsi="Times New Roman" w:cs="Times New Roman"/>
          <w:b/>
          <w:bCs/>
          <w:sz w:val="24"/>
          <w:szCs w:val="24"/>
        </w:rPr>
      </w:pPr>
      <w:r w:rsidRPr="003569AA">
        <w:rPr>
          <w:rFonts w:ascii="Times New Roman" w:hAnsi="Times New Roman" w:cs="Times New Roman"/>
          <w:b/>
          <w:bCs/>
          <w:sz w:val="24"/>
          <w:szCs w:val="24"/>
        </w:rPr>
        <w:t>Table 3: Pairwise comparison of five flood factors</w:t>
      </w:r>
    </w:p>
    <w:p w14:paraId="69CFBA7B" w14:textId="77777777" w:rsidR="004F66C3" w:rsidRPr="003569AA" w:rsidRDefault="004F66C3" w:rsidP="003569AA">
      <w:pPr>
        <w:pStyle w:val="NoSpacing"/>
        <w:rPr>
          <w:rFonts w:ascii="Times New Roman" w:hAnsi="Times New Roman" w:cs="Times New Roman"/>
          <w:b/>
          <w:bCs/>
          <w:sz w:val="24"/>
          <w:szCs w:val="24"/>
        </w:rPr>
      </w:pPr>
    </w:p>
    <w:tbl>
      <w:tblPr>
        <w:tblStyle w:val="TableGrid3"/>
        <w:tblW w:w="0" w:type="auto"/>
        <w:tblLook w:val="04A0" w:firstRow="1" w:lastRow="0" w:firstColumn="1" w:lastColumn="0" w:noHBand="0" w:noVBand="1"/>
      </w:tblPr>
      <w:tblGrid>
        <w:gridCol w:w="1015"/>
        <w:gridCol w:w="482"/>
        <w:gridCol w:w="605"/>
        <w:gridCol w:w="883"/>
        <w:gridCol w:w="658"/>
        <w:gridCol w:w="620"/>
        <w:gridCol w:w="629"/>
      </w:tblGrid>
      <w:tr w:rsidR="003569AA" w:rsidRPr="002B26DA" w14:paraId="09CDD9D3" w14:textId="77777777" w:rsidTr="004F66C3">
        <w:trPr>
          <w:trHeight w:val="288"/>
        </w:trPr>
        <w:tc>
          <w:tcPr>
            <w:tcW w:w="1015" w:type="dxa"/>
            <w:hideMark/>
          </w:tcPr>
          <w:p w14:paraId="42989E57" w14:textId="77777777" w:rsidR="003569AA" w:rsidRPr="003569AA" w:rsidRDefault="003569AA" w:rsidP="00801F1A">
            <w:pPr>
              <w:rPr>
                <w:rFonts w:ascii="Times New Roman" w:eastAsia="Aptos" w:hAnsi="Times New Roman" w:cs="Times New Roman"/>
              </w:rPr>
            </w:pPr>
          </w:p>
        </w:tc>
        <w:tc>
          <w:tcPr>
            <w:tcW w:w="482" w:type="dxa"/>
            <w:hideMark/>
          </w:tcPr>
          <w:p w14:paraId="73FF3596"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E</w:t>
            </w:r>
          </w:p>
        </w:tc>
        <w:tc>
          <w:tcPr>
            <w:tcW w:w="605" w:type="dxa"/>
            <w:hideMark/>
          </w:tcPr>
          <w:p w14:paraId="20B7AE5C"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S</w:t>
            </w:r>
          </w:p>
        </w:tc>
        <w:tc>
          <w:tcPr>
            <w:tcW w:w="883" w:type="dxa"/>
            <w:hideMark/>
          </w:tcPr>
          <w:p w14:paraId="41A8C46E"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LULC</w:t>
            </w:r>
          </w:p>
        </w:tc>
        <w:tc>
          <w:tcPr>
            <w:tcW w:w="658" w:type="dxa"/>
            <w:hideMark/>
          </w:tcPr>
          <w:p w14:paraId="028494F8"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Soil</w:t>
            </w:r>
          </w:p>
        </w:tc>
        <w:tc>
          <w:tcPr>
            <w:tcW w:w="620" w:type="dxa"/>
            <w:hideMark/>
          </w:tcPr>
          <w:p w14:paraId="33539BE0"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P</w:t>
            </w:r>
          </w:p>
        </w:tc>
        <w:tc>
          <w:tcPr>
            <w:tcW w:w="629" w:type="dxa"/>
            <w:hideMark/>
          </w:tcPr>
          <w:p w14:paraId="298FB98B"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DR</w:t>
            </w:r>
          </w:p>
        </w:tc>
      </w:tr>
      <w:tr w:rsidR="003569AA" w:rsidRPr="002B26DA" w14:paraId="2D274D43" w14:textId="77777777" w:rsidTr="004F66C3">
        <w:trPr>
          <w:trHeight w:val="288"/>
        </w:trPr>
        <w:tc>
          <w:tcPr>
            <w:tcW w:w="1015" w:type="dxa"/>
            <w:hideMark/>
          </w:tcPr>
          <w:p w14:paraId="392A1C57"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E</w:t>
            </w:r>
          </w:p>
        </w:tc>
        <w:tc>
          <w:tcPr>
            <w:tcW w:w="482" w:type="dxa"/>
            <w:hideMark/>
          </w:tcPr>
          <w:p w14:paraId="1F8E0149"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w:t>
            </w:r>
          </w:p>
        </w:tc>
        <w:tc>
          <w:tcPr>
            <w:tcW w:w="605" w:type="dxa"/>
            <w:hideMark/>
          </w:tcPr>
          <w:p w14:paraId="25D41288"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1/2</w:t>
            </w:r>
          </w:p>
        </w:tc>
        <w:tc>
          <w:tcPr>
            <w:tcW w:w="883" w:type="dxa"/>
            <w:hideMark/>
          </w:tcPr>
          <w:p w14:paraId="53D7AA0C"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1/3</w:t>
            </w:r>
          </w:p>
        </w:tc>
        <w:tc>
          <w:tcPr>
            <w:tcW w:w="658" w:type="dxa"/>
            <w:hideMark/>
          </w:tcPr>
          <w:p w14:paraId="13A36282"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w:t>
            </w:r>
          </w:p>
        </w:tc>
        <w:tc>
          <w:tcPr>
            <w:tcW w:w="620" w:type="dxa"/>
            <w:hideMark/>
          </w:tcPr>
          <w:p w14:paraId="7E06C806"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1/4</w:t>
            </w:r>
          </w:p>
        </w:tc>
        <w:tc>
          <w:tcPr>
            <w:tcW w:w="629" w:type="dxa"/>
            <w:hideMark/>
          </w:tcPr>
          <w:p w14:paraId="65349439"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1/5</w:t>
            </w:r>
          </w:p>
        </w:tc>
      </w:tr>
      <w:tr w:rsidR="003569AA" w:rsidRPr="002B26DA" w14:paraId="0C5D3D69" w14:textId="77777777" w:rsidTr="004F66C3">
        <w:trPr>
          <w:trHeight w:val="288"/>
        </w:trPr>
        <w:tc>
          <w:tcPr>
            <w:tcW w:w="1015" w:type="dxa"/>
            <w:hideMark/>
          </w:tcPr>
          <w:p w14:paraId="57CBD529"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S</w:t>
            </w:r>
          </w:p>
        </w:tc>
        <w:tc>
          <w:tcPr>
            <w:tcW w:w="482" w:type="dxa"/>
            <w:hideMark/>
          </w:tcPr>
          <w:p w14:paraId="41BD6D39"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2</w:t>
            </w:r>
          </w:p>
        </w:tc>
        <w:tc>
          <w:tcPr>
            <w:tcW w:w="605" w:type="dxa"/>
            <w:hideMark/>
          </w:tcPr>
          <w:p w14:paraId="1B13E9B1"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w:t>
            </w:r>
          </w:p>
        </w:tc>
        <w:tc>
          <w:tcPr>
            <w:tcW w:w="883" w:type="dxa"/>
            <w:hideMark/>
          </w:tcPr>
          <w:p w14:paraId="65F8F7CD"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1/2</w:t>
            </w:r>
          </w:p>
        </w:tc>
        <w:tc>
          <w:tcPr>
            <w:tcW w:w="658" w:type="dxa"/>
            <w:hideMark/>
          </w:tcPr>
          <w:p w14:paraId="1B475EC6"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2</w:t>
            </w:r>
          </w:p>
        </w:tc>
        <w:tc>
          <w:tcPr>
            <w:tcW w:w="620" w:type="dxa"/>
            <w:hideMark/>
          </w:tcPr>
          <w:p w14:paraId="1C0B899B"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1/3</w:t>
            </w:r>
          </w:p>
        </w:tc>
        <w:tc>
          <w:tcPr>
            <w:tcW w:w="629" w:type="dxa"/>
            <w:hideMark/>
          </w:tcPr>
          <w:p w14:paraId="01AAB137"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1/4</w:t>
            </w:r>
          </w:p>
        </w:tc>
      </w:tr>
      <w:tr w:rsidR="003569AA" w:rsidRPr="002B26DA" w14:paraId="4E2036F5" w14:textId="77777777" w:rsidTr="004F66C3">
        <w:trPr>
          <w:trHeight w:val="288"/>
        </w:trPr>
        <w:tc>
          <w:tcPr>
            <w:tcW w:w="1015" w:type="dxa"/>
            <w:hideMark/>
          </w:tcPr>
          <w:p w14:paraId="7009A1FC"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LULC</w:t>
            </w:r>
          </w:p>
        </w:tc>
        <w:tc>
          <w:tcPr>
            <w:tcW w:w="482" w:type="dxa"/>
            <w:hideMark/>
          </w:tcPr>
          <w:p w14:paraId="3C984443"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3</w:t>
            </w:r>
          </w:p>
        </w:tc>
        <w:tc>
          <w:tcPr>
            <w:tcW w:w="605" w:type="dxa"/>
            <w:hideMark/>
          </w:tcPr>
          <w:p w14:paraId="387F957B"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2</w:t>
            </w:r>
          </w:p>
        </w:tc>
        <w:tc>
          <w:tcPr>
            <w:tcW w:w="883" w:type="dxa"/>
            <w:hideMark/>
          </w:tcPr>
          <w:p w14:paraId="1196730B"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w:t>
            </w:r>
          </w:p>
        </w:tc>
        <w:tc>
          <w:tcPr>
            <w:tcW w:w="658" w:type="dxa"/>
            <w:hideMark/>
          </w:tcPr>
          <w:p w14:paraId="53C81AED"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2</w:t>
            </w:r>
          </w:p>
        </w:tc>
        <w:tc>
          <w:tcPr>
            <w:tcW w:w="620" w:type="dxa"/>
            <w:hideMark/>
          </w:tcPr>
          <w:p w14:paraId="3EBDDD33"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1/2</w:t>
            </w:r>
          </w:p>
        </w:tc>
        <w:tc>
          <w:tcPr>
            <w:tcW w:w="629" w:type="dxa"/>
            <w:hideMark/>
          </w:tcPr>
          <w:p w14:paraId="14DBC4F9"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1/2</w:t>
            </w:r>
          </w:p>
        </w:tc>
      </w:tr>
      <w:tr w:rsidR="003569AA" w:rsidRPr="002B26DA" w14:paraId="65DEEE5C" w14:textId="77777777" w:rsidTr="004F66C3">
        <w:trPr>
          <w:trHeight w:val="288"/>
        </w:trPr>
        <w:tc>
          <w:tcPr>
            <w:tcW w:w="1015" w:type="dxa"/>
            <w:hideMark/>
          </w:tcPr>
          <w:p w14:paraId="44E93F2D"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Soil</w:t>
            </w:r>
          </w:p>
        </w:tc>
        <w:tc>
          <w:tcPr>
            <w:tcW w:w="482" w:type="dxa"/>
            <w:hideMark/>
          </w:tcPr>
          <w:p w14:paraId="432989F3"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w:t>
            </w:r>
          </w:p>
        </w:tc>
        <w:tc>
          <w:tcPr>
            <w:tcW w:w="605" w:type="dxa"/>
            <w:hideMark/>
          </w:tcPr>
          <w:p w14:paraId="2B9DF8A2"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1/2</w:t>
            </w:r>
          </w:p>
        </w:tc>
        <w:tc>
          <w:tcPr>
            <w:tcW w:w="883" w:type="dxa"/>
            <w:hideMark/>
          </w:tcPr>
          <w:p w14:paraId="66583205"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1/2</w:t>
            </w:r>
          </w:p>
        </w:tc>
        <w:tc>
          <w:tcPr>
            <w:tcW w:w="658" w:type="dxa"/>
            <w:hideMark/>
          </w:tcPr>
          <w:p w14:paraId="6083DB7B"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w:t>
            </w:r>
          </w:p>
        </w:tc>
        <w:tc>
          <w:tcPr>
            <w:tcW w:w="620" w:type="dxa"/>
            <w:hideMark/>
          </w:tcPr>
          <w:p w14:paraId="3D87EC94"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1/4</w:t>
            </w:r>
          </w:p>
        </w:tc>
        <w:tc>
          <w:tcPr>
            <w:tcW w:w="629" w:type="dxa"/>
            <w:hideMark/>
          </w:tcPr>
          <w:p w14:paraId="228BBD03"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1/5</w:t>
            </w:r>
          </w:p>
        </w:tc>
      </w:tr>
      <w:tr w:rsidR="003569AA" w:rsidRPr="002B26DA" w14:paraId="53DB9586" w14:textId="77777777" w:rsidTr="004F66C3">
        <w:trPr>
          <w:trHeight w:val="288"/>
        </w:trPr>
        <w:tc>
          <w:tcPr>
            <w:tcW w:w="1015" w:type="dxa"/>
          </w:tcPr>
          <w:p w14:paraId="346B2A32"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P</w:t>
            </w:r>
          </w:p>
        </w:tc>
        <w:tc>
          <w:tcPr>
            <w:tcW w:w="482" w:type="dxa"/>
          </w:tcPr>
          <w:p w14:paraId="0E3E93CA"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4</w:t>
            </w:r>
          </w:p>
        </w:tc>
        <w:tc>
          <w:tcPr>
            <w:tcW w:w="605" w:type="dxa"/>
          </w:tcPr>
          <w:p w14:paraId="11B854C6"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3</w:t>
            </w:r>
          </w:p>
        </w:tc>
        <w:tc>
          <w:tcPr>
            <w:tcW w:w="883" w:type="dxa"/>
          </w:tcPr>
          <w:p w14:paraId="6798DFBB"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2</w:t>
            </w:r>
          </w:p>
        </w:tc>
        <w:tc>
          <w:tcPr>
            <w:tcW w:w="658" w:type="dxa"/>
          </w:tcPr>
          <w:p w14:paraId="6ECC04CA"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4</w:t>
            </w:r>
          </w:p>
        </w:tc>
        <w:tc>
          <w:tcPr>
            <w:tcW w:w="620" w:type="dxa"/>
          </w:tcPr>
          <w:p w14:paraId="23E09CE4"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w:t>
            </w:r>
          </w:p>
        </w:tc>
        <w:tc>
          <w:tcPr>
            <w:tcW w:w="629" w:type="dxa"/>
          </w:tcPr>
          <w:p w14:paraId="7AEF92B1"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1/2</w:t>
            </w:r>
          </w:p>
        </w:tc>
      </w:tr>
      <w:tr w:rsidR="003569AA" w:rsidRPr="002B26DA" w14:paraId="45F6D339" w14:textId="77777777" w:rsidTr="004F66C3">
        <w:trPr>
          <w:trHeight w:val="288"/>
        </w:trPr>
        <w:tc>
          <w:tcPr>
            <w:tcW w:w="1015" w:type="dxa"/>
          </w:tcPr>
          <w:p w14:paraId="2A040E06" w14:textId="77777777" w:rsidR="003569AA" w:rsidRPr="003569AA" w:rsidRDefault="003569AA" w:rsidP="00801F1A">
            <w:pPr>
              <w:rPr>
                <w:rFonts w:ascii="Times New Roman" w:eastAsia="Aptos" w:hAnsi="Times New Roman" w:cs="Times New Roman"/>
                <w:b/>
                <w:bCs/>
              </w:rPr>
            </w:pPr>
            <w:r w:rsidRPr="003569AA">
              <w:rPr>
                <w:rFonts w:ascii="Times New Roman" w:eastAsia="Aptos" w:hAnsi="Times New Roman" w:cs="Times New Roman"/>
                <w:b/>
                <w:bCs/>
              </w:rPr>
              <w:t>DR</w:t>
            </w:r>
          </w:p>
        </w:tc>
        <w:tc>
          <w:tcPr>
            <w:tcW w:w="482" w:type="dxa"/>
          </w:tcPr>
          <w:p w14:paraId="789AB592"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5</w:t>
            </w:r>
          </w:p>
        </w:tc>
        <w:tc>
          <w:tcPr>
            <w:tcW w:w="605" w:type="dxa"/>
          </w:tcPr>
          <w:p w14:paraId="6234A77C"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4</w:t>
            </w:r>
          </w:p>
        </w:tc>
        <w:tc>
          <w:tcPr>
            <w:tcW w:w="883" w:type="dxa"/>
          </w:tcPr>
          <w:p w14:paraId="190A2D38"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2</w:t>
            </w:r>
          </w:p>
        </w:tc>
        <w:tc>
          <w:tcPr>
            <w:tcW w:w="658" w:type="dxa"/>
          </w:tcPr>
          <w:p w14:paraId="367589C6"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5</w:t>
            </w:r>
          </w:p>
        </w:tc>
        <w:tc>
          <w:tcPr>
            <w:tcW w:w="620" w:type="dxa"/>
          </w:tcPr>
          <w:p w14:paraId="56332EE5"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2</w:t>
            </w:r>
          </w:p>
        </w:tc>
        <w:tc>
          <w:tcPr>
            <w:tcW w:w="629" w:type="dxa"/>
          </w:tcPr>
          <w:p w14:paraId="049AE95A" w14:textId="77777777" w:rsidR="003569AA" w:rsidRPr="003569AA" w:rsidRDefault="003569AA" w:rsidP="00801F1A">
            <w:pPr>
              <w:rPr>
                <w:rFonts w:ascii="Times New Roman" w:eastAsia="Aptos" w:hAnsi="Times New Roman" w:cs="Times New Roman"/>
              </w:rPr>
            </w:pPr>
            <w:r w:rsidRPr="003569AA">
              <w:rPr>
                <w:rFonts w:ascii="Times New Roman" w:eastAsia="Aptos" w:hAnsi="Times New Roman" w:cs="Times New Roman"/>
              </w:rPr>
              <w:t>1</w:t>
            </w:r>
          </w:p>
        </w:tc>
      </w:tr>
    </w:tbl>
    <w:p w14:paraId="595ECA2A" w14:textId="427816A0" w:rsidR="00132C66" w:rsidRDefault="003569AA" w:rsidP="003569AA">
      <w:pPr>
        <w:pStyle w:val="NoSpacing"/>
        <w:rPr>
          <w:rFonts w:ascii="Times New Roman" w:hAnsi="Times New Roman" w:cs="Times New Roman"/>
          <w:b/>
          <w:bCs/>
          <w:sz w:val="24"/>
          <w:szCs w:val="24"/>
        </w:rPr>
      </w:pPr>
      <w:r w:rsidRPr="003569AA">
        <w:rPr>
          <w:rFonts w:ascii="Times New Roman" w:hAnsi="Times New Roman" w:cs="Times New Roman"/>
          <w:b/>
          <w:bCs/>
          <w:sz w:val="24"/>
          <w:szCs w:val="24"/>
        </w:rPr>
        <w:t>Table 4: Normalized pairwise comparison matrix and calculated criteria weight for each factor</w:t>
      </w:r>
    </w:p>
    <w:p w14:paraId="33A7C8AB" w14:textId="77777777" w:rsidR="003569AA" w:rsidRPr="003569AA" w:rsidRDefault="003569AA" w:rsidP="003569AA">
      <w:pPr>
        <w:pStyle w:val="NoSpacing"/>
        <w:rPr>
          <w:rFonts w:ascii="Times New Roman" w:hAnsi="Times New Roman" w:cs="Times New Roman"/>
          <w:b/>
          <w:bCs/>
          <w:sz w:val="24"/>
          <w:szCs w:val="24"/>
        </w:rPr>
      </w:pPr>
    </w:p>
    <w:tbl>
      <w:tblPr>
        <w:tblStyle w:val="TableGrid4"/>
        <w:tblW w:w="0" w:type="auto"/>
        <w:tblLook w:val="04A0" w:firstRow="1" w:lastRow="0" w:firstColumn="1" w:lastColumn="0" w:noHBand="0" w:noVBand="1"/>
      </w:tblPr>
      <w:tblGrid>
        <w:gridCol w:w="892"/>
        <w:gridCol w:w="820"/>
        <w:gridCol w:w="858"/>
        <w:gridCol w:w="883"/>
        <w:gridCol w:w="852"/>
        <w:gridCol w:w="825"/>
        <w:gridCol w:w="820"/>
        <w:gridCol w:w="1174"/>
        <w:gridCol w:w="1510"/>
      </w:tblGrid>
      <w:tr w:rsidR="00612BA6" w:rsidRPr="002B26DA" w14:paraId="5731D812" w14:textId="77777777" w:rsidTr="004F66C3">
        <w:trPr>
          <w:trHeight w:val="969"/>
        </w:trPr>
        <w:tc>
          <w:tcPr>
            <w:tcW w:w="892" w:type="dxa"/>
            <w:hideMark/>
          </w:tcPr>
          <w:p w14:paraId="0886E696" w14:textId="77777777" w:rsidR="00612BA6" w:rsidRPr="002B26DA" w:rsidRDefault="00612BA6" w:rsidP="005A545C">
            <w:pPr>
              <w:rPr>
                <w:rFonts w:ascii="Times New Roman" w:eastAsia="Aptos" w:hAnsi="Times New Roman" w:cs="Times New Roman"/>
              </w:rPr>
            </w:pPr>
          </w:p>
        </w:tc>
        <w:tc>
          <w:tcPr>
            <w:tcW w:w="820" w:type="dxa"/>
            <w:hideMark/>
          </w:tcPr>
          <w:p w14:paraId="3A48C3C3" w14:textId="77777777" w:rsidR="00612BA6" w:rsidRPr="002B26DA" w:rsidRDefault="00612BA6" w:rsidP="005A545C">
            <w:pPr>
              <w:rPr>
                <w:rFonts w:ascii="Times New Roman" w:eastAsia="Aptos" w:hAnsi="Times New Roman" w:cs="Times New Roman"/>
                <w:b/>
                <w:bCs/>
              </w:rPr>
            </w:pPr>
          </w:p>
          <w:p w14:paraId="148ADD52"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E</w:t>
            </w:r>
          </w:p>
        </w:tc>
        <w:tc>
          <w:tcPr>
            <w:tcW w:w="858" w:type="dxa"/>
            <w:hideMark/>
          </w:tcPr>
          <w:p w14:paraId="2E593F39" w14:textId="77777777" w:rsidR="00612BA6" w:rsidRPr="002B26DA" w:rsidRDefault="00612BA6" w:rsidP="005A545C">
            <w:pPr>
              <w:rPr>
                <w:rFonts w:ascii="Times New Roman" w:eastAsia="Aptos" w:hAnsi="Times New Roman" w:cs="Times New Roman"/>
                <w:b/>
                <w:bCs/>
              </w:rPr>
            </w:pPr>
          </w:p>
          <w:p w14:paraId="30DB3C88"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S</w:t>
            </w:r>
          </w:p>
        </w:tc>
        <w:tc>
          <w:tcPr>
            <w:tcW w:w="879" w:type="dxa"/>
            <w:hideMark/>
          </w:tcPr>
          <w:p w14:paraId="65AE0A8A" w14:textId="77777777" w:rsidR="00612BA6" w:rsidRPr="002B26DA" w:rsidRDefault="00612BA6" w:rsidP="005A545C">
            <w:pPr>
              <w:rPr>
                <w:rFonts w:ascii="Times New Roman" w:eastAsia="Aptos" w:hAnsi="Times New Roman" w:cs="Times New Roman"/>
                <w:b/>
                <w:bCs/>
              </w:rPr>
            </w:pPr>
          </w:p>
          <w:p w14:paraId="60D747DE"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LULC</w:t>
            </w:r>
          </w:p>
        </w:tc>
        <w:tc>
          <w:tcPr>
            <w:tcW w:w="852" w:type="dxa"/>
            <w:hideMark/>
          </w:tcPr>
          <w:p w14:paraId="3DECF387" w14:textId="77777777" w:rsidR="00612BA6" w:rsidRPr="002B26DA" w:rsidRDefault="00612BA6" w:rsidP="005A545C">
            <w:pPr>
              <w:rPr>
                <w:rFonts w:ascii="Times New Roman" w:eastAsia="Aptos" w:hAnsi="Times New Roman" w:cs="Times New Roman"/>
                <w:b/>
                <w:bCs/>
              </w:rPr>
            </w:pPr>
          </w:p>
          <w:p w14:paraId="464760C1"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Soil</w:t>
            </w:r>
          </w:p>
        </w:tc>
        <w:tc>
          <w:tcPr>
            <w:tcW w:w="825" w:type="dxa"/>
            <w:hideMark/>
          </w:tcPr>
          <w:p w14:paraId="3B57965E" w14:textId="77777777" w:rsidR="00612BA6" w:rsidRPr="002B26DA" w:rsidRDefault="00612BA6" w:rsidP="005A545C">
            <w:pPr>
              <w:rPr>
                <w:rFonts w:ascii="Times New Roman" w:eastAsia="Aptos" w:hAnsi="Times New Roman" w:cs="Times New Roman"/>
                <w:b/>
                <w:bCs/>
              </w:rPr>
            </w:pPr>
          </w:p>
          <w:p w14:paraId="2A306E37"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P</w:t>
            </w:r>
          </w:p>
        </w:tc>
        <w:tc>
          <w:tcPr>
            <w:tcW w:w="820" w:type="dxa"/>
            <w:hideMark/>
          </w:tcPr>
          <w:p w14:paraId="1F00F432" w14:textId="77777777" w:rsidR="00612BA6" w:rsidRPr="002B26DA" w:rsidRDefault="00612BA6" w:rsidP="005A545C">
            <w:pPr>
              <w:rPr>
                <w:rFonts w:ascii="Times New Roman" w:eastAsia="Aptos" w:hAnsi="Times New Roman" w:cs="Times New Roman"/>
                <w:b/>
                <w:bCs/>
              </w:rPr>
            </w:pPr>
          </w:p>
          <w:p w14:paraId="02A4EF32"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DR</w:t>
            </w:r>
          </w:p>
        </w:tc>
        <w:tc>
          <w:tcPr>
            <w:tcW w:w="1174" w:type="dxa"/>
            <w:hideMark/>
          </w:tcPr>
          <w:p w14:paraId="0C78FA27" w14:textId="77777777" w:rsidR="00612BA6" w:rsidRPr="002B26DA" w:rsidRDefault="00612BA6" w:rsidP="005A545C">
            <w:pPr>
              <w:rPr>
                <w:rFonts w:ascii="Times New Roman" w:eastAsia="Aptos" w:hAnsi="Times New Roman" w:cs="Times New Roman"/>
                <w:b/>
                <w:bCs/>
              </w:rPr>
            </w:pPr>
          </w:p>
          <w:p w14:paraId="18216B5C"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Row Avg (Weight)</w:t>
            </w:r>
          </w:p>
        </w:tc>
        <w:tc>
          <w:tcPr>
            <w:tcW w:w="1510" w:type="dxa"/>
          </w:tcPr>
          <w:p w14:paraId="552073F0" w14:textId="77777777" w:rsidR="00612BA6" w:rsidRPr="002B26DA" w:rsidRDefault="00612BA6" w:rsidP="005A545C">
            <w:pPr>
              <w:rPr>
                <w:rFonts w:ascii="Times New Roman" w:eastAsia="Aptos" w:hAnsi="Times New Roman" w:cs="Times New Roman"/>
                <w:b/>
                <w:bCs/>
              </w:rPr>
            </w:pPr>
          </w:p>
          <w:p w14:paraId="590CB2BD"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Percentage (%)</w:t>
            </w:r>
          </w:p>
        </w:tc>
      </w:tr>
      <w:tr w:rsidR="00612BA6" w:rsidRPr="002B26DA" w14:paraId="0BD33A0A" w14:textId="77777777" w:rsidTr="004F66C3">
        <w:trPr>
          <w:trHeight w:val="288"/>
        </w:trPr>
        <w:tc>
          <w:tcPr>
            <w:tcW w:w="892" w:type="dxa"/>
            <w:tcBorders>
              <w:bottom w:val="single" w:sz="4" w:space="0" w:color="auto"/>
            </w:tcBorders>
            <w:hideMark/>
          </w:tcPr>
          <w:p w14:paraId="2E3B1B75"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E</w:t>
            </w:r>
          </w:p>
        </w:tc>
        <w:tc>
          <w:tcPr>
            <w:tcW w:w="820" w:type="dxa"/>
            <w:tcBorders>
              <w:bottom w:val="single" w:sz="4" w:space="0" w:color="auto"/>
            </w:tcBorders>
            <w:hideMark/>
          </w:tcPr>
          <w:p w14:paraId="2C992714"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0.063</w:t>
            </w:r>
          </w:p>
        </w:tc>
        <w:tc>
          <w:tcPr>
            <w:tcW w:w="858" w:type="dxa"/>
            <w:tcBorders>
              <w:bottom w:val="single" w:sz="4" w:space="0" w:color="auto"/>
            </w:tcBorders>
            <w:hideMark/>
          </w:tcPr>
          <w:p w14:paraId="0A7D005D"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0.045</w:t>
            </w:r>
          </w:p>
        </w:tc>
        <w:tc>
          <w:tcPr>
            <w:tcW w:w="879" w:type="dxa"/>
            <w:tcBorders>
              <w:bottom w:val="single" w:sz="4" w:space="0" w:color="auto"/>
            </w:tcBorders>
            <w:hideMark/>
          </w:tcPr>
          <w:p w14:paraId="788397F2"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0.053</w:t>
            </w:r>
          </w:p>
        </w:tc>
        <w:tc>
          <w:tcPr>
            <w:tcW w:w="852" w:type="dxa"/>
            <w:tcBorders>
              <w:bottom w:val="single" w:sz="4" w:space="0" w:color="auto"/>
            </w:tcBorders>
            <w:hideMark/>
          </w:tcPr>
          <w:p w14:paraId="6B69068A"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0.067</w:t>
            </w:r>
          </w:p>
        </w:tc>
        <w:tc>
          <w:tcPr>
            <w:tcW w:w="825" w:type="dxa"/>
            <w:tcBorders>
              <w:bottom w:val="single" w:sz="4" w:space="0" w:color="auto"/>
            </w:tcBorders>
            <w:hideMark/>
          </w:tcPr>
          <w:p w14:paraId="372CBE11"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0.058</w:t>
            </w:r>
          </w:p>
        </w:tc>
        <w:tc>
          <w:tcPr>
            <w:tcW w:w="820" w:type="dxa"/>
            <w:tcBorders>
              <w:bottom w:val="single" w:sz="4" w:space="0" w:color="auto"/>
            </w:tcBorders>
            <w:hideMark/>
          </w:tcPr>
          <w:p w14:paraId="4A84553C"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0.075</w:t>
            </w:r>
          </w:p>
        </w:tc>
        <w:tc>
          <w:tcPr>
            <w:tcW w:w="1174" w:type="dxa"/>
            <w:tcBorders>
              <w:bottom w:val="single" w:sz="4" w:space="0" w:color="auto"/>
            </w:tcBorders>
            <w:hideMark/>
          </w:tcPr>
          <w:p w14:paraId="51C6CE70"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0.060</w:t>
            </w:r>
          </w:p>
        </w:tc>
        <w:tc>
          <w:tcPr>
            <w:tcW w:w="1510" w:type="dxa"/>
            <w:tcBorders>
              <w:bottom w:val="single" w:sz="4" w:space="0" w:color="auto"/>
            </w:tcBorders>
          </w:tcPr>
          <w:p w14:paraId="52EA9141"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6%</w:t>
            </w:r>
          </w:p>
        </w:tc>
      </w:tr>
      <w:tr w:rsidR="00612BA6" w:rsidRPr="002B26DA" w14:paraId="08432691" w14:textId="77777777" w:rsidTr="004F66C3">
        <w:trPr>
          <w:trHeight w:val="288"/>
        </w:trPr>
        <w:tc>
          <w:tcPr>
            <w:tcW w:w="892" w:type="dxa"/>
            <w:tcBorders>
              <w:bottom w:val="single" w:sz="4" w:space="0" w:color="auto"/>
            </w:tcBorders>
            <w:hideMark/>
          </w:tcPr>
          <w:p w14:paraId="416659CA"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S</w:t>
            </w:r>
          </w:p>
        </w:tc>
        <w:tc>
          <w:tcPr>
            <w:tcW w:w="820" w:type="dxa"/>
            <w:tcBorders>
              <w:bottom w:val="single" w:sz="4" w:space="0" w:color="auto"/>
            </w:tcBorders>
            <w:hideMark/>
          </w:tcPr>
          <w:p w14:paraId="0E8F7127"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0.125</w:t>
            </w:r>
          </w:p>
        </w:tc>
        <w:tc>
          <w:tcPr>
            <w:tcW w:w="858" w:type="dxa"/>
            <w:tcBorders>
              <w:bottom w:val="single" w:sz="4" w:space="0" w:color="auto"/>
            </w:tcBorders>
            <w:hideMark/>
          </w:tcPr>
          <w:p w14:paraId="2FF4A5AF"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0.091</w:t>
            </w:r>
          </w:p>
        </w:tc>
        <w:tc>
          <w:tcPr>
            <w:tcW w:w="879" w:type="dxa"/>
            <w:tcBorders>
              <w:bottom w:val="single" w:sz="4" w:space="0" w:color="auto"/>
            </w:tcBorders>
            <w:hideMark/>
          </w:tcPr>
          <w:p w14:paraId="5784ED1C"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0.079</w:t>
            </w:r>
          </w:p>
        </w:tc>
        <w:tc>
          <w:tcPr>
            <w:tcW w:w="852" w:type="dxa"/>
            <w:tcBorders>
              <w:bottom w:val="single" w:sz="4" w:space="0" w:color="auto"/>
            </w:tcBorders>
            <w:hideMark/>
          </w:tcPr>
          <w:p w14:paraId="21893067"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0.133</w:t>
            </w:r>
          </w:p>
        </w:tc>
        <w:tc>
          <w:tcPr>
            <w:tcW w:w="825" w:type="dxa"/>
            <w:tcBorders>
              <w:bottom w:val="single" w:sz="4" w:space="0" w:color="auto"/>
            </w:tcBorders>
            <w:hideMark/>
          </w:tcPr>
          <w:p w14:paraId="2712A21B"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0.077</w:t>
            </w:r>
          </w:p>
        </w:tc>
        <w:tc>
          <w:tcPr>
            <w:tcW w:w="820" w:type="dxa"/>
            <w:tcBorders>
              <w:bottom w:val="single" w:sz="4" w:space="0" w:color="auto"/>
            </w:tcBorders>
            <w:hideMark/>
          </w:tcPr>
          <w:p w14:paraId="10E1B29D"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0.094</w:t>
            </w:r>
          </w:p>
        </w:tc>
        <w:tc>
          <w:tcPr>
            <w:tcW w:w="1174" w:type="dxa"/>
            <w:tcBorders>
              <w:bottom w:val="single" w:sz="4" w:space="0" w:color="auto"/>
            </w:tcBorders>
            <w:hideMark/>
          </w:tcPr>
          <w:p w14:paraId="3D8DEB7B"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0.100</w:t>
            </w:r>
          </w:p>
        </w:tc>
        <w:tc>
          <w:tcPr>
            <w:tcW w:w="1510" w:type="dxa"/>
            <w:tcBorders>
              <w:bottom w:val="single" w:sz="4" w:space="0" w:color="auto"/>
            </w:tcBorders>
          </w:tcPr>
          <w:p w14:paraId="088F9B3D"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10%</w:t>
            </w:r>
          </w:p>
        </w:tc>
      </w:tr>
      <w:tr w:rsidR="00612BA6" w:rsidRPr="002B26DA" w14:paraId="7E30F0A2" w14:textId="77777777" w:rsidTr="004F66C3">
        <w:trPr>
          <w:trHeight w:val="288"/>
        </w:trPr>
        <w:tc>
          <w:tcPr>
            <w:tcW w:w="892" w:type="dxa"/>
            <w:tcBorders>
              <w:top w:val="single" w:sz="4" w:space="0" w:color="auto"/>
            </w:tcBorders>
            <w:hideMark/>
          </w:tcPr>
          <w:p w14:paraId="132B2D05"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LULC</w:t>
            </w:r>
          </w:p>
        </w:tc>
        <w:tc>
          <w:tcPr>
            <w:tcW w:w="820" w:type="dxa"/>
            <w:tcBorders>
              <w:top w:val="single" w:sz="4" w:space="0" w:color="auto"/>
            </w:tcBorders>
            <w:hideMark/>
          </w:tcPr>
          <w:p w14:paraId="7A6ACFF6"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0.188</w:t>
            </w:r>
          </w:p>
        </w:tc>
        <w:tc>
          <w:tcPr>
            <w:tcW w:w="858" w:type="dxa"/>
            <w:tcBorders>
              <w:top w:val="single" w:sz="4" w:space="0" w:color="auto"/>
            </w:tcBorders>
            <w:hideMark/>
          </w:tcPr>
          <w:p w14:paraId="6EB90494"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0.182</w:t>
            </w:r>
          </w:p>
        </w:tc>
        <w:tc>
          <w:tcPr>
            <w:tcW w:w="879" w:type="dxa"/>
            <w:tcBorders>
              <w:top w:val="single" w:sz="4" w:space="0" w:color="auto"/>
            </w:tcBorders>
            <w:hideMark/>
          </w:tcPr>
          <w:p w14:paraId="4AF1977A"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0.158</w:t>
            </w:r>
          </w:p>
        </w:tc>
        <w:tc>
          <w:tcPr>
            <w:tcW w:w="852" w:type="dxa"/>
            <w:tcBorders>
              <w:top w:val="single" w:sz="4" w:space="0" w:color="auto"/>
            </w:tcBorders>
            <w:hideMark/>
          </w:tcPr>
          <w:p w14:paraId="314D0AF3"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0.133</w:t>
            </w:r>
          </w:p>
        </w:tc>
        <w:tc>
          <w:tcPr>
            <w:tcW w:w="825" w:type="dxa"/>
            <w:tcBorders>
              <w:top w:val="single" w:sz="4" w:space="0" w:color="auto"/>
            </w:tcBorders>
            <w:hideMark/>
          </w:tcPr>
          <w:p w14:paraId="73A9C7C5"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0.115</w:t>
            </w:r>
          </w:p>
        </w:tc>
        <w:tc>
          <w:tcPr>
            <w:tcW w:w="820" w:type="dxa"/>
            <w:tcBorders>
              <w:top w:val="single" w:sz="4" w:space="0" w:color="auto"/>
            </w:tcBorders>
            <w:hideMark/>
          </w:tcPr>
          <w:p w14:paraId="5361B2F2"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0.189</w:t>
            </w:r>
          </w:p>
        </w:tc>
        <w:tc>
          <w:tcPr>
            <w:tcW w:w="1174" w:type="dxa"/>
            <w:tcBorders>
              <w:top w:val="single" w:sz="4" w:space="0" w:color="auto"/>
            </w:tcBorders>
            <w:hideMark/>
          </w:tcPr>
          <w:p w14:paraId="661ADAC8"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0.161</w:t>
            </w:r>
          </w:p>
        </w:tc>
        <w:tc>
          <w:tcPr>
            <w:tcW w:w="1510" w:type="dxa"/>
            <w:tcBorders>
              <w:top w:val="single" w:sz="4" w:space="0" w:color="auto"/>
            </w:tcBorders>
          </w:tcPr>
          <w:p w14:paraId="2F4827F0"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16%</w:t>
            </w:r>
          </w:p>
        </w:tc>
      </w:tr>
      <w:tr w:rsidR="00612BA6" w:rsidRPr="002B26DA" w14:paraId="2D5D213E" w14:textId="77777777" w:rsidTr="004F66C3">
        <w:trPr>
          <w:trHeight w:val="288"/>
        </w:trPr>
        <w:tc>
          <w:tcPr>
            <w:tcW w:w="892" w:type="dxa"/>
            <w:hideMark/>
          </w:tcPr>
          <w:p w14:paraId="368C7DE0"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Soil</w:t>
            </w:r>
          </w:p>
        </w:tc>
        <w:tc>
          <w:tcPr>
            <w:tcW w:w="820" w:type="dxa"/>
            <w:hideMark/>
          </w:tcPr>
          <w:p w14:paraId="46C5BA24"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0.063</w:t>
            </w:r>
          </w:p>
        </w:tc>
        <w:tc>
          <w:tcPr>
            <w:tcW w:w="858" w:type="dxa"/>
            <w:hideMark/>
          </w:tcPr>
          <w:p w14:paraId="2A82C0A9"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0.045</w:t>
            </w:r>
          </w:p>
        </w:tc>
        <w:tc>
          <w:tcPr>
            <w:tcW w:w="879" w:type="dxa"/>
            <w:hideMark/>
          </w:tcPr>
          <w:p w14:paraId="7525D51B"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0.079</w:t>
            </w:r>
          </w:p>
        </w:tc>
        <w:tc>
          <w:tcPr>
            <w:tcW w:w="852" w:type="dxa"/>
            <w:hideMark/>
          </w:tcPr>
          <w:p w14:paraId="476D521D"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0.067</w:t>
            </w:r>
          </w:p>
        </w:tc>
        <w:tc>
          <w:tcPr>
            <w:tcW w:w="825" w:type="dxa"/>
            <w:hideMark/>
          </w:tcPr>
          <w:p w14:paraId="47F3EC31"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0.058</w:t>
            </w:r>
          </w:p>
        </w:tc>
        <w:tc>
          <w:tcPr>
            <w:tcW w:w="820" w:type="dxa"/>
            <w:hideMark/>
          </w:tcPr>
          <w:p w14:paraId="73B8DC7A"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0.075</w:t>
            </w:r>
          </w:p>
        </w:tc>
        <w:tc>
          <w:tcPr>
            <w:tcW w:w="1174" w:type="dxa"/>
            <w:hideMark/>
          </w:tcPr>
          <w:p w14:paraId="15EF3BDE"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0.064</w:t>
            </w:r>
          </w:p>
        </w:tc>
        <w:tc>
          <w:tcPr>
            <w:tcW w:w="1510" w:type="dxa"/>
          </w:tcPr>
          <w:p w14:paraId="15D87DC1"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7%</w:t>
            </w:r>
          </w:p>
        </w:tc>
      </w:tr>
      <w:tr w:rsidR="00612BA6" w:rsidRPr="002B26DA" w14:paraId="329888CB" w14:textId="77777777" w:rsidTr="004F66C3">
        <w:trPr>
          <w:trHeight w:val="288"/>
        </w:trPr>
        <w:tc>
          <w:tcPr>
            <w:tcW w:w="892" w:type="dxa"/>
            <w:hideMark/>
          </w:tcPr>
          <w:p w14:paraId="68D10FFA"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P</w:t>
            </w:r>
          </w:p>
        </w:tc>
        <w:tc>
          <w:tcPr>
            <w:tcW w:w="820" w:type="dxa"/>
            <w:hideMark/>
          </w:tcPr>
          <w:p w14:paraId="375EDC76"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0.250</w:t>
            </w:r>
          </w:p>
        </w:tc>
        <w:tc>
          <w:tcPr>
            <w:tcW w:w="858" w:type="dxa"/>
            <w:hideMark/>
          </w:tcPr>
          <w:p w14:paraId="4D3C7142"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0.273</w:t>
            </w:r>
          </w:p>
        </w:tc>
        <w:tc>
          <w:tcPr>
            <w:tcW w:w="879" w:type="dxa"/>
            <w:hideMark/>
          </w:tcPr>
          <w:p w14:paraId="22D1DB60"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0.316</w:t>
            </w:r>
          </w:p>
        </w:tc>
        <w:tc>
          <w:tcPr>
            <w:tcW w:w="852" w:type="dxa"/>
            <w:hideMark/>
          </w:tcPr>
          <w:p w14:paraId="67D9C904"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0.267</w:t>
            </w:r>
          </w:p>
        </w:tc>
        <w:tc>
          <w:tcPr>
            <w:tcW w:w="825" w:type="dxa"/>
            <w:hideMark/>
          </w:tcPr>
          <w:p w14:paraId="290181CF"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0.231</w:t>
            </w:r>
          </w:p>
        </w:tc>
        <w:tc>
          <w:tcPr>
            <w:tcW w:w="820" w:type="dxa"/>
            <w:hideMark/>
          </w:tcPr>
          <w:p w14:paraId="39DDB67F"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0.189</w:t>
            </w:r>
          </w:p>
        </w:tc>
        <w:tc>
          <w:tcPr>
            <w:tcW w:w="1174" w:type="dxa"/>
            <w:hideMark/>
          </w:tcPr>
          <w:p w14:paraId="09AEE6E1"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0.254</w:t>
            </w:r>
          </w:p>
        </w:tc>
        <w:tc>
          <w:tcPr>
            <w:tcW w:w="1510" w:type="dxa"/>
          </w:tcPr>
          <w:p w14:paraId="15DBF6D2"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25%</w:t>
            </w:r>
          </w:p>
        </w:tc>
      </w:tr>
      <w:tr w:rsidR="00612BA6" w:rsidRPr="002B26DA" w14:paraId="5CAA7AB8" w14:textId="77777777" w:rsidTr="004F66C3">
        <w:trPr>
          <w:trHeight w:val="288"/>
        </w:trPr>
        <w:tc>
          <w:tcPr>
            <w:tcW w:w="892" w:type="dxa"/>
            <w:hideMark/>
          </w:tcPr>
          <w:p w14:paraId="20C4978F" w14:textId="77777777" w:rsidR="00612BA6" w:rsidRPr="002B26DA" w:rsidRDefault="00612BA6" w:rsidP="005A545C">
            <w:pPr>
              <w:rPr>
                <w:rFonts w:ascii="Times New Roman" w:eastAsia="Aptos" w:hAnsi="Times New Roman" w:cs="Times New Roman"/>
                <w:b/>
                <w:bCs/>
              </w:rPr>
            </w:pPr>
            <w:r w:rsidRPr="002B26DA">
              <w:rPr>
                <w:rFonts w:ascii="Times New Roman" w:eastAsia="Aptos" w:hAnsi="Times New Roman" w:cs="Times New Roman"/>
                <w:b/>
                <w:bCs/>
              </w:rPr>
              <w:t>DR</w:t>
            </w:r>
          </w:p>
        </w:tc>
        <w:tc>
          <w:tcPr>
            <w:tcW w:w="820" w:type="dxa"/>
            <w:hideMark/>
          </w:tcPr>
          <w:p w14:paraId="30F70B30"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0.313</w:t>
            </w:r>
          </w:p>
        </w:tc>
        <w:tc>
          <w:tcPr>
            <w:tcW w:w="858" w:type="dxa"/>
            <w:hideMark/>
          </w:tcPr>
          <w:p w14:paraId="1074F9CC"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0.364</w:t>
            </w:r>
          </w:p>
        </w:tc>
        <w:tc>
          <w:tcPr>
            <w:tcW w:w="879" w:type="dxa"/>
            <w:hideMark/>
          </w:tcPr>
          <w:p w14:paraId="729FB3EA"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0.316</w:t>
            </w:r>
          </w:p>
        </w:tc>
        <w:tc>
          <w:tcPr>
            <w:tcW w:w="852" w:type="dxa"/>
            <w:hideMark/>
          </w:tcPr>
          <w:p w14:paraId="73C609AC"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0.333</w:t>
            </w:r>
          </w:p>
        </w:tc>
        <w:tc>
          <w:tcPr>
            <w:tcW w:w="825" w:type="dxa"/>
            <w:hideMark/>
          </w:tcPr>
          <w:p w14:paraId="0F6DFA75"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0.462</w:t>
            </w:r>
          </w:p>
        </w:tc>
        <w:tc>
          <w:tcPr>
            <w:tcW w:w="820" w:type="dxa"/>
            <w:hideMark/>
          </w:tcPr>
          <w:p w14:paraId="092E0E6F" w14:textId="77777777" w:rsidR="00612BA6" w:rsidRPr="002B26DA" w:rsidRDefault="00612BA6" w:rsidP="005A545C">
            <w:pPr>
              <w:jc w:val="center"/>
              <w:rPr>
                <w:rFonts w:ascii="Times New Roman" w:eastAsia="Aptos" w:hAnsi="Times New Roman" w:cs="Times New Roman"/>
              </w:rPr>
            </w:pPr>
            <w:r w:rsidRPr="002B26DA">
              <w:rPr>
                <w:rFonts w:ascii="Times New Roman" w:eastAsia="Aptos" w:hAnsi="Times New Roman" w:cs="Times New Roman"/>
              </w:rPr>
              <w:t>0.377</w:t>
            </w:r>
          </w:p>
        </w:tc>
        <w:tc>
          <w:tcPr>
            <w:tcW w:w="1174" w:type="dxa"/>
            <w:hideMark/>
          </w:tcPr>
          <w:p w14:paraId="46EC6714"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0.361</w:t>
            </w:r>
          </w:p>
        </w:tc>
        <w:tc>
          <w:tcPr>
            <w:tcW w:w="1510" w:type="dxa"/>
          </w:tcPr>
          <w:p w14:paraId="763B514A" w14:textId="77777777" w:rsidR="00612BA6" w:rsidRPr="002B26DA" w:rsidRDefault="00612BA6" w:rsidP="005A545C">
            <w:pPr>
              <w:jc w:val="center"/>
              <w:rPr>
                <w:rFonts w:ascii="Times New Roman" w:eastAsia="Aptos" w:hAnsi="Times New Roman" w:cs="Times New Roman"/>
                <w:b/>
                <w:bCs/>
              </w:rPr>
            </w:pPr>
            <w:r w:rsidRPr="002B26DA">
              <w:rPr>
                <w:rFonts w:ascii="Times New Roman" w:eastAsia="Aptos" w:hAnsi="Times New Roman" w:cs="Times New Roman"/>
                <w:b/>
                <w:bCs/>
              </w:rPr>
              <w:t>36%</w:t>
            </w:r>
          </w:p>
        </w:tc>
      </w:tr>
    </w:tbl>
    <w:p w14:paraId="0C061FA8" w14:textId="77777777" w:rsidR="003569AA" w:rsidRDefault="003569AA" w:rsidP="005A545C">
      <w:pPr>
        <w:pStyle w:val="NoSpacing"/>
        <w:rPr>
          <w:rFonts w:ascii="Times New Roman" w:hAnsi="Times New Roman" w:cs="Times New Roman"/>
          <w:b/>
          <w:bCs/>
          <w:i/>
          <w:iCs/>
          <w:sz w:val="24"/>
          <w:szCs w:val="24"/>
        </w:rPr>
      </w:pPr>
    </w:p>
    <w:p w14:paraId="66616C84" w14:textId="2C45C793" w:rsidR="00132C66" w:rsidRPr="002B26DA" w:rsidRDefault="00B51C18" w:rsidP="005A545C">
      <w:pPr>
        <w:pStyle w:val="NoSpacing"/>
        <w:rPr>
          <w:rFonts w:ascii="Times New Roman" w:hAnsi="Times New Roman" w:cs="Times New Roman"/>
          <w:b/>
          <w:bCs/>
          <w:i/>
          <w:iCs/>
          <w:sz w:val="24"/>
          <w:szCs w:val="24"/>
        </w:rPr>
      </w:pPr>
      <w:r w:rsidRPr="002B26DA">
        <w:rPr>
          <w:rFonts w:ascii="Times New Roman" w:hAnsi="Times New Roman" w:cs="Times New Roman"/>
          <w:b/>
          <w:bCs/>
          <w:i/>
          <w:iCs/>
          <w:sz w:val="24"/>
          <w:szCs w:val="24"/>
        </w:rPr>
        <w:t>C</w:t>
      </w:r>
      <w:r w:rsidR="006F6439" w:rsidRPr="002B26DA">
        <w:rPr>
          <w:rFonts w:ascii="Times New Roman" w:hAnsi="Times New Roman" w:cs="Times New Roman"/>
          <w:b/>
          <w:bCs/>
          <w:i/>
          <w:iCs/>
          <w:sz w:val="24"/>
          <w:szCs w:val="24"/>
        </w:rPr>
        <w:t xml:space="preserve">. </w:t>
      </w:r>
      <w:r w:rsidR="00CA05C6" w:rsidRPr="002B26DA">
        <w:rPr>
          <w:rFonts w:ascii="Times New Roman" w:hAnsi="Times New Roman" w:cs="Times New Roman"/>
          <w:b/>
          <w:bCs/>
          <w:i/>
          <w:iCs/>
          <w:sz w:val="24"/>
          <w:szCs w:val="24"/>
        </w:rPr>
        <w:t>Cartographic Presentation and Analysis of Flood Thematic Layers</w:t>
      </w:r>
    </w:p>
    <w:p w14:paraId="6C0F3167" w14:textId="09691B77" w:rsidR="00CA05C6" w:rsidRPr="002B26DA" w:rsidRDefault="00B51C18" w:rsidP="005A545C">
      <w:pPr>
        <w:pStyle w:val="NoSpacing"/>
        <w:rPr>
          <w:rFonts w:ascii="Times New Roman" w:hAnsi="Times New Roman" w:cs="Times New Roman"/>
          <w:sz w:val="24"/>
          <w:szCs w:val="24"/>
        </w:rPr>
      </w:pPr>
      <w:r w:rsidRPr="002B26DA">
        <w:rPr>
          <w:rFonts w:ascii="Times New Roman" w:hAnsi="Times New Roman" w:cs="Times New Roman"/>
          <w:sz w:val="24"/>
          <w:szCs w:val="24"/>
        </w:rPr>
        <w:t xml:space="preserve">1. </w:t>
      </w:r>
      <w:r w:rsidR="00CA05C6" w:rsidRPr="002B26DA">
        <w:rPr>
          <w:rFonts w:ascii="Times New Roman" w:hAnsi="Times New Roman" w:cs="Times New Roman"/>
          <w:sz w:val="24"/>
          <w:szCs w:val="24"/>
        </w:rPr>
        <w:t>Distance from Rivers (Hydrographic Proximity)</w:t>
      </w:r>
    </w:p>
    <w:p w14:paraId="4DF09238" w14:textId="62771BD0" w:rsidR="00132C66" w:rsidRDefault="00CA05C6" w:rsidP="003569AA">
      <w:pPr>
        <w:pStyle w:val="NoSpacing"/>
        <w:jc w:val="both"/>
        <w:rPr>
          <w:rFonts w:ascii="Times New Roman" w:hAnsi="Times New Roman" w:cs="Times New Roman"/>
          <w:sz w:val="24"/>
          <w:szCs w:val="24"/>
        </w:rPr>
      </w:pPr>
      <w:r w:rsidRPr="002B26DA">
        <w:rPr>
          <w:rFonts w:ascii="Times New Roman" w:hAnsi="Times New Roman" w:cs="Times New Roman"/>
          <w:sz w:val="24"/>
          <w:szCs w:val="24"/>
        </w:rPr>
        <w:t>Spatial analysis indicates that proximity to the drainage network is the primary determinant of flood vulnerability (AHP weight: 36.1%). As shown in Figure 3, the urban cores of Solano and Bayombong fall within the critical 0–609.18 m buffer zone. This low-lying terrain is subject to frequent overbank flow during peak discharge events along the Magat River’s active floodplain, where historical inundation points confirm the mechanical dominance of riverine proximity.</w:t>
      </w:r>
    </w:p>
    <w:p w14:paraId="0B679D0E" w14:textId="77777777" w:rsidR="003569AA" w:rsidRDefault="003569AA" w:rsidP="005A545C">
      <w:pPr>
        <w:pStyle w:val="NoSpacing"/>
        <w:ind w:firstLine="720"/>
        <w:jc w:val="both"/>
        <w:rPr>
          <w:rFonts w:ascii="Times New Roman" w:hAnsi="Times New Roman" w:cs="Times New Roman"/>
          <w:sz w:val="24"/>
          <w:szCs w:val="24"/>
        </w:rPr>
      </w:pPr>
    </w:p>
    <w:p w14:paraId="76B54426" w14:textId="77777777" w:rsidR="003569AA" w:rsidRDefault="003569AA" w:rsidP="005A545C">
      <w:pPr>
        <w:pStyle w:val="NoSpacing"/>
        <w:ind w:firstLine="720"/>
        <w:jc w:val="both"/>
        <w:rPr>
          <w:rFonts w:ascii="Times New Roman" w:hAnsi="Times New Roman" w:cs="Times New Roman"/>
          <w:sz w:val="24"/>
          <w:szCs w:val="24"/>
        </w:rPr>
      </w:pPr>
    </w:p>
    <w:p w14:paraId="7AA7AE06" w14:textId="77777777" w:rsidR="003569AA" w:rsidRDefault="003569AA" w:rsidP="005A545C">
      <w:pPr>
        <w:pStyle w:val="NoSpacing"/>
        <w:ind w:firstLine="720"/>
        <w:jc w:val="both"/>
        <w:rPr>
          <w:rFonts w:ascii="Times New Roman" w:hAnsi="Times New Roman" w:cs="Times New Roman"/>
          <w:sz w:val="24"/>
          <w:szCs w:val="24"/>
        </w:rPr>
      </w:pPr>
    </w:p>
    <w:p w14:paraId="674D713F" w14:textId="59166521" w:rsidR="003569AA" w:rsidRPr="004F66C3" w:rsidRDefault="003569AA" w:rsidP="003569AA">
      <w:pPr>
        <w:pStyle w:val="NoSpacing"/>
        <w:rPr>
          <w:rFonts w:ascii="Times New Roman" w:hAnsi="Times New Roman" w:cs="Times New Roman"/>
          <w:b/>
          <w:bCs/>
          <w:sz w:val="24"/>
          <w:szCs w:val="24"/>
        </w:rPr>
      </w:pPr>
      <w:r w:rsidRPr="004F66C3">
        <w:rPr>
          <w:rFonts w:ascii="Times New Roman" w:hAnsi="Times New Roman" w:cs="Times New Roman"/>
          <w:b/>
          <w:bCs/>
          <w:sz w:val="24"/>
          <w:szCs w:val="24"/>
        </w:rPr>
        <w:t>Figure 2: Distance from river Map of the Study Area</w:t>
      </w:r>
    </w:p>
    <w:p w14:paraId="161408D9" w14:textId="77777777" w:rsidR="003569AA" w:rsidRDefault="003569AA" w:rsidP="003F441C">
      <w:pPr>
        <w:pStyle w:val="NoSpacing"/>
        <w:rPr>
          <w:rFonts w:ascii="Times New Roman" w:hAnsi="Times New Roman" w:cs="Times New Roman"/>
          <w:sz w:val="24"/>
          <w:szCs w:val="24"/>
        </w:rPr>
      </w:pPr>
      <w:r>
        <w:rPr>
          <w:noProof/>
        </w:rPr>
        <w:drawing>
          <wp:inline distT="0" distB="0" distL="0" distR="0" wp14:anchorId="6597B044" wp14:editId="2291ED71">
            <wp:extent cx="4389120" cy="3098394"/>
            <wp:effectExtent l="0" t="0" r="0" b="6985"/>
            <wp:docPr id="7305358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9120" cy="3098394"/>
                    </a:xfrm>
                    <a:prstGeom prst="rect">
                      <a:avLst/>
                    </a:prstGeom>
                    <a:noFill/>
                    <a:ln>
                      <a:noFill/>
                    </a:ln>
                  </pic:spPr>
                </pic:pic>
              </a:graphicData>
            </a:graphic>
          </wp:inline>
        </w:drawing>
      </w:r>
    </w:p>
    <w:p w14:paraId="4A02B3A9" w14:textId="6B617D62" w:rsidR="00CA05C6" w:rsidRPr="003F441C" w:rsidRDefault="00B51C18" w:rsidP="005A545C">
      <w:pPr>
        <w:pStyle w:val="NoSpacing"/>
        <w:jc w:val="both"/>
        <w:rPr>
          <w:rFonts w:ascii="Times New Roman" w:hAnsi="Times New Roman" w:cs="Times New Roman"/>
          <w:sz w:val="24"/>
          <w:szCs w:val="24"/>
        </w:rPr>
      </w:pPr>
      <w:r w:rsidRPr="003F441C">
        <w:rPr>
          <w:rFonts w:ascii="Times New Roman" w:hAnsi="Times New Roman" w:cs="Times New Roman"/>
          <w:sz w:val="24"/>
          <w:szCs w:val="24"/>
        </w:rPr>
        <w:t xml:space="preserve">2. </w:t>
      </w:r>
      <w:r w:rsidR="00CA05C6" w:rsidRPr="003F441C">
        <w:rPr>
          <w:rFonts w:ascii="Times New Roman" w:hAnsi="Times New Roman" w:cs="Times New Roman"/>
          <w:sz w:val="24"/>
          <w:szCs w:val="24"/>
        </w:rPr>
        <w:t>Average Annual Precipitation (Hydro-Meteorological Forcing)</w:t>
      </w:r>
    </w:p>
    <w:p w14:paraId="29C21D2B" w14:textId="4E55552B" w:rsidR="00CA05C6" w:rsidRDefault="00CA05C6" w:rsidP="003569AA">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Hydro-meteorological forcing acts as the primary atmospheric driver of flood dynamics (Figure </w:t>
      </w:r>
      <w:r w:rsidR="00B51C18" w:rsidRPr="002B26DA">
        <w:rPr>
          <w:rFonts w:ascii="Times New Roman" w:hAnsi="Times New Roman" w:cs="Times New Roman"/>
          <w:sz w:val="24"/>
          <w:szCs w:val="24"/>
        </w:rPr>
        <w:t>3</w:t>
      </w:r>
      <w:r w:rsidRPr="002B26DA">
        <w:rPr>
          <w:rFonts w:ascii="Times New Roman" w:hAnsi="Times New Roman" w:cs="Times New Roman"/>
          <w:sz w:val="24"/>
          <w:szCs w:val="24"/>
        </w:rPr>
        <w:t>). The central and southern sectors (Bayombong and Quezon) exhibit the highest precipitation gradients, reaching 2,450–2,506 mm/year. This intensive rainfall regime serves as the critical triggering mechanism that overwhelms natural channels and municipal drainage infrastructure during high-magnitude storm events.</w:t>
      </w:r>
    </w:p>
    <w:p w14:paraId="1C6C01CB" w14:textId="3155B52B" w:rsidR="003569AA" w:rsidRPr="004F66C3" w:rsidRDefault="003569AA" w:rsidP="003569AA">
      <w:pPr>
        <w:pStyle w:val="NoSpacing"/>
        <w:rPr>
          <w:rFonts w:ascii="Times New Roman" w:hAnsi="Times New Roman" w:cs="Times New Roman"/>
          <w:b/>
          <w:bCs/>
          <w:sz w:val="24"/>
          <w:szCs w:val="24"/>
        </w:rPr>
      </w:pPr>
      <w:r w:rsidRPr="004F66C3">
        <w:rPr>
          <w:rFonts w:ascii="Times New Roman" w:hAnsi="Times New Roman" w:cs="Times New Roman"/>
          <w:b/>
          <w:bCs/>
          <w:sz w:val="24"/>
          <w:szCs w:val="24"/>
        </w:rPr>
        <w:t>Figure 3: Average Annual Rainfall (mm) Map of the Study Area</w:t>
      </w:r>
    </w:p>
    <w:p w14:paraId="2CD96C69" w14:textId="4013F77B" w:rsidR="00CA05C6" w:rsidRPr="002B26DA" w:rsidRDefault="003569AA" w:rsidP="003F441C">
      <w:pPr>
        <w:pStyle w:val="NoSpacing"/>
        <w:rPr>
          <w:rFonts w:ascii="Times New Roman" w:hAnsi="Times New Roman" w:cs="Times New Roman"/>
          <w:sz w:val="24"/>
          <w:szCs w:val="24"/>
        </w:rPr>
      </w:pPr>
      <w:r>
        <w:rPr>
          <w:noProof/>
        </w:rPr>
        <w:drawing>
          <wp:inline distT="0" distB="0" distL="0" distR="0" wp14:anchorId="5C39A7B6" wp14:editId="7A8D8771">
            <wp:extent cx="4389120" cy="3098394"/>
            <wp:effectExtent l="0" t="0" r="0" b="6985"/>
            <wp:docPr id="983679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120" cy="3098394"/>
                    </a:xfrm>
                    <a:prstGeom prst="rect">
                      <a:avLst/>
                    </a:prstGeom>
                    <a:noFill/>
                    <a:ln>
                      <a:noFill/>
                    </a:ln>
                  </pic:spPr>
                </pic:pic>
              </a:graphicData>
            </a:graphic>
          </wp:inline>
        </w:drawing>
      </w:r>
    </w:p>
    <w:p w14:paraId="2C20D522" w14:textId="15B121F3" w:rsidR="00CA05C6" w:rsidRPr="002B26DA" w:rsidRDefault="00B51C18" w:rsidP="005A545C">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3. </w:t>
      </w:r>
      <w:r w:rsidR="00CA05C6" w:rsidRPr="002B26DA">
        <w:rPr>
          <w:rFonts w:ascii="Times New Roman" w:hAnsi="Times New Roman" w:cs="Times New Roman"/>
          <w:sz w:val="24"/>
          <w:szCs w:val="24"/>
        </w:rPr>
        <w:t>Land Use and Land Cover (Surface Roughness and Infiltration)</w:t>
      </w:r>
    </w:p>
    <w:p w14:paraId="44175E0A" w14:textId="3124E311" w:rsidR="00CA05C6" w:rsidRDefault="00CA05C6" w:rsidP="003569AA">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The LULC map (Figure </w:t>
      </w:r>
      <w:r w:rsidR="00B51C18" w:rsidRPr="002B26DA">
        <w:rPr>
          <w:rFonts w:ascii="Times New Roman" w:hAnsi="Times New Roman" w:cs="Times New Roman"/>
          <w:sz w:val="24"/>
          <w:szCs w:val="24"/>
        </w:rPr>
        <w:t>4</w:t>
      </w:r>
      <w:r w:rsidRPr="002B26DA">
        <w:rPr>
          <w:rFonts w:ascii="Times New Roman" w:hAnsi="Times New Roman" w:cs="Times New Roman"/>
          <w:sz w:val="24"/>
          <w:szCs w:val="24"/>
        </w:rPr>
        <w:t>) shows that agricultural and urban development significantly alter regional runoff coefficients. While "Trees/Crops/Rangeland" offers moderate initial interception, urban expansion in Solano and Bayombong introduces extensive impermeable surfaces that accelerate overland flow. Additionally, "Flooded Vegetation" along the Magat River main stem indicates zones where natural drainage is chronically impaired by anthropogenic land use.</w:t>
      </w:r>
    </w:p>
    <w:p w14:paraId="276CF885" w14:textId="5519AC8C" w:rsidR="003569AA" w:rsidRPr="004F66C3" w:rsidRDefault="003569AA" w:rsidP="003569AA">
      <w:pPr>
        <w:pStyle w:val="NoSpacing"/>
        <w:rPr>
          <w:rFonts w:ascii="Times New Roman" w:hAnsi="Times New Roman" w:cs="Times New Roman"/>
          <w:b/>
          <w:bCs/>
          <w:sz w:val="24"/>
          <w:szCs w:val="24"/>
        </w:rPr>
      </w:pPr>
      <w:r w:rsidRPr="004F66C3">
        <w:rPr>
          <w:rFonts w:ascii="Times New Roman" w:hAnsi="Times New Roman" w:cs="Times New Roman"/>
          <w:b/>
          <w:bCs/>
          <w:sz w:val="24"/>
          <w:szCs w:val="24"/>
        </w:rPr>
        <w:t>Figure 4: Land Use and Land Cover (LULC) Thematic Map of the Study Area</w:t>
      </w:r>
    </w:p>
    <w:p w14:paraId="7D68CCC6" w14:textId="54FD526C" w:rsidR="00CA05C6" w:rsidRPr="002B26DA" w:rsidRDefault="00B51C18" w:rsidP="003F441C">
      <w:pPr>
        <w:pStyle w:val="NoSpacing"/>
        <w:rPr>
          <w:rFonts w:ascii="Times New Roman" w:hAnsi="Times New Roman" w:cs="Times New Roman"/>
          <w:sz w:val="24"/>
          <w:szCs w:val="24"/>
        </w:rPr>
      </w:pPr>
      <w:r w:rsidRPr="002B26DA">
        <w:rPr>
          <w:rFonts w:ascii="Times New Roman" w:hAnsi="Times New Roman" w:cs="Times New Roman"/>
          <w:noProof/>
          <w:sz w:val="24"/>
          <w:szCs w:val="24"/>
        </w:rPr>
        <w:drawing>
          <wp:inline distT="0" distB="0" distL="0" distR="0" wp14:anchorId="6F38EE1D" wp14:editId="4E179A76">
            <wp:extent cx="4389120" cy="3098394"/>
            <wp:effectExtent l="0" t="0" r="0" b="6985"/>
            <wp:docPr id="1500039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9120" cy="3098394"/>
                    </a:xfrm>
                    <a:prstGeom prst="rect">
                      <a:avLst/>
                    </a:prstGeom>
                    <a:noFill/>
                    <a:ln>
                      <a:noFill/>
                    </a:ln>
                  </pic:spPr>
                </pic:pic>
              </a:graphicData>
            </a:graphic>
          </wp:inline>
        </w:drawing>
      </w:r>
    </w:p>
    <w:p w14:paraId="3884B83F" w14:textId="16029F34" w:rsidR="00CA05C6" w:rsidRPr="002B26DA" w:rsidRDefault="00B51C18" w:rsidP="005A545C">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4. </w:t>
      </w:r>
      <w:r w:rsidR="00CA05C6" w:rsidRPr="002B26DA">
        <w:rPr>
          <w:rFonts w:ascii="Times New Roman" w:hAnsi="Times New Roman" w:cs="Times New Roman"/>
          <w:sz w:val="24"/>
          <w:szCs w:val="24"/>
        </w:rPr>
        <w:t>Topographic Slope (Terrain Gradient)</w:t>
      </w:r>
    </w:p>
    <w:p w14:paraId="6C39B32A" w14:textId="2774477A" w:rsidR="00CA05C6" w:rsidRDefault="00CA05C6" w:rsidP="003569AA">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The Slope map (Figure </w:t>
      </w:r>
      <w:r w:rsidR="00B51C18" w:rsidRPr="002B26DA">
        <w:rPr>
          <w:rFonts w:ascii="Times New Roman" w:hAnsi="Times New Roman" w:cs="Times New Roman"/>
          <w:sz w:val="24"/>
          <w:szCs w:val="24"/>
        </w:rPr>
        <w:t>5</w:t>
      </w:r>
      <w:r w:rsidRPr="002B26DA">
        <w:rPr>
          <w:rFonts w:ascii="Times New Roman" w:hAnsi="Times New Roman" w:cs="Times New Roman"/>
          <w:sz w:val="24"/>
          <w:szCs w:val="24"/>
        </w:rPr>
        <w:t xml:space="preserve">) highlights the contrast between the rugged highlands and the flat valley floor. Solano and </w:t>
      </w:r>
      <w:proofErr w:type="spellStart"/>
      <w:r w:rsidRPr="002B26DA">
        <w:rPr>
          <w:rFonts w:ascii="Times New Roman" w:hAnsi="Times New Roman" w:cs="Times New Roman"/>
          <w:sz w:val="24"/>
          <w:szCs w:val="24"/>
        </w:rPr>
        <w:t>Bagabag</w:t>
      </w:r>
      <w:proofErr w:type="spellEnd"/>
      <w:r w:rsidRPr="002B26DA">
        <w:rPr>
          <w:rFonts w:ascii="Times New Roman" w:hAnsi="Times New Roman" w:cs="Times New Roman"/>
          <w:sz w:val="24"/>
          <w:szCs w:val="24"/>
        </w:rPr>
        <w:t xml:space="preserve"> are dominated by low-gradient slopes (0°–5.8°), acting as collection sinks for runoff from surrounding mountainous terrain. This lack of relief minimizes flow velocities, leading to prolonged floodwater residence times and drainage stagnation in commercial and residential districts.</w:t>
      </w:r>
    </w:p>
    <w:p w14:paraId="60FD2191" w14:textId="41879252" w:rsidR="003569AA" w:rsidRPr="004F66C3" w:rsidRDefault="003569AA" w:rsidP="003569AA">
      <w:pPr>
        <w:pStyle w:val="NoSpacing"/>
        <w:rPr>
          <w:rFonts w:ascii="Times New Roman" w:hAnsi="Times New Roman" w:cs="Times New Roman"/>
          <w:b/>
          <w:bCs/>
          <w:sz w:val="24"/>
          <w:szCs w:val="24"/>
        </w:rPr>
      </w:pPr>
      <w:r w:rsidRPr="004F66C3">
        <w:rPr>
          <w:rFonts w:ascii="Times New Roman" w:hAnsi="Times New Roman" w:cs="Times New Roman"/>
          <w:b/>
          <w:bCs/>
          <w:sz w:val="24"/>
          <w:szCs w:val="24"/>
        </w:rPr>
        <w:t>Figure 5: Topographic Slope (Degrees) Map of the Study Area</w:t>
      </w:r>
    </w:p>
    <w:p w14:paraId="5E78C2D6" w14:textId="13869FF7" w:rsidR="00B51C18" w:rsidRPr="002B26DA" w:rsidRDefault="00B51C18" w:rsidP="003F441C">
      <w:pPr>
        <w:pStyle w:val="NoSpacing"/>
        <w:rPr>
          <w:rFonts w:ascii="Times New Roman" w:hAnsi="Times New Roman" w:cs="Times New Roman"/>
          <w:sz w:val="24"/>
          <w:szCs w:val="24"/>
        </w:rPr>
      </w:pPr>
      <w:r w:rsidRPr="002B26DA">
        <w:rPr>
          <w:rFonts w:ascii="Times New Roman" w:hAnsi="Times New Roman" w:cs="Times New Roman"/>
          <w:noProof/>
          <w:sz w:val="24"/>
          <w:szCs w:val="24"/>
        </w:rPr>
        <w:drawing>
          <wp:inline distT="0" distB="0" distL="0" distR="0" wp14:anchorId="4C0C5076" wp14:editId="4D082F9E">
            <wp:extent cx="4389120" cy="3098394"/>
            <wp:effectExtent l="0" t="0" r="0" b="6985"/>
            <wp:docPr id="5396284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3098394"/>
                    </a:xfrm>
                    <a:prstGeom prst="rect">
                      <a:avLst/>
                    </a:prstGeom>
                    <a:noFill/>
                    <a:ln>
                      <a:noFill/>
                    </a:ln>
                  </pic:spPr>
                </pic:pic>
              </a:graphicData>
            </a:graphic>
          </wp:inline>
        </w:drawing>
      </w:r>
    </w:p>
    <w:p w14:paraId="3AA896C5" w14:textId="286AD1FF" w:rsidR="00CA05C6" w:rsidRPr="002B26DA" w:rsidRDefault="00B51C18" w:rsidP="005A545C">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5. </w:t>
      </w:r>
      <w:r w:rsidR="00CA05C6" w:rsidRPr="002B26DA">
        <w:rPr>
          <w:rFonts w:ascii="Times New Roman" w:hAnsi="Times New Roman" w:cs="Times New Roman"/>
          <w:sz w:val="24"/>
          <w:szCs w:val="24"/>
        </w:rPr>
        <w:t>Elevation (Hypsometric Relief)</w:t>
      </w:r>
    </w:p>
    <w:p w14:paraId="70ACCCB2" w14:textId="0AC03B00" w:rsidR="00CA05C6" w:rsidRDefault="00CA05C6" w:rsidP="003569AA">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Hypsometric analysis (Figure </w:t>
      </w:r>
      <w:r w:rsidR="00B51C18" w:rsidRPr="002B26DA">
        <w:rPr>
          <w:rFonts w:ascii="Times New Roman" w:hAnsi="Times New Roman" w:cs="Times New Roman"/>
          <w:sz w:val="24"/>
          <w:szCs w:val="24"/>
        </w:rPr>
        <w:t>6</w:t>
      </w:r>
      <w:r w:rsidRPr="002B26DA">
        <w:rPr>
          <w:rFonts w:ascii="Times New Roman" w:hAnsi="Times New Roman" w:cs="Times New Roman"/>
          <w:sz w:val="24"/>
          <w:szCs w:val="24"/>
        </w:rPr>
        <w:t>) confirms that low-lying valley regions below 94 m are highly vulnerable to water accumulation. While flanked by high-elevation terrain that promotes rapid upland drainage, the basin floor functions as a primary topographic sink. This localized depression effect creates a natural trap for surface water during concurrent high-river stages and heavy monsoonal rainfall.</w:t>
      </w:r>
    </w:p>
    <w:p w14:paraId="3A41E629" w14:textId="42CD28C5" w:rsidR="003569AA" w:rsidRPr="004F66C3" w:rsidRDefault="003569AA" w:rsidP="003569AA">
      <w:pPr>
        <w:pStyle w:val="NoSpacing"/>
        <w:rPr>
          <w:rFonts w:ascii="Times New Roman" w:hAnsi="Times New Roman" w:cs="Times New Roman"/>
          <w:b/>
          <w:bCs/>
          <w:sz w:val="24"/>
          <w:szCs w:val="24"/>
        </w:rPr>
      </w:pPr>
      <w:r w:rsidRPr="004F66C3">
        <w:rPr>
          <w:rFonts w:ascii="Times New Roman" w:hAnsi="Times New Roman" w:cs="Times New Roman"/>
          <w:b/>
          <w:bCs/>
          <w:sz w:val="24"/>
          <w:szCs w:val="24"/>
        </w:rPr>
        <w:t>Figure 6: Elevation (Meters) Map of the Study Area</w:t>
      </w:r>
    </w:p>
    <w:p w14:paraId="13C7D14A" w14:textId="0667A486" w:rsidR="00CA05C6" w:rsidRPr="002B26DA" w:rsidRDefault="00B51C18" w:rsidP="003F441C">
      <w:pPr>
        <w:pStyle w:val="NoSpacing"/>
        <w:rPr>
          <w:rFonts w:ascii="Times New Roman" w:hAnsi="Times New Roman" w:cs="Times New Roman"/>
          <w:sz w:val="24"/>
          <w:szCs w:val="24"/>
        </w:rPr>
      </w:pPr>
      <w:r w:rsidRPr="002B26DA">
        <w:rPr>
          <w:rFonts w:ascii="Times New Roman" w:hAnsi="Times New Roman" w:cs="Times New Roman"/>
          <w:noProof/>
          <w:sz w:val="24"/>
          <w:szCs w:val="24"/>
        </w:rPr>
        <w:drawing>
          <wp:inline distT="0" distB="0" distL="0" distR="0" wp14:anchorId="18FA12EB" wp14:editId="343964EF">
            <wp:extent cx="4389120" cy="3098394"/>
            <wp:effectExtent l="0" t="0" r="0" b="6985"/>
            <wp:docPr id="1075851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9120" cy="3098394"/>
                    </a:xfrm>
                    <a:prstGeom prst="rect">
                      <a:avLst/>
                    </a:prstGeom>
                    <a:noFill/>
                    <a:ln>
                      <a:noFill/>
                    </a:ln>
                  </pic:spPr>
                </pic:pic>
              </a:graphicData>
            </a:graphic>
          </wp:inline>
        </w:drawing>
      </w:r>
    </w:p>
    <w:p w14:paraId="73B4B735" w14:textId="4CB96981" w:rsidR="00CA05C6" w:rsidRPr="002B26DA" w:rsidRDefault="00B51C18" w:rsidP="005A545C">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6. </w:t>
      </w:r>
      <w:r w:rsidR="00CA05C6" w:rsidRPr="002B26DA">
        <w:rPr>
          <w:rFonts w:ascii="Times New Roman" w:hAnsi="Times New Roman" w:cs="Times New Roman"/>
          <w:sz w:val="24"/>
          <w:szCs w:val="24"/>
        </w:rPr>
        <w:t>Soil Type (Pedological Permeability)</w:t>
      </w:r>
    </w:p>
    <w:p w14:paraId="54C8C374" w14:textId="09FB85FC" w:rsidR="00132C66" w:rsidRDefault="00CA05C6" w:rsidP="003569AA">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The soil distribution (Figure </w:t>
      </w:r>
      <w:r w:rsidR="006F2B34" w:rsidRPr="002B26DA">
        <w:rPr>
          <w:rFonts w:ascii="Times New Roman" w:hAnsi="Times New Roman" w:cs="Times New Roman"/>
          <w:sz w:val="24"/>
          <w:szCs w:val="24"/>
        </w:rPr>
        <w:t>7</w:t>
      </w:r>
      <w:r w:rsidRPr="002B26DA">
        <w:rPr>
          <w:rFonts w:ascii="Times New Roman" w:hAnsi="Times New Roman" w:cs="Times New Roman"/>
          <w:sz w:val="24"/>
          <w:szCs w:val="24"/>
        </w:rPr>
        <w:t>) indicates a significant presence of "Heavy Clay" and "Stable Clay" across Quezon and parts of Solano. These clay-dominated soils exhibit low hydraulic conductivity and high saturation potential. Once field capacity is reached, infiltration drops to near zero, triggering immediate surface runoff and limiting the earth's natural capacity to absorb excess water.</w:t>
      </w:r>
    </w:p>
    <w:p w14:paraId="767C5B25" w14:textId="6C4849D8" w:rsidR="003569AA" w:rsidRPr="004F66C3" w:rsidRDefault="003569AA" w:rsidP="003569AA">
      <w:pPr>
        <w:pStyle w:val="NoSpacing"/>
        <w:rPr>
          <w:rFonts w:ascii="Times New Roman" w:hAnsi="Times New Roman" w:cs="Times New Roman"/>
          <w:b/>
          <w:bCs/>
          <w:sz w:val="24"/>
          <w:szCs w:val="24"/>
        </w:rPr>
      </w:pPr>
      <w:r w:rsidRPr="004F66C3">
        <w:rPr>
          <w:rFonts w:ascii="Times New Roman" w:hAnsi="Times New Roman" w:cs="Times New Roman"/>
          <w:b/>
          <w:bCs/>
          <w:sz w:val="24"/>
          <w:szCs w:val="24"/>
        </w:rPr>
        <w:t>Figure 7: Soil Type Map of the Study Area</w:t>
      </w:r>
    </w:p>
    <w:p w14:paraId="38097E8C" w14:textId="71FD8C04" w:rsidR="00132C66" w:rsidRPr="002B26DA" w:rsidRDefault="00B51C18" w:rsidP="003F441C">
      <w:pPr>
        <w:pStyle w:val="NoSpacing"/>
        <w:rPr>
          <w:rFonts w:ascii="Times New Roman" w:hAnsi="Times New Roman" w:cs="Times New Roman"/>
          <w:sz w:val="24"/>
          <w:szCs w:val="24"/>
        </w:rPr>
      </w:pPr>
      <w:r w:rsidRPr="002B26DA">
        <w:rPr>
          <w:rFonts w:ascii="Times New Roman" w:hAnsi="Times New Roman" w:cs="Times New Roman"/>
          <w:noProof/>
          <w:sz w:val="24"/>
          <w:szCs w:val="24"/>
        </w:rPr>
        <w:drawing>
          <wp:inline distT="0" distB="0" distL="0" distR="0" wp14:anchorId="26F16EEA" wp14:editId="19D64B01">
            <wp:extent cx="4389120" cy="3098393"/>
            <wp:effectExtent l="0" t="0" r="0" b="6985"/>
            <wp:docPr id="20585235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120" cy="3098393"/>
                    </a:xfrm>
                    <a:prstGeom prst="rect">
                      <a:avLst/>
                    </a:prstGeom>
                    <a:noFill/>
                    <a:ln>
                      <a:noFill/>
                    </a:ln>
                  </pic:spPr>
                </pic:pic>
              </a:graphicData>
            </a:graphic>
          </wp:inline>
        </w:drawing>
      </w:r>
    </w:p>
    <w:p w14:paraId="7DBFE994" w14:textId="77777777" w:rsidR="00132C66" w:rsidRPr="002B26DA" w:rsidRDefault="00132C66" w:rsidP="005A545C">
      <w:pPr>
        <w:pStyle w:val="NoSpacing"/>
        <w:jc w:val="center"/>
        <w:rPr>
          <w:rFonts w:ascii="Times New Roman" w:hAnsi="Times New Roman" w:cs="Times New Roman"/>
          <w:sz w:val="24"/>
          <w:szCs w:val="24"/>
        </w:rPr>
      </w:pPr>
    </w:p>
    <w:p w14:paraId="6F775B91" w14:textId="77777777" w:rsidR="00132C66" w:rsidRPr="002B26DA" w:rsidRDefault="00132C66" w:rsidP="005A545C">
      <w:pPr>
        <w:pStyle w:val="NoSpacing"/>
        <w:rPr>
          <w:rFonts w:ascii="Times New Roman" w:hAnsi="Times New Roman" w:cs="Times New Roman"/>
          <w:sz w:val="24"/>
          <w:szCs w:val="24"/>
        </w:rPr>
      </w:pPr>
    </w:p>
    <w:p w14:paraId="21CCE26C" w14:textId="77777777" w:rsidR="00132C66" w:rsidRPr="002B26DA" w:rsidRDefault="00132C66" w:rsidP="005A545C">
      <w:pPr>
        <w:pStyle w:val="NoSpacing"/>
        <w:jc w:val="center"/>
        <w:rPr>
          <w:rFonts w:ascii="Times New Roman" w:hAnsi="Times New Roman" w:cs="Times New Roman"/>
          <w:sz w:val="24"/>
          <w:szCs w:val="24"/>
        </w:rPr>
      </w:pPr>
    </w:p>
    <w:p w14:paraId="35BB78E7" w14:textId="77777777" w:rsidR="003F441C" w:rsidRDefault="003F441C" w:rsidP="005A545C">
      <w:pPr>
        <w:pStyle w:val="NoSpacing"/>
        <w:rPr>
          <w:rFonts w:ascii="Times New Roman" w:hAnsi="Times New Roman" w:cs="Times New Roman"/>
          <w:sz w:val="24"/>
          <w:szCs w:val="24"/>
        </w:rPr>
      </w:pPr>
    </w:p>
    <w:p w14:paraId="6FCE189E" w14:textId="57D8DDA2" w:rsidR="00132C66" w:rsidRPr="002B26DA" w:rsidRDefault="00B51C18" w:rsidP="005A545C">
      <w:pPr>
        <w:pStyle w:val="NoSpacing"/>
        <w:rPr>
          <w:rFonts w:ascii="Times New Roman" w:hAnsi="Times New Roman" w:cs="Times New Roman"/>
          <w:b/>
          <w:bCs/>
          <w:i/>
          <w:iCs/>
          <w:sz w:val="24"/>
          <w:szCs w:val="24"/>
        </w:rPr>
      </w:pPr>
      <w:r w:rsidRPr="002B26DA">
        <w:rPr>
          <w:rFonts w:ascii="Times New Roman" w:hAnsi="Times New Roman" w:cs="Times New Roman"/>
          <w:b/>
          <w:bCs/>
          <w:i/>
          <w:iCs/>
          <w:sz w:val="24"/>
          <w:szCs w:val="24"/>
        </w:rPr>
        <w:t>D. GIS-Based Flood Hazard Map of the Lower Magat River Basin</w:t>
      </w:r>
    </w:p>
    <w:p w14:paraId="520E6E22" w14:textId="392553E8" w:rsidR="00B51C18" w:rsidRPr="002B26DA" w:rsidRDefault="00B51C18" w:rsidP="003F441C">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The GIS-based flood hazard map revealed varying levels of flood susceptibility across the Lower Magat River Basin. Among the four municipalities, Solano exhibited the highest proportion of high-susceptibility areas (71.72%; 48.04 km²), followed by </w:t>
      </w:r>
      <w:proofErr w:type="spellStart"/>
      <w:r w:rsidRPr="002B26DA">
        <w:rPr>
          <w:rFonts w:ascii="Times New Roman" w:hAnsi="Times New Roman" w:cs="Times New Roman"/>
          <w:sz w:val="24"/>
          <w:szCs w:val="24"/>
        </w:rPr>
        <w:t>Bagabag</w:t>
      </w:r>
      <w:proofErr w:type="spellEnd"/>
      <w:r w:rsidRPr="002B26DA">
        <w:rPr>
          <w:rFonts w:ascii="Times New Roman" w:hAnsi="Times New Roman" w:cs="Times New Roman"/>
          <w:sz w:val="24"/>
          <w:szCs w:val="24"/>
        </w:rPr>
        <w:t xml:space="preserve"> (58.56%; 97.06 km²), reflecting their low-lying terrain and proximity to major river systems. Quezon was predominantly classified as moderately susceptible (61.36%; 106.64 km²), while Bayombong displayed the most balanced distribution, with the largest extent of low and very low susceptibility areas (21.50 km²; 15.1%) due to its relatively higher elevations.</w:t>
      </w:r>
    </w:p>
    <w:p w14:paraId="41519AD5" w14:textId="4498E8BC" w:rsidR="00132C66" w:rsidRPr="002B26DA" w:rsidRDefault="00B51C18" w:rsidP="003F441C">
      <w:pPr>
        <w:pStyle w:val="NoSpacing"/>
        <w:jc w:val="both"/>
        <w:rPr>
          <w:rFonts w:ascii="Times New Roman" w:hAnsi="Times New Roman" w:cs="Times New Roman"/>
          <w:sz w:val="24"/>
          <w:szCs w:val="24"/>
        </w:rPr>
      </w:pPr>
      <w:r w:rsidRPr="002B26DA">
        <w:rPr>
          <w:rFonts w:ascii="Times New Roman" w:hAnsi="Times New Roman" w:cs="Times New Roman"/>
          <w:sz w:val="24"/>
          <w:szCs w:val="24"/>
        </w:rPr>
        <w:t xml:space="preserve">At the barangay level, </w:t>
      </w:r>
      <w:proofErr w:type="spellStart"/>
      <w:r w:rsidRPr="002B26DA">
        <w:rPr>
          <w:rFonts w:ascii="Times New Roman" w:hAnsi="Times New Roman" w:cs="Times New Roman"/>
          <w:sz w:val="24"/>
          <w:szCs w:val="24"/>
        </w:rPr>
        <w:t>Casat</w:t>
      </w:r>
      <w:proofErr w:type="spellEnd"/>
      <w:r w:rsidRPr="002B26DA">
        <w:rPr>
          <w:rFonts w:ascii="Times New Roman" w:hAnsi="Times New Roman" w:cs="Times New Roman"/>
          <w:sz w:val="24"/>
          <w:szCs w:val="24"/>
        </w:rPr>
        <w:t xml:space="preserve"> in Bayombong recorded a 100% very high susceptibility index, making it the most flood-prone area in the basin. Other highly vulnerable barangays included </w:t>
      </w:r>
      <w:proofErr w:type="spellStart"/>
      <w:r w:rsidRPr="002B26DA">
        <w:rPr>
          <w:rFonts w:ascii="Times New Roman" w:hAnsi="Times New Roman" w:cs="Times New Roman"/>
          <w:sz w:val="24"/>
          <w:szCs w:val="24"/>
        </w:rPr>
        <w:t>Darubba</w:t>
      </w:r>
      <w:proofErr w:type="spellEnd"/>
      <w:r w:rsidRPr="002B26DA">
        <w:rPr>
          <w:rFonts w:ascii="Times New Roman" w:hAnsi="Times New Roman" w:cs="Times New Roman"/>
          <w:sz w:val="24"/>
          <w:szCs w:val="24"/>
        </w:rPr>
        <w:t xml:space="preserve"> and </w:t>
      </w:r>
      <w:proofErr w:type="spellStart"/>
      <w:r w:rsidRPr="002B26DA">
        <w:rPr>
          <w:rFonts w:ascii="Times New Roman" w:hAnsi="Times New Roman" w:cs="Times New Roman"/>
          <w:sz w:val="24"/>
          <w:szCs w:val="24"/>
        </w:rPr>
        <w:t>Runruno</w:t>
      </w:r>
      <w:proofErr w:type="spellEnd"/>
      <w:r w:rsidRPr="002B26DA">
        <w:rPr>
          <w:rFonts w:ascii="Times New Roman" w:hAnsi="Times New Roman" w:cs="Times New Roman"/>
          <w:sz w:val="24"/>
          <w:szCs w:val="24"/>
        </w:rPr>
        <w:t xml:space="preserve"> in Quezon, Pilar D. Galima in Solano, </w:t>
      </w:r>
      <w:proofErr w:type="spellStart"/>
      <w:r w:rsidRPr="002B26DA">
        <w:rPr>
          <w:rFonts w:ascii="Times New Roman" w:hAnsi="Times New Roman" w:cs="Times New Roman"/>
          <w:sz w:val="24"/>
          <w:szCs w:val="24"/>
        </w:rPr>
        <w:t>Paitan</w:t>
      </w:r>
      <w:proofErr w:type="spellEnd"/>
      <w:r w:rsidRPr="002B26DA">
        <w:rPr>
          <w:rFonts w:ascii="Times New Roman" w:hAnsi="Times New Roman" w:cs="Times New Roman"/>
          <w:sz w:val="24"/>
          <w:szCs w:val="24"/>
        </w:rPr>
        <w:t xml:space="preserve"> in Bayombong, and </w:t>
      </w:r>
      <w:proofErr w:type="spellStart"/>
      <w:r w:rsidRPr="002B26DA">
        <w:rPr>
          <w:rFonts w:ascii="Times New Roman" w:hAnsi="Times New Roman" w:cs="Times New Roman"/>
          <w:sz w:val="24"/>
          <w:szCs w:val="24"/>
        </w:rPr>
        <w:t>Baretbet</w:t>
      </w:r>
      <w:proofErr w:type="spellEnd"/>
      <w:r w:rsidRPr="002B26DA">
        <w:rPr>
          <w:rFonts w:ascii="Times New Roman" w:hAnsi="Times New Roman" w:cs="Times New Roman"/>
          <w:sz w:val="24"/>
          <w:szCs w:val="24"/>
        </w:rPr>
        <w:t xml:space="preserve"> in </w:t>
      </w:r>
      <w:proofErr w:type="spellStart"/>
      <w:r w:rsidRPr="002B26DA">
        <w:rPr>
          <w:rFonts w:ascii="Times New Roman" w:hAnsi="Times New Roman" w:cs="Times New Roman"/>
          <w:sz w:val="24"/>
          <w:szCs w:val="24"/>
        </w:rPr>
        <w:t>Bagabag</w:t>
      </w:r>
      <w:proofErr w:type="spellEnd"/>
      <w:r w:rsidRPr="002B26DA">
        <w:rPr>
          <w:rFonts w:ascii="Times New Roman" w:hAnsi="Times New Roman" w:cs="Times New Roman"/>
          <w:sz w:val="24"/>
          <w:szCs w:val="24"/>
        </w:rPr>
        <w:t xml:space="preserve">. Moderate flood susceptibility was concentrated in </w:t>
      </w:r>
      <w:proofErr w:type="spellStart"/>
      <w:r w:rsidRPr="002B26DA">
        <w:rPr>
          <w:rFonts w:ascii="Times New Roman" w:hAnsi="Times New Roman" w:cs="Times New Roman"/>
          <w:sz w:val="24"/>
          <w:szCs w:val="24"/>
        </w:rPr>
        <w:t>Aggub</w:t>
      </w:r>
      <w:proofErr w:type="spellEnd"/>
      <w:r w:rsidRPr="002B26DA">
        <w:rPr>
          <w:rFonts w:ascii="Times New Roman" w:hAnsi="Times New Roman" w:cs="Times New Roman"/>
          <w:sz w:val="24"/>
          <w:szCs w:val="24"/>
        </w:rPr>
        <w:t xml:space="preserve"> and </w:t>
      </w:r>
      <w:proofErr w:type="spellStart"/>
      <w:r w:rsidRPr="002B26DA">
        <w:rPr>
          <w:rFonts w:ascii="Times New Roman" w:hAnsi="Times New Roman" w:cs="Times New Roman"/>
          <w:sz w:val="24"/>
          <w:szCs w:val="24"/>
        </w:rPr>
        <w:t>Curifang</w:t>
      </w:r>
      <w:proofErr w:type="spellEnd"/>
      <w:r w:rsidRPr="002B26DA">
        <w:rPr>
          <w:rFonts w:ascii="Times New Roman" w:hAnsi="Times New Roman" w:cs="Times New Roman"/>
          <w:sz w:val="24"/>
          <w:szCs w:val="24"/>
        </w:rPr>
        <w:t xml:space="preserve"> (Solano), </w:t>
      </w:r>
      <w:proofErr w:type="spellStart"/>
      <w:r w:rsidRPr="002B26DA">
        <w:rPr>
          <w:rFonts w:ascii="Times New Roman" w:hAnsi="Times New Roman" w:cs="Times New Roman"/>
          <w:sz w:val="24"/>
          <w:szCs w:val="24"/>
        </w:rPr>
        <w:t>Bonfal</w:t>
      </w:r>
      <w:proofErr w:type="spellEnd"/>
      <w:r w:rsidRPr="002B26DA">
        <w:rPr>
          <w:rFonts w:ascii="Times New Roman" w:hAnsi="Times New Roman" w:cs="Times New Roman"/>
          <w:sz w:val="24"/>
          <w:szCs w:val="24"/>
        </w:rPr>
        <w:t xml:space="preserve"> East (Bayombong), </w:t>
      </w:r>
      <w:proofErr w:type="spellStart"/>
      <w:r w:rsidRPr="002B26DA">
        <w:rPr>
          <w:rFonts w:ascii="Times New Roman" w:hAnsi="Times New Roman" w:cs="Times New Roman"/>
          <w:sz w:val="24"/>
          <w:szCs w:val="24"/>
        </w:rPr>
        <w:t>Baretbet</w:t>
      </w:r>
      <w:proofErr w:type="spellEnd"/>
      <w:r w:rsidRPr="002B26DA">
        <w:rPr>
          <w:rFonts w:ascii="Times New Roman" w:hAnsi="Times New Roman" w:cs="Times New Roman"/>
          <w:sz w:val="24"/>
          <w:szCs w:val="24"/>
        </w:rPr>
        <w:t xml:space="preserve"> (</w:t>
      </w:r>
      <w:proofErr w:type="spellStart"/>
      <w:r w:rsidRPr="002B26DA">
        <w:rPr>
          <w:rFonts w:ascii="Times New Roman" w:hAnsi="Times New Roman" w:cs="Times New Roman"/>
          <w:sz w:val="24"/>
          <w:szCs w:val="24"/>
        </w:rPr>
        <w:t>Bagabag</w:t>
      </w:r>
      <w:proofErr w:type="spellEnd"/>
      <w:r w:rsidRPr="002B26DA">
        <w:rPr>
          <w:rFonts w:ascii="Times New Roman" w:hAnsi="Times New Roman" w:cs="Times New Roman"/>
          <w:sz w:val="24"/>
          <w:szCs w:val="24"/>
        </w:rPr>
        <w:t xml:space="preserve">), and </w:t>
      </w:r>
      <w:proofErr w:type="spellStart"/>
      <w:r w:rsidRPr="002B26DA">
        <w:rPr>
          <w:rFonts w:ascii="Times New Roman" w:hAnsi="Times New Roman" w:cs="Times New Roman"/>
          <w:sz w:val="24"/>
          <w:szCs w:val="24"/>
        </w:rPr>
        <w:t>Maddiangat</w:t>
      </w:r>
      <w:proofErr w:type="spellEnd"/>
      <w:r w:rsidRPr="002B26DA">
        <w:rPr>
          <w:rFonts w:ascii="Times New Roman" w:hAnsi="Times New Roman" w:cs="Times New Roman"/>
          <w:sz w:val="24"/>
          <w:szCs w:val="24"/>
        </w:rPr>
        <w:t xml:space="preserve"> (Quezon). In contrast, safer zones were primarily located in </w:t>
      </w:r>
      <w:proofErr w:type="spellStart"/>
      <w:r w:rsidRPr="002B26DA">
        <w:rPr>
          <w:rFonts w:ascii="Times New Roman" w:hAnsi="Times New Roman" w:cs="Times New Roman"/>
          <w:sz w:val="24"/>
          <w:szCs w:val="24"/>
        </w:rPr>
        <w:t>Uddiawan</w:t>
      </w:r>
      <w:proofErr w:type="spellEnd"/>
      <w:r w:rsidRPr="002B26DA">
        <w:rPr>
          <w:rFonts w:ascii="Times New Roman" w:hAnsi="Times New Roman" w:cs="Times New Roman"/>
          <w:sz w:val="24"/>
          <w:szCs w:val="24"/>
        </w:rPr>
        <w:t xml:space="preserve"> (Solano), Buenavista and Magsaysay (Bayombong), Villa Coloma (</w:t>
      </w:r>
      <w:proofErr w:type="spellStart"/>
      <w:r w:rsidRPr="002B26DA">
        <w:rPr>
          <w:rFonts w:ascii="Times New Roman" w:hAnsi="Times New Roman" w:cs="Times New Roman"/>
          <w:sz w:val="24"/>
          <w:szCs w:val="24"/>
        </w:rPr>
        <w:t>Bagabag</w:t>
      </w:r>
      <w:proofErr w:type="spellEnd"/>
      <w:r w:rsidRPr="002B26DA">
        <w:rPr>
          <w:rFonts w:ascii="Times New Roman" w:hAnsi="Times New Roman" w:cs="Times New Roman"/>
          <w:sz w:val="24"/>
          <w:szCs w:val="24"/>
        </w:rPr>
        <w:t xml:space="preserve">), and </w:t>
      </w:r>
      <w:proofErr w:type="spellStart"/>
      <w:r w:rsidRPr="002B26DA">
        <w:rPr>
          <w:rFonts w:ascii="Times New Roman" w:hAnsi="Times New Roman" w:cs="Times New Roman"/>
          <w:sz w:val="24"/>
          <w:szCs w:val="24"/>
        </w:rPr>
        <w:t>Maddiangat</w:t>
      </w:r>
      <w:proofErr w:type="spellEnd"/>
      <w:r w:rsidRPr="002B26DA">
        <w:rPr>
          <w:rFonts w:ascii="Times New Roman" w:hAnsi="Times New Roman" w:cs="Times New Roman"/>
          <w:sz w:val="24"/>
          <w:szCs w:val="24"/>
        </w:rPr>
        <w:t xml:space="preserve"> (Quezon), where higher elevations reduced flood susceptibility.</w:t>
      </w:r>
    </w:p>
    <w:p w14:paraId="0B18EB03" w14:textId="53CF2D38" w:rsidR="00132C66" w:rsidRPr="00B22E97" w:rsidRDefault="003F441C" w:rsidP="003F441C">
      <w:pPr>
        <w:pStyle w:val="NoSpacing"/>
        <w:rPr>
          <w:rFonts w:ascii="Times New Roman" w:hAnsi="Times New Roman" w:cs="Times New Roman"/>
          <w:b/>
          <w:bCs/>
          <w:sz w:val="24"/>
          <w:szCs w:val="24"/>
        </w:rPr>
      </w:pPr>
      <w:r w:rsidRPr="00B22E97">
        <w:rPr>
          <w:rFonts w:ascii="Times New Roman" w:hAnsi="Times New Roman" w:cs="Times New Roman"/>
          <w:b/>
          <w:bCs/>
          <w:sz w:val="24"/>
          <w:szCs w:val="24"/>
        </w:rPr>
        <w:t>Figure 8: Flood Hazard Map of Lower Magat River</w:t>
      </w:r>
    </w:p>
    <w:p w14:paraId="56F576CF" w14:textId="7F27A4AE" w:rsidR="00132C66" w:rsidRPr="002B26DA" w:rsidRDefault="00B51C18" w:rsidP="002E5B33">
      <w:pPr>
        <w:pStyle w:val="NoSpacing"/>
        <w:rPr>
          <w:rFonts w:ascii="Times New Roman" w:hAnsi="Times New Roman" w:cs="Times New Roman"/>
          <w:sz w:val="24"/>
          <w:szCs w:val="24"/>
        </w:rPr>
      </w:pPr>
      <w:r w:rsidRPr="002B26DA">
        <w:rPr>
          <w:rFonts w:ascii="Times New Roman" w:hAnsi="Times New Roman" w:cs="Times New Roman"/>
          <w:noProof/>
          <w:sz w:val="24"/>
          <w:szCs w:val="24"/>
        </w:rPr>
        <w:drawing>
          <wp:inline distT="0" distB="0" distL="0" distR="0" wp14:anchorId="2EE5A10C" wp14:editId="382C62C7">
            <wp:extent cx="4572000" cy="3227293"/>
            <wp:effectExtent l="0" t="0" r="0" b="0"/>
            <wp:docPr id="4760013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227293"/>
                    </a:xfrm>
                    <a:prstGeom prst="rect">
                      <a:avLst/>
                    </a:prstGeom>
                    <a:noFill/>
                    <a:ln>
                      <a:noFill/>
                    </a:ln>
                  </pic:spPr>
                </pic:pic>
              </a:graphicData>
            </a:graphic>
          </wp:inline>
        </w:drawing>
      </w:r>
    </w:p>
    <w:p w14:paraId="1E163EF1" w14:textId="56C956B3" w:rsidR="00C94F59" w:rsidRPr="002B26DA" w:rsidRDefault="00C94F59" w:rsidP="002B26DA">
      <w:pPr>
        <w:pStyle w:val="NoSpacing"/>
        <w:rPr>
          <w:rFonts w:ascii="Times New Roman" w:hAnsi="Times New Roman" w:cs="Times New Roman"/>
          <w:b/>
          <w:bCs/>
          <w:sz w:val="28"/>
          <w:szCs w:val="28"/>
        </w:rPr>
      </w:pPr>
      <w:r w:rsidRPr="002B26DA">
        <w:rPr>
          <w:rFonts w:ascii="Times New Roman" w:hAnsi="Times New Roman" w:cs="Times New Roman"/>
          <w:b/>
          <w:bCs/>
          <w:sz w:val="28"/>
          <w:szCs w:val="28"/>
        </w:rPr>
        <w:t>CONCLUSION</w:t>
      </w:r>
    </w:p>
    <w:p w14:paraId="0A0F0212" w14:textId="30A734AA" w:rsidR="00C94F59" w:rsidRPr="002B26DA" w:rsidRDefault="00C94F59" w:rsidP="005A545C">
      <w:pPr>
        <w:pStyle w:val="NoSpacing"/>
        <w:rPr>
          <w:rFonts w:ascii="Times New Roman" w:hAnsi="Times New Roman" w:cs="Times New Roman"/>
          <w:sz w:val="24"/>
          <w:szCs w:val="24"/>
        </w:rPr>
      </w:pPr>
      <w:r w:rsidRPr="002B26DA">
        <w:rPr>
          <w:rFonts w:ascii="Times New Roman" w:hAnsi="Times New Roman" w:cs="Times New Roman"/>
          <w:sz w:val="24"/>
          <w:szCs w:val="24"/>
        </w:rPr>
        <w:t>Based on the results of this study, the following conclusion were drawn:</w:t>
      </w:r>
    </w:p>
    <w:p w14:paraId="01609F29" w14:textId="77777777" w:rsidR="00B150EC" w:rsidRPr="002B26DA" w:rsidRDefault="00B150EC" w:rsidP="005A545C">
      <w:pPr>
        <w:pStyle w:val="NoSpacing"/>
        <w:numPr>
          <w:ilvl w:val="0"/>
          <w:numId w:val="18"/>
        </w:numPr>
        <w:jc w:val="both"/>
        <w:rPr>
          <w:rFonts w:ascii="Times New Roman" w:hAnsi="Times New Roman" w:cs="Times New Roman"/>
          <w:sz w:val="24"/>
          <w:szCs w:val="24"/>
        </w:rPr>
      </w:pPr>
      <w:r w:rsidRPr="002B26DA">
        <w:rPr>
          <w:rFonts w:ascii="Times New Roman" w:hAnsi="Times New Roman" w:cs="Times New Roman"/>
          <w:sz w:val="24"/>
          <w:szCs w:val="24"/>
        </w:rPr>
        <w:t>The GIS–AHP analysis identified distance to rivers (36.1%) and precipitation (25.4%) as the dominant factors influencing flood susceptibility in the Lower Magat River Basin.</w:t>
      </w:r>
    </w:p>
    <w:p w14:paraId="72C69200" w14:textId="77777777" w:rsidR="00B150EC" w:rsidRPr="002B26DA" w:rsidRDefault="00B150EC" w:rsidP="005A545C">
      <w:pPr>
        <w:pStyle w:val="NoSpacing"/>
        <w:numPr>
          <w:ilvl w:val="0"/>
          <w:numId w:val="18"/>
        </w:numPr>
        <w:jc w:val="both"/>
        <w:rPr>
          <w:rFonts w:ascii="Times New Roman" w:hAnsi="Times New Roman" w:cs="Times New Roman"/>
          <w:sz w:val="24"/>
          <w:szCs w:val="24"/>
        </w:rPr>
      </w:pPr>
      <w:r w:rsidRPr="002B26DA">
        <w:rPr>
          <w:rFonts w:ascii="Times New Roman" w:hAnsi="Times New Roman" w:cs="Times New Roman"/>
          <w:sz w:val="24"/>
          <w:szCs w:val="24"/>
        </w:rPr>
        <w:t>High flood hazard areas are primarily located near the Magat River and in zones with high annual rainfall, highlighting the combined influence of hydrological and climatic conditions on flood occurrence.</w:t>
      </w:r>
    </w:p>
    <w:p w14:paraId="46DC0D5A" w14:textId="77777777" w:rsidR="00B150EC" w:rsidRPr="002B26DA" w:rsidRDefault="00B150EC" w:rsidP="005A545C">
      <w:pPr>
        <w:pStyle w:val="NoSpacing"/>
        <w:numPr>
          <w:ilvl w:val="0"/>
          <w:numId w:val="18"/>
        </w:numPr>
        <w:jc w:val="both"/>
        <w:rPr>
          <w:rFonts w:ascii="Times New Roman" w:hAnsi="Times New Roman" w:cs="Times New Roman"/>
          <w:sz w:val="24"/>
          <w:szCs w:val="24"/>
        </w:rPr>
      </w:pPr>
      <w:r w:rsidRPr="002B26DA">
        <w:rPr>
          <w:rFonts w:ascii="Times New Roman" w:hAnsi="Times New Roman" w:cs="Times New Roman"/>
          <w:sz w:val="24"/>
          <w:szCs w:val="24"/>
        </w:rPr>
        <w:t>Low-gradient terrain and heavy clay soils further increase flood susceptibility by limiting infiltration and promoting surface water accumulation.</w:t>
      </w:r>
    </w:p>
    <w:p w14:paraId="72043A4C" w14:textId="77777777" w:rsidR="003F441C" w:rsidRDefault="00B150EC" w:rsidP="002B26DA">
      <w:pPr>
        <w:pStyle w:val="NoSpacing"/>
        <w:numPr>
          <w:ilvl w:val="0"/>
          <w:numId w:val="18"/>
        </w:numPr>
        <w:jc w:val="both"/>
        <w:rPr>
          <w:rFonts w:ascii="Times New Roman" w:hAnsi="Times New Roman" w:cs="Times New Roman"/>
          <w:sz w:val="24"/>
          <w:szCs w:val="24"/>
        </w:rPr>
      </w:pPr>
      <w:r w:rsidRPr="002B26DA">
        <w:rPr>
          <w:rFonts w:ascii="Times New Roman" w:hAnsi="Times New Roman" w:cs="Times New Roman"/>
          <w:sz w:val="24"/>
          <w:szCs w:val="24"/>
        </w:rPr>
        <w:t>The acceptable Consistency Ratio (CR &lt; 0.10) confirms the reliability of the AHP-derived weights, demonstrating that the generated GIS-based flood hazard map provides a scientifically sound basis for flood risk assessment and disaster risk reduction planning in the study area.</w:t>
      </w:r>
    </w:p>
    <w:p w14:paraId="54A18573" w14:textId="3810A7DA" w:rsidR="00C94F59" w:rsidRPr="003F441C" w:rsidRDefault="00C94F59" w:rsidP="003F441C">
      <w:pPr>
        <w:pStyle w:val="NoSpacing"/>
        <w:jc w:val="both"/>
        <w:rPr>
          <w:rFonts w:ascii="Times New Roman" w:hAnsi="Times New Roman" w:cs="Times New Roman"/>
          <w:sz w:val="24"/>
          <w:szCs w:val="24"/>
        </w:rPr>
      </w:pPr>
      <w:r w:rsidRPr="003F441C">
        <w:rPr>
          <w:rFonts w:ascii="Times New Roman" w:hAnsi="Times New Roman" w:cs="Times New Roman"/>
          <w:b/>
          <w:bCs/>
          <w:sz w:val="28"/>
          <w:szCs w:val="28"/>
        </w:rPr>
        <w:t>RECOMMENDATION</w:t>
      </w:r>
    </w:p>
    <w:p w14:paraId="088301F4" w14:textId="199C3BCC" w:rsidR="00C94F59" w:rsidRPr="002B26DA" w:rsidRDefault="00C94F59" w:rsidP="005A545C">
      <w:pPr>
        <w:pStyle w:val="NoSpacing"/>
        <w:rPr>
          <w:rFonts w:ascii="Times New Roman" w:hAnsi="Times New Roman" w:cs="Times New Roman"/>
          <w:sz w:val="24"/>
          <w:szCs w:val="24"/>
        </w:rPr>
      </w:pPr>
      <w:r w:rsidRPr="002B26DA">
        <w:rPr>
          <w:rFonts w:ascii="Times New Roman" w:hAnsi="Times New Roman" w:cs="Times New Roman"/>
          <w:sz w:val="24"/>
          <w:szCs w:val="24"/>
        </w:rPr>
        <w:t>Based on the conclusion derived from the results of this study, the following are the recommendations:</w:t>
      </w:r>
    </w:p>
    <w:p w14:paraId="60C51C26" w14:textId="77777777" w:rsidR="00B150EC" w:rsidRPr="002B26DA" w:rsidRDefault="00B150EC" w:rsidP="005A545C">
      <w:pPr>
        <w:pStyle w:val="NoSpacing"/>
        <w:numPr>
          <w:ilvl w:val="0"/>
          <w:numId w:val="19"/>
        </w:numPr>
        <w:jc w:val="both"/>
        <w:rPr>
          <w:rFonts w:ascii="Times New Roman" w:hAnsi="Times New Roman" w:cs="Times New Roman"/>
          <w:sz w:val="24"/>
          <w:szCs w:val="24"/>
        </w:rPr>
      </w:pPr>
      <w:r w:rsidRPr="002B26DA">
        <w:rPr>
          <w:rFonts w:ascii="Times New Roman" w:hAnsi="Times New Roman" w:cs="Times New Roman"/>
          <w:sz w:val="24"/>
          <w:szCs w:val="24"/>
        </w:rPr>
        <w:t>Local government units (LGUs) should integrate the GIS-based flood hazard map into their Comprehensive Land Use Plans (CLUP) and Disaster Risk Reduction and Management (DRRM) plans to support evidence-based planning and flood risk mitigation.</w:t>
      </w:r>
    </w:p>
    <w:p w14:paraId="04D5CC67" w14:textId="77777777" w:rsidR="00B150EC" w:rsidRPr="002B26DA" w:rsidRDefault="00B150EC" w:rsidP="005A545C">
      <w:pPr>
        <w:pStyle w:val="NoSpacing"/>
        <w:numPr>
          <w:ilvl w:val="0"/>
          <w:numId w:val="19"/>
        </w:numPr>
        <w:jc w:val="both"/>
        <w:rPr>
          <w:rFonts w:ascii="Times New Roman" w:hAnsi="Times New Roman" w:cs="Times New Roman"/>
          <w:sz w:val="24"/>
          <w:szCs w:val="24"/>
        </w:rPr>
      </w:pPr>
      <w:r w:rsidRPr="002B26DA">
        <w:rPr>
          <w:rFonts w:ascii="Times New Roman" w:hAnsi="Times New Roman" w:cs="Times New Roman"/>
          <w:sz w:val="24"/>
          <w:szCs w:val="24"/>
        </w:rPr>
        <w:t>Development within identified high-risk flood zones, particularly areas adjacent to major river systems, should be strictly regulated through the enforcement of river easements and appropriate land-use policies.</w:t>
      </w:r>
    </w:p>
    <w:p w14:paraId="190F42CB" w14:textId="77777777" w:rsidR="00B150EC" w:rsidRPr="002B26DA" w:rsidRDefault="00B150EC" w:rsidP="005A545C">
      <w:pPr>
        <w:pStyle w:val="NoSpacing"/>
        <w:numPr>
          <w:ilvl w:val="0"/>
          <w:numId w:val="19"/>
        </w:numPr>
        <w:jc w:val="both"/>
        <w:rPr>
          <w:rFonts w:ascii="Times New Roman" w:hAnsi="Times New Roman" w:cs="Times New Roman"/>
          <w:sz w:val="24"/>
          <w:szCs w:val="24"/>
        </w:rPr>
      </w:pPr>
      <w:r w:rsidRPr="002B26DA">
        <w:rPr>
          <w:rFonts w:ascii="Times New Roman" w:hAnsi="Times New Roman" w:cs="Times New Roman"/>
          <w:sz w:val="24"/>
          <w:szCs w:val="24"/>
        </w:rPr>
        <w:t>Nature-based solutions, including watershed reforestation and the expansion of urban green infrastructure, should be promoted to reduce surface runoff and improve water infiltration.</w:t>
      </w:r>
    </w:p>
    <w:p w14:paraId="79822223" w14:textId="77777777" w:rsidR="00B150EC" w:rsidRPr="002B26DA" w:rsidRDefault="00B150EC" w:rsidP="005A545C">
      <w:pPr>
        <w:pStyle w:val="NoSpacing"/>
        <w:numPr>
          <w:ilvl w:val="0"/>
          <w:numId w:val="19"/>
        </w:numPr>
        <w:jc w:val="both"/>
        <w:rPr>
          <w:rFonts w:ascii="Times New Roman" w:hAnsi="Times New Roman" w:cs="Times New Roman"/>
          <w:sz w:val="24"/>
          <w:szCs w:val="24"/>
        </w:rPr>
      </w:pPr>
      <w:r w:rsidRPr="002B26DA">
        <w:rPr>
          <w:rFonts w:ascii="Times New Roman" w:hAnsi="Times New Roman" w:cs="Times New Roman"/>
          <w:sz w:val="24"/>
          <w:szCs w:val="24"/>
        </w:rPr>
        <w:t>Future studies should incorporate high-resolution LiDAR data, hydraulic modeling, and climate change scenarios to improve the accuracy and predictive capability of flood hazard assessments.</w:t>
      </w:r>
    </w:p>
    <w:p w14:paraId="7DA735B4" w14:textId="106481FE" w:rsidR="00C94F59" w:rsidRPr="002B26DA" w:rsidRDefault="00B150EC" w:rsidP="005A545C">
      <w:pPr>
        <w:pStyle w:val="NoSpacing"/>
        <w:numPr>
          <w:ilvl w:val="0"/>
          <w:numId w:val="19"/>
        </w:numPr>
        <w:jc w:val="both"/>
        <w:rPr>
          <w:rFonts w:ascii="Times New Roman" w:hAnsi="Times New Roman" w:cs="Times New Roman"/>
          <w:sz w:val="24"/>
          <w:szCs w:val="24"/>
        </w:rPr>
      </w:pPr>
      <w:r w:rsidRPr="002B26DA">
        <w:rPr>
          <w:rFonts w:ascii="Times New Roman" w:hAnsi="Times New Roman" w:cs="Times New Roman"/>
          <w:sz w:val="24"/>
          <w:szCs w:val="24"/>
        </w:rPr>
        <w:t>Community-based flood awareness and preparedness programs should be strengthened, particularly in highly susceptible barangays, to enhance disaster resilience and early warning response.</w:t>
      </w:r>
    </w:p>
    <w:p w14:paraId="522E3A7F" w14:textId="77777777" w:rsidR="00B150EC" w:rsidRPr="003F441C" w:rsidRDefault="00B150EC" w:rsidP="002B26DA">
      <w:pPr>
        <w:spacing w:line="240" w:lineRule="auto"/>
        <w:rPr>
          <w:rFonts w:ascii="Times New Roman" w:hAnsi="Times New Roman" w:cs="Times New Roman"/>
          <w:b/>
          <w:bCs/>
          <w:sz w:val="28"/>
          <w:szCs w:val="28"/>
          <w:lang w:val="en-US"/>
        </w:rPr>
      </w:pPr>
      <w:r w:rsidRPr="003F441C">
        <w:rPr>
          <w:rFonts w:ascii="Times New Roman" w:hAnsi="Times New Roman" w:cs="Times New Roman"/>
          <w:b/>
          <w:bCs/>
          <w:sz w:val="28"/>
          <w:szCs w:val="28"/>
          <w:lang w:val="en-US"/>
        </w:rPr>
        <w:t>ACKNOWLEDGEMENT</w:t>
      </w:r>
    </w:p>
    <w:p w14:paraId="5286F2C7" w14:textId="19AEB304" w:rsidR="00B150EC" w:rsidRPr="002B26DA" w:rsidRDefault="00386D16" w:rsidP="005A545C">
      <w:p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The researcher would like to extend her sincere appreciation to the University of La Salette, Inc. for providing a supportive academic environment, quality education, and opportunities that made this research possible. She also expresses her heartfelt gratitude to the Provincial Planning and Development Office (PPDO) of Nueva Vizcaya and the Provincial Disaster Risk Reduction and Management Office (PDRRMO) of Nueva Vizcaya for providing the essential data, maps, and technical information that greatly contributed to the successful completion of this study.</w:t>
      </w:r>
    </w:p>
    <w:p w14:paraId="2EC9ACBE" w14:textId="77777777" w:rsidR="00386D16" w:rsidRPr="003F441C" w:rsidRDefault="00386D16" w:rsidP="002B26DA">
      <w:pPr>
        <w:spacing w:line="240" w:lineRule="auto"/>
        <w:rPr>
          <w:rFonts w:ascii="Times New Roman" w:hAnsi="Times New Roman" w:cs="Times New Roman"/>
          <w:b/>
          <w:bCs/>
          <w:sz w:val="28"/>
          <w:szCs w:val="28"/>
          <w:lang w:val="en-US"/>
        </w:rPr>
      </w:pPr>
      <w:r w:rsidRPr="003F441C">
        <w:rPr>
          <w:rFonts w:ascii="Times New Roman" w:hAnsi="Times New Roman" w:cs="Times New Roman"/>
          <w:b/>
          <w:bCs/>
          <w:sz w:val="28"/>
          <w:szCs w:val="28"/>
          <w:lang w:val="en-US"/>
        </w:rPr>
        <w:t>REFERENCES</w:t>
      </w:r>
    </w:p>
    <w:p w14:paraId="348374EC"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Addis, A. (2023). GIS-based flood susceptibility mapping using frequency ratio and</w:t>
      </w:r>
      <w:r w:rsidRPr="002B26DA">
        <w:rPr>
          <w:rFonts w:ascii="Times New Roman" w:hAnsi="Times New Roman" w:cs="Times New Roman"/>
          <w:sz w:val="24"/>
          <w:szCs w:val="24"/>
          <w:lang w:val="en-US"/>
        </w:rPr>
        <w:tab/>
        <w:t>information value models in Upper Abay River Basin, Ethiopia. Natural</w:t>
      </w:r>
      <w:r w:rsidRPr="002B26DA">
        <w:rPr>
          <w:rFonts w:ascii="Times New Roman" w:hAnsi="Times New Roman" w:cs="Times New Roman"/>
          <w:sz w:val="24"/>
          <w:szCs w:val="24"/>
          <w:lang w:val="en-US"/>
        </w:rPr>
        <w:tab/>
        <w:t>Hazards Research, 3(2), 247–256.</w:t>
      </w:r>
    </w:p>
    <w:p w14:paraId="32294193"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Adjei-Darko, P. (2017). Remote sensing and geographic information systems for</w:t>
      </w:r>
      <w:r w:rsidRPr="002B26DA">
        <w:rPr>
          <w:rFonts w:ascii="Times New Roman" w:hAnsi="Times New Roman" w:cs="Times New Roman"/>
          <w:sz w:val="24"/>
          <w:szCs w:val="24"/>
          <w:lang w:val="en-US"/>
        </w:rPr>
        <w:tab/>
        <w:t>flood risk mapping and near real-time flooding extent assessment in the</w:t>
      </w:r>
      <w:r w:rsidRPr="002B26DA">
        <w:rPr>
          <w:rFonts w:ascii="Times New Roman" w:hAnsi="Times New Roman" w:cs="Times New Roman"/>
          <w:sz w:val="24"/>
          <w:szCs w:val="24"/>
          <w:lang w:val="en-US"/>
        </w:rPr>
        <w:tab/>
        <w:t>Greater Accra Metropolitan Area (Master’s thesis). KTH Royal Institute of</w:t>
      </w:r>
      <w:r w:rsidRPr="002B26DA">
        <w:rPr>
          <w:rFonts w:ascii="Times New Roman" w:hAnsi="Times New Roman" w:cs="Times New Roman"/>
          <w:sz w:val="24"/>
          <w:szCs w:val="24"/>
          <w:lang w:val="en-US"/>
        </w:rPr>
        <w:tab/>
        <w:t>Technology, Stockholm, Sweden.</w:t>
      </w:r>
    </w:p>
    <w:p w14:paraId="73C574F3"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proofErr w:type="spellStart"/>
      <w:r w:rsidRPr="002B26DA">
        <w:rPr>
          <w:rFonts w:ascii="Times New Roman" w:hAnsi="Times New Roman" w:cs="Times New Roman"/>
          <w:sz w:val="24"/>
          <w:szCs w:val="24"/>
          <w:lang w:val="en-US"/>
        </w:rPr>
        <w:t>Alarifi</w:t>
      </w:r>
      <w:proofErr w:type="spellEnd"/>
      <w:r w:rsidRPr="002B26DA">
        <w:rPr>
          <w:rFonts w:ascii="Times New Roman" w:hAnsi="Times New Roman" w:cs="Times New Roman"/>
          <w:sz w:val="24"/>
          <w:szCs w:val="24"/>
          <w:lang w:val="en-US"/>
        </w:rPr>
        <w:t>, N., Alshammari, F., &amp; Alghamdi, S. (2020). Flash flood vulnerability mapping</w:t>
      </w:r>
      <w:r w:rsidRPr="002B26DA">
        <w:rPr>
          <w:rFonts w:ascii="Times New Roman" w:hAnsi="Times New Roman" w:cs="Times New Roman"/>
          <w:sz w:val="24"/>
          <w:szCs w:val="24"/>
          <w:lang w:val="en-US"/>
        </w:rPr>
        <w:tab/>
        <w:t>using GIS and AHP: A case study in southwestern Saudi Arabia.</w:t>
      </w:r>
      <w:r w:rsidRPr="002B26DA">
        <w:rPr>
          <w:rFonts w:ascii="Times New Roman" w:hAnsi="Times New Roman" w:cs="Times New Roman"/>
          <w:sz w:val="24"/>
          <w:szCs w:val="24"/>
          <w:lang w:val="en-US"/>
        </w:rPr>
        <w:tab/>
        <w:t>Environmental Earth Sciences, 79, 654. https://doi.org/10.1007/s12665</w:t>
      </w:r>
      <w:r w:rsidRPr="002B26DA">
        <w:rPr>
          <w:rFonts w:ascii="Times New Roman" w:hAnsi="Times New Roman" w:cs="Times New Roman"/>
          <w:sz w:val="24"/>
          <w:szCs w:val="24"/>
          <w:lang w:val="en-US"/>
        </w:rPr>
        <w:tab/>
        <w:t>020-09332-8</w:t>
      </w:r>
    </w:p>
    <w:p w14:paraId="7924723B"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Ali, A., </w:t>
      </w:r>
      <w:proofErr w:type="spellStart"/>
      <w:r w:rsidRPr="002B26DA">
        <w:rPr>
          <w:rFonts w:ascii="Times New Roman" w:hAnsi="Times New Roman" w:cs="Times New Roman"/>
          <w:sz w:val="24"/>
          <w:szCs w:val="24"/>
          <w:lang w:val="en-US"/>
        </w:rPr>
        <w:t>Solomatine</w:t>
      </w:r>
      <w:proofErr w:type="spellEnd"/>
      <w:r w:rsidRPr="002B26DA">
        <w:rPr>
          <w:rFonts w:ascii="Times New Roman" w:hAnsi="Times New Roman" w:cs="Times New Roman"/>
          <w:sz w:val="24"/>
          <w:szCs w:val="24"/>
          <w:lang w:val="en-US"/>
        </w:rPr>
        <w:t>, D. P., &amp; Di Baldassarre, G. (2015). Assessing the impact of</w:t>
      </w:r>
      <w:r w:rsidRPr="002B26DA">
        <w:rPr>
          <w:rFonts w:ascii="Times New Roman" w:hAnsi="Times New Roman" w:cs="Times New Roman"/>
          <w:sz w:val="24"/>
          <w:szCs w:val="24"/>
          <w:lang w:val="en-US"/>
        </w:rPr>
        <w:tab/>
        <w:t>different sources of topographic data on 1-D hydraulic modelling of floods.</w:t>
      </w:r>
      <w:r w:rsidRPr="002B26DA">
        <w:rPr>
          <w:rFonts w:ascii="Times New Roman" w:hAnsi="Times New Roman" w:cs="Times New Roman"/>
          <w:sz w:val="24"/>
          <w:szCs w:val="24"/>
          <w:lang w:val="en-US"/>
        </w:rPr>
        <w:tab/>
        <w:t>Hydrology and Earth System Sciences, 19, 631–643.</w:t>
      </w:r>
      <w:r w:rsidRPr="002B26DA">
        <w:rPr>
          <w:rFonts w:ascii="Times New Roman" w:hAnsi="Times New Roman" w:cs="Times New Roman"/>
          <w:sz w:val="24"/>
          <w:szCs w:val="24"/>
          <w:lang w:val="en-US"/>
        </w:rPr>
        <w:tab/>
        <w:t>https://doi.org/10.5194/hess-19-631-2015</w:t>
      </w:r>
    </w:p>
    <w:p w14:paraId="063F2744"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Ali, K., Bajracharya, R. M., &amp; Koirala, H. L. (2016). A review of flood risk</w:t>
      </w:r>
      <w:r w:rsidRPr="002B26DA">
        <w:rPr>
          <w:rFonts w:ascii="Times New Roman" w:hAnsi="Times New Roman" w:cs="Times New Roman"/>
          <w:sz w:val="24"/>
          <w:szCs w:val="24"/>
          <w:lang w:val="en-US"/>
        </w:rPr>
        <w:tab/>
        <w:t>assessment. International Journal of Environment, Agriculture and</w:t>
      </w:r>
      <w:r w:rsidRPr="002B26DA">
        <w:rPr>
          <w:rFonts w:ascii="Times New Roman" w:hAnsi="Times New Roman" w:cs="Times New Roman"/>
          <w:sz w:val="24"/>
          <w:szCs w:val="24"/>
          <w:lang w:val="en-US"/>
        </w:rPr>
        <w:tab/>
        <w:t>Biotechnology, 1, 1065–1077.</w:t>
      </w:r>
    </w:p>
    <w:p w14:paraId="3FD2097C"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Ali, S. (2020). Geographic Information Systems: Principles and applications.</w:t>
      </w:r>
      <w:r w:rsidRPr="002B26DA">
        <w:rPr>
          <w:rFonts w:ascii="Times New Roman" w:hAnsi="Times New Roman" w:cs="Times New Roman"/>
          <w:sz w:val="24"/>
          <w:szCs w:val="24"/>
          <w:lang w:val="en-US"/>
        </w:rPr>
        <w:tab/>
        <w:t>Springer.</w:t>
      </w:r>
    </w:p>
    <w:p w14:paraId="77C2B335"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Alcantara, R., &amp; Christopher, J. (2019). Flood hazards and community vulnerability</w:t>
      </w:r>
      <w:r w:rsidRPr="002B26DA">
        <w:rPr>
          <w:rFonts w:ascii="Times New Roman" w:hAnsi="Times New Roman" w:cs="Times New Roman"/>
          <w:sz w:val="24"/>
          <w:szCs w:val="24"/>
          <w:lang w:val="en-US"/>
        </w:rPr>
        <w:tab/>
        <w:t>assessment. International Journal of Disaster Risk Reduction, 34, 33–45.</w:t>
      </w:r>
      <w:r w:rsidRPr="002B26DA">
        <w:rPr>
          <w:rFonts w:ascii="Times New Roman" w:hAnsi="Times New Roman" w:cs="Times New Roman"/>
          <w:sz w:val="24"/>
          <w:szCs w:val="24"/>
          <w:lang w:val="en-US"/>
        </w:rPr>
        <w:tab/>
        <w:t>https://doi.org/10.1016/j.ijdrr.2018.12.008</w:t>
      </w:r>
    </w:p>
    <w:p w14:paraId="0361FE4E"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Alfonso, C. D. Q., </w:t>
      </w:r>
      <w:proofErr w:type="spellStart"/>
      <w:r w:rsidRPr="002B26DA">
        <w:rPr>
          <w:rFonts w:ascii="Times New Roman" w:hAnsi="Times New Roman" w:cs="Times New Roman"/>
          <w:sz w:val="24"/>
          <w:szCs w:val="24"/>
          <w:lang w:val="en-US"/>
        </w:rPr>
        <w:t>Sundo</w:t>
      </w:r>
      <w:proofErr w:type="spellEnd"/>
      <w:r w:rsidRPr="002B26DA">
        <w:rPr>
          <w:rFonts w:ascii="Times New Roman" w:hAnsi="Times New Roman" w:cs="Times New Roman"/>
          <w:sz w:val="24"/>
          <w:szCs w:val="24"/>
          <w:lang w:val="en-US"/>
        </w:rPr>
        <w:t>, M. B., Zafra, R. G., Velasco, P. P., Aguirre, J. J. C., &amp;</w:t>
      </w:r>
      <w:r w:rsidRPr="002B26DA">
        <w:rPr>
          <w:rFonts w:ascii="Times New Roman" w:hAnsi="Times New Roman" w:cs="Times New Roman"/>
          <w:sz w:val="24"/>
          <w:szCs w:val="24"/>
          <w:lang w:val="en-US"/>
        </w:rPr>
        <w:tab/>
        <w:t>Madlangbayan, M. S. (2019). Flood risk assessment of major river basins</w:t>
      </w:r>
      <w:r w:rsidRPr="002B26DA">
        <w:rPr>
          <w:rFonts w:ascii="Times New Roman" w:hAnsi="Times New Roman" w:cs="Times New Roman"/>
          <w:sz w:val="24"/>
          <w:szCs w:val="24"/>
          <w:lang w:val="en-US"/>
        </w:rPr>
        <w:tab/>
        <w:t>in the Philippines. International Journal of GEOMATE, 17, 201–208.</w:t>
      </w:r>
    </w:p>
    <w:p w14:paraId="6165A829"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Al-Omari, A. A., </w:t>
      </w:r>
      <w:proofErr w:type="spellStart"/>
      <w:r w:rsidRPr="002B26DA">
        <w:rPr>
          <w:rFonts w:ascii="Times New Roman" w:hAnsi="Times New Roman" w:cs="Times New Roman"/>
          <w:sz w:val="24"/>
          <w:szCs w:val="24"/>
          <w:lang w:val="en-US"/>
        </w:rPr>
        <w:t>Shatnawi</w:t>
      </w:r>
      <w:proofErr w:type="spellEnd"/>
      <w:r w:rsidRPr="002B26DA">
        <w:rPr>
          <w:rFonts w:ascii="Times New Roman" w:hAnsi="Times New Roman" w:cs="Times New Roman"/>
          <w:sz w:val="24"/>
          <w:szCs w:val="24"/>
          <w:lang w:val="en-US"/>
        </w:rPr>
        <w:t xml:space="preserve">, N. N., </w:t>
      </w:r>
      <w:proofErr w:type="spellStart"/>
      <w:r w:rsidRPr="002B26DA">
        <w:rPr>
          <w:rFonts w:ascii="Times New Roman" w:hAnsi="Times New Roman" w:cs="Times New Roman"/>
          <w:sz w:val="24"/>
          <w:szCs w:val="24"/>
          <w:lang w:val="en-US"/>
        </w:rPr>
        <w:t>Shbeeb</w:t>
      </w:r>
      <w:proofErr w:type="spellEnd"/>
      <w:r w:rsidRPr="002B26DA">
        <w:rPr>
          <w:rFonts w:ascii="Times New Roman" w:hAnsi="Times New Roman" w:cs="Times New Roman"/>
          <w:sz w:val="24"/>
          <w:szCs w:val="24"/>
          <w:lang w:val="en-US"/>
        </w:rPr>
        <w:t xml:space="preserve">, N. I., Istrati, D., </w:t>
      </w:r>
      <w:proofErr w:type="spellStart"/>
      <w:r w:rsidRPr="002B26DA">
        <w:rPr>
          <w:rFonts w:ascii="Times New Roman" w:hAnsi="Times New Roman" w:cs="Times New Roman"/>
          <w:sz w:val="24"/>
          <w:szCs w:val="24"/>
          <w:lang w:val="en-US"/>
        </w:rPr>
        <w:t>Lagaros</w:t>
      </w:r>
      <w:proofErr w:type="spellEnd"/>
      <w:r w:rsidRPr="002B26DA">
        <w:rPr>
          <w:rFonts w:ascii="Times New Roman" w:hAnsi="Times New Roman" w:cs="Times New Roman"/>
          <w:sz w:val="24"/>
          <w:szCs w:val="24"/>
          <w:lang w:val="en-US"/>
        </w:rPr>
        <w:t>, N. D., &amp;</w:t>
      </w:r>
      <w:r w:rsidRPr="002B26DA">
        <w:rPr>
          <w:rFonts w:ascii="Times New Roman" w:hAnsi="Times New Roman" w:cs="Times New Roman"/>
          <w:sz w:val="24"/>
          <w:szCs w:val="24"/>
          <w:lang w:val="en-US"/>
        </w:rPr>
        <w:tab/>
        <w:t>Abdalla, K. M. (2024). Utilizing remote sensing and GIS techniques for flood</w:t>
      </w:r>
      <w:r w:rsidRPr="002B26DA">
        <w:rPr>
          <w:rFonts w:ascii="Times New Roman" w:hAnsi="Times New Roman" w:cs="Times New Roman"/>
          <w:sz w:val="24"/>
          <w:szCs w:val="24"/>
          <w:lang w:val="en-US"/>
        </w:rPr>
        <w:tab/>
        <w:t>hazard mapping and risk assessment. Civil Engineering Journal, 10(5),</w:t>
      </w:r>
      <w:r w:rsidRPr="002B26DA">
        <w:rPr>
          <w:rFonts w:ascii="Times New Roman" w:hAnsi="Times New Roman" w:cs="Times New Roman"/>
          <w:sz w:val="24"/>
          <w:szCs w:val="24"/>
          <w:lang w:val="en-US"/>
        </w:rPr>
        <w:tab/>
        <w:t>1423–1436. https://doi.org/10.28991/cej-2024-010-05-05</w:t>
      </w:r>
    </w:p>
    <w:p w14:paraId="13F12515"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Anusha, N., &amp; Bharathi, B. (2019). Flood detection and flood mapping using multi</w:t>
      </w:r>
      <w:r w:rsidRPr="002B26DA">
        <w:rPr>
          <w:rFonts w:ascii="Times New Roman" w:hAnsi="Times New Roman" w:cs="Times New Roman"/>
          <w:sz w:val="24"/>
          <w:szCs w:val="24"/>
          <w:lang w:val="en-US"/>
        </w:rPr>
        <w:tab/>
        <w:t>temporal synthetic aperture radar and optical data. Egyptian Journal of</w:t>
      </w:r>
      <w:r w:rsidRPr="002B26DA">
        <w:rPr>
          <w:rFonts w:ascii="Times New Roman" w:hAnsi="Times New Roman" w:cs="Times New Roman"/>
          <w:sz w:val="24"/>
          <w:szCs w:val="24"/>
          <w:lang w:val="en-US"/>
        </w:rPr>
        <w:tab/>
        <w:t>Remote Sensing and Space Science, 23, 207–219.</w:t>
      </w:r>
      <w:r w:rsidRPr="002B26DA">
        <w:rPr>
          <w:rFonts w:ascii="Times New Roman" w:hAnsi="Times New Roman" w:cs="Times New Roman"/>
          <w:sz w:val="24"/>
          <w:szCs w:val="24"/>
          <w:lang w:val="en-US"/>
        </w:rPr>
        <w:tab/>
        <w:t>https://doi.org/10.1016/j.ejrs.2019.01.001</w:t>
      </w:r>
    </w:p>
    <w:p w14:paraId="25285798"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proofErr w:type="spellStart"/>
      <w:r w:rsidRPr="002B26DA">
        <w:rPr>
          <w:rFonts w:ascii="Times New Roman" w:hAnsi="Times New Roman" w:cs="Times New Roman"/>
          <w:sz w:val="24"/>
          <w:szCs w:val="24"/>
          <w:lang w:val="en-US"/>
        </w:rPr>
        <w:t>Argaz</w:t>
      </w:r>
      <w:proofErr w:type="spellEnd"/>
      <w:r w:rsidRPr="002B26DA">
        <w:rPr>
          <w:rFonts w:ascii="Times New Roman" w:hAnsi="Times New Roman" w:cs="Times New Roman"/>
          <w:sz w:val="24"/>
          <w:szCs w:val="24"/>
          <w:lang w:val="en-US"/>
        </w:rPr>
        <w:t xml:space="preserve">, A., </w:t>
      </w:r>
      <w:proofErr w:type="spellStart"/>
      <w:r w:rsidRPr="002B26DA">
        <w:rPr>
          <w:rFonts w:ascii="Times New Roman" w:hAnsi="Times New Roman" w:cs="Times New Roman"/>
          <w:sz w:val="24"/>
          <w:szCs w:val="24"/>
          <w:lang w:val="en-US"/>
        </w:rPr>
        <w:t>Ouahman</w:t>
      </w:r>
      <w:proofErr w:type="spellEnd"/>
      <w:r w:rsidRPr="002B26DA">
        <w:rPr>
          <w:rFonts w:ascii="Times New Roman" w:hAnsi="Times New Roman" w:cs="Times New Roman"/>
          <w:sz w:val="24"/>
          <w:szCs w:val="24"/>
          <w:lang w:val="en-US"/>
        </w:rPr>
        <w:t xml:space="preserve">, B., </w:t>
      </w:r>
      <w:proofErr w:type="spellStart"/>
      <w:r w:rsidRPr="002B26DA">
        <w:rPr>
          <w:rFonts w:ascii="Times New Roman" w:hAnsi="Times New Roman" w:cs="Times New Roman"/>
          <w:sz w:val="24"/>
          <w:szCs w:val="24"/>
          <w:lang w:val="en-US"/>
        </w:rPr>
        <w:t>Darkaoui</w:t>
      </w:r>
      <w:proofErr w:type="spellEnd"/>
      <w:r w:rsidRPr="002B26DA">
        <w:rPr>
          <w:rFonts w:ascii="Times New Roman" w:hAnsi="Times New Roman" w:cs="Times New Roman"/>
          <w:sz w:val="24"/>
          <w:szCs w:val="24"/>
          <w:lang w:val="en-US"/>
        </w:rPr>
        <w:t xml:space="preserve">, A., </w:t>
      </w:r>
      <w:proofErr w:type="spellStart"/>
      <w:r w:rsidRPr="002B26DA">
        <w:rPr>
          <w:rFonts w:ascii="Times New Roman" w:hAnsi="Times New Roman" w:cs="Times New Roman"/>
          <w:sz w:val="24"/>
          <w:szCs w:val="24"/>
          <w:lang w:val="en-US"/>
        </w:rPr>
        <w:t>Bikhtar</w:t>
      </w:r>
      <w:proofErr w:type="spellEnd"/>
      <w:r w:rsidRPr="002B26DA">
        <w:rPr>
          <w:rFonts w:ascii="Times New Roman" w:hAnsi="Times New Roman" w:cs="Times New Roman"/>
          <w:sz w:val="24"/>
          <w:szCs w:val="24"/>
          <w:lang w:val="en-US"/>
        </w:rPr>
        <w:t>, H., Ayouch, E., &amp; Lazaar, R. (2019).</w:t>
      </w:r>
      <w:r w:rsidRPr="002B26DA">
        <w:rPr>
          <w:rFonts w:ascii="Times New Roman" w:hAnsi="Times New Roman" w:cs="Times New Roman"/>
          <w:sz w:val="24"/>
          <w:szCs w:val="24"/>
          <w:lang w:val="en-US"/>
        </w:rPr>
        <w:tab/>
        <w:t>Flood hazard mapping using remote sensing and GIS tools: A case study of</w:t>
      </w:r>
      <w:r w:rsidRPr="002B26DA">
        <w:rPr>
          <w:rFonts w:ascii="Times New Roman" w:hAnsi="Times New Roman" w:cs="Times New Roman"/>
          <w:sz w:val="24"/>
          <w:szCs w:val="24"/>
          <w:lang w:val="en-US"/>
        </w:rPr>
        <w:tab/>
      </w:r>
      <w:proofErr w:type="spellStart"/>
      <w:r w:rsidRPr="002B26DA">
        <w:rPr>
          <w:rFonts w:ascii="Times New Roman" w:hAnsi="Times New Roman" w:cs="Times New Roman"/>
          <w:sz w:val="24"/>
          <w:szCs w:val="24"/>
          <w:lang w:val="en-US"/>
        </w:rPr>
        <w:t>Souss</w:t>
      </w:r>
      <w:proofErr w:type="spellEnd"/>
      <w:r w:rsidRPr="002B26DA">
        <w:rPr>
          <w:rFonts w:ascii="Times New Roman" w:hAnsi="Times New Roman" w:cs="Times New Roman"/>
          <w:sz w:val="24"/>
          <w:szCs w:val="24"/>
          <w:lang w:val="en-US"/>
        </w:rPr>
        <w:t xml:space="preserve"> Watershed. Journal of Materials and Environmental Science, 10(2),</w:t>
      </w:r>
      <w:r w:rsidRPr="002B26DA">
        <w:rPr>
          <w:rFonts w:ascii="Times New Roman" w:hAnsi="Times New Roman" w:cs="Times New Roman"/>
          <w:sz w:val="24"/>
          <w:szCs w:val="24"/>
          <w:lang w:val="en-US"/>
        </w:rPr>
        <w:tab/>
        <w:t>170–181.</w:t>
      </w:r>
    </w:p>
    <w:p w14:paraId="17B52834"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proofErr w:type="spellStart"/>
      <w:r w:rsidRPr="002B26DA">
        <w:rPr>
          <w:rFonts w:ascii="Times New Roman" w:hAnsi="Times New Roman" w:cs="Times New Roman"/>
          <w:sz w:val="24"/>
          <w:szCs w:val="24"/>
          <w:lang w:val="en-US"/>
        </w:rPr>
        <w:t>Ballado</w:t>
      </w:r>
      <w:proofErr w:type="spellEnd"/>
      <w:r w:rsidRPr="002B26DA">
        <w:rPr>
          <w:rFonts w:ascii="Times New Roman" w:hAnsi="Times New Roman" w:cs="Times New Roman"/>
          <w:sz w:val="24"/>
          <w:szCs w:val="24"/>
          <w:lang w:val="en-US"/>
        </w:rPr>
        <w:t xml:space="preserve">, A. H., Bentir, S. A. P., Lazaro, J. B., &amp; </w:t>
      </w:r>
      <w:proofErr w:type="spellStart"/>
      <w:r w:rsidRPr="002B26DA">
        <w:rPr>
          <w:rFonts w:ascii="Times New Roman" w:hAnsi="Times New Roman" w:cs="Times New Roman"/>
          <w:sz w:val="24"/>
          <w:szCs w:val="24"/>
          <w:lang w:val="en-US"/>
        </w:rPr>
        <w:t>Macawile</w:t>
      </w:r>
      <w:proofErr w:type="spellEnd"/>
      <w:r w:rsidRPr="002B26DA">
        <w:rPr>
          <w:rFonts w:ascii="Times New Roman" w:hAnsi="Times New Roman" w:cs="Times New Roman"/>
          <w:sz w:val="24"/>
          <w:szCs w:val="24"/>
          <w:lang w:val="en-US"/>
        </w:rPr>
        <w:t>, M. J. P. (2017). Depth</w:t>
      </w:r>
      <w:r w:rsidRPr="002B26DA">
        <w:rPr>
          <w:rFonts w:ascii="Times New Roman" w:hAnsi="Times New Roman" w:cs="Times New Roman"/>
          <w:sz w:val="24"/>
          <w:szCs w:val="24"/>
          <w:lang w:val="en-US"/>
        </w:rPr>
        <w:tab/>
        <w:t>perception analysis of LiDAR digital elevation model for low-lying areas</w:t>
      </w:r>
      <w:r w:rsidRPr="002B26DA">
        <w:rPr>
          <w:rFonts w:ascii="Times New Roman" w:hAnsi="Times New Roman" w:cs="Times New Roman"/>
          <w:sz w:val="24"/>
          <w:szCs w:val="24"/>
          <w:lang w:val="en-US"/>
        </w:rPr>
        <w:tab/>
        <w:t>using Delaunay triangulation algorithm. In Proceedings of the 9th</w:t>
      </w:r>
      <w:r w:rsidRPr="002B26DA">
        <w:rPr>
          <w:rFonts w:ascii="Times New Roman" w:hAnsi="Times New Roman" w:cs="Times New Roman"/>
          <w:sz w:val="24"/>
          <w:szCs w:val="24"/>
          <w:lang w:val="en-US"/>
        </w:rPr>
        <w:tab/>
        <w:t>International Conference on HNICEM (pp. 1–5).</w:t>
      </w:r>
    </w:p>
    <w:p w14:paraId="1BD41F65"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Bolstad, P. (2016). GIS fundamentals: A first text on geographic information</w:t>
      </w:r>
      <w:r w:rsidRPr="002B26DA">
        <w:rPr>
          <w:rFonts w:ascii="Times New Roman" w:hAnsi="Times New Roman" w:cs="Times New Roman"/>
          <w:sz w:val="24"/>
          <w:szCs w:val="24"/>
          <w:lang w:val="en-US"/>
        </w:rPr>
        <w:tab/>
        <w:t xml:space="preserve">systems (5th ed.). </w:t>
      </w:r>
      <w:proofErr w:type="spellStart"/>
      <w:r w:rsidRPr="002B26DA">
        <w:rPr>
          <w:rFonts w:ascii="Times New Roman" w:hAnsi="Times New Roman" w:cs="Times New Roman"/>
          <w:sz w:val="24"/>
          <w:szCs w:val="24"/>
          <w:lang w:val="en-US"/>
        </w:rPr>
        <w:t>XanEdu</w:t>
      </w:r>
      <w:proofErr w:type="spellEnd"/>
      <w:r w:rsidRPr="002B26DA">
        <w:rPr>
          <w:rFonts w:ascii="Times New Roman" w:hAnsi="Times New Roman" w:cs="Times New Roman"/>
          <w:sz w:val="24"/>
          <w:szCs w:val="24"/>
          <w:lang w:val="en-US"/>
        </w:rPr>
        <w:t xml:space="preserve"> Publishing.</w:t>
      </w:r>
    </w:p>
    <w:p w14:paraId="33C52AA0"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Cabrera, J. S., &amp; Lee, H. S. (2019). Flood-prone area assessment using GIS</w:t>
      </w:r>
      <w:r w:rsidRPr="002B26DA">
        <w:rPr>
          <w:rFonts w:ascii="Times New Roman" w:hAnsi="Times New Roman" w:cs="Times New Roman"/>
          <w:sz w:val="24"/>
          <w:szCs w:val="24"/>
          <w:lang w:val="en-US"/>
        </w:rPr>
        <w:tab/>
        <w:t>based multi-criteria analysis: A case study in Davao Oriental, Philippines.</w:t>
      </w:r>
      <w:r w:rsidRPr="002B26DA">
        <w:rPr>
          <w:rFonts w:ascii="Times New Roman" w:hAnsi="Times New Roman" w:cs="Times New Roman"/>
          <w:sz w:val="24"/>
          <w:szCs w:val="24"/>
          <w:lang w:val="en-US"/>
        </w:rPr>
        <w:tab/>
        <w:t>Water, 11(11), 2203. https://doi.org/10.3390/w11112203</w:t>
      </w:r>
    </w:p>
    <w:p w14:paraId="2E011A29"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Cabrera, J. S., &amp; Lee, H. S. (2020). Flood risk assessment for Davao Oriental in</w:t>
      </w:r>
      <w:r w:rsidRPr="002B26DA">
        <w:rPr>
          <w:rFonts w:ascii="Times New Roman" w:hAnsi="Times New Roman" w:cs="Times New Roman"/>
          <w:sz w:val="24"/>
          <w:szCs w:val="24"/>
          <w:lang w:val="en-US"/>
        </w:rPr>
        <w:tab/>
        <w:t>the Philippines using GIS-based multi-criteria analysis and the maximum</w:t>
      </w:r>
      <w:r w:rsidRPr="002B26DA">
        <w:rPr>
          <w:rFonts w:ascii="Times New Roman" w:hAnsi="Times New Roman" w:cs="Times New Roman"/>
          <w:sz w:val="24"/>
          <w:szCs w:val="24"/>
          <w:lang w:val="en-US"/>
        </w:rPr>
        <w:tab/>
        <w:t>entropy model. Journal of Flood Risk Management, 13, e12607.</w:t>
      </w:r>
      <w:r w:rsidRPr="002B26DA">
        <w:rPr>
          <w:rFonts w:ascii="Times New Roman" w:hAnsi="Times New Roman" w:cs="Times New Roman"/>
          <w:sz w:val="24"/>
          <w:szCs w:val="24"/>
          <w:lang w:val="en-US"/>
        </w:rPr>
        <w:tab/>
        <w:t>https://doi.org/10.1111/jfr3.12607</w:t>
      </w:r>
    </w:p>
    <w:p w14:paraId="7B556F28"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Cai, S., Fan, J., &amp; Yang, W. (2021). Flooding risk assessment and analysis based</w:t>
      </w:r>
      <w:r w:rsidRPr="002B26DA">
        <w:rPr>
          <w:rFonts w:ascii="Times New Roman" w:hAnsi="Times New Roman" w:cs="Times New Roman"/>
          <w:sz w:val="24"/>
          <w:szCs w:val="24"/>
          <w:lang w:val="en-US"/>
        </w:rPr>
        <w:tab/>
        <w:t>on GIS and the TFN-AHP method: A case study of Chongqing, China.</w:t>
      </w:r>
      <w:r w:rsidRPr="002B26DA">
        <w:rPr>
          <w:rFonts w:ascii="Times New Roman" w:hAnsi="Times New Roman" w:cs="Times New Roman"/>
          <w:sz w:val="24"/>
          <w:szCs w:val="24"/>
          <w:lang w:val="en-US"/>
        </w:rPr>
        <w:tab/>
        <w:t>Atmosphere, 12, 623. https://doi.org/10.3390/atmos12100623</w:t>
      </w:r>
    </w:p>
    <w:p w14:paraId="179650B0"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Chan, F., Lee, J., &amp; Tan, W. (2021). GIS-based flood vulnerability and impact</w:t>
      </w:r>
      <w:r w:rsidRPr="002B26DA">
        <w:rPr>
          <w:rFonts w:ascii="Times New Roman" w:hAnsi="Times New Roman" w:cs="Times New Roman"/>
          <w:sz w:val="24"/>
          <w:szCs w:val="24"/>
          <w:lang w:val="en-US"/>
        </w:rPr>
        <w:tab/>
        <w:t>assessment in urban areas. Journal of Flood Risk Management, 14,</w:t>
      </w:r>
      <w:r w:rsidRPr="002B26DA">
        <w:rPr>
          <w:rFonts w:ascii="Times New Roman" w:hAnsi="Times New Roman" w:cs="Times New Roman"/>
          <w:sz w:val="24"/>
          <w:szCs w:val="24"/>
          <w:lang w:val="en-US"/>
        </w:rPr>
        <w:tab/>
        <w:t>e12715. https://doi.org/10.1111/jfr3.12715</w:t>
      </w:r>
    </w:p>
    <w:p w14:paraId="7CA22CDA"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Climate Technology Center and Networks. (n.d.). Flood risk assessment using GIS</w:t>
      </w:r>
      <w:r w:rsidRPr="002B26DA">
        <w:rPr>
          <w:rFonts w:ascii="Times New Roman" w:hAnsi="Times New Roman" w:cs="Times New Roman"/>
          <w:sz w:val="24"/>
          <w:szCs w:val="24"/>
          <w:lang w:val="en-US"/>
        </w:rPr>
        <w:tab/>
        <w:t>and hydrological models. https://www.ctc-n.org</w:t>
      </w:r>
    </w:p>
    <w:p w14:paraId="749F9AE2"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CBS News. (2025, November 15). Super Typhoon Fung-Wong moves out of</w:t>
      </w:r>
      <w:r w:rsidRPr="002B26DA">
        <w:rPr>
          <w:rFonts w:ascii="Times New Roman" w:hAnsi="Times New Roman" w:cs="Times New Roman"/>
          <w:sz w:val="24"/>
          <w:szCs w:val="24"/>
          <w:lang w:val="en-US"/>
        </w:rPr>
        <w:tab/>
        <w:t>northwestern Philippines, causing floods and landslides.</w:t>
      </w:r>
      <w:r w:rsidRPr="002B26DA">
        <w:rPr>
          <w:rFonts w:ascii="Times New Roman" w:hAnsi="Times New Roman" w:cs="Times New Roman"/>
          <w:sz w:val="24"/>
          <w:szCs w:val="24"/>
          <w:lang w:val="en-US"/>
        </w:rPr>
        <w:tab/>
        <w:t>https://www.cbsnews.com/news/typhoon-fung-wong-philippines-floods/</w:t>
      </w:r>
    </w:p>
    <w:p w14:paraId="2A05BB53"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CNN. (2025, October 10). Typhoon </w:t>
      </w:r>
      <w:proofErr w:type="spellStart"/>
      <w:r w:rsidRPr="002B26DA">
        <w:rPr>
          <w:rFonts w:ascii="Times New Roman" w:hAnsi="Times New Roman" w:cs="Times New Roman"/>
          <w:sz w:val="24"/>
          <w:szCs w:val="24"/>
          <w:lang w:val="en-US"/>
        </w:rPr>
        <w:t>Kalmaegi</w:t>
      </w:r>
      <w:proofErr w:type="spellEnd"/>
      <w:r w:rsidRPr="002B26DA">
        <w:rPr>
          <w:rFonts w:ascii="Times New Roman" w:hAnsi="Times New Roman" w:cs="Times New Roman"/>
          <w:sz w:val="24"/>
          <w:szCs w:val="24"/>
          <w:lang w:val="en-US"/>
        </w:rPr>
        <w:t xml:space="preserve"> (Tino) devastates parts of Cebu,</w:t>
      </w:r>
      <w:r w:rsidRPr="002B26DA">
        <w:rPr>
          <w:rFonts w:ascii="Times New Roman" w:hAnsi="Times New Roman" w:cs="Times New Roman"/>
          <w:sz w:val="24"/>
          <w:szCs w:val="24"/>
          <w:lang w:val="en-US"/>
        </w:rPr>
        <w:tab/>
        <w:t>Philippines. https://www.cnn.com/2025/10/10/asia/typhoon-kalmaegi</w:t>
      </w:r>
      <w:r w:rsidRPr="002B26DA">
        <w:rPr>
          <w:rFonts w:ascii="Times New Roman" w:hAnsi="Times New Roman" w:cs="Times New Roman"/>
          <w:sz w:val="24"/>
          <w:szCs w:val="24"/>
          <w:lang w:val="en-US"/>
        </w:rPr>
        <w:tab/>
      </w:r>
      <w:proofErr w:type="spellStart"/>
      <w:r w:rsidRPr="002B26DA">
        <w:rPr>
          <w:rFonts w:ascii="Times New Roman" w:hAnsi="Times New Roman" w:cs="Times New Roman"/>
          <w:sz w:val="24"/>
          <w:szCs w:val="24"/>
          <w:lang w:val="en-US"/>
        </w:rPr>
        <w:t>philippines-intl-hnk</w:t>
      </w:r>
      <w:proofErr w:type="spellEnd"/>
      <w:r w:rsidRPr="002B26DA">
        <w:rPr>
          <w:rFonts w:ascii="Times New Roman" w:hAnsi="Times New Roman" w:cs="Times New Roman"/>
          <w:sz w:val="24"/>
          <w:szCs w:val="24"/>
          <w:lang w:val="en-US"/>
        </w:rPr>
        <w:t>/index.html</w:t>
      </w:r>
    </w:p>
    <w:p w14:paraId="38F0364B"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proofErr w:type="spellStart"/>
      <w:r w:rsidRPr="002B26DA">
        <w:rPr>
          <w:rFonts w:ascii="Times New Roman" w:hAnsi="Times New Roman" w:cs="Times New Roman"/>
          <w:sz w:val="24"/>
          <w:szCs w:val="24"/>
          <w:lang w:val="en-US"/>
        </w:rPr>
        <w:t>Danumah</w:t>
      </w:r>
      <w:proofErr w:type="spellEnd"/>
      <w:r w:rsidRPr="002B26DA">
        <w:rPr>
          <w:rFonts w:ascii="Times New Roman" w:hAnsi="Times New Roman" w:cs="Times New Roman"/>
          <w:sz w:val="24"/>
          <w:szCs w:val="24"/>
          <w:lang w:val="en-US"/>
        </w:rPr>
        <w:t>, J., Mensah, R., &amp; Owusu, A. (2021). GIS-based flood risk mapping</w:t>
      </w:r>
      <w:r w:rsidRPr="002B26DA">
        <w:rPr>
          <w:rFonts w:ascii="Times New Roman" w:hAnsi="Times New Roman" w:cs="Times New Roman"/>
          <w:sz w:val="24"/>
          <w:szCs w:val="24"/>
          <w:lang w:val="en-US"/>
        </w:rPr>
        <w:tab/>
        <w:t>using AHP: Hazard and vulnerability assessment. Environmental Monitoring</w:t>
      </w:r>
      <w:r w:rsidRPr="002B26DA">
        <w:rPr>
          <w:rFonts w:ascii="Times New Roman" w:hAnsi="Times New Roman" w:cs="Times New Roman"/>
          <w:sz w:val="24"/>
          <w:szCs w:val="24"/>
          <w:lang w:val="en-US"/>
        </w:rPr>
        <w:tab/>
        <w:t>and Assessment, 193, 302. https://doi.org/10.1007/s10661-021-09011-7</w:t>
      </w:r>
    </w:p>
    <w:p w14:paraId="725FBE99"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Davies, R. (2021). Philippines—Thousands hit by more floods in central regions.</w:t>
      </w:r>
      <w:r w:rsidRPr="002B26DA">
        <w:rPr>
          <w:rFonts w:ascii="Times New Roman" w:hAnsi="Times New Roman" w:cs="Times New Roman"/>
          <w:sz w:val="24"/>
          <w:szCs w:val="24"/>
          <w:lang w:val="en-US"/>
        </w:rPr>
        <w:tab/>
      </w:r>
      <w:proofErr w:type="spellStart"/>
      <w:r w:rsidRPr="002B26DA">
        <w:rPr>
          <w:rFonts w:ascii="Times New Roman" w:hAnsi="Times New Roman" w:cs="Times New Roman"/>
          <w:sz w:val="24"/>
          <w:szCs w:val="24"/>
          <w:lang w:val="en-US"/>
        </w:rPr>
        <w:t>FloodList</w:t>
      </w:r>
      <w:proofErr w:type="spellEnd"/>
      <w:r w:rsidRPr="002B26DA">
        <w:rPr>
          <w:rFonts w:ascii="Times New Roman" w:hAnsi="Times New Roman" w:cs="Times New Roman"/>
          <w:sz w:val="24"/>
          <w:szCs w:val="24"/>
          <w:lang w:val="en-US"/>
        </w:rPr>
        <w:t>. http://floodlist.com</w:t>
      </w:r>
    </w:p>
    <w:p w14:paraId="5E1FEE3D"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proofErr w:type="spellStart"/>
      <w:r w:rsidRPr="002B26DA">
        <w:rPr>
          <w:rFonts w:ascii="Times New Roman" w:hAnsi="Times New Roman" w:cs="Times New Roman"/>
          <w:sz w:val="24"/>
          <w:szCs w:val="24"/>
          <w:lang w:val="en-US"/>
        </w:rPr>
        <w:t>Efraimidou</w:t>
      </w:r>
      <w:proofErr w:type="spellEnd"/>
      <w:r w:rsidRPr="002B26DA">
        <w:rPr>
          <w:rFonts w:ascii="Times New Roman" w:hAnsi="Times New Roman" w:cs="Times New Roman"/>
          <w:sz w:val="24"/>
          <w:szCs w:val="24"/>
          <w:lang w:val="en-US"/>
        </w:rPr>
        <w:t>, A., &amp; Spiliotis, P. (2020). Integrating remote sensing and GIS for flood</w:t>
      </w:r>
      <w:r w:rsidRPr="002B26DA">
        <w:rPr>
          <w:rFonts w:ascii="Times New Roman" w:hAnsi="Times New Roman" w:cs="Times New Roman"/>
          <w:sz w:val="24"/>
          <w:szCs w:val="24"/>
          <w:lang w:val="en-US"/>
        </w:rPr>
        <w:tab/>
        <w:t>extent mapping and vulnerability analysis. ISPRS International Journal of</w:t>
      </w:r>
      <w:r w:rsidRPr="002B26DA">
        <w:rPr>
          <w:rFonts w:ascii="Times New Roman" w:hAnsi="Times New Roman" w:cs="Times New Roman"/>
          <w:sz w:val="24"/>
          <w:szCs w:val="24"/>
          <w:lang w:val="en-US"/>
        </w:rPr>
        <w:tab/>
        <w:t>Geo-Information, 9(8), 460. https://doi.org/10.3390/ijgi9080460</w:t>
      </w:r>
    </w:p>
    <w:p w14:paraId="0A038157"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proofErr w:type="spellStart"/>
      <w:r w:rsidRPr="002B26DA">
        <w:rPr>
          <w:rFonts w:ascii="Times New Roman" w:hAnsi="Times New Roman" w:cs="Times New Roman"/>
          <w:sz w:val="24"/>
          <w:szCs w:val="24"/>
          <w:lang w:val="en-US"/>
        </w:rPr>
        <w:t>Elkhrachy</w:t>
      </w:r>
      <w:proofErr w:type="spellEnd"/>
      <w:r w:rsidRPr="002B26DA">
        <w:rPr>
          <w:rFonts w:ascii="Times New Roman" w:hAnsi="Times New Roman" w:cs="Times New Roman"/>
          <w:sz w:val="24"/>
          <w:szCs w:val="24"/>
          <w:lang w:val="en-US"/>
        </w:rPr>
        <w:t>, I. (2020). Flash flood mapping using AHP and satellite imagery. Remote</w:t>
      </w:r>
      <w:r w:rsidRPr="002B26DA">
        <w:rPr>
          <w:rFonts w:ascii="Times New Roman" w:hAnsi="Times New Roman" w:cs="Times New Roman"/>
          <w:sz w:val="24"/>
          <w:szCs w:val="24"/>
          <w:lang w:val="en-US"/>
        </w:rPr>
        <w:tab/>
        <w:t>Sensing Applications: Society and Environment, 17, 100275.</w:t>
      </w:r>
      <w:r w:rsidRPr="002B26DA">
        <w:rPr>
          <w:rFonts w:ascii="Times New Roman" w:hAnsi="Times New Roman" w:cs="Times New Roman"/>
          <w:sz w:val="24"/>
          <w:szCs w:val="24"/>
          <w:lang w:val="en-US"/>
        </w:rPr>
        <w:tab/>
        <w:t>https://doi.org/10.1016/j.rsase.2019.100275</w:t>
      </w:r>
    </w:p>
    <w:p w14:paraId="43859EA7"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ESCAP IDD. (2015). Disasters in Asia and the Pacific: 2015 year in review. United</w:t>
      </w:r>
      <w:r w:rsidRPr="002B26DA">
        <w:rPr>
          <w:rFonts w:ascii="Times New Roman" w:hAnsi="Times New Roman" w:cs="Times New Roman"/>
          <w:sz w:val="24"/>
          <w:szCs w:val="24"/>
          <w:lang w:val="en-US"/>
        </w:rPr>
        <w:tab/>
        <w:t>Nations ESCAP. https://www.unescap.org</w:t>
      </w:r>
    </w:p>
    <w:p w14:paraId="78244169"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proofErr w:type="spellStart"/>
      <w:r w:rsidRPr="002B26DA">
        <w:rPr>
          <w:rFonts w:ascii="Times New Roman" w:hAnsi="Times New Roman" w:cs="Times New Roman"/>
          <w:sz w:val="24"/>
          <w:szCs w:val="24"/>
          <w:lang w:val="en-US"/>
        </w:rPr>
        <w:t>Edamo</w:t>
      </w:r>
      <w:proofErr w:type="spellEnd"/>
      <w:r w:rsidRPr="002B26DA">
        <w:rPr>
          <w:rFonts w:ascii="Times New Roman" w:hAnsi="Times New Roman" w:cs="Times New Roman"/>
          <w:sz w:val="24"/>
          <w:szCs w:val="24"/>
          <w:lang w:val="en-US"/>
        </w:rPr>
        <w:t>, T., Santos, R., &amp; Villanueva, L. (2022). Flood risk assessment in riverine</w:t>
      </w:r>
      <w:r w:rsidRPr="002B26DA">
        <w:rPr>
          <w:rFonts w:ascii="Times New Roman" w:hAnsi="Times New Roman" w:cs="Times New Roman"/>
          <w:sz w:val="24"/>
          <w:szCs w:val="24"/>
          <w:lang w:val="en-US"/>
        </w:rPr>
        <w:tab/>
        <w:t>communities: Impacts and mitigation strategies. Journal of Environmental</w:t>
      </w:r>
      <w:r w:rsidRPr="002B26DA">
        <w:rPr>
          <w:rFonts w:ascii="Times New Roman" w:hAnsi="Times New Roman" w:cs="Times New Roman"/>
          <w:sz w:val="24"/>
          <w:szCs w:val="24"/>
          <w:lang w:val="en-US"/>
        </w:rPr>
        <w:tab/>
        <w:t>Management, 310, 114745. https://doi.org/10.1016/j.jenvman.2022.114745</w:t>
      </w:r>
    </w:p>
    <w:p w14:paraId="21EE43B2"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Ford, H. (1979). Remote sensing: Principles and applications. McGraw-Hill.</w:t>
      </w:r>
    </w:p>
    <w:p w14:paraId="4CA7C287"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Gigović, L., </w:t>
      </w:r>
      <w:proofErr w:type="spellStart"/>
      <w:r w:rsidRPr="002B26DA">
        <w:rPr>
          <w:rFonts w:ascii="Times New Roman" w:hAnsi="Times New Roman" w:cs="Times New Roman"/>
          <w:sz w:val="24"/>
          <w:szCs w:val="24"/>
          <w:lang w:val="en-US"/>
        </w:rPr>
        <w:t>Pamučar</w:t>
      </w:r>
      <w:proofErr w:type="spellEnd"/>
      <w:r w:rsidRPr="002B26DA">
        <w:rPr>
          <w:rFonts w:ascii="Times New Roman" w:hAnsi="Times New Roman" w:cs="Times New Roman"/>
          <w:sz w:val="24"/>
          <w:szCs w:val="24"/>
          <w:lang w:val="en-US"/>
        </w:rPr>
        <w:t>, D., Bajić, Z., &amp; Drobnjak, S. (2017). Application of GIS</w:t>
      </w:r>
      <w:r w:rsidRPr="002B26DA">
        <w:rPr>
          <w:rFonts w:ascii="Times New Roman" w:hAnsi="Times New Roman" w:cs="Times New Roman"/>
          <w:sz w:val="24"/>
          <w:szCs w:val="24"/>
          <w:lang w:val="en-US"/>
        </w:rPr>
        <w:tab/>
        <w:t>interval rough AHP methodology for flood hazard mapping in urban areas.</w:t>
      </w:r>
      <w:r w:rsidRPr="002B26DA">
        <w:rPr>
          <w:rFonts w:ascii="Times New Roman" w:hAnsi="Times New Roman" w:cs="Times New Roman"/>
          <w:sz w:val="24"/>
          <w:szCs w:val="24"/>
          <w:lang w:val="en-US"/>
        </w:rPr>
        <w:tab/>
        <w:t>Water, 9, 360. https://doi.org/10.3390/w9050360</w:t>
      </w:r>
    </w:p>
    <w:p w14:paraId="5ADE9E17"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Gustafson, J. (1982). Remote sensing of natural hazards. Photogrammetric</w:t>
      </w:r>
      <w:r w:rsidRPr="002B26DA">
        <w:rPr>
          <w:rFonts w:ascii="Times New Roman" w:hAnsi="Times New Roman" w:cs="Times New Roman"/>
          <w:sz w:val="24"/>
          <w:szCs w:val="24"/>
          <w:lang w:val="en-US"/>
        </w:rPr>
        <w:tab/>
        <w:t>Engineering and Remote Sensing, 48(9), 1379–1389.</w:t>
      </w:r>
    </w:p>
    <w:p w14:paraId="2963CB86"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Hagos, Y. G., </w:t>
      </w:r>
      <w:proofErr w:type="spellStart"/>
      <w:r w:rsidRPr="002B26DA">
        <w:rPr>
          <w:rFonts w:ascii="Times New Roman" w:hAnsi="Times New Roman" w:cs="Times New Roman"/>
          <w:sz w:val="24"/>
          <w:szCs w:val="24"/>
          <w:lang w:val="en-US"/>
        </w:rPr>
        <w:t>Andualem</w:t>
      </w:r>
      <w:proofErr w:type="spellEnd"/>
      <w:r w:rsidRPr="002B26DA">
        <w:rPr>
          <w:rFonts w:ascii="Times New Roman" w:hAnsi="Times New Roman" w:cs="Times New Roman"/>
          <w:sz w:val="24"/>
          <w:szCs w:val="24"/>
          <w:lang w:val="en-US"/>
        </w:rPr>
        <w:t xml:space="preserve">, T. G., </w:t>
      </w:r>
      <w:proofErr w:type="spellStart"/>
      <w:r w:rsidRPr="002B26DA">
        <w:rPr>
          <w:rFonts w:ascii="Times New Roman" w:hAnsi="Times New Roman" w:cs="Times New Roman"/>
          <w:sz w:val="24"/>
          <w:szCs w:val="24"/>
          <w:lang w:val="en-US"/>
        </w:rPr>
        <w:t>Yibeltal</w:t>
      </w:r>
      <w:proofErr w:type="spellEnd"/>
      <w:r w:rsidRPr="002B26DA">
        <w:rPr>
          <w:rFonts w:ascii="Times New Roman" w:hAnsi="Times New Roman" w:cs="Times New Roman"/>
          <w:sz w:val="24"/>
          <w:szCs w:val="24"/>
          <w:lang w:val="en-US"/>
        </w:rPr>
        <w:t xml:space="preserve">, M., &amp; </w:t>
      </w:r>
      <w:proofErr w:type="spellStart"/>
      <w:r w:rsidRPr="002B26DA">
        <w:rPr>
          <w:rFonts w:ascii="Times New Roman" w:hAnsi="Times New Roman" w:cs="Times New Roman"/>
          <w:sz w:val="24"/>
          <w:szCs w:val="24"/>
          <w:lang w:val="en-US"/>
        </w:rPr>
        <w:t>Mengie</w:t>
      </w:r>
      <w:proofErr w:type="spellEnd"/>
      <w:r w:rsidRPr="002B26DA">
        <w:rPr>
          <w:rFonts w:ascii="Times New Roman" w:hAnsi="Times New Roman" w:cs="Times New Roman"/>
          <w:sz w:val="24"/>
          <w:szCs w:val="24"/>
          <w:lang w:val="en-US"/>
        </w:rPr>
        <w:t>, M. A. (2022). Flood hazard</w:t>
      </w:r>
      <w:r w:rsidRPr="002B26DA">
        <w:rPr>
          <w:rFonts w:ascii="Times New Roman" w:hAnsi="Times New Roman" w:cs="Times New Roman"/>
          <w:sz w:val="24"/>
          <w:szCs w:val="24"/>
          <w:lang w:val="en-US"/>
        </w:rPr>
        <w:tab/>
        <w:t>assessment and mapping using GIS integrated with multi-criteria decision</w:t>
      </w:r>
      <w:r w:rsidRPr="002B26DA">
        <w:rPr>
          <w:rFonts w:ascii="Times New Roman" w:hAnsi="Times New Roman" w:cs="Times New Roman"/>
          <w:sz w:val="24"/>
          <w:szCs w:val="24"/>
          <w:lang w:val="en-US"/>
        </w:rPr>
        <w:tab/>
        <w:t>analysis in Upper Awash River Basin, Ethiopia. Applied Water Science,</w:t>
      </w:r>
      <w:r w:rsidRPr="002B26DA">
        <w:rPr>
          <w:rFonts w:ascii="Times New Roman" w:hAnsi="Times New Roman" w:cs="Times New Roman"/>
          <w:sz w:val="24"/>
          <w:szCs w:val="24"/>
          <w:lang w:val="en-US"/>
        </w:rPr>
        <w:tab/>
        <w:t>12(7), 148. https://doi.org/10.1007/s13201-022-01663-9</w:t>
      </w:r>
    </w:p>
    <w:p w14:paraId="74838E1F"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Holz, R. (1973). Introduction to remote sensing. Photogrammetric Engineering,</w:t>
      </w:r>
      <w:r w:rsidRPr="002B26DA">
        <w:rPr>
          <w:rFonts w:ascii="Times New Roman" w:hAnsi="Times New Roman" w:cs="Times New Roman"/>
          <w:sz w:val="24"/>
          <w:szCs w:val="24"/>
          <w:lang w:val="en-US"/>
        </w:rPr>
        <w:tab/>
        <w:t>39(12), 1309–1315.</w:t>
      </w:r>
    </w:p>
    <w:p w14:paraId="75F02F2C"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Hussein, A., Zhang, Q., &amp; Li, K. (2023a). Urban flood risk assessment using GIS</w:t>
      </w:r>
      <w:r w:rsidRPr="002B26DA">
        <w:rPr>
          <w:rFonts w:ascii="Times New Roman" w:hAnsi="Times New Roman" w:cs="Times New Roman"/>
          <w:sz w:val="24"/>
          <w:szCs w:val="24"/>
          <w:lang w:val="en-US"/>
        </w:rPr>
        <w:tab/>
        <w:t>and multi-criteria decision analysis: Case studies from coastal cities. Water,</w:t>
      </w:r>
      <w:r w:rsidRPr="002B26DA">
        <w:rPr>
          <w:rFonts w:ascii="Times New Roman" w:hAnsi="Times New Roman" w:cs="Times New Roman"/>
          <w:sz w:val="24"/>
          <w:szCs w:val="24"/>
          <w:lang w:val="en-US"/>
        </w:rPr>
        <w:tab/>
        <w:t>15(4), 564. https://doi.org/10.3390/w15040564</w:t>
      </w:r>
    </w:p>
    <w:p w14:paraId="1A4EAB30"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Hussein, A., Zhang, Q., &amp; Li, K. (2023b). Enhancing flood risk modeling using</w:t>
      </w:r>
      <w:r w:rsidRPr="002B26DA">
        <w:rPr>
          <w:rFonts w:ascii="Times New Roman" w:hAnsi="Times New Roman" w:cs="Times New Roman"/>
          <w:sz w:val="24"/>
          <w:szCs w:val="24"/>
          <w:lang w:val="en-US"/>
        </w:rPr>
        <w:tab/>
        <w:t>remote sensing and GIS: Mainland cities perspective. Journal of Flood Risk</w:t>
      </w:r>
      <w:r w:rsidRPr="002B26DA">
        <w:rPr>
          <w:rFonts w:ascii="Times New Roman" w:hAnsi="Times New Roman" w:cs="Times New Roman"/>
          <w:sz w:val="24"/>
          <w:szCs w:val="24"/>
          <w:lang w:val="en-US"/>
        </w:rPr>
        <w:tab/>
        <w:t>Management, 16(1), e12987. https://doi.org/10.1111/jfr3.12987</w:t>
      </w:r>
    </w:p>
    <w:p w14:paraId="570A222F"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Kettner, A., Syed, T. H., &amp; </w:t>
      </w:r>
      <w:proofErr w:type="spellStart"/>
      <w:r w:rsidRPr="002B26DA">
        <w:rPr>
          <w:rFonts w:ascii="Times New Roman" w:hAnsi="Times New Roman" w:cs="Times New Roman"/>
          <w:sz w:val="24"/>
          <w:szCs w:val="24"/>
          <w:lang w:val="en-US"/>
        </w:rPr>
        <w:t>Brakenridge</w:t>
      </w:r>
      <w:proofErr w:type="spellEnd"/>
      <w:r w:rsidRPr="002B26DA">
        <w:rPr>
          <w:rFonts w:ascii="Times New Roman" w:hAnsi="Times New Roman" w:cs="Times New Roman"/>
          <w:sz w:val="24"/>
          <w:szCs w:val="24"/>
          <w:lang w:val="en-US"/>
        </w:rPr>
        <w:t>, G. R. (2016). Global flood monitoring using</w:t>
      </w:r>
      <w:r w:rsidRPr="002B26DA">
        <w:rPr>
          <w:rFonts w:ascii="Times New Roman" w:hAnsi="Times New Roman" w:cs="Times New Roman"/>
          <w:sz w:val="24"/>
          <w:szCs w:val="24"/>
          <w:lang w:val="en-US"/>
        </w:rPr>
        <w:tab/>
        <w:t>SAR data: A one-stop-shop portal for flood prediction and assessment.</w:t>
      </w:r>
      <w:r w:rsidRPr="002B26DA">
        <w:rPr>
          <w:rFonts w:ascii="Times New Roman" w:hAnsi="Times New Roman" w:cs="Times New Roman"/>
          <w:sz w:val="24"/>
          <w:szCs w:val="24"/>
          <w:lang w:val="en-US"/>
        </w:rPr>
        <w:tab/>
        <w:t>Remote Sensing, 8(9), 759. https://doi.org/10.3390/rs8090759</w:t>
      </w:r>
    </w:p>
    <w:p w14:paraId="3ACE456F"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Kumar, A., &amp; Jha, M. (2021). GIS-based flood risk mapping in Kosi River Basin,</w:t>
      </w:r>
      <w:r w:rsidRPr="002B26DA">
        <w:rPr>
          <w:rFonts w:ascii="Times New Roman" w:hAnsi="Times New Roman" w:cs="Times New Roman"/>
          <w:sz w:val="24"/>
          <w:szCs w:val="24"/>
          <w:lang w:val="en-US"/>
        </w:rPr>
        <w:tab/>
        <w:t>Bihar, India using AHP. Natural Hazards Research, 6, 145–160.</w:t>
      </w:r>
    </w:p>
    <w:p w14:paraId="164A7D6E"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Lagmay, A. M. F., Racoma, B. A., </w:t>
      </w:r>
      <w:proofErr w:type="spellStart"/>
      <w:r w:rsidRPr="002B26DA">
        <w:rPr>
          <w:rFonts w:ascii="Times New Roman" w:hAnsi="Times New Roman" w:cs="Times New Roman"/>
          <w:sz w:val="24"/>
          <w:szCs w:val="24"/>
          <w:lang w:val="en-US"/>
        </w:rPr>
        <w:t>Aracan</w:t>
      </w:r>
      <w:proofErr w:type="spellEnd"/>
      <w:r w:rsidRPr="002B26DA">
        <w:rPr>
          <w:rFonts w:ascii="Times New Roman" w:hAnsi="Times New Roman" w:cs="Times New Roman"/>
          <w:sz w:val="24"/>
          <w:szCs w:val="24"/>
          <w:lang w:val="en-US"/>
        </w:rPr>
        <w:t xml:space="preserve">, K. A., </w:t>
      </w:r>
      <w:proofErr w:type="spellStart"/>
      <w:r w:rsidRPr="002B26DA">
        <w:rPr>
          <w:rFonts w:ascii="Times New Roman" w:hAnsi="Times New Roman" w:cs="Times New Roman"/>
          <w:sz w:val="24"/>
          <w:szCs w:val="24"/>
          <w:lang w:val="en-US"/>
        </w:rPr>
        <w:t>Alconis</w:t>
      </w:r>
      <w:proofErr w:type="spellEnd"/>
      <w:r w:rsidRPr="002B26DA">
        <w:rPr>
          <w:rFonts w:ascii="Times New Roman" w:hAnsi="Times New Roman" w:cs="Times New Roman"/>
          <w:sz w:val="24"/>
          <w:szCs w:val="24"/>
          <w:lang w:val="en-US"/>
        </w:rPr>
        <w:t>-Ayco, J., &amp; Saddi, I. L.</w:t>
      </w:r>
      <w:r w:rsidRPr="002B26DA">
        <w:rPr>
          <w:rFonts w:ascii="Times New Roman" w:hAnsi="Times New Roman" w:cs="Times New Roman"/>
          <w:sz w:val="24"/>
          <w:szCs w:val="24"/>
          <w:lang w:val="en-US"/>
        </w:rPr>
        <w:tab/>
        <w:t>(2017). Disseminating near-real-time hazards information and flood maps</w:t>
      </w:r>
      <w:r w:rsidRPr="002B26DA">
        <w:rPr>
          <w:rFonts w:ascii="Times New Roman" w:hAnsi="Times New Roman" w:cs="Times New Roman"/>
          <w:sz w:val="24"/>
          <w:szCs w:val="24"/>
          <w:lang w:val="en-US"/>
        </w:rPr>
        <w:tab/>
        <w:t>in the Philippines through Web-GIS. Journal of Environmental Sciences, 59,</w:t>
      </w:r>
      <w:r w:rsidRPr="002B26DA">
        <w:rPr>
          <w:rFonts w:ascii="Times New Roman" w:hAnsi="Times New Roman" w:cs="Times New Roman"/>
          <w:sz w:val="24"/>
          <w:szCs w:val="24"/>
          <w:lang w:val="en-US"/>
        </w:rPr>
        <w:tab/>
        <w:t>13–23. https://doi.org/10.1016/j.jes.2017.04.004</w:t>
      </w:r>
    </w:p>
    <w:p w14:paraId="42BAB117"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Lopez, S., Hannah, M., &amp; </w:t>
      </w:r>
      <w:proofErr w:type="spellStart"/>
      <w:r w:rsidRPr="002B26DA">
        <w:rPr>
          <w:rFonts w:ascii="Times New Roman" w:hAnsi="Times New Roman" w:cs="Times New Roman"/>
          <w:sz w:val="24"/>
          <w:szCs w:val="24"/>
          <w:lang w:val="en-US"/>
        </w:rPr>
        <w:t>Guimbongan</w:t>
      </w:r>
      <w:proofErr w:type="spellEnd"/>
      <w:r w:rsidRPr="002B26DA">
        <w:rPr>
          <w:rFonts w:ascii="Times New Roman" w:hAnsi="Times New Roman" w:cs="Times New Roman"/>
          <w:sz w:val="24"/>
          <w:szCs w:val="24"/>
          <w:lang w:val="en-US"/>
        </w:rPr>
        <w:t>. (2024). Flood susceptibility mapping in the</w:t>
      </w:r>
      <w:r w:rsidRPr="002B26DA">
        <w:rPr>
          <w:rFonts w:ascii="Times New Roman" w:hAnsi="Times New Roman" w:cs="Times New Roman"/>
          <w:sz w:val="24"/>
          <w:szCs w:val="24"/>
          <w:lang w:val="en-US"/>
        </w:rPr>
        <w:tab/>
        <w:t>Municipality of Bayombong, Province of Nueva Vizcaya, Philippines.</w:t>
      </w:r>
      <w:r w:rsidRPr="002B26DA">
        <w:rPr>
          <w:rFonts w:ascii="Times New Roman" w:hAnsi="Times New Roman" w:cs="Times New Roman"/>
          <w:sz w:val="24"/>
          <w:szCs w:val="24"/>
          <w:lang w:val="en-US"/>
        </w:rPr>
        <w:tab/>
        <w:t>International Journal for Multidisciplinary Research, 6(3).</w:t>
      </w:r>
    </w:p>
    <w:p w14:paraId="0F2887D0"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Madi, A., Bensaid, S., &amp; Benyahia, H. (2020). Flood mapping of extreme river</w:t>
      </w:r>
      <w:r w:rsidRPr="002B26DA">
        <w:rPr>
          <w:rFonts w:ascii="Times New Roman" w:hAnsi="Times New Roman" w:cs="Times New Roman"/>
          <w:sz w:val="24"/>
          <w:szCs w:val="24"/>
          <w:lang w:val="en-US"/>
        </w:rPr>
        <w:tab/>
        <w:t>events using HEC-RAS 1D and GIS: Tamanrasset Valley watershed,</w:t>
      </w:r>
      <w:r w:rsidRPr="002B26DA">
        <w:rPr>
          <w:rFonts w:ascii="Times New Roman" w:hAnsi="Times New Roman" w:cs="Times New Roman"/>
          <w:sz w:val="24"/>
          <w:szCs w:val="24"/>
          <w:lang w:val="en-US"/>
        </w:rPr>
        <w:tab/>
        <w:t>Algeria. Water, 12(9), 2504. https://doi.org/10.3390/w12092504</w:t>
      </w:r>
    </w:p>
    <w:p w14:paraId="20EF02D7"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M Amen, T., Khalid, R., &amp; Hussein, A. (2021). GIS-based flood susceptibility</w:t>
      </w:r>
      <w:r w:rsidRPr="002B26DA">
        <w:rPr>
          <w:rFonts w:ascii="Times New Roman" w:hAnsi="Times New Roman" w:cs="Times New Roman"/>
          <w:sz w:val="24"/>
          <w:szCs w:val="24"/>
          <w:lang w:val="en-US"/>
        </w:rPr>
        <w:tab/>
        <w:t>mapping using AHP in Duhok, Iraq. Journal of Flood Risk Management,</w:t>
      </w:r>
      <w:r w:rsidRPr="002B26DA">
        <w:rPr>
          <w:rFonts w:ascii="Times New Roman" w:hAnsi="Times New Roman" w:cs="Times New Roman"/>
          <w:sz w:val="24"/>
          <w:szCs w:val="24"/>
          <w:lang w:val="en-US"/>
        </w:rPr>
        <w:tab/>
        <w:t>14(2), e12689. https://doi.org/10.1111/jfr3.12689</w:t>
      </w:r>
    </w:p>
    <w:p w14:paraId="0C4CC880"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Monjardin, C. E. F., Tan, F. J., Uy, F. A. A., Bale, F. J. P., </w:t>
      </w:r>
      <w:proofErr w:type="spellStart"/>
      <w:r w:rsidRPr="002B26DA">
        <w:rPr>
          <w:rFonts w:ascii="Times New Roman" w:hAnsi="Times New Roman" w:cs="Times New Roman"/>
          <w:sz w:val="24"/>
          <w:szCs w:val="24"/>
          <w:lang w:val="en-US"/>
        </w:rPr>
        <w:t>Voluntad</w:t>
      </w:r>
      <w:proofErr w:type="spellEnd"/>
      <w:r w:rsidRPr="002B26DA">
        <w:rPr>
          <w:rFonts w:ascii="Times New Roman" w:hAnsi="Times New Roman" w:cs="Times New Roman"/>
          <w:sz w:val="24"/>
          <w:szCs w:val="24"/>
          <w:lang w:val="en-US"/>
        </w:rPr>
        <w:t>, E. O., &amp; Batac,</w:t>
      </w:r>
      <w:r w:rsidRPr="002B26DA">
        <w:rPr>
          <w:rFonts w:ascii="Times New Roman" w:hAnsi="Times New Roman" w:cs="Times New Roman"/>
          <w:sz w:val="24"/>
          <w:szCs w:val="24"/>
          <w:lang w:val="en-US"/>
        </w:rPr>
        <w:tab/>
        <w:t>R. M. N. (2020). Assessment of the existing drainage system in Infanta,</w:t>
      </w:r>
      <w:r w:rsidRPr="002B26DA">
        <w:rPr>
          <w:rFonts w:ascii="Times New Roman" w:hAnsi="Times New Roman" w:cs="Times New Roman"/>
          <w:sz w:val="24"/>
          <w:szCs w:val="24"/>
          <w:lang w:val="en-US"/>
        </w:rPr>
        <w:tab/>
        <w:t>Quezon Province for flood hazard management using analytical hierarchy</w:t>
      </w:r>
      <w:r w:rsidRPr="002B26DA">
        <w:rPr>
          <w:rFonts w:ascii="Times New Roman" w:hAnsi="Times New Roman" w:cs="Times New Roman"/>
          <w:sz w:val="24"/>
          <w:szCs w:val="24"/>
          <w:lang w:val="en-US"/>
        </w:rPr>
        <w:tab/>
        <w:t>process. In Proceedings of the IEEE Conference on Technologies for</w:t>
      </w:r>
      <w:r w:rsidRPr="002B26DA">
        <w:rPr>
          <w:rFonts w:ascii="Times New Roman" w:hAnsi="Times New Roman" w:cs="Times New Roman"/>
          <w:sz w:val="24"/>
          <w:szCs w:val="24"/>
          <w:lang w:val="en-US"/>
        </w:rPr>
        <w:tab/>
        <w:t>Sustainability (pp. 1–6). https://doi.org/10.1109/TFS.2020.9312345</w:t>
      </w:r>
    </w:p>
    <w:p w14:paraId="78B49A88"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Munawar, H. S., Hammad, A. W. A., &amp; Waller, S. T. (2022). Remote sensing</w:t>
      </w:r>
      <w:r w:rsidRPr="002B26DA">
        <w:rPr>
          <w:rFonts w:ascii="Times New Roman" w:hAnsi="Times New Roman" w:cs="Times New Roman"/>
          <w:sz w:val="24"/>
          <w:szCs w:val="24"/>
          <w:lang w:val="en-US"/>
        </w:rPr>
        <w:tab/>
        <w:t>methods for flood prediction: A review. Sensors, 22(3), 960.</w:t>
      </w:r>
      <w:r w:rsidRPr="002B26DA">
        <w:rPr>
          <w:rFonts w:ascii="Times New Roman" w:hAnsi="Times New Roman" w:cs="Times New Roman"/>
          <w:sz w:val="24"/>
          <w:szCs w:val="24"/>
          <w:lang w:val="en-US"/>
        </w:rPr>
        <w:tab/>
        <w:t>https://doi.org/10.3390/s22030960</w:t>
      </w:r>
    </w:p>
    <w:p w14:paraId="439950E9"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NOAA. (2022). Storm surge and coastal flooding. National Oceanic and</w:t>
      </w:r>
      <w:r w:rsidRPr="002B26DA">
        <w:rPr>
          <w:rFonts w:ascii="Times New Roman" w:hAnsi="Times New Roman" w:cs="Times New Roman"/>
          <w:sz w:val="24"/>
          <w:szCs w:val="24"/>
          <w:lang w:val="en-US"/>
        </w:rPr>
        <w:tab/>
        <w:t>Atmospheric Administration. https://www.noaa.gov/storm-surge</w:t>
      </w:r>
    </w:p>
    <w:p w14:paraId="6BC1DE12"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NDRRMC (National Disaster Risk Reduction and Management Council). (2021,</w:t>
      </w:r>
      <w:r w:rsidRPr="002B26DA">
        <w:rPr>
          <w:rFonts w:ascii="Times New Roman" w:hAnsi="Times New Roman" w:cs="Times New Roman"/>
          <w:sz w:val="24"/>
          <w:szCs w:val="24"/>
          <w:lang w:val="en-US"/>
        </w:rPr>
        <w:tab/>
        <w:t xml:space="preserve">April 19). </w:t>
      </w:r>
      <w:proofErr w:type="spellStart"/>
      <w:r w:rsidRPr="002B26DA">
        <w:rPr>
          <w:rFonts w:ascii="Times New Roman" w:hAnsi="Times New Roman" w:cs="Times New Roman"/>
          <w:sz w:val="24"/>
          <w:szCs w:val="24"/>
          <w:lang w:val="en-US"/>
        </w:rPr>
        <w:t>SitRep</w:t>
      </w:r>
      <w:proofErr w:type="spellEnd"/>
      <w:r w:rsidRPr="002B26DA">
        <w:rPr>
          <w:rFonts w:ascii="Times New Roman" w:hAnsi="Times New Roman" w:cs="Times New Roman"/>
          <w:sz w:val="24"/>
          <w:szCs w:val="24"/>
          <w:lang w:val="en-US"/>
        </w:rPr>
        <w:t xml:space="preserve"> No. 5 re: Tropical Cyclone </w:t>
      </w:r>
      <w:proofErr w:type="spellStart"/>
      <w:r w:rsidRPr="002B26DA">
        <w:rPr>
          <w:rFonts w:ascii="Times New Roman" w:hAnsi="Times New Roman" w:cs="Times New Roman"/>
          <w:sz w:val="24"/>
          <w:szCs w:val="24"/>
          <w:lang w:val="en-US"/>
        </w:rPr>
        <w:t>Surigae</w:t>
      </w:r>
      <w:proofErr w:type="spellEnd"/>
      <w:r w:rsidRPr="002B26DA">
        <w:rPr>
          <w:rFonts w:ascii="Times New Roman" w:hAnsi="Times New Roman" w:cs="Times New Roman"/>
          <w:sz w:val="24"/>
          <w:szCs w:val="24"/>
          <w:lang w:val="en-US"/>
        </w:rPr>
        <w:t xml:space="preserve"> (</w:t>
      </w:r>
      <w:proofErr w:type="spellStart"/>
      <w:r w:rsidRPr="002B26DA">
        <w:rPr>
          <w:rFonts w:ascii="Times New Roman" w:hAnsi="Times New Roman" w:cs="Times New Roman"/>
          <w:sz w:val="24"/>
          <w:szCs w:val="24"/>
          <w:lang w:val="en-US"/>
        </w:rPr>
        <w:t>Bising</w:t>
      </w:r>
      <w:proofErr w:type="spellEnd"/>
      <w:r w:rsidRPr="002B26DA">
        <w:rPr>
          <w:rFonts w:ascii="Times New Roman" w:hAnsi="Times New Roman" w:cs="Times New Roman"/>
          <w:sz w:val="24"/>
          <w:szCs w:val="24"/>
          <w:lang w:val="en-US"/>
        </w:rPr>
        <w:t>).</w:t>
      </w:r>
      <w:r w:rsidRPr="002B26DA">
        <w:rPr>
          <w:rFonts w:ascii="Times New Roman" w:hAnsi="Times New Roman" w:cs="Times New Roman"/>
          <w:sz w:val="24"/>
          <w:szCs w:val="24"/>
          <w:lang w:val="en-US"/>
        </w:rPr>
        <w:tab/>
        <w:t>https://www.ndrrmc.gov.ph/reports/sitrep-surigae-2021.pdf</w:t>
      </w:r>
    </w:p>
    <w:p w14:paraId="07715A2B"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Ouma, Y., &amp; Tateishi, R. (2014). Urban flood vulnerability and risk mapping using</w:t>
      </w:r>
      <w:r w:rsidRPr="002B26DA">
        <w:rPr>
          <w:rFonts w:ascii="Times New Roman" w:hAnsi="Times New Roman" w:cs="Times New Roman"/>
          <w:sz w:val="24"/>
          <w:szCs w:val="24"/>
          <w:lang w:val="en-US"/>
        </w:rPr>
        <w:tab/>
        <w:t>integrated multi-parametric AHP and GIS. Water, 6, 1515–1545.</w:t>
      </w:r>
      <w:r w:rsidRPr="002B26DA">
        <w:rPr>
          <w:rFonts w:ascii="Times New Roman" w:hAnsi="Times New Roman" w:cs="Times New Roman"/>
          <w:sz w:val="24"/>
          <w:szCs w:val="24"/>
          <w:lang w:val="en-US"/>
        </w:rPr>
        <w:tab/>
        <w:t>https://doi.org/10.3390/w6061515</w:t>
      </w:r>
    </w:p>
    <w:p w14:paraId="229CE064"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Pruitt, W. (1983, personal communication). Early history of remote sensing.</w:t>
      </w:r>
    </w:p>
    <w:p w14:paraId="77591BB7"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proofErr w:type="spellStart"/>
      <w:r w:rsidRPr="002B26DA">
        <w:rPr>
          <w:rFonts w:ascii="Times New Roman" w:hAnsi="Times New Roman" w:cs="Times New Roman"/>
          <w:sz w:val="24"/>
          <w:szCs w:val="24"/>
          <w:lang w:val="en-US"/>
        </w:rPr>
        <w:t>Raadgever</w:t>
      </w:r>
      <w:proofErr w:type="spellEnd"/>
      <w:r w:rsidRPr="002B26DA">
        <w:rPr>
          <w:rFonts w:ascii="Times New Roman" w:hAnsi="Times New Roman" w:cs="Times New Roman"/>
          <w:sz w:val="24"/>
          <w:szCs w:val="24"/>
          <w:lang w:val="en-US"/>
        </w:rPr>
        <w:t>, G., &amp; Hegger, D. (2018). Strengthening and redesigning European</w:t>
      </w:r>
      <w:r w:rsidRPr="002B26DA">
        <w:rPr>
          <w:rFonts w:ascii="Times New Roman" w:hAnsi="Times New Roman" w:cs="Times New Roman"/>
          <w:sz w:val="24"/>
          <w:szCs w:val="24"/>
          <w:lang w:val="en-US"/>
        </w:rPr>
        <w:tab/>
        <w:t>flood risk management (STAR-FLOOD): Principles and strategies. Springer.</w:t>
      </w:r>
      <w:r w:rsidRPr="002B26DA">
        <w:rPr>
          <w:rFonts w:ascii="Times New Roman" w:hAnsi="Times New Roman" w:cs="Times New Roman"/>
          <w:sz w:val="24"/>
          <w:szCs w:val="24"/>
          <w:lang w:val="en-US"/>
        </w:rPr>
        <w:tab/>
        <w:t>https://doi.org/10.1007/978-3-319-64470-0</w:t>
      </w:r>
    </w:p>
    <w:p w14:paraId="30892EF2"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Reeves, C. (1975). Remote sensing principles. Remote Sensing of Environment,</w:t>
      </w:r>
      <w:r w:rsidRPr="002B26DA">
        <w:rPr>
          <w:rFonts w:ascii="Times New Roman" w:hAnsi="Times New Roman" w:cs="Times New Roman"/>
          <w:sz w:val="24"/>
          <w:szCs w:val="24"/>
          <w:lang w:val="en-US"/>
        </w:rPr>
        <w:tab/>
        <w:t>4(2), 101–113.</w:t>
      </w:r>
    </w:p>
    <w:p w14:paraId="19DAD04F"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Rhind, D. (1992). Geographic information systems: An introduction. Longman</w:t>
      </w:r>
      <w:r w:rsidRPr="002B26DA">
        <w:rPr>
          <w:rFonts w:ascii="Times New Roman" w:hAnsi="Times New Roman" w:cs="Times New Roman"/>
          <w:sz w:val="24"/>
          <w:szCs w:val="24"/>
          <w:lang w:val="en-US"/>
        </w:rPr>
        <w:tab/>
        <w:t>Scientific &amp; Technical.</w:t>
      </w:r>
    </w:p>
    <w:p w14:paraId="7A762ABB"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Rincón, L., Khan, S., &amp; </w:t>
      </w:r>
      <w:proofErr w:type="spellStart"/>
      <w:r w:rsidRPr="002B26DA">
        <w:rPr>
          <w:rFonts w:ascii="Times New Roman" w:hAnsi="Times New Roman" w:cs="Times New Roman"/>
          <w:sz w:val="24"/>
          <w:szCs w:val="24"/>
          <w:lang w:val="en-US"/>
        </w:rPr>
        <w:t>Armenakis</w:t>
      </w:r>
      <w:proofErr w:type="spellEnd"/>
      <w:r w:rsidRPr="002B26DA">
        <w:rPr>
          <w:rFonts w:ascii="Times New Roman" w:hAnsi="Times New Roman" w:cs="Times New Roman"/>
          <w:sz w:val="24"/>
          <w:szCs w:val="24"/>
          <w:lang w:val="en-US"/>
        </w:rPr>
        <w:t>, C. (2018). GIS and multi-criteria decision</w:t>
      </w:r>
      <w:r w:rsidRPr="002B26DA">
        <w:rPr>
          <w:rFonts w:ascii="Times New Roman" w:hAnsi="Times New Roman" w:cs="Times New Roman"/>
          <w:sz w:val="24"/>
          <w:szCs w:val="24"/>
          <w:lang w:val="en-US"/>
        </w:rPr>
        <w:tab/>
        <w:t>analysis for flood risk mapping. Natural Hazards, 92, 1171–1190.</w:t>
      </w:r>
      <w:r w:rsidRPr="002B26DA">
        <w:rPr>
          <w:rFonts w:ascii="Times New Roman" w:hAnsi="Times New Roman" w:cs="Times New Roman"/>
          <w:sz w:val="24"/>
          <w:szCs w:val="24"/>
          <w:lang w:val="en-US"/>
        </w:rPr>
        <w:tab/>
        <w:t>https://doi.org/10.1007/s11069-018-3282-7</w:t>
      </w:r>
    </w:p>
    <w:p w14:paraId="22524571"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Sabins, F. (1978). Remote sensing: Principles and interpretation. W.H. Freeman &amp;</w:t>
      </w:r>
      <w:r w:rsidRPr="002B26DA">
        <w:rPr>
          <w:rFonts w:ascii="Times New Roman" w:hAnsi="Times New Roman" w:cs="Times New Roman"/>
          <w:sz w:val="24"/>
          <w:szCs w:val="24"/>
          <w:lang w:val="en-US"/>
        </w:rPr>
        <w:tab/>
        <w:t>Co.</w:t>
      </w:r>
    </w:p>
    <w:p w14:paraId="493EBD1E"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Saaty, T. L. (1980). The analytic hierarchy process: Planning, priority setting,</w:t>
      </w:r>
      <w:r w:rsidRPr="002B26DA">
        <w:rPr>
          <w:rFonts w:ascii="Times New Roman" w:hAnsi="Times New Roman" w:cs="Times New Roman"/>
          <w:sz w:val="24"/>
          <w:szCs w:val="24"/>
          <w:lang w:val="en-US"/>
        </w:rPr>
        <w:tab/>
        <w:t>resource allocation. McGraw-Hill.</w:t>
      </w:r>
    </w:p>
    <w:p w14:paraId="06EA032A"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proofErr w:type="spellStart"/>
      <w:r w:rsidRPr="002B26DA">
        <w:rPr>
          <w:rFonts w:ascii="Times New Roman" w:hAnsi="Times New Roman" w:cs="Times New Roman"/>
          <w:sz w:val="24"/>
          <w:szCs w:val="24"/>
          <w:lang w:val="en-US"/>
        </w:rPr>
        <w:t>Siddayao</w:t>
      </w:r>
      <w:proofErr w:type="spellEnd"/>
      <w:r w:rsidRPr="002B26DA">
        <w:rPr>
          <w:rFonts w:ascii="Times New Roman" w:hAnsi="Times New Roman" w:cs="Times New Roman"/>
          <w:sz w:val="24"/>
          <w:szCs w:val="24"/>
          <w:lang w:val="en-US"/>
        </w:rPr>
        <w:t>, C., Valdez, L., &amp; Fernandez, P. (2014). Flood hazard mapping using GIS</w:t>
      </w:r>
      <w:r w:rsidRPr="002B26DA">
        <w:rPr>
          <w:rFonts w:ascii="Times New Roman" w:hAnsi="Times New Roman" w:cs="Times New Roman"/>
          <w:sz w:val="24"/>
          <w:szCs w:val="24"/>
          <w:lang w:val="en-US"/>
        </w:rPr>
        <w:tab/>
        <w:t>and AHP: A case study in the Philippines. Journal of Environmental Science</w:t>
      </w:r>
      <w:r w:rsidRPr="002B26DA">
        <w:rPr>
          <w:rFonts w:ascii="Times New Roman" w:hAnsi="Times New Roman" w:cs="Times New Roman"/>
          <w:sz w:val="24"/>
          <w:szCs w:val="24"/>
          <w:lang w:val="en-US"/>
        </w:rPr>
        <w:tab/>
        <w:t>and Management, 17(2), 50–61.</w:t>
      </w:r>
    </w:p>
    <w:p w14:paraId="5A881EE0"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Siegal, B., &amp; Gillespie, A. (1980). Remote sensing in Earth sciences. Science, 210,</w:t>
      </w:r>
      <w:r w:rsidRPr="002B26DA">
        <w:rPr>
          <w:rFonts w:ascii="Times New Roman" w:hAnsi="Times New Roman" w:cs="Times New Roman"/>
          <w:sz w:val="24"/>
          <w:szCs w:val="24"/>
          <w:lang w:val="en-US"/>
        </w:rPr>
        <w:tab/>
        <w:t>1285–1290.</w:t>
      </w:r>
    </w:p>
    <w:p w14:paraId="33154F31"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USAID. (2011). Philippines disaster risk reduction and management assessment</w:t>
      </w:r>
      <w:r w:rsidRPr="002B26DA">
        <w:rPr>
          <w:rFonts w:ascii="Times New Roman" w:hAnsi="Times New Roman" w:cs="Times New Roman"/>
          <w:sz w:val="24"/>
          <w:szCs w:val="24"/>
          <w:lang w:val="en-US"/>
        </w:rPr>
        <w:tab/>
        <w:t>report. United States Agency for International Development.</w:t>
      </w:r>
      <w:r w:rsidRPr="002B26DA">
        <w:rPr>
          <w:rFonts w:ascii="Times New Roman" w:hAnsi="Times New Roman" w:cs="Times New Roman"/>
          <w:sz w:val="24"/>
          <w:szCs w:val="24"/>
          <w:lang w:val="en-US"/>
        </w:rPr>
        <w:tab/>
        <w:t>https://www.usaid.gov/philippines</w:t>
      </w:r>
    </w:p>
    <w:p w14:paraId="538BE025"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World Bank. (2021). Philippines: Disaster risk profile. World Bank Group.</w:t>
      </w:r>
      <w:r w:rsidRPr="002B26DA">
        <w:rPr>
          <w:rFonts w:ascii="Times New Roman" w:hAnsi="Times New Roman" w:cs="Times New Roman"/>
          <w:sz w:val="24"/>
          <w:szCs w:val="24"/>
          <w:lang w:val="en-US"/>
        </w:rPr>
        <w:tab/>
        <w:t>https://www.worldbank.org/en/country/philippines/overview</w:t>
      </w:r>
    </w:p>
    <w:p w14:paraId="3822C103"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Yu, D., Xie, P., Dong, X., Hu, X., Liu, J., Li, Y., Peng, T., Ma, H., Wang, K., &amp; Xu, S.</w:t>
      </w:r>
      <w:r w:rsidRPr="002B26DA">
        <w:rPr>
          <w:rFonts w:ascii="Times New Roman" w:hAnsi="Times New Roman" w:cs="Times New Roman"/>
          <w:sz w:val="24"/>
          <w:szCs w:val="24"/>
          <w:lang w:val="en-US"/>
        </w:rPr>
        <w:tab/>
        <w:t>(2018). Improvement of the SWAT model for event-based flood simulation</w:t>
      </w:r>
      <w:r w:rsidRPr="002B26DA">
        <w:rPr>
          <w:rFonts w:ascii="Times New Roman" w:hAnsi="Times New Roman" w:cs="Times New Roman"/>
          <w:sz w:val="24"/>
          <w:szCs w:val="24"/>
          <w:lang w:val="en-US"/>
        </w:rPr>
        <w:tab/>
        <w:t>on a sub-daily timescale. Hydrology and Earth System Sciences, 22, 5001</w:t>
      </w:r>
      <w:r w:rsidRPr="002B26DA">
        <w:rPr>
          <w:rFonts w:ascii="Times New Roman" w:hAnsi="Times New Roman" w:cs="Times New Roman"/>
          <w:sz w:val="24"/>
          <w:szCs w:val="24"/>
          <w:lang w:val="en-US"/>
        </w:rPr>
        <w:tab/>
        <w:t>5019. https://doi.org/10.5194/hess-22-5001-2018</w:t>
      </w:r>
    </w:p>
    <w:p w14:paraId="28535434" w14:textId="77777777" w:rsidR="00386D16" w:rsidRPr="002B26DA" w:rsidRDefault="00386D16" w:rsidP="002B26DA">
      <w:pPr>
        <w:pStyle w:val="ListParagraph"/>
        <w:numPr>
          <w:ilvl w:val="0"/>
          <w:numId w:val="20"/>
        </w:numPr>
        <w:spacing w:line="240" w:lineRule="auto"/>
        <w:jc w:val="both"/>
        <w:rPr>
          <w:rFonts w:ascii="Times New Roman" w:hAnsi="Times New Roman" w:cs="Times New Roman"/>
          <w:sz w:val="24"/>
          <w:szCs w:val="24"/>
          <w:lang w:val="en-US"/>
        </w:rPr>
      </w:pPr>
      <w:r w:rsidRPr="002B26DA">
        <w:rPr>
          <w:rFonts w:ascii="Times New Roman" w:hAnsi="Times New Roman" w:cs="Times New Roman"/>
          <w:sz w:val="24"/>
          <w:szCs w:val="24"/>
          <w:lang w:val="en-US"/>
        </w:rPr>
        <w:t xml:space="preserve">Zou, Q., </w:t>
      </w:r>
      <w:proofErr w:type="spellStart"/>
      <w:r w:rsidRPr="002B26DA">
        <w:rPr>
          <w:rFonts w:ascii="Times New Roman" w:hAnsi="Times New Roman" w:cs="Times New Roman"/>
          <w:sz w:val="24"/>
          <w:szCs w:val="24"/>
          <w:lang w:val="en-US"/>
        </w:rPr>
        <w:t>Zhou,J</w:t>
      </w:r>
      <w:proofErr w:type="spellEnd"/>
      <w:r w:rsidRPr="002B26DA">
        <w:rPr>
          <w:rFonts w:ascii="Times New Roman" w:hAnsi="Times New Roman" w:cs="Times New Roman"/>
          <w:sz w:val="24"/>
          <w:szCs w:val="24"/>
          <w:lang w:val="en-US"/>
        </w:rPr>
        <w:t>., Zhou, C., Song, L., &amp; Guo, J. (2013). Comprehensive flood risk</w:t>
      </w:r>
      <w:r w:rsidRPr="002B26DA">
        <w:rPr>
          <w:rFonts w:ascii="Times New Roman" w:hAnsi="Times New Roman" w:cs="Times New Roman"/>
          <w:sz w:val="24"/>
          <w:szCs w:val="24"/>
          <w:lang w:val="en-US"/>
        </w:rPr>
        <w:tab/>
        <w:t>assessment based on fuzzy AHP. Stochastic Environmental Research and</w:t>
      </w:r>
      <w:r w:rsidRPr="002B26DA">
        <w:rPr>
          <w:rFonts w:ascii="Times New Roman" w:hAnsi="Times New Roman" w:cs="Times New Roman"/>
          <w:sz w:val="24"/>
          <w:szCs w:val="24"/>
          <w:lang w:val="en-US"/>
        </w:rPr>
        <w:tab/>
        <w:t>Risk Assessment, 27, 525–546. https://doi.org/10.1007/s00477-012-0661</w:t>
      </w:r>
      <w:r w:rsidRPr="002B26DA">
        <w:rPr>
          <w:rFonts w:ascii="Times New Roman" w:hAnsi="Times New Roman" w:cs="Times New Roman"/>
          <w:sz w:val="24"/>
          <w:szCs w:val="24"/>
          <w:lang w:val="en-US"/>
        </w:rPr>
        <w:tab/>
        <w:t>5</w:t>
      </w:r>
    </w:p>
    <w:p w14:paraId="458C3492" w14:textId="77777777" w:rsidR="00386D16" w:rsidRPr="002B26DA" w:rsidRDefault="00386D16" w:rsidP="005A545C">
      <w:pPr>
        <w:spacing w:line="240" w:lineRule="auto"/>
        <w:jc w:val="both"/>
        <w:rPr>
          <w:rFonts w:ascii="Times New Roman" w:hAnsi="Times New Roman" w:cs="Times New Roman"/>
          <w:sz w:val="24"/>
          <w:szCs w:val="24"/>
          <w:lang w:val="en-US"/>
        </w:rPr>
      </w:pPr>
    </w:p>
    <w:p w14:paraId="10CBD97F" w14:textId="77777777" w:rsidR="002B26DA" w:rsidRPr="002B26DA" w:rsidRDefault="002B26DA" w:rsidP="005A545C">
      <w:pPr>
        <w:pStyle w:val="NoSpacing"/>
        <w:ind w:left="720"/>
        <w:jc w:val="both"/>
        <w:rPr>
          <w:rFonts w:ascii="Times New Roman" w:hAnsi="Times New Roman" w:cs="Times New Roman"/>
          <w:sz w:val="24"/>
          <w:szCs w:val="24"/>
        </w:rPr>
        <w:sectPr w:rsidR="002B26DA" w:rsidRPr="002B26DA" w:rsidSect="002B26DA">
          <w:type w:val="continuous"/>
          <w:pgSz w:w="11906" w:h="16838" w:code="9"/>
          <w:pgMar w:top="1094" w:right="605" w:bottom="605" w:left="605" w:header="0" w:footer="0" w:gutter="0"/>
          <w:cols w:space="708"/>
          <w:docGrid w:linePitch="360"/>
        </w:sectPr>
      </w:pPr>
    </w:p>
    <w:p w14:paraId="7D53EC2A" w14:textId="77777777" w:rsidR="00B150EC" w:rsidRPr="002B26DA" w:rsidRDefault="00B150EC" w:rsidP="005A545C">
      <w:pPr>
        <w:pStyle w:val="NoSpacing"/>
        <w:ind w:left="720"/>
        <w:jc w:val="both"/>
        <w:rPr>
          <w:rFonts w:ascii="Times New Roman" w:hAnsi="Times New Roman" w:cs="Times New Roman"/>
          <w:sz w:val="24"/>
          <w:szCs w:val="24"/>
        </w:rPr>
      </w:pPr>
    </w:p>
    <w:p w14:paraId="3E82AA44" w14:textId="77777777" w:rsidR="00B150EC" w:rsidRPr="002B26DA" w:rsidRDefault="00B150EC" w:rsidP="005A545C">
      <w:pPr>
        <w:pStyle w:val="NoSpacing"/>
        <w:ind w:left="720"/>
        <w:jc w:val="both"/>
        <w:rPr>
          <w:rFonts w:ascii="Times New Roman" w:hAnsi="Times New Roman" w:cs="Times New Roman"/>
          <w:sz w:val="24"/>
          <w:szCs w:val="24"/>
        </w:rPr>
      </w:pPr>
    </w:p>
    <w:p w14:paraId="410FD6EB" w14:textId="77777777" w:rsidR="00B150EC" w:rsidRPr="002B26DA" w:rsidRDefault="00B150EC" w:rsidP="005A545C">
      <w:pPr>
        <w:pStyle w:val="NoSpacing"/>
        <w:ind w:left="720"/>
        <w:jc w:val="both"/>
        <w:rPr>
          <w:rFonts w:ascii="Times New Roman" w:hAnsi="Times New Roman" w:cs="Times New Roman"/>
          <w:sz w:val="24"/>
          <w:szCs w:val="24"/>
        </w:rPr>
      </w:pPr>
    </w:p>
    <w:p w14:paraId="0C7013F6" w14:textId="77777777" w:rsidR="00B150EC" w:rsidRPr="002B26DA" w:rsidRDefault="00B150EC" w:rsidP="005A545C">
      <w:pPr>
        <w:pStyle w:val="NoSpacing"/>
        <w:ind w:left="720"/>
        <w:jc w:val="both"/>
        <w:rPr>
          <w:rFonts w:ascii="Times New Roman" w:hAnsi="Times New Roman" w:cs="Times New Roman"/>
          <w:sz w:val="24"/>
          <w:szCs w:val="24"/>
        </w:rPr>
      </w:pPr>
    </w:p>
    <w:p w14:paraId="048C228D" w14:textId="77777777" w:rsidR="00B150EC" w:rsidRPr="002B26DA" w:rsidRDefault="00B150EC" w:rsidP="005A545C">
      <w:pPr>
        <w:pStyle w:val="NoSpacing"/>
        <w:ind w:left="720"/>
        <w:jc w:val="both"/>
        <w:rPr>
          <w:rFonts w:ascii="Times New Roman" w:hAnsi="Times New Roman" w:cs="Times New Roman"/>
          <w:sz w:val="24"/>
          <w:szCs w:val="24"/>
        </w:rPr>
      </w:pPr>
    </w:p>
    <w:p w14:paraId="63859E1E" w14:textId="77777777" w:rsidR="00B150EC" w:rsidRPr="002B26DA" w:rsidRDefault="00B150EC" w:rsidP="005A545C">
      <w:pPr>
        <w:pStyle w:val="NoSpacing"/>
        <w:ind w:left="720"/>
        <w:jc w:val="both"/>
        <w:rPr>
          <w:rFonts w:ascii="Times New Roman" w:hAnsi="Times New Roman" w:cs="Times New Roman"/>
          <w:sz w:val="24"/>
          <w:szCs w:val="24"/>
        </w:rPr>
      </w:pPr>
    </w:p>
    <w:p w14:paraId="308239E9" w14:textId="77777777" w:rsidR="00B150EC" w:rsidRPr="002B26DA" w:rsidRDefault="00B150EC" w:rsidP="005A545C">
      <w:pPr>
        <w:pStyle w:val="NoSpacing"/>
        <w:ind w:left="720"/>
        <w:jc w:val="both"/>
        <w:rPr>
          <w:rFonts w:ascii="Times New Roman" w:hAnsi="Times New Roman" w:cs="Times New Roman"/>
          <w:sz w:val="24"/>
          <w:szCs w:val="24"/>
        </w:rPr>
      </w:pPr>
    </w:p>
    <w:p w14:paraId="5022670B" w14:textId="77777777" w:rsidR="00B150EC" w:rsidRPr="002B26DA" w:rsidRDefault="00B150EC" w:rsidP="005A545C">
      <w:pPr>
        <w:pStyle w:val="NoSpacing"/>
        <w:ind w:left="720"/>
        <w:jc w:val="both"/>
        <w:rPr>
          <w:rFonts w:ascii="Times New Roman" w:hAnsi="Times New Roman" w:cs="Times New Roman"/>
          <w:sz w:val="24"/>
          <w:szCs w:val="24"/>
        </w:rPr>
      </w:pPr>
    </w:p>
    <w:p w14:paraId="40338718" w14:textId="77777777" w:rsidR="00B150EC" w:rsidRPr="002B26DA" w:rsidRDefault="00B150EC" w:rsidP="005A545C">
      <w:pPr>
        <w:pStyle w:val="NoSpacing"/>
        <w:ind w:left="720"/>
        <w:jc w:val="both"/>
        <w:rPr>
          <w:rFonts w:ascii="Times New Roman" w:hAnsi="Times New Roman" w:cs="Times New Roman"/>
          <w:sz w:val="24"/>
          <w:szCs w:val="24"/>
        </w:rPr>
      </w:pPr>
    </w:p>
    <w:p w14:paraId="0F5DEF26" w14:textId="77777777" w:rsidR="00B150EC" w:rsidRPr="002B26DA" w:rsidRDefault="00B150EC" w:rsidP="005A545C">
      <w:pPr>
        <w:pStyle w:val="NoSpacing"/>
        <w:ind w:left="720"/>
        <w:jc w:val="both"/>
        <w:rPr>
          <w:rFonts w:ascii="Times New Roman" w:hAnsi="Times New Roman" w:cs="Times New Roman"/>
          <w:sz w:val="24"/>
          <w:szCs w:val="24"/>
        </w:rPr>
      </w:pPr>
    </w:p>
    <w:p w14:paraId="65F81F56" w14:textId="77777777" w:rsidR="00B150EC" w:rsidRPr="002B26DA" w:rsidRDefault="00B150EC" w:rsidP="005A545C">
      <w:pPr>
        <w:pStyle w:val="NoSpacing"/>
        <w:ind w:left="720"/>
        <w:jc w:val="both"/>
        <w:rPr>
          <w:rFonts w:ascii="Times New Roman" w:hAnsi="Times New Roman" w:cs="Times New Roman"/>
          <w:sz w:val="24"/>
          <w:szCs w:val="24"/>
        </w:rPr>
      </w:pPr>
    </w:p>
    <w:p w14:paraId="2852B2F6" w14:textId="77777777" w:rsidR="00B150EC" w:rsidRPr="002B26DA" w:rsidRDefault="00B150EC" w:rsidP="005A545C">
      <w:pPr>
        <w:pStyle w:val="NoSpacing"/>
        <w:ind w:left="720"/>
        <w:jc w:val="both"/>
        <w:rPr>
          <w:rFonts w:ascii="Times New Roman" w:hAnsi="Times New Roman" w:cs="Times New Roman"/>
          <w:sz w:val="24"/>
          <w:szCs w:val="24"/>
        </w:rPr>
      </w:pPr>
    </w:p>
    <w:p w14:paraId="60868CDB" w14:textId="77777777" w:rsidR="00B150EC" w:rsidRPr="002B26DA" w:rsidRDefault="00B150EC" w:rsidP="005A545C">
      <w:pPr>
        <w:pStyle w:val="NoSpacing"/>
        <w:ind w:left="720"/>
        <w:jc w:val="both"/>
        <w:rPr>
          <w:rFonts w:ascii="Times New Roman" w:hAnsi="Times New Roman" w:cs="Times New Roman"/>
          <w:sz w:val="24"/>
          <w:szCs w:val="24"/>
        </w:rPr>
      </w:pPr>
    </w:p>
    <w:p w14:paraId="5948355C" w14:textId="77777777" w:rsidR="00B150EC" w:rsidRPr="002B26DA" w:rsidRDefault="00B150EC" w:rsidP="005A545C">
      <w:pPr>
        <w:pStyle w:val="NoSpacing"/>
        <w:ind w:left="720"/>
        <w:jc w:val="both"/>
        <w:rPr>
          <w:rFonts w:ascii="Times New Roman" w:hAnsi="Times New Roman" w:cs="Times New Roman"/>
          <w:sz w:val="24"/>
          <w:szCs w:val="24"/>
        </w:rPr>
      </w:pPr>
    </w:p>
    <w:p w14:paraId="61C0877B" w14:textId="77777777" w:rsidR="00C94F59" w:rsidRPr="002B26DA" w:rsidRDefault="00C94F59" w:rsidP="005A545C">
      <w:pPr>
        <w:pStyle w:val="NoSpacing"/>
        <w:jc w:val="center"/>
        <w:rPr>
          <w:rFonts w:ascii="Times New Roman" w:hAnsi="Times New Roman" w:cs="Times New Roman"/>
          <w:sz w:val="24"/>
          <w:szCs w:val="24"/>
        </w:rPr>
      </w:pPr>
    </w:p>
    <w:p w14:paraId="6CA6B24A" w14:textId="77777777" w:rsidR="00C94F59" w:rsidRPr="002B26DA" w:rsidRDefault="00C94F59" w:rsidP="005A545C">
      <w:pPr>
        <w:pStyle w:val="NoSpacing"/>
        <w:rPr>
          <w:rFonts w:ascii="Times New Roman" w:hAnsi="Times New Roman" w:cs="Times New Roman"/>
          <w:sz w:val="24"/>
          <w:szCs w:val="24"/>
        </w:rPr>
      </w:pPr>
    </w:p>
    <w:p w14:paraId="5AB4BC6D" w14:textId="77777777" w:rsidR="00B150EC" w:rsidRPr="002B26DA" w:rsidRDefault="00B150EC" w:rsidP="005A545C">
      <w:pPr>
        <w:spacing w:line="240" w:lineRule="auto"/>
        <w:jc w:val="center"/>
        <w:rPr>
          <w:rFonts w:ascii="Times New Roman" w:hAnsi="Times New Roman" w:cs="Times New Roman"/>
          <w:sz w:val="24"/>
          <w:szCs w:val="24"/>
          <w:lang w:val="en-US"/>
        </w:rPr>
      </w:pPr>
    </w:p>
    <w:p w14:paraId="361FF572" w14:textId="77777777" w:rsidR="00B150EC" w:rsidRPr="002B26DA" w:rsidRDefault="00B150EC" w:rsidP="005A545C">
      <w:pPr>
        <w:spacing w:line="240" w:lineRule="auto"/>
        <w:jc w:val="center"/>
        <w:rPr>
          <w:rFonts w:ascii="Times New Roman" w:hAnsi="Times New Roman" w:cs="Times New Roman"/>
          <w:sz w:val="24"/>
          <w:szCs w:val="24"/>
          <w:lang w:val="en-US"/>
        </w:rPr>
      </w:pPr>
    </w:p>
    <w:p w14:paraId="45386404" w14:textId="77777777" w:rsidR="00B150EC" w:rsidRPr="002B26DA" w:rsidRDefault="00B150EC" w:rsidP="005A545C">
      <w:pPr>
        <w:spacing w:line="240" w:lineRule="auto"/>
        <w:jc w:val="center"/>
        <w:rPr>
          <w:rFonts w:ascii="Times New Roman" w:hAnsi="Times New Roman" w:cs="Times New Roman"/>
          <w:sz w:val="24"/>
          <w:szCs w:val="24"/>
          <w:lang w:val="en-US"/>
        </w:rPr>
      </w:pPr>
    </w:p>
    <w:p w14:paraId="0241D24B" w14:textId="77777777" w:rsidR="00B150EC" w:rsidRPr="002B26DA" w:rsidRDefault="00B150EC" w:rsidP="005A545C">
      <w:pPr>
        <w:spacing w:line="240" w:lineRule="auto"/>
        <w:jc w:val="center"/>
        <w:rPr>
          <w:rFonts w:ascii="Times New Roman" w:hAnsi="Times New Roman" w:cs="Times New Roman"/>
          <w:sz w:val="24"/>
          <w:szCs w:val="24"/>
          <w:lang w:val="en-US"/>
        </w:rPr>
      </w:pPr>
    </w:p>
    <w:p w14:paraId="0921E031" w14:textId="77777777" w:rsidR="00B150EC" w:rsidRPr="002B26DA" w:rsidRDefault="00B150EC" w:rsidP="005A545C">
      <w:pPr>
        <w:spacing w:line="240" w:lineRule="auto"/>
        <w:jc w:val="center"/>
        <w:rPr>
          <w:rFonts w:ascii="Times New Roman" w:hAnsi="Times New Roman" w:cs="Times New Roman"/>
          <w:sz w:val="24"/>
          <w:szCs w:val="24"/>
          <w:lang w:val="en-US"/>
        </w:rPr>
      </w:pPr>
    </w:p>
    <w:p w14:paraId="387BDA28" w14:textId="77777777" w:rsidR="00B150EC" w:rsidRPr="002B26DA" w:rsidRDefault="00B150EC" w:rsidP="005A545C">
      <w:pPr>
        <w:spacing w:line="240" w:lineRule="auto"/>
        <w:jc w:val="center"/>
        <w:rPr>
          <w:rFonts w:ascii="Times New Roman" w:hAnsi="Times New Roman" w:cs="Times New Roman"/>
          <w:sz w:val="24"/>
          <w:szCs w:val="24"/>
          <w:lang w:val="en-US"/>
        </w:rPr>
      </w:pPr>
    </w:p>
    <w:p w14:paraId="2A95C2CF" w14:textId="77777777" w:rsidR="00B150EC" w:rsidRPr="002B26DA" w:rsidRDefault="00B150EC" w:rsidP="005A545C">
      <w:pPr>
        <w:spacing w:line="240" w:lineRule="auto"/>
        <w:jc w:val="center"/>
        <w:rPr>
          <w:rFonts w:ascii="Times New Roman" w:hAnsi="Times New Roman" w:cs="Times New Roman"/>
          <w:sz w:val="24"/>
          <w:szCs w:val="24"/>
          <w:lang w:val="en-US"/>
        </w:rPr>
      </w:pPr>
    </w:p>
    <w:p w14:paraId="37C8A143" w14:textId="77777777" w:rsidR="00B150EC" w:rsidRPr="002B26DA" w:rsidRDefault="00B150EC" w:rsidP="005A545C">
      <w:pPr>
        <w:spacing w:line="240" w:lineRule="auto"/>
        <w:jc w:val="center"/>
        <w:rPr>
          <w:rFonts w:ascii="Times New Roman" w:hAnsi="Times New Roman" w:cs="Times New Roman"/>
          <w:sz w:val="24"/>
          <w:szCs w:val="24"/>
          <w:lang w:val="en-US"/>
        </w:rPr>
      </w:pPr>
    </w:p>
    <w:p w14:paraId="3BBB4656" w14:textId="77777777" w:rsidR="00B150EC" w:rsidRPr="002B26DA" w:rsidRDefault="00B150EC" w:rsidP="005A545C">
      <w:pPr>
        <w:spacing w:line="240" w:lineRule="auto"/>
        <w:rPr>
          <w:rFonts w:ascii="Times New Roman" w:hAnsi="Times New Roman" w:cs="Times New Roman"/>
          <w:sz w:val="24"/>
          <w:szCs w:val="24"/>
          <w:lang w:val="en-US"/>
        </w:rPr>
      </w:pPr>
    </w:p>
    <w:p w14:paraId="288012AE" w14:textId="77777777" w:rsidR="00B150EC" w:rsidRPr="002B26DA" w:rsidRDefault="00B150EC" w:rsidP="005A545C">
      <w:pPr>
        <w:spacing w:line="240" w:lineRule="auto"/>
        <w:rPr>
          <w:rFonts w:ascii="Times New Roman" w:hAnsi="Times New Roman" w:cs="Times New Roman"/>
          <w:sz w:val="24"/>
          <w:szCs w:val="24"/>
          <w:lang w:val="en-US"/>
        </w:rPr>
      </w:pPr>
    </w:p>
    <w:p w14:paraId="071C40B1" w14:textId="77777777" w:rsidR="00B150EC" w:rsidRPr="002B26DA" w:rsidRDefault="00B150EC" w:rsidP="005A545C">
      <w:pPr>
        <w:spacing w:line="240" w:lineRule="auto"/>
        <w:rPr>
          <w:rFonts w:ascii="Times New Roman" w:hAnsi="Times New Roman" w:cs="Times New Roman"/>
          <w:sz w:val="24"/>
          <w:szCs w:val="24"/>
          <w:lang w:val="en-US"/>
        </w:rPr>
      </w:pPr>
    </w:p>
    <w:p w14:paraId="7BAA94D3" w14:textId="77777777" w:rsidR="00B150EC" w:rsidRPr="002B26DA" w:rsidRDefault="00B150EC" w:rsidP="005A545C">
      <w:pPr>
        <w:spacing w:line="240" w:lineRule="auto"/>
        <w:rPr>
          <w:rFonts w:ascii="Times New Roman" w:hAnsi="Times New Roman" w:cs="Times New Roman"/>
          <w:sz w:val="24"/>
          <w:szCs w:val="24"/>
          <w:lang w:val="en-US"/>
        </w:rPr>
      </w:pPr>
    </w:p>
    <w:p w14:paraId="0B741B0E" w14:textId="77777777" w:rsidR="00B150EC" w:rsidRPr="002B26DA" w:rsidRDefault="00B150EC" w:rsidP="005A545C">
      <w:pPr>
        <w:spacing w:line="240" w:lineRule="auto"/>
        <w:rPr>
          <w:rFonts w:ascii="Times New Roman" w:hAnsi="Times New Roman" w:cs="Times New Roman"/>
          <w:sz w:val="24"/>
          <w:szCs w:val="24"/>
          <w:lang w:val="en-US"/>
        </w:rPr>
      </w:pPr>
    </w:p>
    <w:p w14:paraId="7C2D9D21" w14:textId="77777777" w:rsidR="00B150EC" w:rsidRPr="002B26DA" w:rsidRDefault="00B150EC" w:rsidP="005A545C">
      <w:pPr>
        <w:spacing w:line="240" w:lineRule="auto"/>
        <w:rPr>
          <w:rFonts w:ascii="Times New Roman" w:hAnsi="Times New Roman" w:cs="Times New Roman"/>
          <w:sz w:val="24"/>
          <w:szCs w:val="24"/>
          <w:lang w:val="en-US"/>
        </w:rPr>
      </w:pPr>
    </w:p>
    <w:p w14:paraId="6DE665DA" w14:textId="77777777" w:rsidR="00B150EC" w:rsidRPr="002B26DA" w:rsidRDefault="00B150EC" w:rsidP="005A545C">
      <w:pPr>
        <w:spacing w:line="240" w:lineRule="auto"/>
        <w:jc w:val="both"/>
        <w:rPr>
          <w:rFonts w:ascii="Times New Roman" w:hAnsi="Times New Roman" w:cs="Times New Roman"/>
          <w:sz w:val="24"/>
          <w:szCs w:val="24"/>
          <w:lang w:val="en-US"/>
        </w:rPr>
      </w:pPr>
    </w:p>
    <w:p w14:paraId="0C2FEE4F" w14:textId="77777777" w:rsidR="00386D16" w:rsidRPr="002B26DA" w:rsidRDefault="00386D16" w:rsidP="005A545C">
      <w:pPr>
        <w:spacing w:line="240" w:lineRule="auto"/>
        <w:jc w:val="center"/>
        <w:rPr>
          <w:rFonts w:ascii="Times New Roman" w:hAnsi="Times New Roman" w:cs="Times New Roman"/>
          <w:sz w:val="24"/>
          <w:szCs w:val="24"/>
          <w:lang w:val="en-US"/>
        </w:rPr>
      </w:pPr>
    </w:p>
    <w:p w14:paraId="20B72EA8" w14:textId="77777777" w:rsidR="00386D16" w:rsidRPr="002B26DA" w:rsidRDefault="00386D16" w:rsidP="005A545C">
      <w:pPr>
        <w:spacing w:line="240" w:lineRule="auto"/>
        <w:jc w:val="center"/>
        <w:rPr>
          <w:rFonts w:ascii="Times New Roman" w:hAnsi="Times New Roman" w:cs="Times New Roman"/>
          <w:sz w:val="24"/>
          <w:szCs w:val="24"/>
          <w:lang w:val="en-US"/>
        </w:rPr>
      </w:pPr>
    </w:p>
    <w:p w14:paraId="577E38CB" w14:textId="77777777" w:rsidR="00386D16" w:rsidRPr="002B26DA" w:rsidRDefault="00386D16" w:rsidP="005A545C">
      <w:pPr>
        <w:spacing w:line="240" w:lineRule="auto"/>
        <w:jc w:val="center"/>
        <w:rPr>
          <w:rFonts w:ascii="Times New Roman" w:hAnsi="Times New Roman" w:cs="Times New Roman"/>
          <w:sz w:val="24"/>
          <w:szCs w:val="24"/>
          <w:lang w:val="en-US"/>
        </w:rPr>
      </w:pPr>
    </w:p>
    <w:p w14:paraId="0F409888" w14:textId="77777777" w:rsidR="00386D16" w:rsidRPr="002B26DA" w:rsidRDefault="00386D16" w:rsidP="005A545C">
      <w:pPr>
        <w:spacing w:line="240" w:lineRule="auto"/>
        <w:jc w:val="center"/>
        <w:rPr>
          <w:rFonts w:ascii="Times New Roman" w:hAnsi="Times New Roman" w:cs="Times New Roman"/>
          <w:sz w:val="24"/>
          <w:szCs w:val="24"/>
          <w:lang w:val="en-US"/>
        </w:rPr>
      </w:pPr>
    </w:p>
    <w:p w14:paraId="6FD85A41" w14:textId="77777777" w:rsidR="00386D16" w:rsidRPr="002B26DA" w:rsidRDefault="00386D16" w:rsidP="005A545C">
      <w:pPr>
        <w:spacing w:line="240" w:lineRule="auto"/>
        <w:jc w:val="center"/>
        <w:rPr>
          <w:rFonts w:ascii="Times New Roman" w:hAnsi="Times New Roman" w:cs="Times New Roman"/>
          <w:sz w:val="24"/>
          <w:szCs w:val="24"/>
          <w:lang w:val="en-US"/>
        </w:rPr>
      </w:pPr>
    </w:p>
    <w:p w14:paraId="03EA3562" w14:textId="77777777" w:rsidR="00386D16" w:rsidRPr="002B26DA" w:rsidRDefault="00386D16" w:rsidP="005A545C">
      <w:pPr>
        <w:spacing w:line="240" w:lineRule="auto"/>
        <w:jc w:val="center"/>
        <w:rPr>
          <w:rFonts w:ascii="Times New Roman" w:hAnsi="Times New Roman" w:cs="Times New Roman"/>
          <w:sz w:val="24"/>
          <w:szCs w:val="24"/>
          <w:lang w:val="en-US"/>
        </w:rPr>
      </w:pPr>
    </w:p>
    <w:p w14:paraId="4AB4365E" w14:textId="77777777" w:rsidR="0046628E" w:rsidRPr="002B26DA" w:rsidRDefault="0046628E" w:rsidP="005A545C">
      <w:pPr>
        <w:spacing w:line="240" w:lineRule="auto"/>
        <w:rPr>
          <w:rFonts w:ascii="Times New Roman" w:hAnsi="Times New Roman" w:cs="Times New Roman"/>
          <w:sz w:val="24"/>
          <w:szCs w:val="24"/>
        </w:rPr>
      </w:pPr>
    </w:p>
    <w:sectPr w:rsidR="0046628E" w:rsidRPr="002B26DA" w:rsidSect="005A545C">
      <w:type w:val="continuous"/>
      <w:pgSz w:w="11906" w:h="16838" w:code="9"/>
      <w:pgMar w:top="1094" w:right="605" w:bottom="605" w:left="605" w:header="0"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9AE6B" w14:textId="77777777" w:rsidR="00B0069E" w:rsidRDefault="00B0069E" w:rsidP="002D725A">
      <w:pPr>
        <w:spacing w:after="0" w:line="240" w:lineRule="auto"/>
      </w:pPr>
      <w:r>
        <w:separator/>
      </w:r>
    </w:p>
  </w:endnote>
  <w:endnote w:type="continuationSeparator" w:id="0">
    <w:p w14:paraId="56C3E890" w14:textId="77777777" w:rsidR="00B0069E" w:rsidRDefault="00B0069E" w:rsidP="002D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7E4F1" w14:textId="77777777" w:rsidR="00B0069E" w:rsidRDefault="00B0069E" w:rsidP="002D725A">
      <w:pPr>
        <w:spacing w:after="0" w:line="240" w:lineRule="auto"/>
      </w:pPr>
      <w:r>
        <w:separator/>
      </w:r>
    </w:p>
  </w:footnote>
  <w:footnote w:type="continuationSeparator" w:id="0">
    <w:p w14:paraId="18260F88" w14:textId="77777777" w:rsidR="00B0069E" w:rsidRDefault="00B0069E" w:rsidP="002D7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157BB"/>
    <w:multiLevelType w:val="singleLevel"/>
    <w:tmpl w:val="EFF157BB"/>
    <w:lvl w:ilvl="0">
      <w:start w:val="2"/>
      <w:numFmt w:val="decimal"/>
      <w:suff w:val="space"/>
      <w:lvlText w:val="%1."/>
      <w:lvlJc w:val="left"/>
    </w:lvl>
  </w:abstractNum>
  <w:abstractNum w:abstractNumId="1" w15:restartNumberingAfterBreak="0">
    <w:nsid w:val="003518BD"/>
    <w:multiLevelType w:val="hybridMultilevel"/>
    <w:tmpl w:val="76AAB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C286D"/>
    <w:multiLevelType w:val="hybridMultilevel"/>
    <w:tmpl w:val="3D541ADA"/>
    <w:lvl w:ilvl="0" w:tplc="34090013">
      <w:start w:val="1"/>
      <w:numFmt w:val="upperRoman"/>
      <w:lvlText w:val="%1."/>
      <w:lvlJc w:val="righ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3B26949"/>
    <w:multiLevelType w:val="hybridMultilevel"/>
    <w:tmpl w:val="CB389F02"/>
    <w:lvl w:ilvl="0" w:tplc="11822AA8">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4D21568"/>
    <w:multiLevelType w:val="hybridMultilevel"/>
    <w:tmpl w:val="D018A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E2DC3"/>
    <w:multiLevelType w:val="hybridMultilevel"/>
    <w:tmpl w:val="5CB28ACE"/>
    <w:lvl w:ilvl="0" w:tplc="8D7E99D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434F9"/>
    <w:multiLevelType w:val="hybridMultilevel"/>
    <w:tmpl w:val="D308692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076C70C1"/>
    <w:multiLevelType w:val="hybridMultilevel"/>
    <w:tmpl w:val="34120F08"/>
    <w:lvl w:ilvl="0" w:tplc="11822AA8">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8A390B"/>
    <w:multiLevelType w:val="multilevel"/>
    <w:tmpl w:val="5538CB36"/>
    <w:lvl w:ilvl="0">
      <w:start w:val="1"/>
      <w:numFmt w:val="decimal"/>
      <w:lvlText w:val="%1."/>
      <w:lvlJc w:val="left"/>
      <w:pPr>
        <w:ind w:left="720" w:hanging="360"/>
      </w:pPr>
      <w:rPr>
        <w:rFonts w:ascii="Times New Roman" w:eastAsiaTheme="minorHAnsi"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EF722D"/>
    <w:multiLevelType w:val="hybridMultilevel"/>
    <w:tmpl w:val="5A668D4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3791C7D"/>
    <w:multiLevelType w:val="hybridMultilevel"/>
    <w:tmpl w:val="17962E6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4C43A4B"/>
    <w:multiLevelType w:val="hybridMultilevel"/>
    <w:tmpl w:val="32D4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E7512D"/>
    <w:multiLevelType w:val="hybridMultilevel"/>
    <w:tmpl w:val="C9F07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EC7B0E"/>
    <w:multiLevelType w:val="hybridMultilevel"/>
    <w:tmpl w:val="5324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201AC"/>
    <w:multiLevelType w:val="multilevel"/>
    <w:tmpl w:val="519201A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3041A25"/>
    <w:multiLevelType w:val="hybridMultilevel"/>
    <w:tmpl w:val="EF727772"/>
    <w:lvl w:ilvl="0" w:tplc="C9600988">
      <w:start w:val="1"/>
      <w:numFmt w:val="upperRoman"/>
      <w:lvlText w:val="%1."/>
      <w:lvlJc w:val="left"/>
      <w:pPr>
        <w:ind w:left="1996" w:hanging="720"/>
      </w:pPr>
      <w:rPr>
        <w:rFonts w:hint="default"/>
      </w:rPr>
    </w:lvl>
    <w:lvl w:ilvl="1" w:tplc="34090019" w:tentative="1">
      <w:start w:val="1"/>
      <w:numFmt w:val="lowerLetter"/>
      <w:lvlText w:val="%2."/>
      <w:lvlJc w:val="left"/>
      <w:pPr>
        <w:ind w:left="2356" w:hanging="360"/>
      </w:pPr>
    </w:lvl>
    <w:lvl w:ilvl="2" w:tplc="3409001B" w:tentative="1">
      <w:start w:val="1"/>
      <w:numFmt w:val="lowerRoman"/>
      <w:lvlText w:val="%3."/>
      <w:lvlJc w:val="right"/>
      <w:pPr>
        <w:ind w:left="3076" w:hanging="180"/>
      </w:pPr>
    </w:lvl>
    <w:lvl w:ilvl="3" w:tplc="3409000F" w:tentative="1">
      <w:start w:val="1"/>
      <w:numFmt w:val="decimal"/>
      <w:lvlText w:val="%4."/>
      <w:lvlJc w:val="left"/>
      <w:pPr>
        <w:ind w:left="3796" w:hanging="360"/>
      </w:pPr>
    </w:lvl>
    <w:lvl w:ilvl="4" w:tplc="34090019" w:tentative="1">
      <w:start w:val="1"/>
      <w:numFmt w:val="lowerLetter"/>
      <w:lvlText w:val="%5."/>
      <w:lvlJc w:val="left"/>
      <w:pPr>
        <w:ind w:left="4516" w:hanging="360"/>
      </w:pPr>
    </w:lvl>
    <w:lvl w:ilvl="5" w:tplc="3409001B" w:tentative="1">
      <w:start w:val="1"/>
      <w:numFmt w:val="lowerRoman"/>
      <w:lvlText w:val="%6."/>
      <w:lvlJc w:val="right"/>
      <w:pPr>
        <w:ind w:left="5236" w:hanging="180"/>
      </w:pPr>
    </w:lvl>
    <w:lvl w:ilvl="6" w:tplc="3409000F" w:tentative="1">
      <w:start w:val="1"/>
      <w:numFmt w:val="decimal"/>
      <w:lvlText w:val="%7."/>
      <w:lvlJc w:val="left"/>
      <w:pPr>
        <w:ind w:left="5956" w:hanging="360"/>
      </w:pPr>
    </w:lvl>
    <w:lvl w:ilvl="7" w:tplc="34090019" w:tentative="1">
      <w:start w:val="1"/>
      <w:numFmt w:val="lowerLetter"/>
      <w:lvlText w:val="%8."/>
      <w:lvlJc w:val="left"/>
      <w:pPr>
        <w:ind w:left="6676" w:hanging="360"/>
      </w:pPr>
    </w:lvl>
    <w:lvl w:ilvl="8" w:tplc="3409001B" w:tentative="1">
      <w:start w:val="1"/>
      <w:numFmt w:val="lowerRoman"/>
      <w:lvlText w:val="%9."/>
      <w:lvlJc w:val="right"/>
      <w:pPr>
        <w:ind w:left="7396" w:hanging="180"/>
      </w:pPr>
    </w:lvl>
  </w:abstractNum>
  <w:abstractNum w:abstractNumId="16" w15:restartNumberingAfterBreak="0">
    <w:nsid w:val="69D72ECD"/>
    <w:multiLevelType w:val="singleLevel"/>
    <w:tmpl w:val="69D72ECD"/>
    <w:lvl w:ilvl="0">
      <w:start w:val="1"/>
      <w:numFmt w:val="decimal"/>
      <w:suff w:val="space"/>
      <w:lvlText w:val="%1."/>
      <w:lvlJc w:val="left"/>
    </w:lvl>
  </w:abstractNum>
  <w:abstractNum w:abstractNumId="17" w15:restartNumberingAfterBreak="0">
    <w:nsid w:val="6C3C7687"/>
    <w:multiLevelType w:val="hybridMultilevel"/>
    <w:tmpl w:val="C2BC3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421D5F"/>
    <w:multiLevelType w:val="hybridMultilevel"/>
    <w:tmpl w:val="1E7CFDEA"/>
    <w:lvl w:ilvl="0" w:tplc="34090013">
      <w:start w:val="1"/>
      <w:numFmt w:val="upperRoman"/>
      <w:lvlText w:val="%1."/>
      <w:lvlJc w:val="righ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78301CDB"/>
    <w:multiLevelType w:val="multilevel"/>
    <w:tmpl w:val="78301CDB"/>
    <w:lvl w:ilvl="0">
      <w:start w:val="1"/>
      <w:numFmt w:val="lowerLetter"/>
      <w:lvlText w:val="%1."/>
      <w:lvlJc w:val="left"/>
      <w:pPr>
        <w:ind w:left="1240" w:hanging="360"/>
      </w:pPr>
    </w:lvl>
    <w:lvl w:ilvl="1">
      <w:start w:val="1"/>
      <w:numFmt w:val="lowerLetter"/>
      <w:lvlText w:val="%2."/>
      <w:lvlJc w:val="left"/>
      <w:pPr>
        <w:ind w:left="1960" w:hanging="360"/>
      </w:pPr>
    </w:lvl>
    <w:lvl w:ilvl="2">
      <w:start w:val="1"/>
      <w:numFmt w:val="lowerRoman"/>
      <w:lvlText w:val="%3."/>
      <w:lvlJc w:val="right"/>
      <w:pPr>
        <w:ind w:left="2680" w:hanging="180"/>
      </w:pPr>
    </w:lvl>
    <w:lvl w:ilvl="3">
      <w:start w:val="1"/>
      <w:numFmt w:val="decimal"/>
      <w:lvlText w:val="%4."/>
      <w:lvlJc w:val="left"/>
      <w:pPr>
        <w:ind w:left="3400" w:hanging="360"/>
      </w:pPr>
    </w:lvl>
    <w:lvl w:ilvl="4">
      <w:start w:val="1"/>
      <w:numFmt w:val="lowerLetter"/>
      <w:lvlText w:val="%5."/>
      <w:lvlJc w:val="left"/>
      <w:pPr>
        <w:ind w:left="4120" w:hanging="360"/>
      </w:pPr>
    </w:lvl>
    <w:lvl w:ilvl="5">
      <w:start w:val="1"/>
      <w:numFmt w:val="lowerRoman"/>
      <w:lvlText w:val="%6."/>
      <w:lvlJc w:val="right"/>
      <w:pPr>
        <w:ind w:left="4840" w:hanging="180"/>
      </w:pPr>
    </w:lvl>
    <w:lvl w:ilvl="6">
      <w:start w:val="1"/>
      <w:numFmt w:val="decimal"/>
      <w:lvlText w:val="%7."/>
      <w:lvlJc w:val="left"/>
      <w:pPr>
        <w:ind w:left="5560" w:hanging="360"/>
      </w:pPr>
    </w:lvl>
    <w:lvl w:ilvl="7">
      <w:start w:val="1"/>
      <w:numFmt w:val="lowerLetter"/>
      <w:lvlText w:val="%8."/>
      <w:lvlJc w:val="left"/>
      <w:pPr>
        <w:ind w:left="6280" w:hanging="360"/>
      </w:pPr>
    </w:lvl>
    <w:lvl w:ilvl="8">
      <w:start w:val="1"/>
      <w:numFmt w:val="lowerRoman"/>
      <w:lvlText w:val="%9."/>
      <w:lvlJc w:val="right"/>
      <w:pPr>
        <w:ind w:left="7000" w:hanging="180"/>
      </w:pPr>
    </w:lvl>
  </w:abstractNum>
  <w:abstractNum w:abstractNumId="20" w15:restartNumberingAfterBreak="0">
    <w:nsid w:val="7A8F1288"/>
    <w:multiLevelType w:val="hybridMultilevel"/>
    <w:tmpl w:val="ADF4F136"/>
    <w:lvl w:ilvl="0" w:tplc="8186821A">
      <w:start w:val="1"/>
      <w:numFmt w:val="low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num w:numId="1" w16cid:durableId="2078431558">
    <w:abstractNumId w:val="3"/>
  </w:num>
  <w:num w:numId="2" w16cid:durableId="281963342">
    <w:abstractNumId w:val="18"/>
  </w:num>
  <w:num w:numId="3" w16cid:durableId="1120956121">
    <w:abstractNumId w:val="8"/>
  </w:num>
  <w:num w:numId="4" w16cid:durableId="1271930275">
    <w:abstractNumId w:val="14"/>
  </w:num>
  <w:num w:numId="5" w16cid:durableId="2123765904">
    <w:abstractNumId w:val="16"/>
  </w:num>
  <w:num w:numId="6" w16cid:durableId="1961373156">
    <w:abstractNumId w:val="0"/>
  </w:num>
  <w:num w:numId="7" w16cid:durableId="972489809">
    <w:abstractNumId w:val="19"/>
  </w:num>
  <w:num w:numId="8" w16cid:durableId="1726446674">
    <w:abstractNumId w:val="7"/>
  </w:num>
  <w:num w:numId="9" w16cid:durableId="2016608640">
    <w:abstractNumId w:val="20"/>
  </w:num>
  <w:num w:numId="10" w16cid:durableId="1252200497">
    <w:abstractNumId w:val="15"/>
  </w:num>
  <w:num w:numId="11" w16cid:durableId="1278870951">
    <w:abstractNumId w:val="2"/>
  </w:num>
  <w:num w:numId="12" w16cid:durableId="1061365316">
    <w:abstractNumId w:val="9"/>
  </w:num>
  <w:num w:numId="13" w16cid:durableId="14812303">
    <w:abstractNumId w:val="6"/>
  </w:num>
  <w:num w:numId="14" w16cid:durableId="1109541559">
    <w:abstractNumId w:val="10"/>
  </w:num>
  <w:num w:numId="15" w16cid:durableId="1202403549">
    <w:abstractNumId w:val="12"/>
  </w:num>
  <w:num w:numId="16" w16cid:durableId="1310552479">
    <w:abstractNumId w:val="13"/>
  </w:num>
  <w:num w:numId="17" w16cid:durableId="74717023">
    <w:abstractNumId w:val="5"/>
  </w:num>
  <w:num w:numId="18" w16cid:durableId="883368585">
    <w:abstractNumId w:val="11"/>
  </w:num>
  <w:num w:numId="19" w16cid:durableId="1775251748">
    <w:abstractNumId w:val="1"/>
  </w:num>
  <w:num w:numId="20" w16cid:durableId="1400128719">
    <w:abstractNumId w:val="4"/>
  </w:num>
  <w:num w:numId="21" w16cid:durableId="16096560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2DC"/>
    <w:rsid w:val="00001D5F"/>
    <w:rsid w:val="00021A3E"/>
    <w:rsid w:val="000235A7"/>
    <w:rsid w:val="00032D3C"/>
    <w:rsid w:val="00043B1C"/>
    <w:rsid w:val="00054F74"/>
    <w:rsid w:val="00055C1B"/>
    <w:rsid w:val="00056891"/>
    <w:rsid w:val="00080765"/>
    <w:rsid w:val="00082F0B"/>
    <w:rsid w:val="00086E8F"/>
    <w:rsid w:val="000A0C59"/>
    <w:rsid w:val="000B43E8"/>
    <w:rsid w:val="000C53C9"/>
    <w:rsid w:val="000E0F1F"/>
    <w:rsid w:val="000E4519"/>
    <w:rsid w:val="000F2015"/>
    <w:rsid w:val="000F43BE"/>
    <w:rsid w:val="000F5B44"/>
    <w:rsid w:val="001141DE"/>
    <w:rsid w:val="00123657"/>
    <w:rsid w:val="00124A27"/>
    <w:rsid w:val="00132C66"/>
    <w:rsid w:val="001440F7"/>
    <w:rsid w:val="001452B3"/>
    <w:rsid w:val="001461CE"/>
    <w:rsid w:val="001507B8"/>
    <w:rsid w:val="001532DC"/>
    <w:rsid w:val="00154B55"/>
    <w:rsid w:val="0015593E"/>
    <w:rsid w:val="00164740"/>
    <w:rsid w:val="00171616"/>
    <w:rsid w:val="00174A57"/>
    <w:rsid w:val="00174B98"/>
    <w:rsid w:val="00186776"/>
    <w:rsid w:val="001A091D"/>
    <w:rsid w:val="001A4D81"/>
    <w:rsid w:val="001C5C51"/>
    <w:rsid w:val="001D6E38"/>
    <w:rsid w:val="001E4758"/>
    <w:rsid w:val="001F0ABC"/>
    <w:rsid w:val="001F25ED"/>
    <w:rsid w:val="00200709"/>
    <w:rsid w:val="00206D7D"/>
    <w:rsid w:val="0020716B"/>
    <w:rsid w:val="002172E3"/>
    <w:rsid w:val="00221356"/>
    <w:rsid w:val="0023435C"/>
    <w:rsid w:val="00242891"/>
    <w:rsid w:val="0025234A"/>
    <w:rsid w:val="00257955"/>
    <w:rsid w:val="00261024"/>
    <w:rsid w:val="00263330"/>
    <w:rsid w:val="002708F4"/>
    <w:rsid w:val="00274531"/>
    <w:rsid w:val="002825AD"/>
    <w:rsid w:val="002A644B"/>
    <w:rsid w:val="002A6FAB"/>
    <w:rsid w:val="002B26DA"/>
    <w:rsid w:val="002C5498"/>
    <w:rsid w:val="002C5677"/>
    <w:rsid w:val="002C7534"/>
    <w:rsid w:val="002D725A"/>
    <w:rsid w:val="002E5B33"/>
    <w:rsid w:val="003030DF"/>
    <w:rsid w:val="003066CF"/>
    <w:rsid w:val="003112AB"/>
    <w:rsid w:val="00315814"/>
    <w:rsid w:val="003228AC"/>
    <w:rsid w:val="00322F2F"/>
    <w:rsid w:val="00332B04"/>
    <w:rsid w:val="00340DF4"/>
    <w:rsid w:val="00350BA6"/>
    <w:rsid w:val="003561B6"/>
    <w:rsid w:val="003569AA"/>
    <w:rsid w:val="003639D7"/>
    <w:rsid w:val="00365251"/>
    <w:rsid w:val="00373D38"/>
    <w:rsid w:val="003818F3"/>
    <w:rsid w:val="00384844"/>
    <w:rsid w:val="00386D16"/>
    <w:rsid w:val="003A3DA1"/>
    <w:rsid w:val="003A7A56"/>
    <w:rsid w:val="003A7AE8"/>
    <w:rsid w:val="003C2A96"/>
    <w:rsid w:val="003D2EBE"/>
    <w:rsid w:val="003D7091"/>
    <w:rsid w:val="003F441C"/>
    <w:rsid w:val="00400625"/>
    <w:rsid w:val="00404E40"/>
    <w:rsid w:val="00422477"/>
    <w:rsid w:val="00423262"/>
    <w:rsid w:val="004402D3"/>
    <w:rsid w:val="004436F4"/>
    <w:rsid w:val="00446BEA"/>
    <w:rsid w:val="00453DB6"/>
    <w:rsid w:val="00461B02"/>
    <w:rsid w:val="00462595"/>
    <w:rsid w:val="00463418"/>
    <w:rsid w:val="0046628E"/>
    <w:rsid w:val="00467B2D"/>
    <w:rsid w:val="0049283C"/>
    <w:rsid w:val="0049477D"/>
    <w:rsid w:val="004A2EB5"/>
    <w:rsid w:val="004A7E72"/>
    <w:rsid w:val="004C4488"/>
    <w:rsid w:val="004D4D49"/>
    <w:rsid w:val="004E0E6D"/>
    <w:rsid w:val="004E6723"/>
    <w:rsid w:val="004E6B05"/>
    <w:rsid w:val="004E6E24"/>
    <w:rsid w:val="004F0C32"/>
    <w:rsid w:val="004F66C3"/>
    <w:rsid w:val="004F6736"/>
    <w:rsid w:val="00502C43"/>
    <w:rsid w:val="00503D80"/>
    <w:rsid w:val="00510263"/>
    <w:rsid w:val="00537264"/>
    <w:rsid w:val="0054118B"/>
    <w:rsid w:val="00544D96"/>
    <w:rsid w:val="00546C3B"/>
    <w:rsid w:val="005526F5"/>
    <w:rsid w:val="00563E9A"/>
    <w:rsid w:val="00564B83"/>
    <w:rsid w:val="00581C5E"/>
    <w:rsid w:val="00584F34"/>
    <w:rsid w:val="00586F2E"/>
    <w:rsid w:val="00587E1C"/>
    <w:rsid w:val="00590D1A"/>
    <w:rsid w:val="005A545C"/>
    <w:rsid w:val="005A7C78"/>
    <w:rsid w:val="005B7F9C"/>
    <w:rsid w:val="005C4DCC"/>
    <w:rsid w:val="005E4866"/>
    <w:rsid w:val="005F1B01"/>
    <w:rsid w:val="005F7650"/>
    <w:rsid w:val="00600D36"/>
    <w:rsid w:val="00605128"/>
    <w:rsid w:val="00606A58"/>
    <w:rsid w:val="00610A8A"/>
    <w:rsid w:val="00612BA6"/>
    <w:rsid w:val="00623436"/>
    <w:rsid w:val="00627450"/>
    <w:rsid w:val="00630DB7"/>
    <w:rsid w:val="006351B5"/>
    <w:rsid w:val="00644565"/>
    <w:rsid w:val="006509C4"/>
    <w:rsid w:val="00663BA1"/>
    <w:rsid w:val="0066664F"/>
    <w:rsid w:val="00666B56"/>
    <w:rsid w:val="00671361"/>
    <w:rsid w:val="00680B30"/>
    <w:rsid w:val="00685257"/>
    <w:rsid w:val="006976D6"/>
    <w:rsid w:val="006B075E"/>
    <w:rsid w:val="006B198B"/>
    <w:rsid w:val="006D3D8C"/>
    <w:rsid w:val="006D69F7"/>
    <w:rsid w:val="006E23CD"/>
    <w:rsid w:val="006E73F4"/>
    <w:rsid w:val="006F0CB7"/>
    <w:rsid w:val="006F2B34"/>
    <w:rsid w:val="006F2B7C"/>
    <w:rsid w:val="006F6439"/>
    <w:rsid w:val="00715B19"/>
    <w:rsid w:val="00722F1A"/>
    <w:rsid w:val="007414C7"/>
    <w:rsid w:val="00743A3B"/>
    <w:rsid w:val="0075126E"/>
    <w:rsid w:val="007601E3"/>
    <w:rsid w:val="0076518B"/>
    <w:rsid w:val="007770FE"/>
    <w:rsid w:val="00786CD3"/>
    <w:rsid w:val="007954A5"/>
    <w:rsid w:val="007A6CF0"/>
    <w:rsid w:val="007B3279"/>
    <w:rsid w:val="007B598A"/>
    <w:rsid w:val="007C008E"/>
    <w:rsid w:val="007D4515"/>
    <w:rsid w:val="007D4F50"/>
    <w:rsid w:val="007E0BDC"/>
    <w:rsid w:val="007F1BEE"/>
    <w:rsid w:val="007F3D53"/>
    <w:rsid w:val="007F773C"/>
    <w:rsid w:val="00810F09"/>
    <w:rsid w:val="00815048"/>
    <w:rsid w:val="00822059"/>
    <w:rsid w:val="00836E7A"/>
    <w:rsid w:val="0084321C"/>
    <w:rsid w:val="00852945"/>
    <w:rsid w:val="00852EFC"/>
    <w:rsid w:val="00854D74"/>
    <w:rsid w:val="00864026"/>
    <w:rsid w:val="0086485F"/>
    <w:rsid w:val="00886B7E"/>
    <w:rsid w:val="008954C3"/>
    <w:rsid w:val="00895BE6"/>
    <w:rsid w:val="0089751B"/>
    <w:rsid w:val="008B7EDC"/>
    <w:rsid w:val="008D7F46"/>
    <w:rsid w:val="008F362A"/>
    <w:rsid w:val="00913247"/>
    <w:rsid w:val="00932D06"/>
    <w:rsid w:val="00933257"/>
    <w:rsid w:val="00935731"/>
    <w:rsid w:val="00941791"/>
    <w:rsid w:val="0095730D"/>
    <w:rsid w:val="009642B3"/>
    <w:rsid w:val="00965571"/>
    <w:rsid w:val="009662BF"/>
    <w:rsid w:val="00982C01"/>
    <w:rsid w:val="00985433"/>
    <w:rsid w:val="009A268C"/>
    <w:rsid w:val="009B007B"/>
    <w:rsid w:val="009E58ED"/>
    <w:rsid w:val="009F1D9B"/>
    <w:rsid w:val="00A16E72"/>
    <w:rsid w:val="00A2698C"/>
    <w:rsid w:val="00A27FD5"/>
    <w:rsid w:val="00A32CF4"/>
    <w:rsid w:val="00A33E8C"/>
    <w:rsid w:val="00A37CDC"/>
    <w:rsid w:val="00A52C56"/>
    <w:rsid w:val="00A5511F"/>
    <w:rsid w:val="00A8300C"/>
    <w:rsid w:val="00A9146E"/>
    <w:rsid w:val="00A952B1"/>
    <w:rsid w:val="00AA3E66"/>
    <w:rsid w:val="00AA4B79"/>
    <w:rsid w:val="00AA5FFB"/>
    <w:rsid w:val="00AA6342"/>
    <w:rsid w:val="00AA6B64"/>
    <w:rsid w:val="00AB736D"/>
    <w:rsid w:val="00B0069E"/>
    <w:rsid w:val="00B039A4"/>
    <w:rsid w:val="00B12B16"/>
    <w:rsid w:val="00B150EC"/>
    <w:rsid w:val="00B21391"/>
    <w:rsid w:val="00B22E97"/>
    <w:rsid w:val="00B25313"/>
    <w:rsid w:val="00B3167C"/>
    <w:rsid w:val="00B327DA"/>
    <w:rsid w:val="00B34F76"/>
    <w:rsid w:val="00B45B95"/>
    <w:rsid w:val="00B51C18"/>
    <w:rsid w:val="00B64B53"/>
    <w:rsid w:val="00B64FDF"/>
    <w:rsid w:val="00B70CEF"/>
    <w:rsid w:val="00B73FD1"/>
    <w:rsid w:val="00B7588F"/>
    <w:rsid w:val="00B940C3"/>
    <w:rsid w:val="00BA3A05"/>
    <w:rsid w:val="00BA5AE3"/>
    <w:rsid w:val="00BA5F3F"/>
    <w:rsid w:val="00BB2C38"/>
    <w:rsid w:val="00BB60D8"/>
    <w:rsid w:val="00BD15B5"/>
    <w:rsid w:val="00BD19CE"/>
    <w:rsid w:val="00BE15E9"/>
    <w:rsid w:val="00BF435D"/>
    <w:rsid w:val="00BF4414"/>
    <w:rsid w:val="00BF4971"/>
    <w:rsid w:val="00C0752E"/>
    <w:rsid w:val="00C211DB"/>
    <w:rsid w:val="00C4219B"/>
    <w:rsid w:val="00C44FF2"/>
    <w:rsid w:val="00C56C86"/>
    <w:rsid w:val="00C71354"/>
    <w:rsid w:val="00C717EC"/>
    <w:rsid w:val="00C749C8"/>
    <w:rsid w:val="00C7688C"/>
    <w:rsid w:val="00C81CDD"/>
    <w:rsid w:val="00C86C3B"/>
    <w:rsid w:val="00C94F59"/>
    <w:rsid w:val="00C94F97"/>
    <w:rsid w:val="00C97CED"/>
    <w:rsid w:val="00CA05C6"/>
    <w:rsid w:val="00CA5BEA"/>
    <w:rsid w:val="00CA621B"/>
    <w:rsid w:val="00CB3ACA"/>
    <w:rsid w:val="00CE450B"/>
    <w:rsid w:val="00D03D79"/>
    <w:rsid w:val="00D05779"/>
    <w:rsid w:val="00D20BA3"/>
    <w:rsid w:val="00D36FA0"/>
    <w:rsid w:val="00D50427"/>
    <w:rsid w:val="00D62CAA"/>
    <w:rsid w:val="00D64111"/>
    <w:rsid w:val="00D71DEE"/>
    <w:rsid w:val="00D9756E"/>
    <w:rsid w:val="00DA11A9"/>
    <w:rsid w:val="00DB245C"/>
    <w:rsid w:val="00DB7D10"/>
    <w:rsid w:val="00DC1BF3"/>
    <w:rsid w:val="00DD0F8F"/>
    <w:rsid w:val="00DD2742"/>
    <w:rsid w:val="00DE0B3E"/>
    <w:rsid w:val="00DE0DFC"/>
    <w:rsid w:val="00DE2C65"/>
    <w:rsid w:val="00E10A92"/>
    <w:rsid w:val="00E50A31"/>
    <w:rsid w:val="00E54CA2"/>
    <w:rsid w:val="00E5583B"/>
    <w:rsid w:val="00E63319"/>
    <w:rsid w:val="00E64AB7"/>
    <w:rsid w:val="00E809A7"/>
    <w:rsid w:val="00E810F9"/>
    <w:rsid w:val="00E8169B"/>
    <w:rsid w:val="00E86C9B"/>
    <w:rsid w:val="00E9269C"/>
    <w:rsid w:val="00EB3255"/>
    <w:rsid w:val="00EC37BD"/>
    <w:rsid w:val="00ED319A"/>
    <w:rsid w:val="00ED589B"/>
    <w:rsid w:val="00EF3CA4"/>
    <w:rsid w:val="00EF5FD2"/>
    <w:rsid w:val="00EF742E"/>
    <w:rsid w:val="00F00015"/>
    <w:rsid w:val="00F2473D"/>
    <w:rsid w:val="00F320D6"/>
    <w:rsid w:val="00F366FA"/>
    <w:rsid w:val="00F40C95"/>
    <w:rsid w:val="00F45014"/>
    <w:rsid w:val="00F47AD4"/>
    <w:rsid w:val="00F518A3"/>
    <w:rsid w:val="00F6449D"/>
    <w:rsid w:val="00F77D6E"/>
    <w:rsid w:val="00F848C5"/>
    <w:rsid w:val="00F85CE3"/>
    <w:rsid w:val="00F879B4"/>
    <w:rsid w:val="00F909E9"/>
    <w:rsid w:val="00F96068"/>
    <w:rsid w:val="00F96D35"/>
    <w:rsid w:val="00FB187F"/>
    <w:rsid w:val="00FB3987"/>
    <w:rsid w:val="00FB575B"/>
    <w:rsid w:val="00FC2750"/>
    <w:rsid w:val="00FE0D9B"/>
    <w:rsid w:val="00FE5276"/>
    <w:rsid w:val="00FE6A21"/>
    <w:rsid w:val="00FE6F8D"/>
    <w:rsid w:val="00FF23BD"/>
    <w:rsid w:val="00FF352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AAC46"/>
  <w15:chartTrackingRefBased/>
  <w15:docId w15:val="{F1358476-6803-426A-A54E-A69B80C27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before="240"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45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2DC"/>
    <w:rPr>
      <w:color w:val="0563C1" w:themeColor="hyperlink"/>
      <w:u w:val="single"/>
    </w:rPr>
  </w:style>
  <w:style w:type="character" w:styleId="UnresolvedMention">
    <w:name w:val="Unresolved Mention"/>
    <w:basedOn w:val="DefaultParagraphFont"/>
    <w:uiPriority w:val="99"/>
    <w:semiHidden/>
    <w:unhideWhenUsed/>
    <w:rsid w:val="001532DC"/>
    <w:rPr>
      <w:color w:val="605E5C"/>
      <w:shd w:val="clear" w:color="auto" w:fill="E1DFDD"/>
    </w:rPr>
  </w:style>
  <w:style w:type="paragraph" w:styleId="ListParagraph">
    <w:name w:val="List Paragraph"/>
    <w:basedOn w:val="Normal"/>
    <w:uiPriority w:val="34"/>
    <w:qFormat/>
    <w:rsid w:val="00B039A4"/>
    <w:pPr>
      <w:ind w:left="720"/>
      <w:contextualSpacing/>
    </w:pPr>
  </w:style>
  <w:style w:type="table" w:styleId="TableGrid">
    <w:name w:val="Table Grid"/>
    <w:basedOn w:val="TableNormal"/>
    <w:uiPriority w:val="39"/>
    <w:qFormat/>
    <w:rsid w:val="00C8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2C56"/>
    <w:pPr>
      <w:spacing w:after="0" w:line="240" w:lineRule="auto"/>
    </w:pPr>
  </w:style>
  <w:style w:type="paragraph" w:styleId="Header">
    <w:name w:val="header"/>
    <w:basedOn w:val="Normal"/>
    <w:link w:val="HeaderChar"/>
    <w:uiPriority w:val="99"/>
    <w:unhideWhenUsed/>
    <w:rsid w:val="002D72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25A"/>
  </w:style>
  <w:style w:type="paragraph" w:styleId="Footer">
    <w:name w:val="footer"/>
    <w:basedOn w:val="Normal"/>
    <w:link w:val="FooterChar"/>
    <w:uiPriority w:val="99"/>
    <w:unhideWhenUsed/>
    <w:rsid w:val="002D72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5A"/>
  </w:style>
  <w:style w:type="table" w:customStyle="1" w:styleId="TableGrid1">
    <w:name w:val="Table Grid1"/>
    <w:basedOn w:val="TableNormal"/>
    <w:next w:val="TableGrid"/>
    <w:uiPriority w:val="39"/>
    <w:qFormat/>
    <w:rsid w:val="00332B04"/>
    <w:pPr>
      <w:spacing w:after="0" w:line="240" w:lineRule="auto"/>
    </w:pPr>
    <w:rPr>
      <w:rFonts w:eastAsia="SimSun"/>
      <w:kern w:val="0"/>
      <w:sz w:val="20"/>
      <w:szCs w:val="20"/>
      <w:lang w:eastAsia="en-P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11D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211D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12BA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751B"/>
    <w:pPr>
      <w:spacing w:before="0"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06796-74D2-42E8-9726-AFEDB0BEF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14</Pages>
  <Words>4855</Words>
  <Characters>27678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james</dc:creator>
  <cp:keywords/>
  <dc:description/>
  <cp:lastModifiedBy>Mynchilyn A. Pale</cp:lastModifiedBy>
  <cp:revision>32</cp:revision>
  <dcterms:created xsi:type="dcterms:W3CDTF">2025-10-21T11:40:00Z</dcterms:created>
  <dcterms:modified xsi:type="dcterms:W3CDTF">2026-07-07T03:47:00Z</dcterms:modified>
</cp:coreProperties>
</file>