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BEC10" w14:textId="14C862F3" w:rsidR="0053461A" w:rsidRPr="00082A41" w:rsidRDefault="00420F0E" w:rsidP="00EC5187">
      <w:pPr>
        <w:jc w:val="center"/>
        <w:rPr>
          <w:rFonts w:ascii="Times New Roman" w:eastAsia="Calibri" w:hAnsi="Times New Roman" w:cs="Times New Roman"/>
          <w:b/>
          <w:bCs/>
          <w:kern w:val="2"/>
          <w:sz w:val="20"/>
          <w:szCs w:val="20"/>
          <w14:ligatures w14:val="standardContextual"/>
        </w:rPr>
      </w:pPr>
      <w:r w:rsidRPr="00082A41">
        <w:rPr>
          <w:rFonts w:ascii="Times New Roman" w:eastAsia="Calibri" w:hAnsi="Times New Roman" w:cs="Times New Roman"/>
          <w:b/>
          <w:bCs/>
          <w:kern w:val="2"/>
          <w:sz w:val="20"/>
          <w:szCs w:val="20"/>
          <w14:ligatures w14:val="standardContextual"/>
        </w:rPr>
        <w:t>AN INVESTIGATION INTO SOCIO-POLITICAL CONSTRAINTS ON DECARBONIZATION IN AKWA IBOM STATE, NIGERIA</w:t>
      </w:r>
    </w:p>
    <w:p w14:paraId="110A8BC8" w14:textId="77777777" w:rsidR="007F44A0" w:rsidRDefault="007F44A0" w:rsidP="007F44A0">
      <w:pPr>
        <w:spacing w:after="160"/>
        <w:jc w:val="center"/>
        <w:rPr>
          <w:rFonts w:ascii="Times New Roman" w:hAnsi="Times New Roman" w:cs="Times New Roman"/>
          <w:b/>
          <w:sz w:val="24"/>
          <w:szCs w:val="24"/>
        </w:rPr>
      </w:pPr>
    </w:p>
    <w:p w14:paraId="27A51974" w14:textId="77777777" w:rsidR="007F44A0" w:rsidRPr="007F44A0" w:rsidRDefault="007F44A0" w:rsidP="007F44A0">
      <w:pPr>
        <w:spacing w:after="160"/>
        <w:jc w:val="center"/>
        <w:rPr>
          <w:rFonts w:ascii="Times New Roman" w:hAnsi="Times New Roman" w:cs="Times New Roman"/>
          <w:sz w:val="24"/>
          <w:szCs w:val="24"/>
        </w:rPr>
      </w:pPr>
      <w:r w:rsidRPr="007F44A0">
        <w:rPr>
          <w:rFonts w:ascii="Times New Roman" w:hAnsi="Times New Roman" w:cs="Times New Roman"/>
          <w:b/>
          <w:sz w:val="24"/>
          <w:szCs w:val="24"/>
        </w:rPr>
        <w:t/>
      </w:r>
      <w:r w:rsidRPr="007F44A0">
        <w:rPr>
          <w:rFonts w:ascii="Times New Roman" w:hAnsi="Times New Roman" w:cs="Times New Roman"/>
          <w:b/>
          <w:sz w:val="24"/>
          <w:szCs w:val="24"/>
          <w:vertAlign w:val="superscript"/>
        </w:rPr>
        <w:t/>
      </w:r>
      <w:r w:rsidRPr="007F44A0">
        <w:rPr>
          <w:rFonts w:ascii="Times New Roman" w:hAnsi="Times New Roman" w:cs="Times New Roman"/>
          <w:b/>
          <w:sz w:val="24"/>
          <w:szCs w:val="24"/>
        </w:rPr>
        <w:t xml:space="preserve"/>
      </w:r>
      <w:r w:rsidRPr="007F44A0">
        <w:rPr>
          <w:rFonts w:ascii="Times New Roman" w:eastAsia="Times New Roman" w:hAnsi="Times New Roman" w:cs="Times New Roman"/>
          <w:b/>
          <w:bCs/>
          <w:i/>
          <w:iCs/>
          <w:kern w:val="2"/>
          <w:sz w:val="24"/>
          <w:szCs w:val="24"/>
          <w:vertAlign w:val="superscript"/>
          <w14:ligatures w14:val="standardContextual"/>
        </w:rPr>
        <w:t/>
      </w:r>
      <w:r w:rsidRPr="007F44A0">
        <w:rPr>
          <w:rFonts w:ascii="Times New Roman" w:eastAsia="Times New Roman" w:hAnsi="Times New Roman" w:cs="Times New Roman"/>
          <w:b/>
          <w:bCs/>
          <w:i/>
          <w:iCs/>
          <w:kern w:val="2"/>
          <w:sz w:val="24"/>
          <w:szCs w:val="24"/>
          <w14:ligatures w14:val="standardContextual"/>
        </w:rPr>
        <w:t/>
      </w:r>
      <w:r w:rsidRPr="007F44A0">
        <w:rPr>
          <w:rFonts w:ascii="Times New Roman" w:hAnsi="Times New Roman" w:cs="Times New Roman"/>
          <w:b/>
          <w:sz w:val="24"/>
          <w:szCs w:val="24"/>
        </w:rPr>
        <w:t/>
      </w:r>
      <w:r w:rsidRPr="007F44A0">
        <w:rPr>
          <w:rFonts w:ascii="Times New Roman" w:hAnsi="Times New Roman" w:cs="Times New Roman"/>
          <w:sz w:val="24"/>
          <w:szCs w:val="24"/>
        </w:rPr>
        <w:t xml:space="preserve"/>
      </w:r>
    </w:p>
    <w:p w14:paraId="03CE3602" w14:textId="77777777" w:rsidR="007F44A0" w:rsidRPr="007F44A0" w:rsidRDefault="007F44A0" w:rsidP="007F44A0">
      <w:pPr>
        <w:spacing w:after="160"/>
        <w:jc w:val="center"/>
        <w:rPr>
          <w:rFonts w:ascii="Times New Roman" w:eastAsia="Times New Roman" w:hAnsi="Times New Roman" w:cs="Times New Roman"/>
          <w:kern w:val="2"/>
          <w:sz w:val="24"/>
          <w:szCs w:val="24"/>
          <w14:ligatures w14:val="standardContextual"/>
        </w:rPr>
      </w:pPr>
      <w:r w:rsidRPr="007F44A0">
        <w:rPr>
          <w:rFonts w:ascii="Times New Roman" w:hAnsi="Times New Roman" w:cs="Times New Roman"/>
          <w:sz w:val="24"/>
          <w:szCs w:val="24"/>
        </w:rPr>
        <w:t/>
      </w:r>
      <w:r w:rsidRPr="007F44A0">
        <w:rPr>
          <w:rFonts w:ascii="Times New Roman" w:hAnsi="Times New Roman" w:cs="Times New Roman"/>
          <w:sz w:val="24"/>
          <w:szCs w:val="24"/>
          <w:vertAlign w:val="superscript"/>
        </w:rPr>
        <w:t/>
      </w:r>
      <w:r w:rsidRPr="007F44A0">
        <w:rPr>
          <w:rFonts w:ascii="Times New Roman" w:hAnsi="Times New Roman" w:cs="Times New Roman"/>
          <w:sz w:val="24"/>
          <w:szCs w:val="24"/>
        </w:rPr>
        <w:t xml:space="preserve"/>
      </w:r>
      <w:r w:rsidRPr="007F44A0">
        <w:rPr>
          <w:rFonts w:ascii="Times New Roman" w:eastAsia="Times New Roman" w:hAnsi="Times New Roman" w:cs="Times New Roman"/>
          <w:kern w:val="2"/>
          <w:sz w:val="24"/>
          <w:szCs w:val="24"/>
          <w14:ligatures w14:val="standardContextual"/>
        </w:rPr>
        <w:t/>
      </w:r>
      <w:r w:rsidRPr="007F44A0">
        <w:rPr>
          <w:rFonts w:ascii="Times New Roman" w:hAnsi="Times New Roman" w:cs="Times New Roman"/>
          <w:sz w:val="24"/>
          <w:szCs w:val="24"/>
        </w:rPr>
        <w:t xml:space="preserve"/>
      </w:r>
      <w:hyperlink r:id="rId5" w:history="1">
        <w:r w:rsidRPr="007F44A0">
          <w:rPr>
            <w:rFonts w:ascii="Times New Roman" w:hAnsi="Times New Roman" w:cs="Times New Roman"/>
            <w:color w:val="0563C1" w:themeColor="hyperlink"/>
            <w:sz w:val="24"/>
            <w:szCs w:val="24"/>
            <w:u w:val="single"/>
          </w:rPr>
          <w:t/>
        </w:r>
      </w:hyperlink>
      <w:r w:rsidRPr="007F44A0">
        <w:rPr>
          <w:rFonts w:ascii="Times New Roman" w:hAnsi="Times New Roman" w:cs="Times New Roman"/>
          <w:color w:val="0000FF"/>
          <w:sz w:val="24"/>
          <w:szCs w:val="24"/>
          <w:u w:val="single"/>
        </w:rPr>
        <w:t xml:space="preserve"/>
      </w:r>
      <w:r w:rsidRPr="007F44A0">
        <w:rPr>
          <w:rFonts w:ascii="Times New Roman" w:hAnsi="Times New Roman" w:cs="Times New Roman"/>
          <w:sz w:val="24"/>
          <w:szCs w:val="24"/>
        </w:rPr>
        <w:t/>
      </w:r>
    </w:p>
    <w:p w14:paraId="18FAAD6A" w14:textId="77777777" w:rsidR="007F44A0" w:rsidRPr="007F44A0" w:rsidRDefault="007F44A0" w:rsidP="007F44A0">
      <w:pPr>
        <w:spacing w:after="0"/>
        <w:jc w:val="center"/>
        <w:rPr>
          <w:rFonts w:ascii="Times New Roman" w:eastAsia="Times New Roman" w:hAnsi="Times New Roman" w:cs="Times New Roman"/>
          <w:kern w:val="2"/>
          <w:sz w:val="24"/>
          <w:szCs w:val="24"/>
          <w14:ligatures w14:val="standardContextual"/>
        </w:rPr>
      </w:pPr>
      <w:r w:rsidRPr="007F44A0">
        <w:rPr>
          <w:rFonts w:ascii="Times New Roman" w:hAnsi="Times New Roman" w:cs="Times New Roman"/>
          <w:sz w:val="24"/>
          <w:szCs w:val="24"/>
        </w:rPr>
        <w:t/>
      </w:r>
      <w:r w:rsidRPr="007F44A0">
        <w:rPr>
          <w:rFonts w:ascii="Times New Roman" w:eastAsia="Times New Roman" w:hAnsi="Times New Roman" w:cs="Times New Roman"/>
          <w:kern w:val="2"/>
          <w:sz w:val="24"/>
          <w:szCs w:val="24"/>
          <w:vertAlign w:val="superscript"/>
          <w14:ligatures w14:val="standardContextual"/>
        </w:rPr>
        <w:t/>
      </w:r>
      <w:r w:rsidRPr="007F44A0">
        <w:rPr>
          <w:rFonts w:ascii="Times New Roman" w:eastAsia="Times New Roman" w:hAnsi="Times New Roman" w:cs="Times New Roman"/>
          <w:kern w:val="2"/>
          <w:sz w:val="24"/>
          <w:szCs w:val="24"/>
          <w14:ligatures w14:val="standardContextual"/>
        </w:rPr>
        <w:t xml:space="preserve"/>
      </w:r>
    </w:p>
    <w:p w14:paraId="63DB884F" w14:textId="77777777" w:rsidR="007F44A0" w:rsidRPr="007F44A0" w:rsidRDefault="007F44A0" w:rsidP="007F44A0">
      <w:pPr>
        <w:spacing w:after="0"/>
        <w:jc w:val="center"/>
        <w:rPr>
          <w:rFonts w:ascii="Times New Roman" w:eastAsia="Times New Roman" w:hAnsi="Times New Roman" w:cs="Times New Roman"/>
          <w:kern w:val="2"/>
          <w:sz w:val="24"/>
          <w:szCs w:val="24"/>
          <w14:ligatures w14:val="standardContextual"/>
        </w:rPr>
      </w:pPr>
      <w:r w:rsidRPr="007F44A0">
        <w:rPr>
          <w:rFonts w:ascii="Times New Roman" w:eastAsia="Times New Roman" w:hAnsi="Times New Roman" w:cs="Times New Roman"/>
          <w:kern w:val="2"/>
          <w:sz w:val="24"/>
          <w:szCs w:val="24"/>
          <w14:ligatures w14:val="standardContextual"/>
        </w:rPr>
        <w:t xml:space="preserve"/>
      </w:r>
    </w:p>
    <w:p w14:paraId="78091F81" w14:textId="7D4F6E39" w:rsidR="007F44A0" w:rsidRPr="007F44A0" w:rsidRDefault="007F44A0" w:rsidP="007F44A0">
      <w:pPr>
        <w:spacing w:after="160"/>
        <w:jc w:val="center"/>
        <w:rPr>
          <w:rFonts w:ascii="Times New Roman" w:hAnsi="Times New Roman" w:cs="Times New Roman"/>
          <w:sz w:val="20"/>
          <w:szCs w:val="20"/>
        </w:rPr>
      </w:pPr>
      <w:r w:rsidRPr="007F44A0">
        <w:rPr>
          <w:rFonts w:ascii="Times New Roman" w:eastAsia="Times New Roman" w:hAnsi="Times New Roman" w:cs="Times New Roman"/>
          <w:kern w:val="2"/>
          <w:sz w:val="24"/>
          <w:szCs w:val="24"/>
          <w14:ligatures w14:val="standardContextual"/>
        </w:rPr>
        <w:t xml:space="preserve"/>
      </w:r>
      <w:hyperlink r:id="rId6">
        <w:r w:rsidRPr="007F44A0">
          <w:rPr>
            <w:rFonts w:ascii="Times New Roman" w:eastAsia="Times New Roman" w:hAnsi="Times New Roman" w:cs="Times New Roman"/>
            <w:color w:val="0000FF"/>
            <w:kern w:val="2"/>
            <w:sz w:val="24"/>
            <w:szCs w:val="24"/>
            <w:u w:val="single"/>
            <w14:ligatures w14:val="standardContextual"/>
          </w:rPr>
          <w:t/>
        </w:r>
      </w:hyperlink>
      <w:r w:rsidRPr="007F44A0">
        <w:rPr>
          <w:rFonts w:ascii="Times New Roman" w:eastAsia="Times New Roman" w:hAnsi="Times New Roman" w:cs="Times New Roman"/>
          <w:kern w:val="2"/>
          <w:sz w:val="24"/>
          <w:szCs w:val="24"/>
          <w14:ligatures w14:val="standardContextual"/>
        </w:rPr>
        <w:t xml:space="preserve"/>
      </w:r>
      <w:hyperlink r:id="rId7" w:history="1">
        <w:r w:rsidR="00D72921">
          <w:rPr>
            <w:rStyle w:val="Hyperlink"/>
            <w:rFonts w:ascii="Times New Roman" w:eastAsia="Times New Roman" w:hAnsi="Times New Roman" w:cs="Times New Roman"/>
            <w:kern w:val="2"/>
            <w:sz w:val="24"/>
            <w:szCs w:val="24"/>
            <w14:ligatures w14:val="standardContextual"/>
          </w:rPr>
          <w:t/>
        </w:r>
      </w:hyperlink>
      <w:r w:rsidR="00D72921">
        <w:t xml:space="preserve"/>
      </w:r>
      <w:bookmarkStart w:id="0" w:name="_GoBack"/>
      <w:bookmarkEnd w:id="0"/>
      <w:r w:rsidRPr="007F44A0">
        <w:rPr>
          <w:rFonts w:ascii="Times New Roman" w:eastAsia="Times New Roman" w:hAnsi="Times New Roman" w:cs="Times New Roman"/>
          <w:kern w:val="2"/>
          <w:sz w:val="24"/>
          <w:szCs w:val="24"/>
          <w14:ligatures w14:val="standardContextual"/>
        </w:rPr>
        <w:t/>
      </w:r>
    </w:p>
    <w:p w14:paraId="7C245583" w14:textId="66CE6E12" w:rsidR="00A9344B" w:rsidRPr="00082A41" w:rsidRDefault="00A9344B" w:rsidP="00A9344B">
      <w:pPr>
        <w:spacing w:after="160" w:line="278" w:lineRule="auto"/>
        <w:rPr>
          <w:rFonts w:ascii="Times New Roman" w:hAnsi="Times New Roman" w:cs="Times New Roman"/>
          <w:b/>
          <w:bCs/>
          <w:kern w:val="2"/>
          <w:sz w:val="26"/>
          <w:szCs w:val="26"/>
          <w14:ligatures w14:val="standardContextual"/>
        </w:rPr>
      </w:pPr>
      <w:r w:rsidRPr="00082A41">
        <w:rPr>
          <w:rFonts w:ascii="Times New Roman" w:hAnsi="Times New Roman" w:cs="Times New Roman"/>
          <w:b/>
          <w:bCs/>
          <w:kern w:val="2"/>
          <w:sz w:val="26"/>
          <w:szCs w:val="26"/>
          <w14:ligatures w14:val="standardContextual"/>
        </w:rPr>
        <w:t>Abstract</w:t>
      </w:r>
    </w:p>
    <w:p w14:paraId="12BBCBC1" w14:textId="5C39D1E7" w:rsidR="00F35C87" w:rsidRPr="00082A41" w:rsidRDefault="00A9344B" w:rsidP="00F35C87">
      <w:pPr>
        <w:spacing w:after="160" w:line="240" w:lineRule="auto"/>
        <w:jc w:val="both"/>
        <w:rPr>
          <w:rFonts w:ascii="Times New Roman" w:hAnsi="Times New Roman" w:cs="Times New Roman"/>
          <w:i/>
          <w:iCs/>
          <w:kern w:val="2"/>
          <w14:ligatures w14:val="standardContextual"/>
        </w:rPr>
      </w:pPr>
      <w:r w:rsidRPr="00082A41">
        <w:rPr>
          <w:rFonts w:ascii="Times New Roman" w:hAnsi="Times New Roman" w:cs="Times New Roman"/>
          <w:i/>
          <w:iCs/>
          <w:kern w:val="2"/>
          <w14:ligatures w14:val="standardContextual"/>
        </w:rPr>
        <w:t xml:space="preserve">This study investigated socio-political constraints on decarbonization in Akwa Ibom State, Nigeria, with emphasis on how governance structures, institutional frameworks, political interests, and stakeholder dynamics influence policy implementation and outcomes. </w:t>
      </w:r>
      <w:r w:rsidR="00F35C87" w:rsidRPr="00082A41">
        <w:rPr>
          <w:rFonts w:ascii="Times New Roman" w:hAnsi="Times New Roman" w:cs="Times New Roman"/>
          <w:i/>
          <w:iCs/>
          <w:kern w:val="2"/>
          <w14:ligatures w14:val="standardContextual"/>
        </w:rPr>
        <w:t>A descriptive survey research approach was used in the research, covering three oil-producing Local Government Areas (LGAs) in the state</w:t>
      </w:r>
      <w:r w:rsidR="00CC3834" w:rsidRPr="00082A41">
        <w:rPr>
          <w:rFonts w:ascii="Times New Roman" w:hAnsi="Times New Roman" w:cs="Times New Roman"/>
          <w:i/>
          <w:iCs/>
          <w:kern w:val="2"/>
          <w14:ligatures w14:val="standardContextual"/>
        </w:rPr>
        <w:t>:</w:t>
      </w:r>
      <w:r w:rsidR="00F35C87" w:rsidRPr="00082A41">
        <w:rPr>
          <w:rFonts w:ascii="Times New Roman" w:hAnsi="Times New Roman" w:cs="Times New Roman"/>
          <w:i/>
          <w:iCs/>
          <w:kern w:val="2"/>
          <w14:ligatures w14:val="standardContextual"/>
        </w:rPr>
        <w:t xml:space="preserve"> </w:t>
      </w:r>
      <w:proofErr w:type="spellStart"/>
      <w:r w:rsidR="00F35C87" w:rsidRPr="00082A41">
        <w:rPr>
          <w:rFonts w:ascii="Times New Roman" w:hAnsi="Times New Roman" w:cs="Times New Roman"/>
          <w:i/>
          <w:iCs/>
          <w:kern w:val="2"/>
          <w14:ligatures w14:val="standardContextual"/>
        </w:rPr>
        <w:t>Eket</w:t>
      </w:r>
      <w:proofErr w:type="spellEnd"/>
      <w:r w:rsidR="00F35C87" w:rsidRPr="00082A41">
        <w:rPr>
          <w:rFonts w:ascii="Times New Roman" w:hAnsi="Times New Roman" w:cs="Times New Roman"/>
          <w:i/>
          <w:iCs/>
          <w:kern w:val="2"/>
          <w14:ligatures w14:val="standardContextual"/>
        </w:rPr>
        <w:t xml:space="preserve">, </w:t>
      </w:r>
      <w:proofErr w:type="spellStart"/>
      <w:r w:rsidR="00F35C87" w:rsidRPr="00082A41">
        <w:rPr>
          <w:rFonts w:ascii="Times New Roman" w:hAnsi="Times New Roman" w:cs="Times New Roman"/>
          <w:i/>
          <w:iCs/>
          <w:kern w:val="2"/>
          <w14:ligatures w14:val="standardContextual"/>
        </w:rPr>
        <w:t>Ibeno</w:t>
      </w:r>
      <w:proofErr w:type="spellEnd"/>
      <w:r w:rsidR="00F35C87" w:rsidRPr="00082A41">
        <w:rPr>
          <w:rFonts w:ascii="Times New Roman" w:hAnsi="Times New Roman" w:cs="Times New Roman"/>
          <w:i/>
          <w:iCs/>
          <w:kern w:val="2"/>
          <w14:ligatures w14:val="standardContextual"/>
        </w:rPr>
        <w:t xml:space="preserve"> and Eastern </w:t>
      </w:r>
      <w:proofErr w:type="spellStart"/>
      <w:r w:rsidR="00F35C87" w:rsidRPr="00082A41">
        <w:rPr>
          <w:rFonts w:ascii="Times New Roman" w:hAnsi="Times New Roman" w:cs="Times New Roman"/>
          <w:i/>
          <w:iCs/>
          <w:kern w:val="2"/>
          <w14:ligatures w14:val="standardContextual"/>
        </w:rPr>
        <w:t>Obolo</w:t>
      </w:r>
      <w:proofErr w:type="spellEnd"/>
      <w:r w:rsidR="00F35C87" w:rsidRPr="00082A41">
        <w:rPr>
          <w:rFonts w:ascii="Times New Roman" w:hAnsi="Times New Roman" w:cs="Times New Roman"/>
          <w:i/>
          <w:iCs/>
          <w:kern w:val="2"/>
          <w14:ligatures w14:val="standardContextual"/>
        </w:rPr>
        <w:t>. The primary data for the study w</w:t>
      </w:r>
      <w:r w:rsidR="00CC3834" w:rsidRPr="00082A41">
        <w:rPr>
          <w:rFonts w:ascii="Times New Roman" w:hAnsi="Times New Roman" w:cs="Times New Roman"/>
          <w:i/>
          <w:iCs/>
          <w:kern w:val="2"/>
          <w14:ligatures w14:val="standardContextual"/>
        </w:rPr>
        <w:t>ere</w:t>
      </w:r>
      <w:r w:rsidR="00F35C87" w:rsidRPr="00082A41">
        <w:rPr>
          <w:rFonts w:ascii="Times New Roman" w:hAnsi="Times New Roman" w:cs="Times New Roman"/>
          <w:i/>
          <w:iCs/>
          <w:kern w:val="2"/>
          <w14:ligatures w14:val="standardContextual"/>
        </w:rPr>
        <w:t xml:space="preserve"> obtained using structured questionnaires distributed to a sample of 150 respondents selected using a multistage sampling procedure, while field observations were also used. Descriptive statistics, Pearson Product</w:t>
      </w:r>
      <w:r w:rsidR="00CC3834" w:rsidRPr="00082A41">
        <w:rPr>
          <w:rFonts w:ascii="Times New Roman" w:hAnsi="Times New Roman" w:cs="Times New Roman"/>
          <w:i/>
          <w:iCs/>
          <w:kern w:val="2"/>
          <w14:ligatures w14:val="standardContextual"/>
        </w:rPr>
        <w:t>-</w:t>
      </w:r>
      <w:r w:rsidR="00F35C87" w:rsidRPr="00082A41">
        <w:rPr>
          <w:rFonts w:ascii="Times New Roman" w:hAnsi="Times New Roman" w:cs="Times New Roman"/>
          <w:i/>
          <w:iCs/>
          <w:kern w:val="2"/>
          <w14:ligatures w14:val="standardContextual"/>
        </w:rPr>
        <w:t xml:space="preserve">Moment Correlation (PPMC) and multiple regression analyses were used for </w:t>
      </w:r>
      <w:proofErr w:type="spellStart"/>
      <w:r w:rsidR="00F35C87" w:rsidRPr="00082A41">
        <w:rPr>
          <w:rFonts w:ascii="Times New Roman" w:hAnsi="Times New Roman" w:cs="Times New Roman"/>
          <w:i/>
          <w:iCs/>
          <w:kern w:val="2"/>
          <w14:ligatures w14:val="standardContextual"/>
        </w:rPr>
        <w:t>analy</w:t>
      </w:r>
      <w:r w:rsidR="00CC3834" w:rsidRPr="00082A41">
        <w:rPr>
          <w:rFonts w:ascii="Times New Roman" w:hAnsi="Times New Roman" w:cs="Times New Roman"/>
          <w:i/>
          <w:iCs/>
          <w:kern w:val="2"/>
          <w14:ligatures w14:val="standardContextual"/>
        </w:rPr>
        <w:t>s</w:t>
      </w:r>
      <w:r w:rsidR="00F35C87" w:rsidRPr="00082A41">
        <w:rPr>
          <w:rFonts w:ascii="Times New Roman" w:hAnsi="Times New Roman" w:cs="Times New Roman"/>
          <w:i/>
          <w:iCs/>
          <w:kern w:val="2"/>
          <w14:ligatures w14:val="standardContextual"/>
        </w:rPr>
        <w:t>ing</w:t>
      </w:r>
      <w:proofErr w:type="spellEnd"/>
      <w:r w:rsidR="00F35C87" w:rsidRPr="00082A41">
        <w:rPr>
          <w:rFonts w:ascii="Times New Roman" w:hAnsi="Times New Roman" w:cs="Times New Roman"/>
          <w:i/>
          <w:iCs/>
          <w:kern w:val="2"/>
          <w14:ligatures w14:val="standardContextual"/>
        </w:rPr>
        <w:t xml:space="preserve"> the data collected from the field at </w:t>
      </w:r>
      <w:r w:rsidR="00CC3834" w:rsidRPr="00082A41">
        <w:rPr>
          <w:rFonts w:ascii="Times New Roman" w:hAnsi="Times New Roman" w:cs="Times New Roman"/>
          <w:i/>
          <w:iCs/>
          <w:kern w:val="2"/>
          <w14:ligatures w14:val="standardContextual"/>
        </w:rPr>
        <w:t xml:space="preserve">a </w:t>
      </w:r>
      <w:r w:rsidR="00F35C87" w:rsidRPr="00082A41">
        <w:rPr>
          <w:rFonts w:ascii="Times New Roman" w:hAnsi="Times New Roman" w:cs="Times New Roman"/>
          <w:i/>
          <w:iCs/>
          <w:kern w:val="2"/>
          <w14:ligatures w14:val="standardContextual"/>
        </w:rPr>
        <w:t>0.05 level of significance. From the analysis, it was found that socio-political elements such as political interest in oil revenues, socio-political instability, and economic dependency on fossil fuel significantly hinder decarbonization processes. Perceived lack of effectiveness of government stakeholders, community stakeholders, and industry stakeholders in the push for decarbonization was established through stakeholder analysis</w:t>
      </w:r>
      <w:r w:rsidR="00CC3834" w:rsidRPr="00082A41">
        <w:rPr>
          <w:rFonts w:ascii="Times New Roman" w:hAnsi="Times New Roman" w:cs="Times New Roman"/>
          <w:i/>
          <w:iCs/>
          <w:kern w:val="2"/>
          <w14:ligatures w14:val="standardContextual"/>
        </w:rPr>
        <w:t>,</w:t>
      </w:r>
      <w:r w:rsidR="00F35C87" w:rsidRPr="00082A41">
        <w:rPr>
          <w:rFonts w:ascii="Times New Roman" w:hAnsi="Times New Roman" w:cs="Times New Roman"/>
          <w:i/>
          <w:iCs/>
          <w:kern w:val="2"/>
          <w14:ligatures w14:val="standardContextual"/>
        </w:rPr>
        <w:t xml:space="preserve"> while it is agreed upon that there is </w:t>
      </w:r>
      <w:r w:rsidR="00CC3834" w:rsidRPr="00082A41">
        <w:rPr>
          <w:rFonts w:ascii="Times New Roman" w:hAnsi="Times New Roman" w:cs="Times New Roman"/>
          <w:i/>
          <w:iCs/>
          <w:kern w:val="2"/>
          <w14:ligatures w14:val="standardContextual"/>
        </w:rPr>
        <w:t xml:space="preserve">a </w:t>
      </w:r>
      <w:r w:rsidR="00F35C87" w:rsidRPr="00082A41">
        <w:rPr>
          <w:rFonts w:ascii="Times New Roman" w:hAnsi="Times New Roman" w:cs="Times New Roman"/>
          <w:i/>
          <w:iCs/>
          <w:kern w:val="2"/>
          <w14:ligatures w14:val="standardContextual"/>
        </w:rPr>
        <w:t xml:space="preserve">need for collaboration and awareness for better results. Also, the respondents highlighted the poor progress in the </w:t>
      </w:r>
      <w:proofErr w:type="spellStart"/>
      <w:r w:rsidR="00F35C87" w:rsidRPr="00082A41">
        <w:rPr>
          <w:rFonts w:ascii="Times New Roman" w:hAnsi="Times New Roman" w:cs="Times New Roman"/>
          <w:i/>
          <w:iCs/>
          <w:kern w:val="2"/>
          <w14:ligatures w14:val="standardContextual"/>
        </w:rPr>
        <w:t>reali</w:t>
      </w:r>
      <w:r w:rsidR="00CC3834" w:rsidRPr="00082A41">
        <w:rPr>
          <w:rFonts w:ascii="Times New Roman" w:hAnsi="Times New Roman" w:cs="Times New Roman"/>
          <w:i/>
          <w:iCs/>
          <w:kern w:val="2"/>
          <w14:ligatures w14:val="standardContextual"/>
        </w:rPr>
        <w:t>s</w:t>
      </w:r>
      <w:r w:rsidR="00F35C87" w:rsidRPr="00082A41">
        <w:rPr>
          <w:rFonts w:ascii="Times New Roman" w:hAnsi="Times New Roman" w:cs="Times New Roman"/>
          <w:i/>
          <w:iCs/>
          <w:kern w:val="2"/>
          <w14:ligatures w14:val="standardContextual"/>
        </w:rPr>
        <w:t>ation</w:t>
      </w:r>
      <w:proofErr w:type="spellEnd"/>
      <w:r w:rsidR="00F35C87" w:rsidRPr="00082A41">
        <w:rPr>
          <w:rFonts w:ascii="Times New Roman" w:hAnsi="Times New Roman" w:cs="Times New Roman"/>
          <w:i/>
          <w:iCs/>
          <w:kern w:val="2"/>
          <w14:ligatures w14:val="standardContextual"/>
        </w:rPr>
        <w:t xml:space="preserve"> of </w:t>
      </w:r>
      <w:proofErr w:type="spellStart"/>
      <w:r w:rsidR="00F35C87" w:rsidRPr="00082A41">
        <w:rPr>
          <w:rFonts w:ascii="Times New Roman" w:hAnsi="Times New Roman" w:cs="Times New Roman"/>
          <w:i/>
          <w:iCs/>
          <w:kern w:val="2"/>
          <w14:ligatures w14:val="standardContextual"/>
        </w:rPr>
        <w:t>decarbonization</w:t>
      </w:r>
      <w:proofErr w:type="spellEnd"/>
      <w:r w:rsidR="00F35C87" w:rsidRPr="00082A41">
        <w:rPr>
          <w:rFonts w:ascii="Times New Roman" w:hAnsi="Times New Roman" w:cs="Times New Roman"/>
          <w:i/>
          <w:iCs/>
          <w:kern w:val="2"/>
          <w14:ligatures w14:val="standardContextual"/>
        </w:rPr>
        <w:t xml:space="preserve"> outcomes</w:t>
      </w:r>
      <w:r w:rsidR="00CC3834" w:rsidRPr="00082A41">
        <w:rPr>
          <w:rFonts w:ascii="Times New Roman" w:hAnsi="Times New Roman" w:cs="Times New Roman"/>
          <w:i/>
          <w:iCs/>
          <w:kern w:val="2"/>
          <w14:ligatures w14:val="standardContextual"/>
        </w:rPr>
        <w:t>,</w:t>
      </w:r>
      <w:r w:rsidR="00F35C87" w:rsidRPr="00082A41">
        <w:rPr>
          <w:rFonts w:ascii="Times New Roman" w:hAnsi="Times New Roman" w:cs="Times New Roman"/>
          <w:i/>
          <w:iCs/>
          <w:kern w:val="2"/>
          <w14:ligatures w14:val="standardContextual"/>
        </w:rPr>
        <w:t xml:space="preserve"> such as low levels of reductions in carbon emission</w:t>
      </w:r>
      <w:r w:rsidR="00CC3834" w:rsidRPr="00082A41">
        <w:rPr>
          <w:rFonts w:ascii="Times New Roman" w:hAnsi="Times New Roman" w:cs="Times New Roman"/>
          <w:i/>
          <w:iCs/>
          <w:kern w:val="2"/>
          <w14:ligatures w14:val="standardContextual"/>
        </w:rPr>
        <w:t>s</w:t>
      </w:r>
      <w:r w:rsidR="00F35C87" w:rsidRPr="00082A41">
        <w:rPr>
          <w:rFonts w:ascii="Times New Roman" w:hAnsi="Times New Roman" w:cs="Times New Roman"/>
          <w:i/>
          <w:iCs/>
          <w:kern w:val="2"/>
          <w14:ligatures w14:val="standardContextual"/>
        </w:rPr>
        <w:t>, inadequate use of renewable energy and continued deterioration of the environment. Inferential statistics revealed a statistically significant correlation between socio-political factors and the implementation of decarbonization policies (r = 0.808; p &lt; 0.05), between governance and institutional factors and decarbonization activities (F = 97.609; p &lt; 0.05) and finally between stakeholder roles/perceptions and decarbonization outcomes (r = 0.833; p &lt; 0.05). The regression analysis shows that stakeholder perceptions/roles accounted for 39.7% of the variability in decarbonization outcomes. In conclusion, decarbonization activities in Akwa Ibom State are greatly hampered by the prevailing socio-political factors, institutional weaknesses and ineffective stakeholder involvement in achieving poor environmental transition outcomes.</w:t>
      </w:r>
    </w:p>
    <w:p w14:paraId="008781B6" w14:textId="58C82EE4" w:rsidR="00A9344B" w:rsidRPr="00082A41" w:rsidRDefault="00A9344B" w:rsidP="00736C82">
      <w:pPr>
        <w:spacing w:after="160" w:line="360" w:lineRule="auto"/>
        <w:jc w:val="both"/>
        <w:rPr>
          <w:rFonts w:ascii="Times New Roman" w:hAnsi="Times New Roman" w:cs="Times New Roman"/>
          <w:kern w:val="2"/>
          <w14:ligatures w14:val="standardContextual"/>
        </w:rPr>
      </w:pPr>
      <w:r w:rsidRPr="00082A41">
        <w:rPr>
          <w:rFonts w:ascii="Times New Roman" w:hAnsi="Times New Roman" w:cs="Times New Roman"/>
          <w:b/>
          <w:bCs/>
          <w:kern w:val="2"/>
          <w14:ligatures w14:val="standardContextual"/>
        </w:rPr>
        <w:t>Keywords:</w:t>
      </w:r>
      <w:r w:rsidRPr="00082A41">
        <w:rPr>
          <w:rFonts w:ascii="Times New Roman" w:hAnsi="Times New Roman" w:cs="Times New Roman"/>
          <w:kern w:val="2"/>
          <w14:ligatures w14:val="standardContextual"/>
        </w:rPr>
        <w:t xml:space="preserve"> Decarbonization; Socio-political constraints; Governance structures; Institutional frameworks; Stakeholder engagement; Akwa Ibom State; Nigeria.</w:t>
      </w:r>
    </w:p>
    <w:p w14:paraId="6D980C25" w14:textId="77777777" w:rsidR="00A9344B" w:rsidRPr="00082A41" w:rsidRDefault="00A9344B" w:rsidP="00736C82">
      <w:pPr>
        <w:spacing w:after="0" w:line="360" w:lineRule="auto"/>
        <w:jc w:val="both"/>
        <w:rPr>
          <w:rFonts w:ascii="Times New Roman" w:hAnsi="Times New Roman" w:cs="Times New Roman"/>
          <w:b/>
          <w:bCs/>
          <w:sz w:val="24"/>
          <w:szCs w:val="24"/>
        </w:rPr>
      </w:pPr>
    </w:p>
    <w:p w14:paraId="09AA477E" w14:textId="3E9ECFD6" w:rsidR="0053461A" w:rsidRPr="00082A41" w:rsidRDefault="0053461A" w:rsidP="00F86B4F">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 xml:space="preserve">Introduction </w:t>
      </w:r>
    </w:p>
    <w:p w14:paraId="2E3ACC47" w14:textId="74205A5D" w:rsidR="003A7BE8" w:rsidRPr="00082A41" w:rsidRDefault="003A7BE8" w:rsidP="00F86B4F">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lastRenderedPageBreak/>
        <w:t xml:space="preserve">The efforts towards combating global warming by reducing carbon footprints </w:t>
      </w:r>
      <w:r w:rsidR="00CC3834" w:rsidRPr="00082A41">
        <w:rPr>
          <w:rFonts w:ascii="Times New Roman" w:hAnsi="Times New Roman" w:cs="Times New Roman"/>
          <w:sz w:val="24"/>
          <w:szCs w:val="24"/>
        </w:rPr>
        <w:t>are</w:t>
      </w:r>
      <w:r w:rsidRPr="00082A41">
        <w:rPr>
          <w:rFonts w:ascii="Times New Roman" w:hAnsi="Times New Roman" w:cs="Times New Roman"/>
          <w:sz w:val="24"/>
          <w:szCs w:val="24"/>
        </w:rPr>
        <w:t xml:space="preserve"> arguably one of the most significant policies being employed across nations in an attempt to reduce climate change, considering the fact that the amount of greenhouse gas emissions has been rising despite attempts such as the Paris </w:t>
      </w:r>
      <w:r w:rsidR="00CC3834" w:rsidRPr="00082A41">
        <w:rPr>
          <w:rFonts w:ascii="Times New Roman" w:hAnsi="Times New Roman" w:cs="Times New Roman"/>
          <w:sz w:val="24"/>
          <w:szCs w:val="24"/>
        </w:rPr>
        <w:t>A</w:t>
      </w:r>
      <w:r w:rsidRPr="00082A41">
        <w:rPr>
          <w:rFonts w:ascii="Times New Roman" w:hAnsi="Times New Roman" w:cs="Times New Roman"/>
          <w:sz w:val="24"/>
          <w:szCs w:val="24"/>
        </w:rPr>
        <w:t xml:space="preserve">ccord. According to </w:t>
      </w:r>
      <w:r w:rsidR="00CC3834" w:rsidRPr="00082A41">
        <w:rPr>
          <w:rFonts w:ascii="Times New Roman" w:hAnsi="Times New Roman" w:cs="Times New Roman"/>
          <w:sz w:val="24"/>
          <w:szCs w:val="24"/>
        </w:rPr>
        <w:t xml:space="preserve">the </w:t>
      </w:r>
      <w:r w:rsidRPr="00082A41">
        <w:rPr>
          <w:rFonts w:ascii="Times New Roman" w:hAnsi="Times New Roman" w:cs="Times New Roman"/>
          <w:sz w:val="24"/>
          <w:szCs w:val="24"/>
        </w:rPr>
        <w:t>IPCC, the overall amount of emission of CO2 through combustion of fossil fuel</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 xml:space="preserve"> has surpassed 37 billion tons annually on a global scale (Intergovernmental Panel on Climate Change, 2023).</w:t>
      </w:r>
    </w:p>
    <w:p w14:paraId="605A070F" w14:textId="13F9537B" w:rsidR="003A7BE8" w:rsidRPr="00082A41" w:rsidRDefault="003A7BE8" w:rsidP="00CE2532">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The challenge is compounded in developing nations such as Sub-Saharan Africa</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where matters such as energy, poverty, and </w:t>
      </w:r>
      <w:proofErr w:type="spellStart"/>
      <w:r w:rsidRPr="00082A41">
        <w:rPr>
          <w:rFonts w:ascii="Times New Roman" w:hAnsi="Times New Roman" w:cs="Times New Roman"/>
          <w:sz w:val="24"/>
          <w:szCs w:val="24"/>
        </w:rPr>
        <w:t>industriali</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ation</w:t>
      </w:r>
      <w:proofErr w:type="spellEnd"/>
      <w:r w:rsidRPr="00082A41">
        <w:rPr>
          <w:rFonts w:ascii="Times New Roman" w:hAnsi="Times New Roman" w:cs="Times New Roman"/>
          <w:sz w:val="24"/>
          <w:szCs w:val="24"/>
        </w:rPr>
        <w:t xml:space="preserve"> outweigh any other issue compared to environmental problems. Although Sub-Saharan Africa makes up only 3–4% of carbon emission</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 xml:space="preserve"> globally, it is vulnerable to the impacts of climate change, including flooding, coastal erosion, and harsh weather conditions (IEA, 2022). Nigeria is considered one of the largest countries in Africa in terms of population size and production. As such, Nigeria plays a large part in the carbon emissions of Africa that are driven by oil and gas activities and gas flaring (World Bank, 2023; </w:t>
      </w:r>
      <w:proofErr w:type="spellStart"/>
      <w:r w:rsidRPr="00082A41">
        <w:rPr>
          <w:rFonts w:ascii="Times New Roman" w:hAnsi="Times New Roman" w:cs="Times New Roman"/>
          <w:sz w:val="24"/>
          <w:szCs w:val="24"/>
        </w:rPr>
        <w:t>Okedere</w:t>
      </w:r>
      <w:proofErr w:type="spellEnd"/>
      <w:r w:rsidRPr="00082A41">
        <w:rPr>
          <w:rFonts w:ascii="Times New Roman" w:hAnsi="Times New Roman" w:cs="Times New Roman"/>
          <w:sz w:val="24"/>
          <w:szCs w:val="24"/>
        </w:rPr>
        <w:t xml:space="preserve"> et al., 2021).</w:t>
      </w:r>
    </w:p>
    <w:p w14:paraId="694DD6A4" w14:textId="5F04621C" w:rsidR="003A7BE8" w:rsidRPr="00082A41" w:rsidRDefault="003A7BE8" w:rsidP="00CE2532">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Several recent findings have indicated that the present energy situation in Nigeria depends heavily on fossil fuels, as more than 85 per</w:t>
      </w:r>
      <w:r w:rsidR="00CC3834" w:rsidRPr="00082A41">
        <w:rPr>
          <w:rFonts w:ascii="Times New Roman" w:hAnsi="Times New Roman" w:cs="Times New Roman"/>
          <w:sz w:val="24"/>
          <w:szCs w:val="24"/>
        </w:rPr>
        <w:t xml:space="preserve"> </w:t>
      </w:r>
      <w:r w:rsidRPr="00082A41">
        <w:rPr>
          <w:rFonts w:ascii="Times New Roman" w:hAnsi="Times New Roman" w:cs="Times New Roman"/>
          <w:sz w:val="24"/>
          <w:szCs w:val="24"/>
        </w:rPr>
        <w:t>cent of energy generation is done by natural gas and diesel plants in Nigeria due to the inconsistent supply from the electric grid network (</w:t>
      </w:r>
      <w:proofErr w:type="spellStart"/>
      <w:r w:rsidRPr="00082A41">
        <w:rPr>
          <w:rFonts w:ascii="Times New Roman" w:hAnsi="Times New Roman" w:cs="Times New Roman"/>
          <w:sz w:val="24"/>
          <w:szCs w:val="24"/>
        </w:rPr>
        <w:t>Owebor</w:t>
      </w:r>
      <w:proofErr w:type="spellEnd"/>
      <w:r w:rsidRPr="00082A41">
        <w:rPr>
          <w:rFonts w:ascii="Times New Roman" w:hAnsi="Times New Roman" w:cs="Times New Roman"/>
          <w:sz w:val="24"/>
          <w:szCs w:val="24"/>
        </w:rPr>
        <w:t xml:space="preserve"> et al., 2025). This poses challenges to Nigeria in adopting cleaner energy sources since the country plans to achieve net zero emission targets by 2060.</w:t>
      </w:r>
    </w:p>
    <w:p w14:paraId="0B7504E8" w14:textId="4634B080" w:rsidR="00CE2532" w:rsidRPr="00082A41" w:rsidRDefault="007D234D" w:rsidP="00CE2532">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On the contrary, energy transition should not only be viewed as a challenge associated with technical and economic dimensions. According to </w:t>
      </w:r>
      <w:r w:rsidR="00CC3834" w:rsidRPr="00082A41">
        <w:rPr>
          <w:rFonts w:ascii="Times New Roman" w:hAnsi="Times New Roman" w:cs="Times New Roman"/>
          <w:sz w:val="24"/>
          <w:szCs w:val="24"/>
        </w:rPr>
        <w:t xml:space="preserve">the </w:t>
      </w:r>
      <w:r w:rsidRPr="00082A41">
        <w:rPr>
          <w:rFonts w:ascii="Times New Roman" w:hAnsi="Times New Roman" w:cs="Times New Roman"/>
          <w:sz w:val="24"/>
          <w:szCs w:val="24"/>
        </w:rPr>
        <w:t>literature, energy transition is a process driven by the issue of governance and politics; particularly, it takes place due to the stubbornness of fossil fuel within the politics and economics of institutions (</w:t>
      </w:r>
      <w:proofErr w:type="spellStart"/>
      <w:r w:rsidRPr="00082A41">
        <w:rPr>
          <w:rFonts w:ascii="Times New Roman" w:hAnsi="Times New Roman" w:cs="Times New Roman"/>
          <w:sz w:val="24"/>
          <w:szCs w:val="24"/>
        </w:rPr>
        <w:t>Idu</w:t>
      </w:r>
      <w:proofErr w:type="spellEnd"/>
      <w:r w:rsidRPr="00082A41">
        <w:rPr>
          <w:rFonts w:ascii="Times New Roman" w:hAnsi="Times New Roman" w:cs="Times New Roman"/>
          <w:sz w:val="24"/>
          <w:szCs w:val="24"/>
        </w:rPr>
        <w:t xml:space="preserve"> et al., 2025). In this connection, fossil fuel assumes significance in the politics and economics of Nigeria. </w:t>
      </w:r>
      <w:r w:rsidR="00CE2532" w:rsidRPr="00082A41">
        <w:rPr>
          <w:rFonts w:ascii="Times New Roman" w:hAnsi="Times New Roman" w:cs="Times New Roman"/>
          <w:sz w:val="24"/>
          <w:szCs w:val="24"/>
        </w:rPr>
        <w:t>Also, new research findings indicate that inertia in socio-political processes, non-enforcement of environmental laws, and insufficient stakeholder involvement remain obstacles for decarbonization processes in the energy sector of Nigeria (Ogbonna et al., 2023). This situation is especially acute for oil-rich states like Akwa Ibom State, as the local economy depends heavily on the extraction of fossil fuels amid environmental pollution.</w:t>
      </w:r>
      <w:r w:rsidRPr="00082A41">
        <w:rPr>
          <w:rFonts w:ascii="Times New Roman" w:hAnsi="Times New Roman" w:cs="Times New Roman"/>
          <w:sz w:val="24"/>
          <w:szCs w:val="24"/>
        </w:rPr>
        <w:t xml:space="preserve"> </w:t>
      </w:r>
      <w:r w:rsidR="00CE2532" w:rsidRPr="00082A41">
        <w:rPr>
          <w:rFonts w:ascii="Times New Roman" w:hAnsi="Times New Roman" w:cs="Times New Roman"/>
          <w:sz w:val="24"/>
          <w:szCs w:val="24"/>
        </w:rPr>
        <w:t>Thus, it is critical to examine socio-political constraints to develop effective decarbonization policies.</w:t>
      </w:r>
    </w:p>
    <w:p w14:paraId="4CBC3A44" w14:textId="77777777" w:rsidR="007D234D" w:rsidRPr="00082A41" w:rsidRDefault="007D234D" w:rsidP="00CE2532">
      <w:pPr>
        <w:spacing w:after="0" w:line="360" w:lineRule="auto"/>
        <w:jc w:val="both"/>
        <w:rPr>
          <w:rFonts w:ascii="Times New Roman" w:hAnsi="Times New Roman" w:cs="Times New Roman"/>
          <w:b/>
          <w:bCs/>
          <w:sz w:val="24"/>
          <w:szCs w:val="24"/>
        </w:rPr>
      </w:pPr>
    </w:p>
    <w:p w14:paraId="7432F4E5" w14:textId="19402445" w:rsidR="0053461A" w:rsidRPr="00082A41" w:rsidRDefault="0053461A" w:rsidP="00CE2532">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lastRenderedPageBreak/>
        <w:t>Statement of the Problem</w:t>
      </w:r>
    </w:p>
    <w:p w14:paraId="3AA1D994" w14:textId="3078A2EA" w:rsidR="007D234D" w:rsidRPr="00082A41" w:rsidRDefault="007D234D" w:rsidP="008F6418">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Despite Nigeria's promise of achieving zero emission</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 xml:space="preserve"> in 2060 as well as having different climate policies in effect, decarbonization has been significantly restricted. Particularly in oil-producing areas such as Akwa Ibom State. It is evident from the study results that Nigeria relies significantly on fossil fuel</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 xml:space="preserve"> for its energy production</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since more than 85% of electrical energy produced is through gas-fired generators</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while diesel-fired generators are used because there is inadequate energy supply (Ogbonna et al., 2023). The dependence of the institution on fossil fuel still obstructs climate change mitigation strategies. Despite the considerable body of literature available on financial and technological barriers for decarbonization initiatives, there have been fewer studies on socio-political barriers, particularly concerning Nigeria. Academic studies have highlighted that socio-political factors such as weak governance, policy implementation problems, and inconsistent policy formulation pose problems for energy transition in Nigeria (</w:t>
      </w:r>
      <w:proofErr w:type="spellStart"/>
      <w:r w:rsidRPr="00082A41">
        <w:rPr>
          <w:rFonts w:ascii="Times New Roman" w:hAnsi="Times New Roman" w:cs="Times New Roman"/>
          <w:sz w:val="24"/>
          <w:szCs w:val="24"/>
        </w:rPr>
        <w:t>Idu</w:t>
      </w:r>
      <w:proofErr w:type="spellEnd"/>
      <w:r w:rsidRPr="00082A41">
        <w:rPr>
          <w:rFonts w:ascii="Times New Roman" w:hAnsi="Times New Roman" w:cs="Times New Roman"/>
          <w:sz w:val="24"/>
          <w:szCs w:val="24"/>
        </w:rPr>
        <w:t xml:space="preserve"> et al., 2025). In the case of Akwa Ibom State, the situation is worsened by the significant contribution that oil makes to its economy, thus creating a conflict between environmental sustainability and employment security. Studies have shown that social and political inertia, limited stakeholder participation, and lack of proper implementation mechanisms prevent the use of low</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carbon energies (Ogbonna et al., 2023; Perri et al., 2024). As a result, the main question that will be considered in this research is the lack of understanding of how socio-political barriers limit decarbonization efforts in Akwa Ibom State. If Nigeria's broad climatic objectives are to be </w:t>
      </w:r>
      <w:proofErr w:type="spellStart"/>
      <w:r w:rsidRPr="00082A41">
        <w:rPr>
          <w:rFonts w:ascii="Times New Roman" w:hAnsi="Times New Roman" w:cs="Times New Roman"/>
          <w:sz w:val="24"/>
          <w:szCs w:val="24"/>
        </w:rPr>
        <w:t>reali</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ed</w:t>
      </w:r>
      <w:proofErr w:type="spellEnd"/>
      <w:r w:rsidRPr="00082A41">
        <w:rPr>
          <w:rFonts w:ascii="Times New Roman" w:hAnsi="Times New Roman" w:cs="Times New Roman"/>
          <w:sz w:val="24"/>
          <w:szCs w:val="24"/>
        </w:rPr>
        <w:t>, particularly in regions that depend entirely on fossil fuels, the above-given problems need to be addressed.</w:t>
      </w:r>
    </w:p>
    <w:p w14:paraId="35777E9B" w14:textId="3346B531" w:rsidR="00C654CB" w:rsidRPr="00082A41" w:rsidRDefault="00C654CB" w:rsidP="008F6418">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 xml:space="preserve">Aim of the Study </w:t>
      </w:r>
    </w:p>
    <w:p w14:paraId="64542D3C" w14:textId="13BC94DA" w:rsidR="00C654CB" w:rsidRPr="00082A41" w:rsidRDefault="00C654CB" w:rsidP="008F6418">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Th</w:t>
      </w:r>
      <w:r w:rsidR="00CC3834" w:rsidRPr="00082A41">
        <w:rPr>
          <w:rFonts w:ascii="Times New Roman" w:hAnsi="Times New Roman" w:cs="Times New Roman"/>
          <w:sz w:val="24"/>
          <w:szCs w:val="24"/>
        </w:rPr>
        <w:t>is study aimed</w:t>
      </w:r>
      <w:r w:rsidRPr="00082A41">
        <w:rPr>
          <w:rFonts w:ascii="Times New Roman" w:hAnsi="Times New Roman" w:cs="Times New Roman"/>
          <w:sz w:val="24"/>
          <w:szCs w:val="24"/>
        </w:rPr>
        <w:t xml:space="preserve"> to investigate the socio-political constraints on decarbonization in Akwa Ibom State, Nigeria. The specific objectives of the study are to:</w:t>
      </w:r>
    </w:p>
    <w:p w14:paraId="0C583968" w14:textId="77777777" w:rsidR="00C654CB" w:rsidRPr="00082A41" w:rsidRDefault="00C654CB" w:rsidP="008F6418">
      <w:pPr>
        <w:numPr>
          <w:ilvl w:val="0"/>
          <w:numId w:val="1"/>
        </w:numPr>
        <w:tabs>
          <w:tab w:val="clear" w:pos="360"/>
          <w:tab w:val="num" w:pos="720"/>
        </w:tabs>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Examine the major socio-political factors constraining the implementation of decarbonization policies in Akwa Ibom State, Nigeria. </w:t>
      </w:r>
    </w:p>
    <w:p w14:paraId="2F9EFFC2" w14:textId="77777777" w:rsidR="00C654CB" w:rsidRPr="00082A41" w:rsidRDefault="00C654CB" w:rsidP="008F6418">
      <w:pPr>
        <w:numPr>
          <w:ilvl w:val="0"/>
          <w:numId w:val="1"/>
        </w:numPr>
        <w:tabs>
          <w:tab w:val="clear" w:pos="360"/>
          <w:tab w:val="num" w:pos="720"/>
        </w:tabs>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Assess the influence of governance structures, political interests, and institutional frameworks on decarbonization efforts in Akwa Ibom State. </w:t>
      </w:r>
    </w:p>
    <w:p w14:paraId="048DF18B" w14:textId="31B3C04D" w:rsidR="00C654CB" w:rsidRPr="00082A41" w:rsidRDefault="00C654CB" w:rsidP="008F6418">
      <w:pPr>
        <w:numPr>
          <w:ilvl w:val="0"/>
          <w:numId w:val="1"/>
        </w:numPr>
        <w:tabs>
          <w:tab w:val="clear" w:pos="360"/>
          <w:tab w:val="num" w:pos="720"/>
        </w:tabs>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Evaluate the perceptions and roles of key stakeholders, including government actors, local communities, and industry stakeholders, in shaping decarbonization outcomes in Akwa Ibom State.</w:t>
      </w:r>
    </w:p>
    <w:p w14:paraId="11D04435" w14:textId="22C6A62F" w:rsidR="00C654CB" w:rsidRPr="00082A41" w:rsidRDefault="00C654CB" w:rsidP="008F6418">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Hypothesis</w:t>
      </w:r>
    </w:p>
    <w:p w14:paraId="27EDECF5" w14:textId="725336EF" w:rsidR="00E620ED" w:rsidRPr="00082A41" w:rsidRDefault="00E620ED" w:rsidP="008F6418">
      <w:pPr>
        <w:pStyle w:val="ListParagraph"/>
        <w:numPr>
          <w:ilvl w:val="0"/>
          <w:numId w:val="3"/>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lastRenderedPageBreak/>
        <w:t>There is no significant relationship between socio-political factors and the implementation of decarbonization policies in Akwa Ibom State, Nigeria.</w:t>
      </w:r>
    </w:p>
    <w:p w14:paraId="6782A6B9" w14:textId="6E8A816F" w:rsidR="00E620ED" w:rsidRPr="00082A41" w:rsidRDefault="00E620ED" w:rsidP="008F6418">
      <w:pPr>
        <w:pStyle w:val="ListParagraph"/>
        <w:numPr>
          <w:ilvl w:val="0"/>
          <w:numId w:val="3"/>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There is no significant relationship between governance structures, political interests, institutional frameworks, and decarbonization efforts in Akwa Ibom State, Nigeria.</w:t>
      </w:r>
    </w:p>
    <w:p w14:paraId="16806FD7" w14:textId="4B31979B" w:rsidR="00E620ED" w:rsidRPr="00082A41" w:rsidRDefault="00E620ED" w:rsidP="008F6418">
      <w:pPr>
        <w:pStyle w:val="ListParagraph"/>
        <w:numPr>
          <w:ilvl w:val="0"/>
          <w:numId w:val="3"/>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There is no significant relationship between stakeholder perceptions/roles (government, communities, and industry actors) and decarbonization outcomes in Akwa Ibom State, Nigeria.</w:t>
      </w:r>
    </w:p>
    <w:p w14:paraId="2401B01A" w14:textId="77777777" w:rsidR="005B1A20" w:rsidRPr="00082A41" w:rsidRDefault="005B1A20" w:rsidP="00DA6017">
      <w:pPr>
        <w:spacing w:after="0" w:line="360" w:lineRule="auto"/>
        <w:jc w:val="both"/>
        <w:rPr>
          <w:rFonts w:ascii="Times New Roman" w:hAnsi="Times New Roman" w:cs="Times New Roman"/>
          <w:sz w:val="24"/>
          <w:szCs w:val="24"/>
        </w:rPr>
      </w:pPr>
    </w:p>
    <w:p w14:paraId="7A1F8A83" w14:textId="0BA789E2" w:rsidR="00C231CE" w:rsidRPr="00082A41" w:rsidRDefault="00136913" w:rsidP="00C231CE">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STUDY AREA</w:t>
      </w:r>
    </w:p>
    <w:p w14:paraId="575F98D5" w14:textId="4A23849E" w:rsidR="00D0127A" w:rsidRPr="00082A41" w:rsidRDefault="00D0127A" w:rsidP="00D0127A">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noProof/>
          <w:sz w:val="24"/>
          <w:szCs w:val="24"/>
        </w:rPr>
        <w:drawing>
          <wp:inline distT="0" distB="0" distL="0" distR="0" wp14:anchorId="2CF89457" wp14:editId="601EB446">
            <wp:extent cx="5943600" cy="5867400"/>
            <wp:effectExtent l="0" t="0" r="0" b="0"/>
            <wp:docPr id="59210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867400"/>
                    </a:xfrm>
                    <a:prstGeom prst="rect">
                      <a:avLst/>
                    </a:prstGeom>
                    <a:noFill/>
                    <a:ln>
                      <a:noFill/>
                    </a:ln>
                  </pic:spPr>
                </pic:pic>
              </a:graphicData>
            </a:graphic>
          </wp:inline>
        </w:drawing>
      </w:r>
    </w:p>
    <w:p w14:paraId="39CF4D01" w14:textId="0A59F427" w:rsidR="00D0127A" w:rsidRPr="00082A41" w:rsidRDefault="00D0127A" w:rsidP="00D0127A">
      <w:pPr>
        <w:spacing w:before="240" w:line="240" w:lineRule="auto"/>
        <w:jc w:val="both"/>
        <w:rPr>
          <w:rFonts w:ascii="Times New Roman" w:eastAsia="Calibri" w:hAnsi="Times New Roman" w:cs="Times New Roman"/>
          <w:bCs/>
          <w:sz w:val="24"/>
          <w:szCs w:val="24"/>
        </w:rPr>
      </w:pPr>
      <w:r w:rsidRPr="00082A41">
        <w:rPr>
          <w:rFonts w:ascii="Times New Roman" w:eastAsia="Calibri" w:hAnsi="Times New Roman" w:cs="Times New Roman"/>
          <w:b/>
          <w:sz w:val="24"/>
          <w:szCs w:val="24"/>
        </w:rPr>
        <w:lastRenderedPageBreak/>
        <w:t xml:space="preserve">Figure 1: </w:t>
      </w:r>
      <w:bookmarkStart w:id="1" w:name="_Hlk196367577"/>
      <w:r w:rsidRPr="00082A41">
        <w:rPr>
          <w:rFonts w:ascii="Times New Roman" w:eastAsia="Calibri" w:hAnsi="Times New Roman" w:cs="Times New Roman"/>
          <w:bCs/>
          <w:sz w:val="24"/>
          <w:szCs w:val="24"/>
        </w:rPr>
        <w:t xml:space="preserve">Akwa Ibom State Showing Selected </w:t>
      </w:r>
      <w:bookmarkEnd w:id="1"/>
      <w:r w:rsidRPr="00082A41">
        <w:rPr>
          <w:rFonts w:ascii="Times New Roman" w:eastAsia="Calibri" w:hAnsi="Times New Roman" w:cs="Times New Roman"/>
          <w:bCs/>
          <w:sz w:val="24"/>
          <w:szCs w:val="24"/>
        </w:rPr>
        <w:t>Study LGAs</w:t>
      </w:r>
    </w:p>
    <w:p w14:paraId="60C9DF0D" w14:textId="2E87076A" w:rsidR="00D0127A" w:rsidRPr="00082A41" w:rsidRDefault="00D0127A" w:rsidP="00D0127A">
      <w:pPr>
        <w:spacing w:line="480" w:lineRule="auto"/>
        <w:jc w:val="both"/>
        <w:rPr>
          <w:rFonts w:ascii="Times New Roman" w:eastAsia="Calibri" w:hAnsi="Times New Roman" w:cs="Times New Roman"/>
          <w:sz w:val="24"/>
          <w:szCs w:val="24"/>
          <w:lang w:val="en-GB"/>
        </w:rPr>
      </w:pPr>
      <w:r w:rsidRPr="00082A41">
        <w:rPr>
          <w:rFonts w:ascii="Times New Roman" w:eastAsia="Calibri" w:hAnsi="Times New Roman" w:cs="Times New Roman"/>
          <w:b/>
          <w:bCs/>
          <w:sz w:val="24"/>
          <w:szCs w:val="24"/>
          <w:lang w:val="en-GB"/>
        </w:rPr>
        <w:t>Source:</w:t>
      </w:r>
      <w:r w:rsidRPr="00082A41">
        <w:rPr>
          <w:rFonts w:ascii="Times New Roman" w:eastAsia="Calibri" w:hAnsi="Times New Roman" w:cs="Times New Roman"/>
          <w:sz w:val="24"/>
          <w:szCs w:val="24"/>
          <w:lang w:val="en-GB"/>
        </w:rPr>
        <w:t xml:space="preserve"> Researcher’s Analysis, 2026</w:t>
      </w:r>
    </w:p>
    <w:p w14:paraId="0B818C04" w14:textId="56FF6336" w:rsidR="00136913" w:rsidRPr="00082A41" w:rsidRDefault="003E1270" w:rsidP="00F35C87">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Akwa Ibom State is located in the coastal southern part of Nigeria within the Niger Delta region. The selected study areas—</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Local Government Areas (LGAs) lie approximately between latitude 4°30′N to 5°30′N and longitude 7°30′E to 8°30′E. These LGAs are bounded by the Atlantic Ocean to the south, Cross River State to the east, Rivers State to the west, and other inland LGAs of Akwa Ibom State to the north. The study area is predominantly a coastal lowland environment, </w:t>
      </w:r>
      <w:proofErr w:type="spellStart"/>
      <w:r w:rsidRPr="00082A41">
        <w:rPr>
          <w:rFonts w:ascii="Times New Roman" w:hAnsi="Times New Roman" w:cs="Times New Roman"/>
          <w:sz w:val="24"/>
          <w:szCs w:val="24"/>
        </w:rPr>
        <w:t>characteri</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ed</w:t>
      </w:r>
      <w:proofErr w:type="spellEnd"/>
      <w:r w:rsidRPr="00082A41">
        <w:rPr>
          <w:rFonts w:ascii="Times New Roman" w:hAnsi="Times New Roman" w:cs="Times New Roman"/>
          <w:sz w:val="24"/>
          <w:szCs w:val="24"/>
        </w:rPr>
        <w:t xml:space="preserve"> by extensive mangrove swamps, creeks, estuaries, and tidal rivers that drain into the Atlantic Ocean. Major water bodies such as the Qua </w:t>
      </w:r>
      <w:proofErr w:type="spellStart"/>
      <w:r w:rsidRPr="00082A41">
        <w:rPr>
          <w:rFonts w:ascii="Times New Roman" w:hAnsi="Times New Roman" w:cs="Times New Roman"/>
          <w:sz w:val="24"/>
          <w:szCs w:val="24"/>
        </w:rPr>
        <w:t>Iboe</w:t>
      </w:r>
      <w:proofErr w:type="spellEnd"/>
      <w:r w:rsidRPr="00082A41">
        <w:rPr>
          <w:rFonts w:ascii="Times New Roman" w:hAnsi="Times New Roman" w:cs="Times New Roman"/>
          <w:sz w:val="24"/>
          <w:szCs w:val="24"/>
        </w:rPr>
        <w:t xml:space="preserve"> River and its tributaries support local livelihoods but are highly vulnerable to oil pollution. The terrain is generally flat and prone to flooding, particularly during the rainy season. </w:t>
      </w:r>
      <w:r w:rsidR="00F35C87" w:rsidRPr="00082A41">
        <w:rPr>
          <w:rFonts w:ascii="Times New Roman" w:hAnsi="Times New Roman" w:cs="Times New Roman"/>
          <w:sz w:val="24"/>
          <w:szCs w:val="24"/>
        </w:rPr>
        <w:t>There are two clear seasons of the year</w:t>
      </w:r>
      <w:r w:rsidR="00CC3834" w:rsidRPr="00082A41">
        <w:rPr>
          <w:rFonts w:ascii="Times New Roman" w:hAnsi="Times New Roman" w:cs="Times New Roman"/>
          <w:sz w:val="24"/>
          <w:szCs w:val="24"/>
        </w:rPr>
        <w:t>,</w:t>
      </w:r>
      <w:r w:rsidR="00F35C87" w:rsidRPr="00082A41">
        <w:rPr>
          <w:rFonts w:ascii="Times New Roman" w:hAnsi="Times New Roman" w:cs="Times New Roman"/>
          <w:sz w:val="24"/>
          <w:szCs w:val="24"/>
        </w:rPr>
        <w:t xml:space="preserve"> within which there exists a wet season, from April to October, and a dry season, from November to March. The annual precipitation ranges from 2,000 mm to 3,500 mm, thus marking it among the most humid regions in Nigeria. The vegetation consists mostly of mangrove swamps as well as freshwater swamp species, together with raffia palms. The soils have mostly alluvial and hydromorphic characteristics, waterlogged and rich in organic matter, yet very prone to erosion and pollution through oil spillage. The ecological sensitivity of the region is quite high due to proximity to offshore oil fields. The LGAs of </w:t>
      </w:r>
      <w:proofErr w:type="spellStart"/>
      <w:r w:rsidR="00F35C87" w:rsidRPr="00082A41">
        <w:rPr>
          <w:rFonts w:ascii="Times New Roman" w:hAnsi="Times New Roman" w:cs="Times New Roman"/>
          <w:sz w:val="24"/>
          <w:szCs w:val="24"/>
        </w:rPr>
        <w:t>Eket</w:t>
      </w:r>
      <w:proofErr w:type="spellEnd"/>
      <w:r w:rsidR="00F35C87" w:rsidRPr="00082A41">
        <w:rPr>
          <w:rFonts w:ascii="Times New Roman" w:hAnsi="Times New Roman" w:cs="Times New Roman"/>
          <w:sz w:val="24"/>
          <w:szCs w:val="24"/>
        </w:rPr>
        <w:t xml:space="preserve">, </w:t>
      </w:r>
      <w:proofErr w:type="spellStart"/>
      <w:r w:rsidR="00F35C87" w:rsidRPr="00082A41">
        <w:rPr>
          <w:rFonts w:ascii="Times New Roman" w:hAnsi="Times New Roman" w:cs="Times New Roman"/>
          <w:sz w:val="24"/>
          <w:szCs w:val="24"/>
        </w:rPr>
        <w:t>Ibeno</w:t>
      </w:r>
      <w:proofErr w:type="spellEnd"/>
      <w:r w:rsidR="00F35C87" w:rsidRPr="00082A41">
        <w:rPr>
          <w:rFonts w:ascii="Times New Roman" w:hAnsi="Times New Roman" w:cs="Times New Roman"/>
          <w:sz w:val="24"/>
          <w:szCs w:val="24"/>
        </w:rPr>
        <w:t xml:space="preserve">, and Eastern </w:t>
      </w:r>
      <w:proofErr w:type="spellStart"/>
      <w:r w:rsidR="00F35C87" w:rsidRPr="00082A41">
        <w:rPr>
          <w:rFonts w:ascii="Times New Roman" w:hAnsi="Times New Roman" w:cs="Times New Roman"/>
          <w:sz w:val="24"/>
          <w:szCs w:val="24"/>
        </w:rPr>
        <w:t>Obolo</w:t>
      </w:r>
      <w:proofErr w:type="spellEnd"/>
      <w:r w:rsidR="00F35C87" w:rsidRPr="00082A41">
        <w:rPr>
          <w:rFonts w:ascii="Times New Roman" w:hAnsi="Times New Roman" w:cs="Times New Roman"/>
          <w:sz w:val="24"/>
          <w:szCs w:val="24"/>
        </w:rPr>
        <w:t xml:space="preserve"> are one of the most prolific locations when it comes to oil and gas exploration in Akwa Ibom </w:t>
      </w:r>
      <w:r w:rsidR="00CC3834" w:rsidRPr="00082A41">
        <w:rPr>
          <w:rFonts w:ascii="Times New Roman" w:hAnsi="Times New Roman" w:cs="Times New Roman"/>
          <w:sz w:val="24"/>
          <w:szCs w:val="24"/>
        </w:rPr>
        <w:t>S</w:t>
      </w:r>
      <w:r w:rsidR="00F35C87" w:rsidRPr="00082A41">
        <w:rPr>
          <w:rFonts w:ascii="Times New Roman" w:hAnsi="Times New Roman" w:cs="Times New Roman"/>
          <w:sz w:val="24"/>
          <w:szCs w:val="24"/>
        </w:rPr>
        <w:t xml:space="preserve">tate. This makes the area face environmental problems like gas flaring, oil spills, and destruction of ecosystems. The main ethnic groups living in this area are Ibibio, </w:t>
      </w:r>
      <w:proofErr w:type="spellStart"/>
      <w:r w:rsidR="00F35C87" w:rsidRPr="00082A41">
        <w:rPr>
          <w:rFonts w:ascii="Times New Roman" w:hAnsi="Times New Roman" w:cs="Times New Roman"/>
          <w:sz w:val="24"/>
          <w:szCs w:val="24"/>
        </w:rPr>
        <w:t>Oron</w:t>
      </w:r>
      <w:proofErr w:type="spellEnd"/>
      <w:r w:rsidR="00F35C87" w:rsidRPr="00082A41">
        <w:rPr>
          <w:rFonts w:ascii="Times New Roman" w:hAnsi="Times New Roman" w:cs="Times New Roman"/>
          <w:sz w:val="24"/>
          <w:szCs w:val="24"/>
        </w:rPr>
        <w:t xml:space="preserve">, and </w:t>
      </w:r>
      <w:proofErr w:type="spellStart"/>
      <w:r w:rsidR="00F35C87" w:rsidRPr="00082A41">
        <w:rPr>
          <w:rFonts w:ascii="Times New Roman" w:hAnsi="Times New Roman" w:cs="Times New Roman"/>
          <w:sz w:val="24"/>
          <w:szCs w:val="24"/>
        </w:rPr>
        <w:t>Obolo</w:t>
      </w:r>
      <w:proofErr w:type="spellEnd"/>
      <w:r w:rsidR="00F35C87" w:rsidRPr="00082A41">
        <w:rPr>
          <w:rFonts w:ascii="Times New Roman" w:hAnsi="Times New Roman" w:cs="Times New Roman"/>
          <w:sz w:val="24"/>
          <w:szCs w:val="24"/>
        </w:rPr>
        <w:t>. The settlements are found alongside rivers. Fishing, agriculture, petty trading, and oil-based operations are some of the major economic activities in the LGA. The LGA</w:t>
      </w:r>
      <w:r w:rsidR="00CC3834" w:rsidRPr="00082A41">
        <w:rPr>
          <w:rFonts w:ascii="Times New Roman" w:hAnsi="Times New Roman" w:cs="Times New Roman"/>
          <w:sz w:val="24"/>
          <w:szCs w:val="24"/>
        </w:rPr>
        <w:t xml:space="preserve"> has</w:t>
      </w:r>
      <w:r w:rsidR="00F35C87" w:rsidRPr="00082A41">
        <w:rPr>
          <w:rFonts w:ascii="Times New Roman" w:hAnsi="Times New Roman" w:cs="Times New Roman"/>
          <w:sz w:val="24"/>
          <w:szCs w:val="24"/>
        </w:rPr>
        <w:t xml:space="preserve"> administrative wards</w:t>
      </w:r>
      <w:r w:rsidR="00CC3834" w:rsidRPr="00082A41">
        <w:rPr>
          <w:rFonts w:ascii="Times New Roman" w:hAnsi="Times New Roman" w:cs="Times New Roman"/>
          <w:sz w:val="24"/>
          <w:szCs w:val="24"/>
        </w:rPr>
        <w:t>,</w:t>
      </w:r>
      <w:r w:rsidR="00F35C87" w:rsidRPr="00082A41">
        <w:rPr>
          <w:rFonts w:ascii="Times New Roman" w:hAnsi="Times New Roman" w:cs="Times New Roman"/>
          <w:sz w:val="24"/>
          <w:szCs w:val="24"/>
        </w:rPr>
        <w:t xml:space="preserve"> while socio-political conflicts concerning resources and </w:t>
      </w:r>
      <w:r w:rsidR="00CC3834" w:rsidRPr="00082A41">
        <w:rPr>
          <w:rFonts w:ascii="Times New Roman" w:hAnsi="Times New Roman" w:cs="Times New Roman"/>
          <w:sz w:val="24"/>
          <w:szCs w:val="24"/>
        </w:rPr>
        <w:t xml:space="preserve">the </w:t>
      </w:r>
      <w:r w:rsidR="00F35C87" w:rsidRPr="00082A41">
        <w:rPr>
          <w:rFonts w:ascii="Times New Roman" w:hAnsi="Times New Roman" w:cs="Times New Roman"/>
          <w:sz w:val="24"/>
          <w:szCs w:val="24"/>
        </w:rPr>
        <w:t>environment make the area ideal for my study.</w:t>
      </w:r>
    </w:p>
    <w:p w14:paraId="45BA89D8" w14:textId="1548235E" w:rsidR="005B1A20" w:rsidRPr="00082A41" w:rsidRDefault="00136913" w:rsidP="00EA1BAC">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METHODOLOGY</w:t>
      </w:r>
    </w:p>
    <w:p w14:paraId="7FAF5D7E" w14:textId="1E941464" w:rsidR="005B1A20" w:rsidRPr="00082A41" w:rsidRDefault="005B1A20" w:rsidP="00EA1BAC">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This study employed a descriptive survey research design and focused on investigating socio-political constraints on decarbonization in Akwa Ibom State, Nigeria, with particular emphasis on </w:t>
      </w:r>
      <w:r w:rsidR="00925B4C" w:rsidRPr="00082A41">
        <w:rPr>
          <w:rFonts w:ascii="Times New Roman" w:hAnsi="Times New Roman" w:cs="Times New Roman"/>
          <w:sz w:val="24"/>
          <w:szCs w:val="24"/>
        </w:rPr>
        <w:t>three</w:t>
      </w:r>
      <w:r w:rsidRPr="00082A41">
        <w:rPr>
          <w:rFonts w:ascii="Times New Roman" w:hAnsi="Times New Roman" w:cs="Times New Roman"/>
          <w:sz w:val="24"/>
          <w:szCs w:val="24"/>
        </w:rPr>
        <w:t xml:space="preserve"> major oil and gas</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producing Local Government Areas (LGAs), namely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008F6418" w:rsidRPr="00082A41">
        <w:rPr>
          <w:rFonts w:ascii="Times New Roman" w:hAnsi="Times New Roman" w:cs="Times New Roman"/>
          <w:sz w:val="24"/>
          <w:szCs w:val="24"/>
        </w:rPr>
        <w:t>Ibeno</w:t>
      </w:r>
      <w:proofErr w:type="spellEnd"/>
      <w:r w:rsidR="008F6418" w:rsidRPr="00082A41">
        <w:rPr>
          <w:rFonts w:ascii="Times New Roman" w:hAnsi="Times New Roman" w:cs="Times New Roman"/>
          <w:sz w:val="24"/>
          <w:szCs w:val="24"/>
        </w:rPr>
        <w:t>, and</w:t>
      </w:r>
      <w:r w:rsidR="00925B4C" w:rsidRPr="00082A41">
        <w:rPr>
          <w:rFonts w:ascii="Times New Roman" w:hAnsi="Times New Roman" w:cs="Times New Roman"/>
          <w:sz w:val="24"/>
          <w:szCs w:val="24"/>
        </w:rPr>
        <w:t xml:space="preserve"> </w:t>
      </w:r>
      <w:r w:rsidRPr="00082A41">
        <w:rPr>
          <w:rFonts w:ascii="Times New Roman" w:hAnsi="Times New Roman" w:cs="Times New Roman"/>
          <w:sz w:val="24"/>
          <w:szCs w:val="24"/>
        </w:rPr>
        <w:t xml:space="preserve">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LGAs.</w:t>
      </w:r>
      <w:r w:rsidR="00334A2F" w:rsidRPr="00082A41">
        <w:rPr>
          <w:rFonts w:ascii="Times New Roman" w:hAnsi="Times New Roman" w:cs="Times New Roman"/>
          <w:sz w:val="24"/>
          <w:szCs w:val="24"/>
        </w:rPr>
        <w:t xml:space="preserve"> </w:t>
      </w:r>
      <w:r w:rsidRPr="00082A41">
        <w:rPr>
          <w:rFonts w:ascii="Times New Roman" w:hAnsi="Times New Roman" w:cs="Times New Roman"/>
          <w:sz w:val="24"/>
          <w:szCs w:val="24"/>
        </w:rPr>
        <w:t xml:space="preserve">The research adopted the use of both primary and secondary data sources. Primary data was obtained through household surveys, stakeholder questionnaires, and field </w:t>
      </w:r>
      <w:r w:rsidRPr="00082A41">
        <w:rPr>
          <w:rFonts w:ascii="Times New Roman" w:hAnsi="Times New Roman" w:cs="Times New Roman"/>
          <w:sz w:val="24"/>
          <w:szCs w:val="24"/>
        </w:rPr>
        <w:lastRenderedPageBreak/>
        <w:t>observations, while secondary data was obtained through a desktop review of relevant literature, including peer-reviewed journals, policy documents, and reports from institutions such as the IPCC, World Bank, and International Energy Agency (IEA), as well as Nigerian environmental and petroleum regulatory agencies.</w:t>
      </w:r>
      <w:r w:rsidR="00334A2F" w:rsidRPr="00082A41">
        <w:rPr>
          <w:rFonts w:ascii="Times New Roman" w:hAnsi="Times New Roman" w:cs="Times New Roman"/>
          <w:sz w:val="24"/>
          <w:szCs w:val="24"/>
        </w:rPr>
        <w:t xml:space="preserve"> </w:t>
      </w:r>
      <w:r w:rsidRPr="00082A41">
        <w:rPr>
          <w:rFonts w:ascii="Times New Roman" w:hAnsi="Times New Roman" w:cs="Times New Roman"/>
          <w:sz w:val="24"/>
          <w:szCs w:val="24"/>
        </w:rPr>
        <w:t>The main instrument for data collection was a structured questionnaire, designed on a f</w:t>
      </w:r>
      <w:r w:rsidR="00EA1BAC" w:rsidRPr="00082A41">
        <w:rPr>
          <w:rFonts w:ascii="Times New Roman" w:hAnsi="Times New Roman" w:cs="Times New Roman"/>
          <w:sz w:val="24"/>
          <w:szCs w:val="24"/>
        </w:rPr>
        <w:t>our</w:t>
      </w:r>
      <w:r w:rsidRPr="00082A41">
        <w:rPr>
          <w:rFonts w:ascii="Times New Roman" w:hAnsi="Times New Roman" w:cs="Times New Roman"/>
          <w:sz w:val="24"/>
          <w:szCs w:val="24"/>
        </w:rPr>
        <w:t xml:space="preserve">-point Likert scale and scored as follows: Strongly Agree (SA = </w:t>
      </w:r>
      <w:r w:rsidR="00EA1BAC" w:rsidRPr="00082A41">
        <w:rPr>
          <w:rFonts w:ascii="Times New Roman" w:hAnsi="Times New Roman" w:cs="Times New Roman"/>
          <w:sz w:val="24"/>
          <w:szCs w:val="24"/>
        </w:rPr>
        <w:t>4</w:t>
      </w:r>
      <w:r w:rsidRPr="00082A41">
        <w:rPr>
          <w:rFonts w:ascii="Times New Roman" w:hAnsi="Times New Roman" w:cs="Times New Roman"/>
          <w:sz w:val="24"/>
          <w:szCs w:val="24"/>
        </w:rPr>
        <w:t xml:space="preserve">), Agree (A = </w:t>
      </w:r>
      <w:r w:rsidR="00EA1BAC" w:rsidRPr="00082A41">
        <w:rPr>
          <w:rFonts w:ascii="Times New Roman" w:hAnsi="Times New Roman" w:cs="Times New Roman"/>
          <w:sz w:val="24"/>
          <w:szCs w:val="24"/>
        </w:rPr>
        <w:t>3</w:t>
      </w:r>
      <w:r w:rsidRPr="00082A41">
        <w:rPr>
          <w:rFonts w:ascii="Times New Roman" w:hAnsi="Times New Roman" w:cs="Times New Roman"/>
          <w:sz w:val="24"/>
          <w:szCs w:val="24"/>
        </w:rPr>
        <w:t>), Disagree (D = 2), and Strongly Disagree (SD = 1). The questionnaire captured data on socio-political constraints, governance and institutional influences, stakeholder roles, and decarbonization outcomes. Field observation was also used to complement questionnaire responses, particularly in assessing environmental and socio-economic conditions within oil-producing communities.</w:t>
      </w:r>
      <w:r w:rsidR="00334A2F" w:rsidRPr="00082A41">
        <w:rPr>
          <w:rFonts w:ascii="Times New Roman" w:hAnsi="Times New Roman" w:cs="Times New Roman"/>
          <w:sz w:val="24"/>
          <w:szCs w:val="24"/>
        </w:rPr>
        <w:t xml:space="preserve"> </w:t>
      </w:r>
      <w:r w:rsidRPr="00082A41">
        <w:rPr>
          <w:rFonts w:ascii="Times New Roman" w:hAnsi="Times New Roman" w:cs="Times New Roman"/>
          <w:sz w:val="24"/>
          <w:szCs w:val="24"/>
        </w:rPr>
        <w:t xml:space="preserve">The questionnaire was administered to a total of </w:t>
      </w:r>
      <w:r w:rsidR="001B4112" w:rsidRPr="00082A41">
        <w:rPr>
          <w:rFonts w:ascii="Times New Roman" w:hAnsi="Times New Roman" w:cs="Times New Roman"/>
          <w:sz w:val="24"/>
          <w:szCs w:val="24"/>
        </w:rPr>
        <w:t>15</w:t>
      </w:r>
      <w:r w:rsidRPr="00082A41">
        <w:rPr>
          <w:rFonts w:ascii="Times New Roman" w:hAnsi="Times New Roman" w:cs="Times New Roman"/>
          <w:sz w:val="24"/>
          <w:szCs w:val="24"/>
        </w:rPr>
        <w:t xml:space="preserve">0 respondents across the </w:t>
      </w:r>
      <w:r w:rsidR="001B4112" w:rsidRPr="00082A41">
        <w:rPr>
          <w:rFonts w:ascii="Times New Roman" w:hAnsi="Times New Roman" w:cs="Times New Roman"/>
          <w:sz w:val="24"/>
          <w:szCs w:val="24"/>
        </w:rPr>
        <w:t>three</w:t>
      </w:r>
      <w:r w:rsidRPr="00082A41">
        <w:rPr>
          <w:rFonts w:ascii="Times New Roman" w:hAnsi="Times New Roman" w:cs="Times New Roman"/>
          <w:sz w:val="24"/>
          <w:szCs w:val="24"/>
        </w:rPr>
        <w:t xml:space="preserve"> selected LGAs. A multi-stage sampling technique was employed. First, the study area was purposively selected based on high oil and gas activities. Second, the population was stratified into the </w:t>
      </w:r>
      <w:r w:rsidR="001B4112" w:rsidRPr="00082A41">
        <w:rPr>
          <w:rFonts w:ascii="Times New Roman" w:hAnsi="Times New Roman" w:cs="Times New Roman"/>
          <w:sz w:val="24"/>
          <w:szCs w:val="24"/>
        </w:rPr>
        <w:t>three</w:t>
      </w:r>
      <w:r w:rsidRPr="00082A41">
        <w:rPr>
          <w:rFonts w:ascii="Times New Roman" w:hAnsi="Times New Roman" w:cs="Times New Roman"/>
          <w:sz w:val="24"/>
          <w:szCs w:val="24"/>
        </w:rPr>
        <w:t xml:space="preserve"> LGAs: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w:t>
      </w:r>
      <w:r w:rsidR="001B4112" w:rsidRPr="00082A41">
        <w:rPr>
          <w:rFonts w:ascii="Times New Roman" w:hAnsi="Times New Roman" w:cs="Times New Roman"/>
          <w:sz w:val="24"/>
          <w:szCs w:val="24"/>
        </w:rPr>
        <w:t xml:space="preserve">and </w:t>
      </w:r>
      <w:r w:rsidRPr="00082A41">
        <w:rPr>
          <w:rFonts w:ascii="Times New Roman" w:hAnsi="Times New Roman" w:cs="Times New Roman"/>
          <w:sz w:val="24"/>
          <w:szCs w:val="24"/>
        </w:rPr>
        <w:t xml:space="preserve">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Third, respondents were further stratified into key stakeholder groups, including government officials, oil and gas workers, community leaders, and residents of host communities. Within each LGA, respondents were randomly selected to ensure equal representation and reduce sampling bias. Each LGA was allocated 50 respondents, resulting in a total of </w:t>
      </w:r>
      <w:r w:rsidR="00925B4C" w:rsidRPr="00082A41">
        <w:rPr>
          <w:rFonts w:ascii="Times New Roman" w:hAnsi="Times New Roman" w:cs="Times New Roman"/>
          <w:sz w:val="24"/>
          <w:szCs w:val="24"/>
        </w:rPr>
        <w:t>15</w:t>
      </w:r>
      <w:r w:rsidRPr="00082A41">
        <w:rPr>
          <w:rFonts w:ascii="Times New Roman" w:hAnsi="Times New Roman" w:cs="Times New Roman"/>
          <w:sz w:val="24"/>
          <w:szCs w:val="24"/>
        </w:rPr>
        <w:t>0 respondents.</w:t>
      </w:r>
      <w:r w:rsidR="00334A2F" w:rsidRPr="00082A41">
        <w:rPr>
          <w:rFonts w:ascii="Times New Roman" w:hAnsi="Times New Roman" w:cs="Times New Roman"/>
          <w:sz w:val="24"/>
          <w:szCs w:val="24"/>
        </w:rPr>
        <w:t xml:space="preserve"> </w:t>
      </w:r>
      <w:r w:rsidRPr="00082A41">
        <w:rPr>
          <w:rFonts w:ascii="Times New Roman" w:hAnsi="Times New Roman" w:cs="Times New Roman"/>
          <w:sz w:val="24"/>
          <w:szCs w:val="24"/>
        </w:rPr>
        <w:t>The reliability of the research instrument was established using the Cronbach Alpha Coefficient method, which yielded a reliability index of 0.83, indicating high internal consistency of the questionnaire items.</w:t>
      </w:r>
      <w:r w:rsidR="00334A2F" w:rsidRPr="00082A41">
        <w:rPr>
          <w:rFonts w:ascii="Times New Roman" w:hAnsi="Times New Roman" w:cs="Times New Roman"/>
          <w:sz w:val="24"/>
          <w:szCs w:val="24"/>
        </w:rPr>
        <w:t xml:space="preserve"> </w:t>
      </w:r>
      <w:r w:rsidRPr="00082A41">
        <w:rPr>
          <w:rFonts w:ascii="Times New Roman" w:hAnsi="Times New Roman" w:cs="Times New Roman"/>
          <w:sz w:val="24"/>
          <w:szCs w:val="24"/>
        </w:rPr>
        <w:t xml:space="preserve">Data collected were coded, processed, and </w:t>
      </w:r>
      <w:proofErr w:type="spellStart"/>
      <w:r w:rsidRPr="00082A41">
        <w:rPr>
          <w:rFonts w:ascii="Times New Roman" w:hAnsi="Times New Roman" w:cs="Times New Roman"/>
          <w:sz w:val="24"/>
          <w:szCs w:val="24"/>
        </w:rPr>
        <w:t>analy</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ed</w:t>
      </w:r>
      <w:proofErr w:type="spellEnd"/>
      <w:r w:rsidRPr="00082A41">
        <w:rPr>
          <w:rFonts w:ascii="Times New Roman" w:hAnsi="Times New Roman" w:cs="Times New Roman"/>
          <w:sz w:val="24"/>
          <w:szCs w:val="24"/>
        </w:rPr>
        <w:t xml:space="preserve"> using the Statistical Package for Social Sciences (SPSS). Descriptive statistics such as frequency distribution, percentages, mean, and standard deviation were used to answer the research questions. Inferential statistics, including Pearson Product</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Moment Correlation (PPMC) and Multiple Regression Analysis, were used to test the hypotheses at a 0.05 level of significance.</w:t>
      </w:r>
    </w:p>
    <w:p w14:paraId="05A29566" w14:textId="77777777" w:rsidR="005B1A20" w:rsidRPr="00082A41" w:rsidRDefault="005B1A20" w:rsidP="00EA1BAC">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Model Specification</w:t>
      </w:r>
    </w:p>
    <w:p w14:paraId="494A2FD0" w14:textId="77777777" w:rsidR="005B1A20" w:rsidRPr="00082A41" w:rsidRDefault="005B1A20" w:rsidP="00EA1BAC">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The functional relationship for the study is expressed as:</w:t>
      </w:r>
    </w:p>
    <w:p w14:paraId="646811FA" w14:textId="6726C942" w:rsidR="005B1A20" w:rsidRPr="00082A41" w:rsidRDefault="005B1A20" w:rsidP="00EA1BA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DEC=f(SPF,GIN,STR)</m:t>
          </m:r>
          <m:r>
            <m:rPr>
              <m:sty m:val="p"/>
            </m:rPr>
            <w:rPr>
              <w:rFonts w:ascii="Times New Roman" w:hAnsi="Times New Roman" w:cs="Times New Roman"/>
              <w:sz w:val="24"/>
              <w:szCs w:val="24"/>
            </w:rPr>
            <w:br/>
          </m:r>
        </m:oMath>
      </m:oMathPara>
      <w:r w:rsidRPr="00082A41">
        <w:rPr>
          <w:rFonts w:ascii="Times New Roman" w:hAnsi="Times New Roman" w:cs="Times New Roman"/>
          <w:sz w:val="24"/>
          <w:szCs w:val="24"/>
        </w:rPr>
        <w:t>Where:</w:t>
      </w:r>
    </w:p>
    <w:p w14:paraId="078680BC" w14:textId="77777777" w:rsidR="005B1A20" w:rsidRPr="00082A41" w:rsidRDefault="005B1A20" w:rsidP="00EA1BAC">
      <w:pPr>
        <w:numPr>
          <w:ilvl w:val="0"/>
          <w:numId w:val="4"/>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DEC = Decarbonization outcomes </w:t>
      </w:r>
    </w:p>
    <w:p w14:paraId="4E0568C3" w14:textId="77777777" w:rsidR="005B1A20" w:rsidRPr="00082A41" w:rsidRDefault="005B1A20" w:rsidP="00EA1BAC">
      <w:pPr>
        <w:numPr>
          <w:ilvl w:val="0"/>
          <w:numId w:val="4"/>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SPF = Socio-political factors </w:t>
      </w:r>
    </w:p>
    <w:p w14:paraId="4090F115" w14:textId="77777777" w:rsidR="005B1A20" w:rsidRPr="00082A41" w:rsidRDefault="005B1A20" w:rsidP="00EA1BAC">
      <w:pPr>
        <w:numPr>
          <w:ilvl w:val="0"/>
          <w:numId w:val="4"/>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GIN = Governance and institutional influence </w:t>
      </w:r>
    </w:p>
    <w:p w14:paraId="137D9038" w14:textId="77777777" w:rsidR="005B1A20" w:rsidRPr="00082A41" w:rsidRDefault="005B1A20" w:rsidP="00EA1BAC">
      <w:pPr>
        <w:numPr>
          <w:ilvl w:val="0"/>
          <w:numId w:val="4"/>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STR = Stakeholder roles </w:t>
      </w:r>
    </w:p>
    <w:p w14:paraId="531262CC" w14:textId="77777777" w:rsidR="005B1A20" w:rsidRPr="00082A41" w:rsidRDefault="005B1A20" w:rsidP="00EA1BAC">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lastRenderedPageBreak/>
        <w:t>The econometric model is specified as:</w:t>
      </w:r>
    </w:p>
    <w:p w14:paraId="592E6415" w14:textId="5603E5E2" w:rsidR="005B1A20" w:rsidRPr="00082A41" w:rsidRDefault="005B1A20" w:rsidP="00EA1BAC">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DEC=</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SPF+</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GIN+</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STR+μ</m:t>
          </m:r>
          <m:r>
            <m:rPr>
              <m:sty m:val="p"/>
            </m:rPr>
            <w:rPr>
              <w:rFonts w:ascii="Times New Roman" w:hAnsi="Times New Roman" w:cs="Times New Roman"/>
              <w:sz w:val="24"/>
              <w:szCs w:val="24"/>
            </w:rPr>
            <w:br/>
          </m:r>
        </m:oMath>
      </m:oMathPara>
      <w:r w:rsidRPr="00082A41">
        <w:rPr>
          <w:rFonts w:ascii="Times New Roman" w:hAnsi="Times New Roman" w:cs="Times New Roman"/>
          <w:sz w:val="24"/>
          <w:szCs w:val="24"/>
        </w:rPr>
        <w:t>Where:</w:t>
      </w:r>
    </w:p>
    <w:p w14:paraId="63C2551D" w14:textId="77777777" w:rsidR="005B1A20" w:rsidRPr="00082A41" w:rsidRDefault="005B1A20" w:rsidP="00EA1BAC">
      <w:pPr>
        <w:numPr>
          <w:ilvl w:val="0"/>
          <w:numId w:val="5"/>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β₀ = constant </w:t>
      </w:r>
    </w:p>
    <w:p w14:paraId="3148316C" w14:textId="77777777" w:rsidR="005B1A20" w:rsidRPr="00082A41" w:rsidRDefault="005B1A20" w:rsidP="00EA1BAC">
      <w:pPr>
        <w:numPr>
          <w:ilvl w:val="0"/>
          <w:numId w:val="5"/>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β₁–β₃ = coefficients of explanatory variables </w:t>
      </w:r>
    </w:p>
    <w:p w14:paraId="399CC7B0" w14:textId="77777777" w:rsidR="005B1A20" w:rsidRPr="00082A41" w:rsidRDefault="005B1A20" w:rsidP="00EA1BAC">
      <w:pPr>
        <w:numPr>
          <w:ilvl w:val="0"/>
          <w:numId w:val="5"/>
        </w:num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μ = error term </w:t>
      </w:r>
    </w:p>
    <w:p w14:paraId="4EA58167" w14:textId="77777777" w:rsidR="005B1A20" w:rsidRPr="00082A41" w:rsidRDefault="005B1A20" w:rsidP="00EA1BAC">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Ethical Consideration</w:t>
      </w:r>
    </w:p>
    <w:p w14:paraId="3E623DC9" w14:textId="77777777" w:rsidR="005B1A20" w:rsidRPr="00082A41" w:rsidRDefault="005B1A20" w:rsidP="00EA1BAC">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Respondents’ participation was voluntary, and confidentiality of responses was assured. Data collected were used strictly for academic purposes.</w:t>
      </w:r>
    </w:p>
    <w:p w14:paraId="59E91B0A" w14:textId="77777777" w:rsidR="005B1A20" w:rsidRPr="00082A41" w:rsidRDefault="005B1A20" w:rsidP="00EA1BAC">
      <w:pPr>
        <w:spacing w:after="0"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Limitations of the Study</w:t>
      </w:r>
    </w:p>
    <w:p w14:paraId="5A38F0A7" w14:textId="31DF020B" w:rsidR="00334A2F" w:rsidRPr="00082A41" w:rsidRDefault="005B1A20" w:rsidP="00A209D4">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The study is limited to the </w:t>
      </w:r>
      <w:r w:rsidR="00925B4C" w:rsidRPr="00082A41">
        <w:rPr>
          <w:rFonts w:ascii="Times New Roman" w:hAnsi="Times New Roman" w:cs="Times New Roman"/>
          <w:sz w:val="24"/>
          <w:szCs w:val="24"/>
        </w:rPr>
        <w:t>three</w:t>
      </w:r>
      <w:r w:rsidRPr="00082A41">
        <w:rPr>
          <w:rFonts w:ascii="Times New Roman" w:hAnsi="Times New Roman" w:cs="Times New Roman"/>
          <w:sz w:val="24"/>
          <w:szCs w:val="24"/>
        </w:rPr>
        <w:t xml:space="preserve"> selected oil and gas producing LGAs in Akwa Ibom State and does not extend to other LGAs or Niger Delta states. It is also limited to perceptual data obtained through questionnaires and field observation, which may not fully capture institutional complexities; however, triangulation of data sources was used to enhance </w:t>
      </w:r>
      <w:r w:rsidR="00CC3834" w:rsidRPr="00082A41">
        <w:rPr>
          <w:rFonts w:ascii="Times New Roman" w:hAnsi="Times New Roman" w:cs="Times New Roman"/>
          <w:sz w:val="24"/>
          <w:szCs w:val="24"/>
        </w:rPr>
        <w:t xml:space="preserve">the </w:t>
      </w:r>
      <w:r w:rsidRPr="00082A41">
        <w:rPr>
          <w:rFonts w:ascii="Times New Roman" w:hAnsi="Times New Roman" w:cs="Times New Roman"/>
          <w:sz w:val="24"/>
          <w:szCs w:val="24"/>
        </w:rPr>
        <w:t>validity and reliability of findings.</w:t>
      </w:r>
      <w:bookmarkStart w:id="2" w:name="_Hlk227863908"/>
    </w:p>
    <w:p w14:paraId="1E94F476" w14:textId="77777777" w:rsidR="00A209D4" w:rsidRPr="00082A41" w:rsidRDefault="00A209D4" w:rsidP="00377036">
      <w:pPr>
        <w:spacing w:after="0" w:line="480" w:lineRule="auto"/>
        <w:rPr>
          <w:rFonts w:ascii="Times New Roman" w:eastAsia="Times New Roman" w:hAnsi="Times New Roman" w:cs="Times New Roman"/>
          <w:b/>
          <w:bCs/>
          <w:sz w:val="24"/>
          <w:szCs w:val="24"/>
        </w:rPr>
      </w:pPr>
    </w:p>
    <w:p w14:paraId="38E0A8D9" w14:textId="67719F3C" w:rsidR="00377036" w:rsidRPr="00082A41" w:rsidRDefault="00136913" w:rsidP="00082A41">
      <w:pPr>
        <w:spacing w:after="0" w:line="360" w:lineRule="auto"/>
        <w:rPr>
          <w:rFonts w:ascii="Times New Roman" w:eastAsia="Times New Roman" w:hAnsi="Times New Roman" w:cs="Times New Roman"/>
          <w:b/>
          <w:sz w:val="24"/>
          <w:szCs w:val="24"/>
        </w:rPr>
      </w:pPr>
      <w:r w:rsidRPr="00082A41">
        <w:rPr>
          <w:rFonts w:ascii="Times New Roman" w:eastAsia="Times New Roman" w:hAnsi="Times New Roman" w:cs="Times New Roman"/>
          <w:b/>
          <w:bCs/>
          <w:sz w:val="24"/>
          <w:szCs w:val="24"/>
        </w:rPr>
        <w:t xml:space="preserve">RESULT </w:t>
      </w:r>
    </w:p>
    <w:p w14:paraId="7C67E7E9" w14:textId="1DBA6B78" w:rsidR="00623CD4" w:rsidRPr="00082A41" w:rsidRDefault="00377036" w:rsidP="00082A41">
      <w:pPr>
        <w:spacing w:after="0" w:line="360" w:lineRule="auto"/>
        <w:rPr>
          <w:rFonts w:ascii="Times New Roman" w:eastAsia="Times New Roman" w:hAnsi="Times New Roman" w:cs="Times New Roman"/>
          <w:b/>
          <w:sz w:val="24"/>
          <w:szCs w:val="24"/>
        </w:rPr>
      </w:pPr>
      <w:r w:rsidRPr="00082A41">
        <w:rPr>
          <w:rFonts w:ascii="Times New Roman" w:eastAsia="Times New Roman" w:hAnsi="Times New Roman" w:cs="Times New Roman"/>
          <w:b/>
          <w:bCs/>
          <w:sz w:val="24"/>
          <w:szCs w:val="24"/>
        </w:rPr>
        <w:t xml:space="preserve">Demographic characteristics of the Respondents </w:t>
      </w:r>
    </w:p>
    <w:p w14:paraId="681935A0" w14:textId="77777777" w:rsidR="00623CD4" w:rsidRPr="00082A41" w:rsidRDefault="00623CD4" w:rsidP="00082A41">
      <w:pPr>
        <w:tabs>
          <w:tab w:val="left" w:pos="8385"/>
        </w:tabs>
        <w:spacing w:line="360" w:lineRule="auto"/>
        <w:jc w:val="both"/>
        <w:rPr>
          <w:rFonts w:ascii="Times New Roman" w:eastAsia="Times New Roman" w:hAnsi="Times New Roman" w:cs="Times New Roman"/>
          <w:b/>
        </w:rPr>
      </w:pPr>
      <w:r w:rsidRPr="00082A41">
        <w:rPr>
          <w:rFonts w:ascii="Times New Roman" w:eastAsia="Times New Roman" w:hAnsi="Times New Roman" w:cs="Times New Roman"/>
          <w:b/>
        </w:rPr>
        <w:t xml:space="preserve">Table 1: Profile of Sampled Respondents </w:t>
      </w:r>
      <w:r w:rsidRPr="00082A41">
        <w:rPr>
          <w:rFonts w:ascii="Times New Roman" w:eastAsia="Times New Roman" w:hAnsi="Times New Roman" w:cs="Times New Roman"/>
          <w:b/>
        </w:rPr>
        <w:tab/>
      </w:r>
    </w:p>
    <w:tbl>
      <w:tblPr>
        <w:tblW w:w="9765" w:type="dxa"/>
        <w:jc w:val="center"/>
        <w:tblBorders>
          <w:top w:val="single" w:sz="4" w:space="0" w:color="auto"/>
          <w:bottom w:val="single" w:sz="4" w:space="0" w:color="auto"/>
        </w:tblBorders>
        <w:tblLayout w:type="fixed"/>
        <w:tblLook w:val="04A0" w:firstRow="1" w:lastRow="0" w:firstColumn="1" w:lastColumn="0" w:noHBand="0" w:noVBand="1"/>
      </w:tblPr>
      <w:tblGrid>
        <w:gridCol w:w="630"/>
        <w:gridCol w:w="4408"/>
        <w:gridCol w:w="2042"/>
        <w:gridCol w:w="1323"/>
        <w:gridCol w:w="1362"/>
      </w:tblGrid>
      <w:tr w:rsidR="00082A41" w:rsidRPr="00082A41" w14:paraId="44A0328D" w14:textId="77777777" w:rsidTr="00136913">
        <w:trPr>
          <w:trHeight w:val="143"/>
          <w:jc w:val="center"/>
        </w:trPr>
        <w:tc>
          <w:tcPr>
            <w:tcW w:w="630" w:type="dxa"/>
            <w:tcBorders>
              <w:top w:val="single" w:sz="4" w:space="0" w:color="auto"/>
              <w:bottom w:val="single" w:sz="4" w:space="0" w:color="auto"/>
            </w:tcBorders>
            <w:hideMark/>
          </w:tcPr>
          <w:p w14:paraId="2A2B2B5F"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S/N</w:t>
            </w:r>
          </w:p>
        </w:tc>
        <w:tc>
          <w:tcPr>
            <w:tcW w:w="4410" w:type="dxa"/>
            <w:tcBorders>
              <w:top w:val="single" w:sz="4" w:space="0" w:color="auto"/>
              <w:bottom w:val="single" w:sz="4" w:space="0" w:color="auto"/>
            </w:tcBorders>
            <w:hideMark/>
          </w:tcPr>
          <w:p w14:paraId="552B92BC"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Variables</w:t>
            </w:r>
          </w:p>
          <w:p w14:paraId="03A90B1F"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State</w:t>
            </w:r>
          </w:p>
        </w:tc>
        <w:tc>
          <w:tcPr>
            <w:tcW w:w="2043" w:type="dxa"/>
            <w:tcBorders>
              <w:top w:val="single" w:sz="4" w:space="0" w:color="auto"/>
              <w:bottom w:val="single" w:sz="4" w:space="0" w:color="auto"/>
            </w:tcBorders>
            <w:hideMark/>
          </w:tcPr>
          <w:p w14:paraId="071C490E"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Option</w:t>
            </w:r>
          </w:p>
        </w:tc>
        <w:tc>
          <w:tcPr>
            <w:tcW w:w="1324" w:type="dxa"/>
            <w:tcBorders>
              <w:top w:val="single" w:sz="4" w:space="0" w:color="auto"/>
              <w:bottom w:val="single" w:sz="4" w:space="0" w:color="auto"/>
            </w:tcBorders>
            <w:hideMark/>
          </w:tcPr>
          <w:p w14:paraId="632B58AE"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Frequency</w:t>
            </w:r>
          </w:p>
        </w:tc>
        <w:tc>
          <w:tcPr>
            <w:tcW w:w="1363" w:type="dxa"/>
            <w:tcBorders>
              <w:top w:val="single" w:sz="4" w:space="0" w:color="auto"/>
              <w:bottom w:val="single" w:sz="4" w:space="0" w:color="auto"/>
            </w:tcBorders>
            <w:hideMark/>
          </w:tcPr>
          <w:p w14:paraId="10F5E6B4"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Percentage %</w:t>
            </w:r>
          </w:p>
        </w:tc>
      </w:tr>
      <w:tr w:rsidR="00082A41" w:rsidRPr="00082A41" w14:paraId="18024DDB" w14:textId="77777777" w:rsidTr="00136913">
        <w:trPr>
          <w:trHeight w:val="135"/>
          <w:jc w:val="center"/>
        </w:trPr>
        <w:tc>
          <w:tcPr>
            <w:tcW w:w="630" w:type="dxa"/>
            <w:vMerge w:val="restart"/>
            <w:tcBorders>
              <w:top w:val="single" w:sz="4" w:space="0" w:color="auto"/>
            </w:tcBorders>
            <w:vAlign w:val="center"/>
          </w:tcPr>
          <w:p w14:paraId="50C016A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p w14:paraId="7432C150"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1</w:t>
            </w:r>
          </w:p>
        </w:tc>
        <w:tc>
          <w:tcPr>
            <w:tcW w:w="4410" w:type="dxa"/>
            <w:vMerge w:val="restart"/>
            <w:tcBorders>
              <w:top w:val="single" w:sz="4" w:space="0" w:color="auto"/>
            </w:tcBorders>
            <w:vAlign w:val="center"/>
          </w:tcPr>
          <w:p w14:paraId="5A2F0B6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p w14:paraId="59D64E0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 xml:space="preserve">Gender </w:t>
            </w:r>
          </w:p>
        </w:tc>
        <w:tc>
          <w:tcPr>
            <w:tcW w:w="2043" w:type="dxa"/>
            <w:tcBorders>
              <w:top w:val="single" w:sz="4" w:space="0" w:color="auto"/>
            </w:tcBorders>
            <w:hideMark/>
          </w:tcPr>
          <w:p w14:paraId="0D7D59C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Male</w:t>
            </w:r>
          </w:p>
        </w:tc>
        <w:tc>
          <w:tcPr>
            <w:tcW w:w="1324" w:type="dxa"/>
            <w:tcBorders>
              <w:top w:val="single" w:sz="4" w:space="0" w:color="auto"/>
            </w:tcBorders>
            <w:hideMark/>
          </w:tcPr>
          <w:p w14:paraId="1CEA40AC"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117</w:t>
            </w:r>
          </w:p>
        </w:tc>
        <w:tc>
          <w:tcPr>
            <w:tcW w:w="1363" w:type="dxa"/>
            <w:tcBorders>
              <w:top w:val="single" w:sz="4" w:space="0" w:color="auto"/>
            </w:tcBorders>
            <w:hideMark/>
          </w:tcPr>
          <w:p w14:paraId="61BFD95A"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78</w:t>
            </w:r>
          </w:p>
        </w:tc>
      </w:tr>
      <w:tr w:rsidR="00082A41" w:rsidRPr="00082A41" w14:paraId="44B55F5E" w14:textId="77777777" w:rsidTr="00D3014E">
        <w:trPr>
          <w:trHeight w:val="107"/>
          <w:jc w:val="center"/>
        </w:trPr>
        <w:tc>
          <w:tcPr>
            <w:tcW w:w="9770" w:type="dxa"/>
            <w:vMerge/>
            <w:vAlign w:val="center"/>
            <w:hideMark/>
          </w:tcPr>
          <w:p w14:paraId="2B717D36"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3BDD525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bottom w:val="single" w:sz="4" w:space="0" w:color="auto"/>
            </w:tcBorders>
            <w:hideMark/>
          </w:tcPr>
          <w:p w14:paraId="34AD9A25"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Female</w:t>
            </w:r>
          </w:p>
        </w:tc>
        <w:tc>
          <w:tcPr>
            <w:tcW w:w="1324" w:type="dxa"/>
            <w:tcBorders>
              <w:bottom w:val="single" w:sz="4" w:space="0" w:color="auto"/>
            </w:tcBorders>
            <w:hideMark/>
          </w:tcPr>
          <w:p w14:paraId="02FF478D"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33</w:t>
            </w:r>
          </w:p>
        </w:tc>
        <w:tc>
          <w:tcPr>
            <w:tcW w:w="1363" w:type="dxa"/>
            <w:tcBorders>
              <w:bottom w:val="single" w:sz="4" w:space="0" w:color="auto"/>
            </w:tcBorders>
            <w:hideMark/>
          </w:tcPr>
          <w:p w14:paraId="166891FD"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22</w:t>
            </w:r>
          </w:p>
        </w:tc>
      </w:tr>
      <w:tr w:rsidR="00082A41" w:rsidRPr="00082A41" w14:paraId="28BB2371" w14:textId="77777777" w:rsidTr="00D3014E">
        <w:trPr>
          <w:trHeight w:val="70"/>
          <w:jc w:val="center"/>
        </w:trPr>
        <w:tc>
          <w:tcPr>
            <w:tcW w:w="9770" w:type="dxa"/>
            <w:vMerge/>
            <w:vAlign w:val="center"/>
            <w:hideMark/>
          </w:tcPr>
          <w:p w14:paraId="7D187C6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2F6A554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top w:val="single" w:sz="4" w:space="0" w:color="auto"/>
              <w:bottom w:val="single" w:sz="4" w:space="0" w:color="auto"/>
            </w:tcBorders>
            <w:hideMark/>
          </w:tcPr>
          <w:p w14:paraId="1D56BCBF"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Total</w:t>
            </w:r>
          </w:p>
        </w:tc>
        <w:tc>
          <w:tcPr>
            <w:tcW w:w="1324" w:type="dxa"/>
            <w:tcBorders>
              <w:top w:val="single" w:sz="4" w:space="0" w:color="auto"/>
              <w:bottom w:val="single" w:sz="4" w:space="0" w:color="auto"/>
            </w:tcBorders>
            <w:vAlign w:val="center"/>
            <w:hideMark/>
          </w:tcPr>
          <w:p w14:paraId="23939C18" w14:textId="77777777" w:rsidR="00623CD4" w:rsidRPr="00082A41" w:rsidRDefault="00623CD4" w:rsidP="00082A41">
            <w:pPr>
              <w:spacing w:after="0" w:line="240" w:lineRule="auto"/>
              <w:jc w:val="center"/>
              <w:rPr>
                <w:rFonts w:ascii="Times New Roman" w:eastAsia="Times New Roman" w:hAnsi="Times New Roman" w:cs="Times New Roman"/>
                <w:bCs/>
                <w:kern w:val="2"/>
                <w:sz w:val="20"/>
                <w:szCs w:val="20"/>
                <w:lang w:val="en-GB" w:eastAsia="en-GB"/>
                <w14:ligatures w14:val="standardContextual"/>
              </w:rPr>
            </w:pPr>
            <w:r w:rsidRPr="00082A41">
              <w:rPr>
                <w:rFonts w:ascii="Times New Roman" w:eastAsia="Times New Roman" w:hAnsi="Times New Roman" w:cs="Times New Roman"/>
                <w:bCs/>
                <w:kern w:val="2"/>
                <w:sz w:val="20"/>
                <w:szCs w:val="20"/>
                <w:lang w:val="en-GB" w:eastAsia="en-GB"/>
                <w14:ligatures w14:val="standardContextual"/>
              </w:rPr>
              <w:t>150</w:t>
            </w:r>
          </w:p>
        </w:tc>
        <w:tc>
          <w:tcPr>
            <w:tcW w:w="1363" w:type="dxa"/>
            <w:tcBorders>
              <w:top w:val="single" w:sz="4" w:space="0" w:color="auto"/>
              <w:bottom w:val="single" w:sz="4" w:space="0" w:color="auto"/>
            </w:tcBorders>
            <w:vAlign w:val="center"/>
            <w:hideMark/>
          </w:tcPr>
          <w:p w14:paraId="70D7FABD"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hAnsi="Times New Roman" w:cs="Times New Roman"/>
                <w:kern w:val="2"/>
                <w:sz w:val="20"/>
                <w:szCs w:val="20"/>
                <w:lang w:val="en-GB" w:eastAsia="en-GB"/>
                <w14:ligatures w14:val="standardContextual"/>
              </w:rPr>
              <w:t>100.0</w:t>
            </w:r>
          </w:p>
        </w:tc>
      </w:tr>
      <w:tr w:rsidR="00082A41" w:rsidRPr="00082A41" w14:paraId="1DA4CB79" w14:textId="77777777" w:rsidTr="00136913">
        <w:trPr>
          <w:trHeight w:val="70"/>
          <w:jc w:val="center"/>
        </w:trPr>
        <w:tc>
          <w:tcPr>
            <w:tcW w:w="9770" w:type="dxa"/>
            <w:gridSpan w:val="5"/>
            <w:vAlign w:val="center"/>
          </w:tcPr>
          <w:p w14:paraId="2E4B666A"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p>
        </w:tc>
      </w:tr>
      <w:tr w:rsidR="00082A41" w:rsidRPr="00082A41" w14:paraId="316C6CBC" w14:textId="77777777" w:rsidTr="00136913">
        <w:trPr>
          <w:trHeight w:val="225"/>
          <w:jc w:val="center"/>
        </w:trPr>
        <w:tc>
          <w:tcPr>
            <w:tcW w:w="630" w:type="dxa"/>
            <w:vMerge w:val="restart"/>
            <w:vAlign w:val="center"/>
          </w:tcPr>
          <w:p w14:paraId="561EA810"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p w14:paraId="7122561C"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2</w:t>
            </w:r>
          </w:p>
        </w:tc>
        <w:tc>
          <w:tcPr>
            <w:tcW w:w="4410" w:type="dxa"/>
            <w:vMerge w:val="restart"/>
            <w:vAlign w:val="center"/>
          </w:tcPr>
          <w:p w14:paraId="4D4E6A61"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p w14:paraId="5453EEF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 xml:space="preserve">Age </w:t>
            </w:r>
          </w:p>
        </w:tc>
        <w:tc>
          <w:tcPr>
            <w:tcW w:w="2043" w:type="dxa"/>
            <w:hideMark/>
          </w:tcPr>
          <w:p w14:paraId="330370D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Below 25 years</w:t>
            </w:r>
          </w:p>
        </w:tc>
        <w:tc>
          <w:tcPr>
            <w:tcW w:w="1324" w:type="dxa"/>
            <w:hideMark/>
          </w:tcPr>
          <w:p w14:paraId="260DC725"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6</w:t>
            </w:r>
          </w:p>
        </w:tc>
        <w:tc>
          <w:tcPr>
            <w:tcW w:w="1363" w:type="dxa"/>
            <w:hideMark/>
          </w:tcPr>
          <w:p w14:paraId="799DAFC1"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4.0</w:t>
            </w:r>
          </w:p>
        </w:tc>
      </w:tr>
      <w:tr w:rsidR="00082A41" w:rsidRPr="00082A41" w14:paraId="5284CDA6" w14:textId="77777777" w:rsidTr="00136913">
        <w:trPr>
          <w:trHeight w:val="215"/>
          <w:jc w:val="center"/>
        </w:trPr>
        <w:tc>
          <w:tcPr>
            <w:tcW w:w="9770" w:type="dxa"/>
            <w:vMerge/>
            <w:vAlign w:val="center"/>
            <w:hideMark/>
          </w:tcPr>
          <w:p w14:paraId="2794383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7C3E9B74"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08DEB7C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25–34 years</w:t>
            </w:r>
          </w:p>
        </w:tc>
        <w:tc>
          <w:tcPr>
            <w:tcW w:w="1324" w:type="dxa"/>
            <w:hideMark/>
          </w:tcPr>
          <w:p w14:paraId="633D8397"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36</w:t>
            </w:r>
          </w:p>
        </w:tc>
        <w:tc>
          <w:tcPr>
            <w:tcW w:w="1363" w:type="dxa"/>
            <w:hideMark/>
          </w:tcPr>
          <w:p w14:paraId="49EE356F"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24.0</w:t>
            </w:r>
          </w:p>
        </w:tc>
      </w:tr>
      <w:tr w:rsidR="00082A41" w:rsidRPr="00082A41" w14:paraId="1922C355" w14:textId="77777777" w:rsidTr="00136913">
        <w:trPr>
          <w:trHeight w:val="70"/>
          <w:jc w:val="center"/>
        </w:trPr>
        <w:tc>
          <w:tcPr>
            <w:tcW w:w="9770" w:type="dxa"/>
            <w:vMerge/>
            <w:vAlign w:val="center"/>
            <w:hideMark/>
          </w:tcPr>
          <w:p w14:paraId="4BD2297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588E14CC"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5DC0AA07"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35–44 years</w:t>
            </w:r>
          </w:p>
        </w:tc>
        <w:tc>
          <w:tcPr>
            <w:tcW w:w="1324" w:type="dxa"/>
            <w:hideMark/>
          </w:tcPr>
          <w:p w14:paraId="4347B92B"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77</w:t>
            </w:r>
          </w:p>
        </w:tc>
        <w:tc>
          <w:tcPr>
            <w:tcW w:w="1363" w:type="dxa"/>
            <w:hideMark/>
          </w:tcPr>
          <w:p w14:paraId="31976C4E"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51.3</w:t>
            </w:r>
          </w:p>
        </w:tc>
      </w:tr>
      <w:tr w:rsidR="00082A41" w:rsidRPr="00082A41" w14:paraId="6D8C4CA4" w14:textId="77777777" w:rsidTr="00136913">
        <w:trPr>
          <w:trHeight w:val="70"/>
          <w:jc w:val="center"/>
        </w:trPr>
        <w:tc>
          <w:tcPr>
            <w:tcW w:w="9770" w:type="dxa"/>
            <w:vMerge/>
            <w:vAlign w:val="center"/>
            <w:hideMark/>
          </w:tcPr>
          <w:p w14:paraId="65AC42E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1C90A75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74715AC5"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45–54 years</w:t>
            </w:r>
          </w:p>
        </w:tc>
        <w:tc>
          <w:tcPr>
            <w:tcW w:w="1324" w:type="dxa"/>
            <w:hideMark/>
          </w:tcPr>
          <w:p w14:paraId="3BB43C6A"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22</w:t>
            </w:r>
          </w:p>
        </w:tc>
        <w:tc>
          <w:tcPr>
            <w:tcW w:w="1363" w:type="dxa"/>
            <w:hideMark/>
          </w:tcPr>
          <w:p w14:paraId="0C7E8A4C"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14.7</w:t>
            </w:r>
          </w:p>
        </w:tc>
      </w:tr>
      <w:tr w:rsidR="00082A41" w:rsidRPr="00082A41" w14:paraId="00201AF4" w14:textId="77777777" w:rsidTr="00D3014E">
        <w:trPr>
          <w:trHeight w:val="70"/>
          <w:jc w:val="center"/>
        </w:trPr>
        <w:tc>
          <w:tcPr>
            <w:tcW w:w="9770" w:type="dxa"/>
            <w:vMerge/>
            <w:vAlign w:val="center"/>
            <w:hideMark/>
          </w:tcPr>
          <w:p w14:paraId="3A6510E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524692A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bottom w:val="single" w:sz="4" w:space="0" w:color="auto"/>
            </w:tcBorders>
            <w:hideMark/>
          </w:tcPr>
          <w:p w14:paraId="78762DD2"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&gt; 55 years</w:t>
            </w:r>
          </w:p>
        </w:tc>
        <w:tc>
          <w:tcPr>
            <w:tcW w:w="1324" w:type="dxa"/>
            <w:tcBorders>
              <w:bottom w:val="single" w:sz="4" w:space="0" w:color="auto"/>
            </w:tcBorders>
            <w:hideMark/>
          </w:tcPr>
          <w:p w14:paraId="68C8C0DB"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9</w:t>
            </w:r>
          </w:p>
        </w:tc>
        <w:tc>
          <w:tcPr>
            <w:tcW w:w="1363" w:type="dxa"/>
            <w:tcBorders>
              <w:bottom w:val="single" w:sz="4" w:space="0" w:color="auto"/>
            </w:tcBorders>
            <w:hideMark/>
          </w:tcPr>
          <w:p w14:paraId="789B7D3A"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6.0</w:t>
            </w:r>
          </w:p>
        </w:tc>
      </w:tr>
      <w:tr w:rsidR="00082A41" w:rsidRPr="00082A41" w14:paraId="6DECAB29" w14:textId="77777777" w:rsidTr="00D3014E">
        <w:trPr>
          <w:trHeight w:val="70"/>
          <w:jc w:val="center"/>
        </w:trPr>
        <w:tc>
          <w:tcPr>
            <w:tcW w:w="9770" w:type="dxa"/>
            <w:vMerge/>
            <w:vAlign w:val="center"/>
            <w:hideMark/>
          </w:tcPr>
          <w:p w14:paraId="6AB69FE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7B2294D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top w:val="single" w:sz="4" w:space="0" w:color="auto"/>
              <w:bottom w:val="single" w:sz="4" w:space="0" w:color="auto"/>
            </w:tcBorders>
            <w:hideMark/>
          </w:tcPr>
          <w:p w14:paraId="78B54F2D"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Total</w:t>
            </w:r>
          </w:p>
        </w:tc>
        <w:tc>
          <w:tcPr>
            <w:tcW w:w="1324" w:type="dxa"/>
            <w:tcBorders>
              <w:top w:val="single" w:sz="4" w:space="0" w:color="auto"/>
              <w:bottom w:val="single" w:sz="4" w:space="0" w:color="auto"/>
            </w:tcBorders>
            <w:vAlign w:val="center"/>
            <w:hideMark/>
          </w:tcPr>
          <w:p w14:paraId="5EAB6569"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150</w:t>
            </w:r>
          </w:p>
        </w:tc>
        <w:tc>
          <w:tcPr>
            <w:tcW w:w="1363" w:type="dxa"/>
            <w:tcBorders>
              <w:top w:val="single" w:sz="4" w:space="0" w:color="auto"/>
              <w:bottom w:val="single" w:sz="4" w:space="0" w:color="auto"/>
            </w:tcBorders>
            <w:vAlign w:val="center"/>
            <w:hideMark/>
          </w:tcPr>
          <w:p w14:paraId="705E54EB"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hAnsi="Times New Roman" w:cs="Times New Roman"/>
                <w:b/>
                <w:kern w:val="2"/>
                <w:sz w:val="20"/>
                <w:szCs w:val="20"/>
                <w:lang w:val="en-GB" w:eastAsia="en-GB"/>
                <w14:ligatures w14:val="standardContextual"/>
              </w:rPr>
              <w:t>100.0</w:t>
            </w:r>
          </w:p>
        </w:tc>
      </w:tr>
      <w:tr w:rsidR="00082A41" w:rsidRPr="00082A41" w14:paraId="669FC44F" w14:textId="77777777" w:rsidTr="00136913">
        <w:trPr>
          <w:trHeight w:val="143"/>
          <w:jc w:val="center"/>
        </w:trPr>
        <w:tc>
          <w:tcPr>
            <w:tcW w:w="9770" w:type="dxa"/>
            <w:gridSpan w:val="5"/>
          </w:tcPr>
          <w:p w14:paraId="2B6F4466"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p>
        </w:tc>
      </w:tr>
      <w:tr w:rsidR="00082A41" w:rsidRPr="00082A41" w14:paraId="74E7EE4D" w14:textId="77777777" w:rsidTr="00136913">
        <w:trPr>
          <w:trHeight w:val="195"/>
          <w:jc w:val="center"/>
        </w:trPr>
        <w:tc>
          <w:tcPr>
            <w:tcW w:w="630" w:type="dxa"/>
            <w:vMerge w:val="restart"/>
            <w:vAlign w:val="center"/>
            <w:hideMark/>
          </w:tcPr>
          <w:p w14:paraId="1A3B00F0"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3</w:t>
            </w:r>
          </w:p>
        </w:tc>
        <w:tc>
          <w:tcPr>
            <w:tcW w:w="4410" w:type="dxa"/>
            <w:vMerge w:val="restart"/>
            <w:vAlign w:val="center"/>
            <w:hideMark/>
          </w:tcPr>
          <w:p w14:paraId="649FC2C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Educational Qualification</w:t>
            </w:r>
          </w:p>
        </w:tc>
        <w:tc>
          <w:tcPr>
            <w:tcW w:w="2043" w:type="dxa"/>
            <w:hideMark/>
          </w:tcPr>
          <w:p w14:paraId="6000A3C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SSCE</w:t>
            </w:r>
          </w:p>
        </w:tc>
        <w:tc>
          <w:tcPr>
            <w:tcW w:w="1324" w:type="dxa"/>
            <w:hideMark/>
          </w:tcPr>
          <w:p w14:paraId="13983F26"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w:t>
            </w:r>
          </w:p>
        </w:tc>
        <w:tc>
          <w:tcPr>
            <w:tcW w:w="1363" w:type="dxa"/>
            <w:hideMark/>
          </w:tcPr>
          <w:p w14:paraId="52BB4236"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2.7</w:t>
            </w:r>
          </w:p>
        </w:tc>
      </w:tr>
      <w:tr w:rsidR="00082A41" w:rsidRPr="00082A41" w14:paraId="79DF8AB1" w14:textId="77777777" w:rsidTr="00136913">
        <w:trPr>
          <w:trHeight w:val="207"/>
          <w:jc w:val="center"/>
        </w:trPr>
        <w:tc>
          <w:tcPr>
            <w:tcW w:w="9770" w:type="dxa"/>
            <w:vMerge/>
            <w:vAlign w:val="center"/>
            <w:hideMark/>
          </w:tcPr>
          <w:p w14:paraId="00ADF444"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2C808495"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596B2497"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OND/NCE</w:t>
            </w:r>
          </w:p>
        </w:tc>
        <w:tc>
          <w:tcPr>
            <w:tcW w:w="1324" w:type="dxa"/>
            <w:hideMark/>
          </w:tcPr>
          <w:p w14:paraId="7E679FBD"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30</w:t>
            </w:r>
          </w:p>
        </w:tc>
        <w:tc>
          <w:tcPr>
            <w:tcW w:w="1363" w:type="dxa"/>
            <w:hideMark/>
          </w:tcPr>
          <w:p w14:paraId="686806F3"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20.0</w:t>
            </w:r>
          </w:p>
        </w:tc>
      </w:tr>
      <w:tr w:rsidR="00082A41" w:rsidRPr="00082A41" w14:paraId="143DE6E0" w14:textId="77777777" w:rsidTr="00136913">
        <w:trPr>
          <w:trHeight w:val="135"/>
          <w:jc w:val="center"/>
        </w:trPr>
        <w:tc>
          <w:tcPr>
            <w:tcW w:w="9770" w:type="dxa"/>
            <w:vMerge/>
            <w:vAlign w:val="center"/>
            <w:hideMark/>
          </w:tcPr>
          <w:p w14:paraId="0FD8902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021EF8B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7938686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B.Sc./HND</w:t>
            </w:r>
          </w:p>
        </w:tc>
        <w:tc>
          <w:tcPr>
            <w:tcW w:w="1324" w:type="dxa"/>
            <w:hideMark/>
          </w:tcPr>
          <w:p w14:paraId="040B5002"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103</w:t>
            </w:r>
          </w:p>
        </w:tc>
        <w:tc>
          <w:tcPr>
            <w:tcW w:w="1363" w:type="dxa"/>
            <w:hideMark/>
          </w:tcPr>
          <w:p w14:paraId="41091380"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68.7</w:t>
            </w:r>
          </w:p>
        </w:tc>
      </w:tr>
      <w:tr w:rsidR="00082A41" w:rsidRPr="00082A41" w14:paraId="50605D4A" w14:textId="77777777" w:rsidTr="00D3014E">
        <w:trPr>
          <w:trHeight w:val="150"/>
          <w:jc w:val="center"/>
        </w:trPr>
        <w:tc>
          <w:tcPr>
            <w:tcW w:w="9770" w:type="dxa"/>
            <w:vMerge/>
            <w:vAlign w:val="center"/>
            <w:hideMark/>
          </w:tcPr>
          <w:p w14:paraId="25CEDCE5"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0BFCF58A"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bottom w:val="single" w:sz="4" w:space="0" w:color="auto"/>
            </w:tcBorders>
            <w:hideMark/>
          </w:tcPr>
          <w:p w14:paraId="02647964"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Postgraduate</w:t>
            </w:r>
          </w:p>
        </w:tc>
        <w:tc>
          <w:tcPr>
            <w:tcW w:w="1324" w:type="dxa"/>
            <w:tcBorders>
              <w:bottom w:val="single" w:sz="4" w:space="0" w:color="auto"/>
            </w:tcBorders>
            <w:hideMark/>
          </w:tcPr>
          <w:p w14:paraId="6391A507"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13</w:t>
            </w:r>
          </w:p>
        </w:tc>
        <w:tc>
          <w:tcPr>
            <w:tcW w:w="1363" w:type="dxa"/>
            <w:tcBorders>
              <w:bottom w:val="single" w:sz="4" w:space="0" w:color="auto"/>
            </w:tcBorders>
            <w:hideMark/>
          </w:tcPr>
          <w:p w14:paraId="6574E41F" w14:textId="77777777" w:rsidR="00623CD4" w:rsidRPr="00082A41" w:rsidRDefault="00623CD4" w:rsidP="00082A41">
            <w:pPr>
              <w:spacing w:after="0" w:line="240" w:lineRule="auto"/>
              <w:jc w:val="center"/>
              <w:rPr>
                <w:rFonts w:ascii="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8.7</w:t>
            </w:r>
          </w:p>
        </w:tc>
      </w:tr>
      <w:tr w:rsidR="00082A41" w:rsidRPr="00082A41" w14:paraId="10485ACB" w14:textId="77777777" w:rsidTr="00D3014E">
        <w:trPr>
          <w:jc w:val="center"/>
        </w:trPr>
        <w:tc>
          <w:tcPr>
            <w:tcW w:w="9770" w:type="dxa"/>
            <w:vMerge/>
            <w:vAlign w:val="center"/>
            <w:hideMark/>
          </w:tcPr>
          <w:p w14:paraId="1BE7CC8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269E3F6C"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top w:val="single" w:sz="4" w:space="0" w:color="auto"/>
              <w:bottom w:val="single" w:sz="4" w:space="0" w:color="auto"/>
            </w:tcBorders>
            <w:hideMark/>
          </w:tcPr>
          <w:p w14:paraId="1FF3C6B0" w14:textId="77777777" w:rsidR="00623CD4" w:rsidRPr="00082A41" w:rsidRDefault="00623CD4" w:rsidP="00082A41">
            <w:pPr>
              <w:spacing w:after="0" w:line="240" w:lineRule="auto"/>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Total</w:t>
            </w:r>
          </w:p>
        </w:tc>
        <w:tc>
          <w:tcPr>
            <w:tcW w:w="1324" w:type="dxa"/>
            <w:tcBorders>
              <w:top w:val="single" w:sz="4" w:space="0" w:color="auto"/>
              <w:bottom w:val="single" w:sz="4" w:space="0" w:color="auto"/>
            </w:tcBorders>
            <w:hideMark/>
          </w:tcPr>
          <w:p w14:paraId="661A071B"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150</w:t>
            </w:r>
          </w:p>
        </w:tc>
        <w:tc>
          <w:tcPr>
            <w:tcW w:w="1363" w:type="dxa"/>
            <w:tcBorders>
              <w:top w:val="single" w:sz="4" w:space="0" w:color="auto"/>
              <w:bottom w:val="single" w:sz="4" w:space="0" w:color="auto"/>
            </w:tcBorders>
            <w:vAlign w:val="bottom"/>
            <w:hideMark/>
          </w:tcPr>
          <w:p w14:paraId="0F8F875B"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r w:rsidRPr="00082A41">
              <w:rPr>
                <w:rFonts w:ascii="Times New Roman" w:eastAsia="Times New Roman" w:hAnsi="Times New Roman" w:cs="Times New Roman"/>
                <w:b/>
                <w:kern w:val="2"/>
                <w:sz w:val="20"/>
                <w:szCs w:val="20"/>
                <w:lang w:val="en-GB" w:eastAsia="en-GB"/>
                <w14:ligatures w14:val="standardContextual"/>
              </w:rPr>
              <w:t>100.0</w:t>
            </w:r>
          </w:p>
        </w:tc>
      </w:tr>
      <w:tr w:rsidR="00082A41" w:rsidRPr="00082A41" w14:paraId="3C210C48" w14:textId="77777777" w:rsidTr="00136913">
        <w:trPr>
          <w:trHeight w:val="70"/>
          <w:jc w:val="center"/>
        </w:trPr>
        <w:tc>
          <w:tcPr>
            <w:tcW w:w="9770" w:type="dxa"/>
            <w:gridSpan w:val="5"/>
          </w:tcPr>
          <w:p w14:paraId="42CFE215" w14:textId="77777777" w:rsidR="00623CD4" w:rsidRPr="00082A41" w:rsidRDefault="00623CD4" w:rsidP="00082A41">
            <w:pPr>
              <w:spacing w:after="0" w:line="240" w:lineRule="auto"/>
              <w:jc w:val="center"/>
              <w:rPr>
                <w:rFonts w:ascii="Times New Roman" w:eastAsia="Times New Roman" w:hAnsi="Times New Roman" w:cs="Times New Roman"/>
                <w:b/>
                <w:kern w:val="2"/>
                <w:sz w:val="20"/>
                <w:szCs w:val="20"/>
                <w:lang w:val="en-GB" w:eastAsia="en-GB"/>
                <w14:ligatures w14:val="standardContextual"/>
              </w:rPr>
            </w:pPr>
          </w:p>
        </w:tc>
      </w:tr>
      <w:tr w:rsidR="00082A41" w:rsidRPr="00082A41" w14:paraId="2CD3E9C8" w14:textId="77777777" w:rsidTr="00136913">
        <w:trPr>
          <w:trHeight w:val="207"/>
          <w:jc w:val="center"/>
        </w:trPr>
        <w:tc>
          <w:tcPr>
            <w:tcW w:w="630" w:type="dxa"/>
            <w:vMerge w:val="restart"/>
            <w:vAlign w:val="center"/>
          </w:tcPr>
          <w:p w14:paraId="5AE0F907" w14:textId="3EF7D468" w:rsidR="00623CD4" w:rsidRPr="00082A41" w:rsidRDefault="002676A1"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4</w:t>
            </w:r>
          </w:p>
        </w:tc>
        <w:tc>
          <w:tcPr>
            <w:tcW w:w="4410" w:type="dxa"/>
            <w:vMerge w:val="restart"/>
            <w:vAlign w:val="center"/>
            <w:hideMark/>
          </w:tcPr>
          <w:p w14:paraId="03BE5757"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Years of residence in the study area</w:t>
            </w:r>
          </w:p>
        </w:tc>
        <w:tc>
          <w:tcPr>
            <w:tcW w:w="2043" w:type="dxa"/>
            <w:hideMark/>
          </w:tcPr>
          <w:p w14:paraId="38295742"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1–5 years</w:t>
            </w:r>
          </w:p>
        </w:tc>
        <w:tc>
          <w:tcPr>
            <w:tcW w:w="1324" w:type="dxa"/>
            <w:hideMark/>
          </w:tcPr>
          <w:p w14:paraId="250550BA"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w:t>
            </w:r>
          </w:p>
        </w:tc>
        <w:tc>
          <w:tcPr>
            <w:tcW w:w="1363" w:type="dxa"/>
            <w:hideMark/>
          </w:tcPr>
          <w:p w14:paraId="57F6A990"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2.0</w:t>
            </w:r>
          </w:p>
        </w:tc>
      </w:tr>
      <w:tr w:rsidR="00082A41" w:rsidRPr="00082A41" w14:paraId="21D2E593" w14:textId="77777777" w:rsidTr="00136913">
        <w:trPr>
          <w:trHeight w:val="98"/>
          <w:jc w:val="center"/>
        </w:trPr>
        <w:tc>
          <w:tcPr>
            <w:tcW w:w="9770" w:type="dxa"/>
            <w:vMerge/>
            <w:vAlign w:val="center"/>
            <w:hideMark/>
          </w:tcPr>
          <w:p w14:paraId="58BC69C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4F330C7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7472709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6–10 years</w:t>
            </w:r>
          </w:p>
        </w:tc>
        <w:tc>
          <w:tcPr>
            <w:tcW w:w="1324" w:type="dxa"/>
            <w:hideMark/>
          </w:tcPr>
          <w:p w14:paraId="655673F9"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56</w:t>
            </w:r>
          </w:p>
        </w:tc>
        <w:tc>
          <w:tcPr>
            <w:tcW w:w="1363" w:type="dxa"/>
            <w:hideMark/>
          </w:tcPr>
          <w:p w14:paraId="40AC01EE"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37.3</w:t>
            </w:r>
          </w:p>
        </w:tc>
      </w:tr>
      <w:tr w:rsidR="00082A41" w:rsidRPr="00082A41" w14:paraId="21196192" w14:textId="77777777" w:rsidTr="00136913">
        <w:trPr>
          <w:trHeight w:val="70"/>
          <w:jc w:val="center"/>
        </w:trPr>
        <w:tc>
          <w:tcPr>
            <w:tcW w:w="9770" w:type="dxa"/>
            <w:vMerge/>
            <w:vAlign w:val="center"/>
            <w:hideMark/>
          </w:tcPr>
          <w:p w14:paraId="32BDF146"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3BDDDF1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49C4A5A9"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11–20 years</w:t>
            </w:r>
          </w:p>
        </w:tc>
        <w:tc>
          <w:tcPr>
            <w:tcW w:w="1324" w:type="dxa"/>
            <w:hideMark/>
          </w:tcPr>
          <w:p w14:paraId="18142D99"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68</w:t>
            </w:r>
          </w:p>
        </w:tc>
        <w:tc>
          <w:tcPr>
            <w:tcW w:w="1363" w:type="dxa"/>
            <w:hideMark/>
          </w:tcPr>
          <w:p w14:paraId="5925FAF5"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45.3</w:t>
            </w:r>
          </w:p>
        </w:tc>
      </w:tr>
      <w:tr w:rsidR="00082A41" w:rsidRPr="00082A41" w14:paraId="55746CCA" w14:textId="77777777" w:rsidTr="00D3014E">
        <w:trPr>
          <w:trHeight w:val="70"/>
          <w:jc w:val="center"/>
        </w:trPr>
        <w:tc>
          <w:tcPr>
            <w:tcW w:w="9770" w:type="dxa"/>
            <w:vMerge/>
            <w:vAlign w:val="center"/>
            <w:hideMark/>
          </w:tcPr>
          <w:p w14:paraId="65C0EC56"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35379854"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bottom w:val="single" w:sz="4" w:space="0" w:color="auto"/>
            </w:tcBorders>
            <w:hideMark/>
          </w:tcPr>
          <w:p w14:paraId="30DB9660"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&gt; 20 years</w:t>
            </w:r>
          </w:p>
        </w:tc>
        <w:tc>
          <w:tcPr>
            <w:tcW w:w="1324" w:type="dxa"/>
            <w:tcBorders>
              <w:bottom w:val="single" w:sz="4" w:space="0" w:color="auto"/>
            </w:tcBorders>
            <w:hideMark/>
          </w:tcPr>
          <w:p w14:paraId="73249BC4"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23</w:t>
            </w:r>
          </w:p>
        </w:tc>
        <w:tc>
          <w:tcPr>
            <w:tcW w:w="1363" w:type="dxa"/>
            <w:tcBorders>
              <w:bottom w:val="single" w:sz="4" w:space="0" w:color="auto"/>
            </w:tcBorders>
            <w:hideMark/>
          </w:tcPr>
          <w:p w14:paraId="5E78A590" w14:textId="77777777" w:rsidR="00623CD4" w:rsidRPr="00082A41" w:rsidRDefault="00623CD4" w:rsidP="00082A41">
            <w:pPr>
              <w:spacing w:after="0" w:line="240" w:lineRule="auto"/>
              <w:jc w:val="center"/>
              <w:rPr>
                <w:rFonts w:ascii="Times New Roman" w:eastAsia="Times New Roman" w:hAnsi="Times New Roman" w:cs="Times New Roman"/>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15.3</w:t>
            </w:r>
          </w:p>
        </w:tc>
      </w:tr>
      <w:tr w:rsidR="00082A41" w:rsidRPr="00082A41" w14:paraId="07165943" w14:textId="77777777" w:rsidTr="00D3014E">
        <w:trPr>
          <w:trHeight w:val="135"/>
          <w:jc w:val="center"/>
        </w:trPr>
        <w:tc>
          <w:tcPr>
            <w:tcW w:w="9770" w:type="dxa"/>
            <w:vMerge/>
            <w:vAlign w:val="center"/>
            <w:hideMark/>
          </w:tcPr>
          <w:p w14:paraId="6E7E554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7F9B5598"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top w:val="single" w:sz="4" w:space="0" w:color="auto"/>
              <w:bottom w:val="single" w:sz="4" w:space="0" w:color="auto"/>
            </w:tcBorders>
            <w:hideMark/>
          </w:tcPr>
          <w:p w14:paraId="052F9458"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eastAsia="Times New Roman" w:hAnsi="Times New Roman" w:cs="Times New Roman"/>
                <w:b/>
                <w:bCs/>
                <w:kern w:val="2"/>
                <w:sz w:val="20"/>
                <w:szCs w:val="20"/>
                <w:lang w:val="en-GB" w:eastAsia="en-GB"/>
                <w14:ligatures w14:val="standardContextual"/>
              </w:rPr>
              <w:t>Total</w:t>
            </w:r>
          </w:p>
        </w:tc>
        <w:tc>
          <w:tcPr>
            <w:tcW w:w="1324" w:type="dxa"/>
            <w:tcBorders>
              <w:top w:val="single" w:sz="4" w:space="0" w:color="auto"/>
              <w:bottom w:val="single" w:sz="4" w:space="0" w:color="auto"/>
            </w:tcBorders>
            <w:hideMark/>
          </w:tcPr>
          <w:p w14:paraId="0D5AABA5"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eastAsia="Times New Roman" w:hAnsi="Times New Roman" w:cs="Times New Roman"/>
                <w:b/>
                <w:bCs/>
                <w:kern w:val="2"/>
                <w:sz w:val="20"/>
                <w:szCs w:val="20"/>
                <w:lang w:val="en-GB" w:eastAsia="en-GB"/>
                <w14:ligatures w14:val="standardContextual"/>
              </w:rPr>
              <w:t>150</w:t>
            </w:r>
          </w:p>
        </w:tc>
        <w:tc>
          <w:tcPr>
            <w:tcW w:w="1363" w:type="dxa"/>
            <w:tcBorders>
              <w:top w:val="single" w:sz="4" w:space="0" w:color="auto"/>
              <w:bottom w:val="single" w:sz="4" w:space="0" w:color="auto"/>
            </w:tcBorders>
            <w:vAlign w:val="center"/>
            <w:hideMark/>
          </w:tcPr>
          <w:p w14:paraId="6A778AD7"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b/>
                <w:bCs/>
                <w:kern w:val="2"/>
                <w:sz w:val="20"/>
                <w:szCs w:val="20"/>
                <w:lang w:val="en-GB" w:eastAsia="en-GB"/>
                <w14:ligatures w14:val="standardContextual"/>
              </w:rPr>
              <w:t>100.0</w:t>
            </w:r>
          </w:p>
        </w:tc>
      </w:tr>
      <w:tr w:rsidR="00082A41" w:rsidRPr="00082A41" w14:paraId="4B24FD6E" w14:textId="77777777" w:rsidTr="00136913">
        <w:trPr>
          <w:trHeight w:val="150"/>
          <w:jc w:val="center"/>
        </w:trPr>
        <w:tc>
          <w:tcPr>
            <w:tcW w:w="9770" w:type="dxa"/>
            <w:gridSpan w:val="5"/>
            <w:vAlign w:val="center"/>
          </w:tcPr>
          <w:p w14:paraId="7F6B1C2E"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p>
        </w:tc>
      </w:tr>
      <w:tr w:rsidR="00082A41" w:rsidRPr="00082A41" w14:paraId="2914E9D9" w14:textId="77777777" w:rsidTr="00136913">
        <w:trPr>
          <w:trHeight w:val="135"/>
          <w:jc w:val="center"/>
        </w:trPr>
        <w:tc>
          <w:tcPr>
            <w:tcW w:w="630" w:type="dxa"/>
            <w:vMerge w:val="restart"/>
            <w:vAlign w:val="center"/>
          </w:tcPr>
          <w:p w14:paraId="651B5461" w14:textId="449C6B87" w:rsidR="00623CD4" w:rsidRPr="00082A41" w:rsidRDefault="002676A1"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lang w:val="en-GB" w:eastAsia="en-GB"/>
                <w14:ligatures w14:val="standardContextual"/>
              </w:rPr>
              <w:t>4</w:t>
            </w:r>
          </w:p>
        </w:tc>
        <w:tc>
          <w:tcPr>
            <w:tcW w:w="4410" w:type="dxa"/>
            <w:vMerge w:val="restart"/>
            <w:vAlign w:val="center"/>
            <w:hideMark/>
          </w:tcPr>
          <w:p w14:paraId="6480EAE6"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r w:rsidRPr="00082A41">
              <w:rPr>
                <w:rFonts w:ascii="Times New Roman" w:eastAsia="Times New Roman" w:hAnsi="Times New Roman" w:cs="Times New Roman"/>
                <w:kern w:val="2"/>
                <w:sz w:val="20"/>
                <w:szCs w:val="20"/>
                <w14:ligatures w14:val="standardContextual"/>
              </w:rPr>
              <w:t xml:space="preserve"> Occupation</w:t>
            </w:r>
          </w:p>
        </w:tc>
        <w:tc>
          <w:tcPr>
            <w:tcW w:w="2043" w:type="dxa"/>
            <w:hideMark/>
          </w:tcPr>
          <w:p w14:paraId="40C05558"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Government official</w:t>
            </w:r>
          </w:p>
        </w:tc>
        <w:tc>
          <w:tcPr>
            <w:tcW w:w="1324" w:type="dxa"/>
            <w:hideMark/>
          </w:tcPr>
          <w:p w14:paraId="2D96D801"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19</w:t>
            </w:r>
          </w:p>
        </w:tc>
        <w:tc>
          <w:tcPr>
            <w:tcW w:w="1363" w:type="dxa"/>
            <w:hideMark/>
          </w:tcPr>
          <w:p w14:paraId="0EE95956"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12.7</w:t>
            </w:r>
          </w:p>
        </w:tc>
      </w:tr>
      <w:tr w:rsidR="00082A41" w:rsidRPr="00082A41" w14:paraId="3FF4C95B" w14:textId="77777777" w:rsidTr="00136913">
        <w:trPr>
          <w:trHeight w:val="118"/>
          <w:jc w:val="center"/>
        </w:trPr>
        <w:tc>
          <w:tcPr>
            <w:tcW w:w="9770" w:type="dxa"/>
            <w:vMerge/>
            <w:vAlign w:val="center"/>
            <w:hideMark/>
          </w:tcPr>
          <w:p w14:paraId="225BE6C0"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3AB02114"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11F1C121"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Community leader</w:t>
            </w:r>
          </w:p>
        </w:tc>
        <w:tc>
          <w:tcPr>
            <w:tcW w:w="1324" w:type="dxa"/>
            <w:hideMark/>
          </w:tcPr>
          <w:p w14:paraId="028ABFB2"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43</w:t>
            </w:r>
          </w:p>
        </w:tc>
        <w:tc>
          <w:tcPr>
            <w:tcW w:w="1363" w:type="dxa"/>
            <w:hideMark/>
          </w:tcPr>
          <w:p w14:paraId="1FE8C5B1"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28.7</w:t>
            </w:r>
          </w:p>
        </w:tc>
      </w:tr>
      <w:tr w:rsidR="00082A41" w:rsidRPr="00082A41" w14:paraId="6CF77F05" w14:textId="77777777" w:rsidTr="00136913">
        <w:trPr>
          <w:trHeight w:val="103"/>
          <w:jc w:val="center"/>
        </w:trPr>
        <w:tc>
          <w:tcPr>
            <w:tcW w:w="9770" w:type="dxa"/>
            <w:vMerge/>
            <w:vAlign w:val="center"/>
            <w:hideMark/>
          </w:tcPr>
          <w:p w14:paraId="2CDD7F6D"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486E4A7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hideMark/>
          </w:tcPr>
          <w:p w14:paraId="4A2CB211"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Oil/Gas worker</w:t>
            </w:r>
          </w:p>
        </w:tc>
        <w:tc>
          <w:tcPr>
            <w:tcW w:w="1324" w:type="dxa"/>
            <w:hideMark/>
          </w:tcPr>
          <w:p w14:paraId="2FB81E67"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72</w:t>
            </w:r>
          </w:p>
        </w:tc>
        <w:tc>
          <w:tcPr>
            <w:tcW w:w="1363" w:type="dxa"/>
            <w:hideMark/>
          </w:tcPr>
          <w:p w14:paraId="4573224B"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48.0</w:t>
            </w:r>
          </w:p>
        </w:tc>
      </w:tr>
      <w:tr w:rsidR="00082A41" w:rsidRPr="00082A41" w14:paraId="02F34A38" w14:textId="77777777" w:rsidTr="00D3014E">
        <w:trPr>
          <w:trHeight w:val="165"/>
          <w:jc w:val="center"/>
        </w:trPr>
        <w:tc>
          <w:tcPr>
            <w:tcW w:w="9770" w:type="dxa"/>
            <w:vMerge/>
            <w:vAlign w:val="center"/>
            <w:hideMark/>
          </w:tcPr>
          <w:p w14:paraId="6DD0D29B"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7F2C84CF"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bottom w:val="single" w:sz="4" w:space="0" w:color="auto"/>
            </w:tcBorders>
            <w:hideMark/>
          </w:tcPr>
          <w:p w14:paraId="69EFE6D1"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Other</w:t>
            </w:r>
          </w:p>
        </w:tc>
        <w:tc>
          <w:tcPr>
            <w:tcW w:w="1324" w:type="dxa"/>
            <w:tcBorders>
              <w:bottom w:val="single" w:sz="4" w:space="0" w:color="auto"/>
            </w:tcBorders>
            <w:hideMark/>
          </w:tcPr>
          <w:p w14:paraId="3376D63D"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16</w:t>
            </w:r>
          </w:p>
        </w:tc>
        <w:tc>
          <w:tcPr>
            <w:tcW w:w="1363" w:type="dxa"/>
            <w:tcBorders>
              <w:bottom w:val="single" w:sz="4" w:space="0" w:color="auto"/>
            </w:tcBorders>
            <w:hideMark/>
          </w:tcPr>
          <w:p w14:paraId="7105B4BA"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r w:rsidRPr="00082A41">
              <w:rPr>
                <w:rFonts w:ascii="Times New Roman" w:hAnsi="Times New Roman" w:cs="Times New Roman"/>
                <w:kern w:val="2"/>
                <w:sz w:val="20"/>
                <w:szCs w:val="20"/>
                <w14:ligatures w14:val="standardContextual"/>
              </w:rPr>
              <w:t>10.7</w:t>
            </w:r>
          </w:p>
        </w:tc>
      </w:tr>
      <w:tr w:rsidR="00082A41" w:rsidRPr="00082A41" w14:paraId="30668506" w14:textId="77777777" w:rsidTr="00D3014E">
        <w:trPr>
          <w:trHeight w:val="118"/>
          <w:jc w:val="center"/>
        </w:trPr>
        <w:tc>
          <w:tcPr>
            <w:tcW w:w="9770" w:type="dxa"/>
            <w:vMerge/>
            <w:vAlign w:val="center"/>
            <w:hideMark/>
          </w:tcPr>
          <w:p w14:paraId="4A73098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4410" w:type="dxa"/>
            <w:vMerge/>
            <w:vAlign w:val="center"/>
            <w:hideMark/>
          </w:tcPr>
          <w:p w14:paraId="3A4263CE" w14:textId="77777777" w:rsidR="00623CD4" w:rsidRPr="00082A41" w:rsidRDefault="00623CD4" w:rsidP="00082A41">
            <w:pPr>
              <w:spacing w:after="0" w:line="240" w:lineRule="auto"/>
              <w:rPr>
                <w:rFonts w:ascii="Times New Roman" w:eastAsia="Times New Roman" w:hAnsi="Times New Roman" w:cs="Times New Roman"/>
                <w:kern w:val="2"/>
                <w:sz w:val="20"/>
                <w:szCs w:val="20"/>
                <w:lang w:val="en-GB" w:eastAsia="en-GB"/>
                <w14:ligatures w14:val="standardContextual"/>
              </w:rPr>
            </w:pPr>
          </w:p>
        </w:tc>
        <w:tc>
          <w:tcPr>
            <w:tcW w:w="2043" w:type="dxa"/>
            <w:tcBorders>
              <w:top w:val="single" w:sz="4" w:space="0" w:color="auto"/>
              <w:bottom w:val="single" w:sz="4" w:space="0" w:color="auto"/>
            </w:tcBorders>
            <w:hideMark/>
          </w:tcPr>
          <w:p w14:paraId="1FFBB0CD" w14:textId="77777777" w:rsidR="00623CD4" w:rsidRPr="00082A41" w:rsidRDefault="00623CD4" w:rsidP="00082A41">
            <w:pPr>
              <w:spacing w:after="0" w:line="240" w:lineRule="auto"/>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b/>
                <w:bCs/>
                <w:kern w:val="2"/>
                <w:sz w:val="20"/>
                <w:szCs w:val="20"/>
                <w14:ligatures w14:val="standardContextual"/>
              </w:rPr>
              <w:t>Total</w:t>
            </w:r>
          </w:p>
        </w:tc>
        <w:tc>
          <w:tcPr>
            <w:tcW w:w="1324" w:type="dxa"/>
            <w:tcBorders>
              <w:top w:val="single" w:sz="4" w:space="0" w:color="auto"/>
              <w:bottom w:val="single" w:sz="4" w:space="0" w:color="auto"/>
            </w:tcBorders>
            <w:hideMark/>
          </w:tcPr>
          <w:p w14:paraId="15BA6F95" w14:textId="77777777" w:rsidR="00623CD4" w:rsidRPr="00082A41" w:rsidRDefault="00623CD4" w:rsidP="00082A41">
            <w:pPr>
              <w:spacing w:after="0" w:line="240" w:lineRule="auto"/>
              <w:jc w:val="center"/>
              <w:rPr>
                <w:rFonts w:ascii="Times New Roman" w:eastAsia="Times New Roman" w:hAnsi="Times New Roman" w:cs="Times New Roman"/>
                <w:b/>
                <w:bCs/>
                <w:kern w:val="2"/>
                <w:sz w:val="20"/>
                <w:szCs w:val="20"/>
                <w:lang w:val="en-GB" w:eastAsia="en-GB"/>
                <w14:ligatures w14:val="standardContextual"/>
              </w:rPr>
            </w:pPr>
            <w:r w:rsidRPr="00082A41">
              <w:rPr>
                <w:rFonts w:ascii="Times New Roman" w:hAnsi="Times New Roman" w:cs="Times New Roman"/>
                <w:b/>
                <w:bCs/>
                <w:kern w:val="2"/>
                <w:sz w:val="20"/>
                <w:szCs w:val="20"/>
                <w14:ligatures w14:val="standardContextual"/>
              </w:rPr>
              <w:t>150</w:t>
            </w:r>
          </w:p>
        </w:tc>
        <w:tc>
          <w:tcPr>
            <w:tcW w:w="1363" w:type="dxa"/>
            <w:tcBorders>
              <w:top w:val="single" w:sz="4" w:space="0" w:color="auto"/>
              <w:bottom w:val="single" w:sz="4" w:space="0" w:color="auto"/>
            </w:tcBorders>
            <w:hideMark/>
          </w:tcPr>
          <w:p w14:paraId="2C576911" w14:textId="77777777" w:rsidR="00623CD4" w:rsidRPr="00082A41" w:rsidRDefault="00623CD4" w:rsidP="00082A41">
            <w:pPr>
              <w:spacing w:after="0" w:line="240" w:lineRule="auto"/>
              <w:jc w:val="center"/>
              <w:rPr>
                <w:rFonts w:ascii="Times New Roman" w:hAnsi="Times New Roman" w:cs="Times New Roman"/>
                <w:b/>
                <w:bCs/>
                <w:kern w:val="2"/>
                <w:sz w:val="20"/>
                <w:szCs w:val="20"/>
                <w:lang w:val="en-GB" w:eastAsia="en-GB"/>
                <w14:ligatures w14:val="standardContextual"/>
              </w:rPr>
            </w:pPr>
            <w:r w:rsidRPr="00082A41">
              <w:rPr>
                <w:rFonts w:ascii="Times New Roman" w:hAnsi="Times New Roman" w:cs="Times New Roman"/>
                <w:b/>
                <w:bCs/>
                <w:kern w:val="2"/>
                <w:sz w:val="20"/>
                <w:szCs w:val="20"/>
                <w14:ligatures w14:val="standardContextual"/>
              </w:rPr>
              <w:t>100.0</w:t>
            </w:r>
          </w:p>
        </w:tc>
      </w:tr>
    </w:tbl>
    <w:p w14:paraId="6809F478" w14:textId="77777777" w:rsidR="00623CD4" w:rsidRPr="00082A41" w:rsidRDefault="00623CD4" w:rsidP="00623CD4">
      <w:pPr>
        <w:tabs>
          <w:tab w:val="left" w:pos="3975"/>
        </w:tabs>
        <w:spacing w:line="360" w:lineRule="auto"/>
        <w:jc w:val="both"/>
        <w:rPr>
          <w:rFonts w:ascii="Times New Roman" w:eastAsia="Times New Roman" w:hAnsi="Times New Roman" w:cs="Times New Roman"/>
        </w:rPr>
      </w:pPr>
      <w:r w:rsidRPr="00082A41">
        <w:rPr>
          <w:rFonts w:ascii="Times New Roman" w:eastAsia="Times New Roman" w:hAnsi="Times New Roman" w:cs="Times New Roman"/>
          <w:b/>
        </w:rPr>
        <w:t>Source:</w:t>
      </w:r>
      <w:r w:rsidRPr="00082A41">
        <w:rPr>
          <w:rFonts w:ascii="Times New Roman" w:eastAsia="Times New Roman" w:hAnsi="Times New Roman" w:cs="Times New Roman"/>
        </w:rPr>
        <w:t xml:space="preserve"> Researchers’ Fieldwork, 2026</w:t>
      </w:r>
    </w:p>
    <w:p w14:paraId="559C67F3" w14:textId="306876A3" w:rsidR="003A7BE8" w:rsidRPr="00082A41" w:rsidRDefault="00EB68BD" w:rsidP="00EB68BD">
      <w:pPr>
        <w:tabs>
          <w:tab w:val="left" w:pos="3975"/>
        </w:tabs>
        <w:spacing w:line="360" w:lineRule="auto"/>
        <w:jc w:val="both"/>
        <w:rPr>
          <w:rFonts w:ascii="Times New Roman" w:eastAsia="Times New Roman" w:hAnsi="Times New Roman" w:cs="Times New Roman"/>
          <w:bCs/>
          <w:sz w:val="24"/>
          <w:szCs w:val="24"/>
        </w:rPr>
      </w:pPr>
      <w:r w:rsidRPr="00082A41">
        <w:rPr>
          <w:rFonts w:ascii="Times New Roman" w:eastAsia="Times New Roman" w:hAnsi="Times New Roman" w:cs="Times New Roman"/>
          <w:bCs/>
          <w:sz w:val="24"/>
          <w:szCs w:val="24"/>
        </w:rPr>
        <w:t>As presented in Table 1, a total of 150 respondents participated in the study, comprising 117 males (78%) and 33 females (22%), indicating a male-dominated sample. In terms of age distribution, the majority of respondents, 77 (51.3%), were within 35–44 years, followed by 36 (24.0%) within 25–34 years, 22 (14.7%) within 45–54 years, 9 (6.0%) above 55 years, and 6 (4.0%) below 25 years. This suggests that most respondents were within the active age group. Regarding educational qualifications, 103 respondents (68.7%) held B.Sc./HND degrees, 30 (20.0%) had OND/NCE, 13 (8.7%) possessed postgraduate qualifications, and 4 (2.7%) had SSCE, indicating a generally educated sample. In terms of years of residence, 68 respondents (45.3%) had lived in the area for 11–20 years, 56 (37.3%) for 6–10 years, 23 (15.3%) for over 20 years, and 3 (2.0%) for 1–5 years, suggesting substantial familiarity with the study area. Finally, most respondents were oil and gas workers (72; 48.0%), followed by community leaders (43; 28.7%), government officials (19; 12.7%), and others (16; 10.7%)</w:t>
      </w:r>
      <w:r w:rsidR="00623CD4" w:rsidRPr="00082A41">
        <w:rPr>
          <w:rFonts w:ascii="Times New Roman" w:eastAsia="Times New Roman" w:hAnsi="Times New Roman" w:cs="Times New Roman"/>
          <w:bCs/>
          <w:sz w:val="24"/>
          <w:szCs w:val="24"/>
        </w:rPr>
        <w:t>. This indicates that a significant proportion of respondents were directly involved in sectors relevant to the study.</w:t>
      </w:r>
    </w:p>
    <w:p w14:paraId="2AB6A23A"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5DCF3ABC"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7CAB79A4"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4C1EC379"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07CF36A3"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5F91CDE1"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068EB41F"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5008353F"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3237AB96"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520D8D88"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078A50D6"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57EF1AA3"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770B6003"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6D06288A"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73847331"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3C49FF02"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1B87AA3D" w14:textId="77777777" w:rsidR="00082A41" w:rsidRPr="00082A41" w:rsidRDefault="00082A41" w:rsidP="00623CD4">
      <w:pPr>
        <w:spacing w:after="0" w:line="360" w:lineRule="auto"/>
        <w:jc w:val="both"/>
        <w:rPr>
          <w:rFonts w:ascii="Times New Roman" w:eastAsia="Times New Roman" w:hAnsi="Times New Roman" w:cs="Times New Roman"/>
          <w:b/>
          <w:bCs/>
          <w:sz w:val="24"/>
          <w:szCs w:val="24"/>
        </w:rPr>
      </w:pPr>
    </w:p>
    <w:p w14:paraId="16371B72" w14:textId="7DC8CDAF" w:rsidR="00623CD4" w:rsidRPr="00082A41" w:rsidRDefault="00623CD4" w:rsidP="00623CD4">
      <w:pPr>
        <w:spacing w:after="0" w:line="360" w:lineRule="auto"/>
        <w:jc w:val="both"/>
        <w:rPr>
          <w:rFonts w:ascii="Times New Roman" w:eastAsia="Times New Roman" w:hAnsi="Times New Roman" w:cs="Times New Roman"/>
          <w:sz w:val="24"/>
          <w:szCs w:val="24"/>
          <w:lang w:val="en-GB" w:eastAsia="en-GB"/>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2</w:t>
      </w:r>
      <w:r w:rsidR="00CC3834" w:rsidRPr="00082A41">
        <w:rPr>
          <w:rFonts w:ascii="Times New Roman" w:eastAsia="Times New Roman" w:hAnsi="Times New Roman" w:cs="Times New Roman"/>
          <w:b/>
          <w:bCs/>
          <w:sz w:val="24"/>
          <w:szCs w:val="24"/>
        </w:rPr>
        <w:t>:</w:t>
      </w:r>
      <w:r w:rsidRPr="00082A41">
        <w:rPr>
          <w:rFonts w:ascii="Times New Roman" w:eastAsia="Times New Roman" w:hAnsi="Times New Roman" w:cs="Times New Roman"/>
          <w:b/>
          <w:bCs/>
          <w:sz w:val="24"/>
          <w:szCs w:val="24"/>
        </w:rPr>
        <w:t xml:space="preserve"> </w:t>
      </w:r>
      <w:r w:rsidRPr="00082A41">
        <w:rPr>
          <w:rFonts w:ascii="Times New Roman" w:eastAsia="Times New Roman" w:hAnsi="Times New Roman" w:cs="Times New Roman"/>
          <w:b/>
          <w:bCs/>
        </w:rPr>
        <w:t xml:space="preserve">Perception of Respondents on the </w:t>
      </w:r>
      <w:r w:rsidRPr="00082A41">
        <w:rPr>
          <w:rFonts w:ascii="Times New Roman" w:eastAsia="Calibri" w:hAnsi="Times New Roman" w:cs="Times New Roman"/>
          <w:b/>
          <w:bCs/>
        </w:rPr>
        <w:t>Socio-Political Factors and Decarbonization in Akwa Ibom State</w:t>
      </w:r>
    </w:p>
    <w:tbl>
      <w:tblPr>
        <w:tblStyle w:val="TableGrid"/>
        <w:tblW w:w="10110"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3147"/>
        <w:gridCol w:w="790"/>
        <w:gridCol w:w="702"/>
        <w:gridCol w:w="613"/>
        <w:gridCol w:w="792"/>
        <w:gridCol w:w="613"/>
        <w:gridCol w:w="792"/>
        <w:gridCol w:w="1142"/>
        <w:gridCol w:w="973"/>
      </w:tblGrid>
      <w:tr w:rsidR="00082A41" w:rsidRPr="00082A41" w14:paraId="172FC21E" w14:textId="77777777">
        <w:trPr>
          <w:trHeight w:val="385"/>
        </w:trPr>
        <w:tc>
          <w:tcPr>
            <w:tcW w:w="545" w:type="dxa"/>
            <w:vMerge w:val="restart"/>
            <w:tcBorders>
              <w:top w:val="single" w:sz="4" w:space="0" w:color="auto"/>
              <w:left w:val="nil"/>
              <w:bottom w:val="nil"/>
              <w:right w:val="nil"/>
            </w:tcBorders>
            <w:hideMark/>
          </w:tcPr>
          <w:p w14:paraId="5B24AF31" w14:textId="77777777" w:rsidR="00623CD4" w:rsidRPr="00082A41" w:rsidRDefault="00623CD4">
            <w:pPr>
              <w:spacing w:after="0"/>
              <w:rPr>
                <w:rFonts w:ascii="Times New Roman" w:hAnsi="Times New Roman" w:cs="Times New Roman"/>
                <w:b/>
                <w:bCs/>
                <w:sz w:val="20"/>
                <w:szCs w:val="20"/>
              </w:rPr>
            </w:pPr>
            <w:bookmarkStart w:id="3" w:name="_Hlk211058559"/>
            <w:bookmarkEnd w:id="2"/>
            <w:r w:rsidRPr="00082A41">
              <w:rPr>
                <w:rFonts w:ascii="Times New Roman" w:hAnsi="Times New Roman" w:cs="Times New Roman"/>
                <w:b/>
                <w:bCs/>
                <w:sz w:val="20"/>
                <w:szCs w:val="20"/>
              </w:rPr>
              <w:t>S/N</w:t>
            </w:r>
          </w:p>
        </w:tc>
        <w:tc>
          <w:tcPr>
            <w:tcW w:w="3144" w:type="dxa"/>
            <w:vMerge w:val="restart"/>
            <w:tcBorders>
              <w:top w:val="single" w:sz="4" w:space="0" w:color="auto"/>
              <w:left w:val="nil"/>
              <w:bottom w:val="single" w:sz="4" w:space="0" w:color="auto"/>
              <w:right w:val="nil"/>
            </w:tcBorders>
          </w:tcPr>
          <w:p w14:paraId="2961CF48" w14:textId="77777777" w:rsidR="00623CD4" w:rsidRPr="00082A41" w:rsidRDefault="00623CD4">
            <w:pPr>
              <w:spacing w:after="0" w:line="240" w:lineRule="auto"/>
              <w:rPr>
                <w:rFonts w:ascii="Times New Roman" w:hAnsi="Times New Roman" w:cs="Times New Roman"/>
                <w:b/>
                <w:bCs/>
                <w:sz w:val="20"/>
                <w:szCs w:val="20"/>
              </w:rPr>
            </w:pPr>
          </w:p>
        </w:tc>
        <w:tc>
          <w:tcPr>
            <w:tcW w:w="6416" w:type="dxa"/>
            <w:gridSpan w:val="8"/>
            <w:tcBorders>
              <w:top w:val="single" w:sz="4" w:space="0" w:color="auto"/>
              <w:left w:val="nil"/>
              <w:bottom w:val="single" w:sz="4" w:space="0" w:color="auto"/>
              <w:right w:val="nil"/>
            </w:tcBorders>
            <w:hideMark/>
          </w:tcPr>
          <w:p w14:paraId="2859C6E3" w14:textId="77777777" w:rsidR="00623CD4" w:rsidRPr="00082A41" w:rsidRDefault="00623CD4">
            <w:pPr>
              <w:spacing w:after="0" w:line="240" w:lineRule="auto"/>
              <w:jc w:val="center"/>
              <w:rPr>
                <w:rFonts w:ascii="Times New Roman" w:hAnsi="Times New Roman" w:cs="Times New Roman"/>
                <w:b/>
                <w:bCs/>
              </w:rPr>
            </w:pPr>
            <w:r w:rsidRPr="00082A41">
              <w:rPr>
                <w:rFonts w:ascii="Times New Roman" w:hAnsi="Times New Roman" w:cs="Times New Roman"/>
                <w:b/>
                <w:bCs/>
              </w:rPr>
              <w:t>LGAs</w:t>
            </w:r>
          </w:p>
        </w:tc>
      </w:tr>
      <w:tr w:rsidR="00082A41" w:rsidRPr="00082A41" w14:paraId="1E7AE9FF" w14:textId="77777777">
        <w:trPr>
          <w:trHeight w:val="676"/>
        </w:trPr>
        <w:tc>
          <w:tcPr>
            <w:tcW w:w="3689" w:type="dxa"/>
            <w:vMerge/>
            <w:tcBorders>
              <w:top w:val="single" w:sz="4" w:space="0" w:color="auto"/>
              <w:left w:val="nil"/>
              <w:bottom w:val="nil"/>
              <w:right w:val="nil"/>
            </w:tcBorders>
            <w:vAlign w:val="center"/>
            <w:hideMark/>
          </w:tcPr>
          <w:p w14:paraId="1E36AF99"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144" w:type="dxa"/>
            <w:vMerge/>
            <w:tcBorders>
              <w:top w:val="single" w:sz="4" w:space="0" w:color="auto"/>
              <w:left w:val="nil"/>
              <w:bottom w:val="single" w:sz="4" w:space="0" w:color="auto"/>
              <w:right w:val="nil"/>
            </w:tcBorders>
            <w:vAlign w:val="center"/>
            <w:hideMark/>
          </w:tcPr>
          <w:p w14:paraId="32FB4AFD"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1492" w:type="dxa"/>
            <w:gridSpan w:val="2"/>
            <w:tcBorders>
              <w:top w:val="single" w:sz="4" w:space="0" w:color="auto"/>
              <w:left w:val="nil"/>
              <w:bottom w:val="single" w:sz="4" w:space="0" w:color="auto"/>
              <w:right w:val="nil"/>
            </w:tcBorders>
            <w:hideMark/>
          </w:tcPr>
          <w:p w14:paraId="6D788D8B"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EKET</w:t>
            </w:r>
          </w:p>
          <w:p w14:paraId="44DB1232"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1</w:t>
            </w:r>
            <w:r w:rsidRPr="00082A41">
              <w:rPr>
                <w:rFonts w:ascii="Times New Roman" w:hAnsi="Times New Roman" w:cs="Times New Roman"/>
                <w:b/>
                <w:bCs/>
                <w:sz w:val="20"/>
                <w:szCs w:val="20"/>
              </w:rPr>
              <w:t>=50</w:t>
            </w:r>
          </w:p>
        </w:tc>
        <w:tc>
          <w:tcPr>
            <w:tcW w:w="1405" w:type="dxa"/>
            <w:gridSpan w:val="2"/>
            <w:tcBorders>
              <w:top w:val="single" w:sz="4" w:space="0" w:color="auto"/>
              <w:left w:val="nil"/>
              <w:bottom w:val="single" w:sz="4" w:space="0" w:color="auto"/>
              <w:right w:val="nil"/>
            </w:tcBorders>
            <w:hideMark/>
          </w:tcPr>
          <w:p w14:paraId="2355D604"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IBENO</w:t>
            </w:r>
          </w:p>
          <w:p w14:paraId="2F0026BB"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2</w:t>
            </w:r>
            <w:r w:rsidRPr="00082A41">
              <w:rPr>
                <w:rFonts w:ascii="Times New Roman" w:hAnsi="Times New Roman" w:cs="Times New Roman"/>
                <w:b/>
                <w:bCs/>
                <w:sz w:val="20"/>
                <w:szCs w:val="20"/>
              </w:rPr>
              <w:t>=50</w:t>
            </w:r>
          </w:p>
        </w:tc>
        <w:tc>
          <w:tcPr>
            <w:tcW w:w="1405" w:type="dxa"/>
            <w:gridSpan w:val="2"/>
            <w:tcBorders>
              <w:top w:val="single" w:sz="4" w:space="0" w:color="auto"/>
              <w:left w:val="nil"/>
              <w:bottom w:val="single" w:sz="4" w:space="0" w:color="auto"/>
              <w:right w:val="nil"/>
            </w:tcBorders>
            <w:hideMark/>
          </w:tcPr>
          <w:p w14:paraId="33DA8E27"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EASTERN OBOLO N</w:t>
            </w:r>
            <w:r w:rsidRPr="00082A41">
              <w:rPr>
                <w:rFonts w:ascii="Times New Roman" w:hAnsi="Times New Roman" w:cs="Times New Roman"/>
                <w:b/>
                <w:bCs/>
                <w:sz w:val="20"/>
                <w:szCs w:val="20"/>
                <w:vertAlign w:val="subscript"/>
              </w:rPr>
              <w:t>3</w:t>
            </w:r>
            <w:r w:rsidRPr="00082A41">
              <w:rPr>
                <w:rFonts w:ascii="Times New Roman" w:hAnsi="Times New Roman" w:cs="Times New Roman"/>
                <w:b/>
                <w:bCs/>
                <w:sz w:val="20"/>
                <w:szCs w:val="20"/>
              </w:rPr>
              <w:t>=50</w:t>
            </w:r>
          </w:p>
        </w:tc>
        <w:tc>
          <w:tcPr>
            <w:tcW w:w="1141" w:type="dxa"/>
            <w:vMerge w:val="restart"/>
            <w:tcBorders>
              <w:top w:val="single" w:sz="4" w:space="0" w:color="auto"/>
              <w:left w:val="nil"/>
              <w:bottom w:val="single" w:sz="4" w:space="0" w:color="auto"/>
              <w:right w:val="nil"/>
            </w:tcBorders>
          </w:tcPr>
          <w:p w14:paraId="628C4D2D" w14:textId="77777777" w:rsidR="00623CD4" w:rsidRPr="00082A41" w:rsidRDefault="00623CD4">
            <w:pPr>
              <w:spacing w:after="0" w:line="240" w:lineRule="auto"/>
              <w:jc w:val="center"/>
              <w:rPr>
                <w:rFonts w:ascii="Times New Roman" w:hAnsi="Times New Roman" w:cs="Times New Roman"/>
                <w:bCs/>
                <w:sz w:val="20"/>
                <w:szCs w:val="20"/>
              </w:rPr>
            </w:pPr>
          </w:p>
          <w:p w14:paraId="3B799D7A" w14:textId="77777777" w:rsidR="00623CD4" w:rsidRPr="00082A41" w:rsidRDefault="00623CD4">
            <w:pPr>
              <w:spacing w:after="0" w:line="240" w:lineRule="auto"/>
              <w:jc w:val="center"/>
              <w:rPr>
                <w:rFonts w:ascii="Times New Roman" w:hAnsi="Times New Roman" w:cs="Times New Roman"/>
                <w:sz w:val="20"/>
                <w:szCs w:val="20"/>
              </w:rPr>
            </w:pPr>
          </w:p>
          <w:p w14:paraId="439B1AE6" w14:textId="77777777" w:rsidR="00623CD4" w:rsidRPr="00082A41" w:rsidRDefault="00623CD4">
            <w:pPr>
              <w:spacing w:after="0" w:line="240" w:lineRule="auto"/>
              <w:jc w:val="center"/>
              <w:rPr>
                <w:rFonts w:ascii="Times New Roman" w:hAnsi="Times New Roman" w:cs="Times New Roman"/>
                <w:b/>
                <w:sz w:val="20"/>
                <w:szCs w:val="20"/>
              </w:rPr>
            </w:pPr>
          </w:p>
          <w:p w14:paraId="3063D1A2" w14:textId="77777777" w:rsidR="00623CD4" w:rsidRPr="00082A41" w:rsidRDefault="00623CD4">
            <w:pPr>
              <w:spacing w:after="0" w:line="240" w:lineRule="auto"/>
              <w:jc w:val="center"/>
              <w:rPr>
                <w:rFonts w:ascii="Times New Roman" w:hAnsi="Times New Roman" w:cs="Times New Roman"/>
                <w:b/>
                <w:sz w:val="20"/>
                <w:szCs w:val="20"/>
              </w:rPr>
            </w:pPr>
            <w:r w:rsidRPr="00082A41">
              <w:rPr>
                <w:rFonts w:ascii="Times New Roman" w:hAnsi="Times New Roman" w:cs="Times New Roman"/>
                <w:b/>
                <w:sz w:val="20"/>
                <w:szCs w:val="20"/>
              </w:rPr>
              <w:t>Aggregate</w:t>
            </w:r>
          </w:p>
        </w:tc>
        <w:tc>
          <w:tcPr>
            <w:tcW w:w="973" w:type="dxa"/>
            <w:vMerge w:val="restart"/>
            <w:tcBorders>
              <w:top w:val="single" w:sz="4" w:space="0" w:color="auto"/>
              <w:left w:val="nil"/>
              <w:bottom w:val="single" w:sz="4" w:space="0" w:color="auto"/>
              <w:right w:val="nil"/>
            </w:tcBorders>
          </w:tcPr>
          <w:p w14:paraId="006DF2CC" w14:textId="77777777" w:rsidR="00623CD4" w:rsidRPr="00082A41" w:rsidRDefault="00623CD4">
            <w:pPr>
              <w:spacing w:after="0" w:line="240" w:lineRule="auto"/>
              <w:jc w:val="center"/>
              <w:rPr>
                <w:rFonts w:ascii="Times New Roman" w:hAnsi="Times New Roman" w:cs="Times New Roman"/>
                <w:sz w:val="20"/>
                <w:szCs w:val="20"/>
              </w:rPr>
            </w:pPr>
          </w:p>
          <w:p w14:paraId="15081F67" w14:textId="77777777" w:rsidR="00623CD4" w:rsidRPr="00082A41" w:rsidRDefault="00623CD4">
            <w:pPr>
              <w:spacing w:after="0" w:line="240" w:lineRule="auto"/>
              <w:jc w:val="center"/>
              <w:rPr>
                <w:rFonts w:ascii="Times New Roman" w:hAnsi="Times New Roman" w:cs="Times New Roman"/>
                <w:sz w:val="20"/>
                <w:szCs w:val="20"/>
              </w:rPr>
            </w:pPr>
          </w:p>
          <w:p w14:paraId="73A97B19" w14:textId="77777777" w:rsidR="00623CD4" w:rsidRPr="00082A41" w:rsidRDefault="00623CD4">
            <w:pPr>
              <w:spacing w:after="0" w:line="240" w:lineRule="auto"/>
              <w:jc w:val="center"/>
              <w:rPr>
                <w:rFonts w:ascii="Times New Roman" w:hAnsi="Times New Roman" w:cs="Times New Roman"/>
                <w:b/>
                <w:bCs/>
                <w:sz w:val="20"/>
                <w:szCs w:val="20"/>
              </w:rPr>
            </w:pPr>
          </w:p>
          <w:p w14:paraId="47E45AC4" w14:textId="77777777" w:rsidR="00623CD4" w:rsidRPr="00082A41" w:rsidRDefault="00623CD4">
            <w:pPr>
              <w:spacing w:after="0" w:line="24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Remark</w:t>
            </w:r>
          </w:p>
        </w:tc>
      </w:tr>
      <w:tr w:rsidR="00082A41" w:rsidRPr="00082A41" w14:paraId="0871B415" w14:textId="77777777">
        <w:trPr>
          <w:trHeight w:val="83"/>
        </w:trPr>
        <w:tc>
          <w:tcPr>
            <w:tcW w:w="3689" w:type="dxa"/>
            <w:vMerge/>
            <w:tcBorders>
              <w:top w:val="single" w:sz="4" w:space="0" w:color="auto"/>
              <w:left w:val="nil"/>
              <w:bottom w:val="nil"/>
              <w:right w:val="nil"/>
            </w:tcBorders>
            <w:vAlign w:val="center"/>
            <w:hideMark/>
          </w:tcPr>
          <w:p w14:paraId="6C6F987A"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144" w:type="dxa"/>
            <w:vMerge/>
            <w:tcBorders>
              <w:top w:val="single" w:sz="4" w:space="0" w:color="auto"/>
              <w:left w:val="nil"/>
              <w:bottom w:val="single" w:sz="4" w:space="0" w:color="auto"/>
              <w:right w:val="nil"/>
            </w:tcBorders>
            <w:vAlign w:val="center"/>
            <w:hideMark/>
          </w:tcPr>
          <w:p w14:paraId="10396D0B"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790" w:type="dxa"/>
            <w:tcBorders>
              <w:top w:val="single" w:sz="4" w:space="0" w:color="auto"/>
              <w:left w:val="nil"/>
              <w:bottom w:val="single" w:sz="4" w:space="0" w:color="auto"/>
              <w:right w:val="nil"/>
            </w:tcBorders>
            <w:vAlign w:val="center"/>
            <w:hideMark/>
          </w:tcPr>
          <w:p w14:paraId="0619080E" w14:textId="77777777" w:rsidR="00623CD4" w:rsidRPr="00082A41" w:rsidRDefault="00D72921">
            <w:pPr>
              <w:spacing w:after="0"/>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oMath>
            </m:oMathPara>
          </w:p>
        </w:tc>
        <w:tc>
          <w:tcPr>
            <w:tcW w:w="702" w:type="dxa"/>
            <w:tcBorders>
              <w:top w:val="single" w:sz="4" w:space="0" w:color="auto"/>
              <w:left w:val="nil"/>
              <w:bottom w:val="single" w:sz="4" w:space="0" w:color="auto"/>
              <w:right w:val="nil"/>
            </w:tcBorders>
            <w:vAlign w:val="center"/>
            <w:hideMark/>
          </w:tcPr>
          <w:p w14:paraId="0956B863" w14:textId="77777777" w:rsidR="00623CD4" w:rsidRPr="00082A41" w:rsidRDefault="00623CD4">
            <w:pPr>
              <w:spacing w:after="0"/>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1</w:t>
            </w:r>
          </w:p>
        </w:tc>
        <w:tc>
          <w:tcPr>
            <w:tcW w:w="613" w:type="dxa"/>
            <w:tcBorders>
              <w:top w:val="single" w:sz="4" w:space="0" w:color="auto"/>
              <w:left w:val="nil"/>
              <w:bottom w:val="single" w:sz="4" w:space="0" w:color="auto"/>
              <w:right w:val="nil"/>
            </w:tcBorders>
            <w:vAlign w:val="center"/>
            <w:hideMark/>
          </w:tcPr>
          <w:p w14:paraId="5EEC6363" w14:textId="77777777" w:rsidR="00623CD4" w:rsidRPr="00082A41" w:rsidRDefault="00D72921">
            <w:pPr>
              <w:spacing w:after="0"/>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oMath>
            </m:oMathPara>
          </w:p>
        </w:tc>
        <w:tc>
          <w:tcPr>
            <w:tcW w:w="792" w:type="dxa"/>
            <w:tcBorders>
              <w:top w:val="single" w:sz="4" w:space="0" w:color="auto"/>
              <w:left w:val="nil"/>
              <w:bottom w:val="single" w:sz="4" w:space="0" w:color="auto"/>
              <w:right w:val="nil"/>
            </w:tcBorders>
            <w:vAlign w:val="center"/>
            <w:hideMark/>
          </w:tcPr>
          <w:p w14:paraId="2DADBA5D" w14:textId="77777777" w:rsidR="00623CD4" w:rsidRPr="00082A41" w:rsidRDefault="00623CD4">
            <w:pPr>
              <w:spacing w:after="0"/>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2</w:t>
            </w:r>
          </w:p>
        </w:tc>
        <w:tc>
          <w:tcPr>
            <w:tcW w:w="613" w:type="dxa"/>
            <w:tcBorders>
              <w:top w:val="single" w:sz="4" w:space="0" w:color="auto"/>
              <w:left w:val="nil"/>
              <w:bottom w:val="single" w:sz="4" w:space="0" w:color="auto"/>
              <w:right w:val="nil"/>
            </w:tcBorders>
            <w:vAlign w:val="center"/>
            <w:hideMark/>
          </w:tcPr>
          <w:p w14:paraId="7CD33CC0" w14:textId="77777777" w:rsidR="00623CD4" w:rsidRPr="00082A41" w:rsidRDefault="00D72921">
            <w:pPr>
              <w:spacing w:after="0"/>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3</m:t>
                    </m:r>
                  </m:sub>
                </m:sSub>
              </m:oMath>
            </m:oMathPara>
          </w:p>
        </w:tc>
        <w:tc>
          <w:tcPr>
            <w:tcW w:w="792" w:type="dxa"/>
            <w:tcBorders>
              <w:top w:val="single" w:sz="4" w:space="0" w:color="auto"/>
              <w:left w:val="nil"/>
              <w:bottom w:val="single" w:sz="4" w:space="0" w:color="auto"/>
              <w:right w:val="nil"/>
            </w:tcBorders>
            <w:vAlign w:val="center"/>
            <w:hideMark/>
          </w:tcPr>
          <w:p w14:paraId="4ECE9014" w14:textId="77777777" w:rsidR="00623CD4" w:rsidRPr="00082A41" w:rsidRDefault="00623CD4">
            <w:pPr>
              <w:spacing w:after="0"/>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3</w:t>
            </w:r>
          </w:p>
        </w:tc>
        <w:tc>
          <w:tcPr>
            <w:tcW w:w="1141" w:type="dxa"/>
            <w:vMerge/>
            <w:tcBorders>
              <w:top w:val="single" w:sz="4" w:space="0" w:color="auto"/>
              <w:left w:val="nil"/>
              <w:bottom w:val="single" w:sz="4" w:space="0" w:color="auto"/>
              <w:right w:val="nil"/>
            </w:tcBorders>
            <w:vAlign w:val="center"/>
            <w:hideMark/>
          </w:tcPr>
          <w:p w14:paraId="657A32B2" w14:textId="77777777" w:rsidR="00623CD4" w:rsidRPr="00082A41" w:rsidRDefault="00623CD4">
            <w:pPr>
              <w:spacing w:after="0" w:line="240" w:lineRule="auto"/>
              <w:rPr>
                <w:rFonts w:ascii="Times New Roman" w:hAnsi="Times New Roman" w:cs="Times New Roman"/>
                <w:b/>
                <w:kern w:val="2"/>
                <w:sz w:val="20"/>
                <w:szCs w:val="20"/>
                <w14:ligatures w14:val="standardContextual"/>
              </w:rPr>
            </w:pPr>
          </w:p>
        </w:tc>
        <w:tc>
          <w:tcPr>
            <w:tcW w:w="973" w:type="dxa"/>
            <w:vMerge/>
            <w:tcBorders>
              <w:top w:val="single" w:sz="4" w:space="0" w:color="auto"/>
              <w:left w:val="nil"/>
              <w:bottom w:val="single" w:sz="4" w:space="0" w:color="auto"/>
              <w:right w:val="nil"/>
            </w:tcBorders>
            <w:vAlign w:val="center"/>
            <w:hideMark/>
          </w:tcPr>
          <w:p w14:paraId="1BF7B1EE"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r>
      <w:tr w:rsidR="00082A41" w:rsidRPr="00082A41" w14:paraId="3B14A818" w14:textId="77777777">
        <w:trPr>
          <w:trHeight w:val="501"/>
        </w:trPr>
        <w:tc>
          <w:tcPr>
            <w:tcW w:w="545" w:type="dxa"/>
            <w:tcBorders>
              <w:top w:val="nil"/>
              <w:left w:val="nil"/>
              <w:bottom w:val="nil"/>
              <w:right w:val="nil"/>
            </w:tcBorders>
            <w:hideMark/>
          </w:tcPr>
          <w:p w14:paraId="0D163B16"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1</w:t>
            </w:r>
          </w:p>
        </w:tc>
        <w:tc>
          <w:tcPr>
            <w:tcW w:w="3144" w:type="dxa"/>
            <w:tcBorders>
              <w:top w:val="single" w:sz="4" w:space="0" w:color="auto"/>
              <w:left w:val="nil"/>
              <w:bottom w:val="nil"/>
              <w:right w:val="nil"/>
            </w:tcBorders>
            <w:hideMark/>
          </w:tcPr>
          <w:p w14:paraId="28E569F9"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sz w:val="20"/>
                <w:szCs w:val="20"/>
              </w:rPr>
              <w:t>Political interests in oil revenue hinder the implementation of decarbonization policies.</w:t>
            </w:r>
          </w:p>
        </w:tc>
        <w:tc>
          <w:tcPr>
            <w:tcW w:w="790" w:type="dxa"/>
            <w:tcBorders>
              <w:top w:val="single" w:sz="4" w:space="0" w:color="auto"/>
              <w:left w:val="nil"/>
              <w:bottom w:val="nil"/>
              <w:right w:val="nil"/>
            </w:tcBorders>
          </w:tcPr>
          <w:p w14:paraId="041F4B07" w14:textId="77777777" w:rsidR="00623CD4" w:rsidRPr="00082A41" w:rsidRDefault="00623CD4">
            <w:pPr>
              <w:spacing w:after="0" w:line="360" w:lineRule="auto"/>
              <w:jc w:val="center"/>
              <w:rPr>
                <w:rFonts w:ascii="Times New Roman" w:hAnsi="Times New Roman" w:cs="Times New Roman"/>
              </w:rPr>
            </w:pPr>
          </w:p>
          <w:p w14:paraId="3F8E0FA7"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3.42</w:t>
            </w:r>
          </w:p>
        </w:tc>
        <w:tc>
          <w:tcPr>
            <w:tcW w:w="702" w:type="dxa"/>
            <w:tcBorders>
              <w:top w:val="single" w:sz="4" w:space="0" w:color="auto"/>
              <w:left w:val="nil"/>
              <w:bottom w:val="nil"/>
              <w:right w:val="nil"/>
            </w:tcBorders>
          </w:tcPr>
          <w:p w14:paraId="47FB57C7" w14:textId="77777777" w:rsidR="00623CD4" w:rsidRPr="00082A41" w:rsidRDefault="00623CD4">
            <w:pPr>
              <w:spacing w:after="0" w:line="360" w:lineRule="auto"/>
              <w:jc w:val="center"/>
              <w:rPr>
                <w:rFonts w:ascii="Times New Roman" w:hAnsi="Times New Roman" w:cs="Times New Roman"/>
              </w:rPr>
            </w:pPr>
          </w:p>
          <w:p w14:paraId="10634C88"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.499</w:t>
            </w:r>
          </w:p>
        </w:tc>
        <w:tc>
          <w:tcPr>
            <w:tcW w:w="613" w:type="dxa"/>
            <w:tcBorders>
              <w:top w:val="single" w:sz="4" w:space="0" w:color="auto"/>
              <w:left w:val="nil"/>
              <w:bottom w:val="nil"/>
              <w:right w:val="nil"/>
            </w:tcBorders>
          </w:tcPr>
          <w:p w14:paraId="4C7BABB6" w14:textId="77777777" w:rsidR="00623CD4" w:rsidRPr="00082A41" w:rsidRDefault="00623CD4">
            <w:pPr>
              <w:spacing w:after="0" w:line="360" w:lineRule="auto"/>
              <w:jc w:val="center"/>
              <w:rPr>
                <w:rFonts w:ascii="Times New Roman" w:hAnsi="Times New Roman" w:cs="Times New Roman"/>
              </w:rPr>
            </w:pPr>
          </w:p>
          <w:p w14:paraId="3F7748B2"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3.56</w:t>
            </w:r>
          </w:p>
        </w:tc>
        <w:tc>
          <w:tcPr>
            <w:tcW w:w="792" w:type="dxa"/>
            <w:tcBorders>
              <w:top w:val="single" w:sz="4" w:space="0" w:color="auto"/>
              <w:left w:val="nil"/>
              <w:bottom w:val="nil"/>
              <w:right w:val="nil"/>
            </w:tcBorders>
          </w:tcPr>
          <w:p w14:paraId="5E2CBDDD" w14:textId="77777777" w:rsidR="00623CD4" w:rsidRPr="00082A41" w:rsidRDefault="00623CD4">
            <w:pPr>
              <w:spacing w:after="0" w:line="360" w:lineRule="auto"/>
              <w:jc w:val="center"/>
              <w:rPr>
                <w:rFonts w:ascii="Times New Roman" w:hAnsi="Times New Roman" w:cs="Times New Roman"/>
              </w:rPr>
            </w:pPr>
          </w:p>
          <w:p w14:paraId="757CA205"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.501</w:t>
            </w:r>
          </w:p>
        </w:tc>
        <w:tc>
          <w:tcPr>
            <w:tcW w:w="613" w:type="dxa"/>
            <w:tcBorders>
              <w:top w:val="single" w:sz="4" w:space="0" w:color="auto"/>
              <w:left w:val="nil"/>
              <w:bottom w:val="nil"/>
              <w:right w:val="nil"/>
            </w:tcBorders>
          </w:tcPr>
          <w:p w14:paraId="496098BF" w14:textId="77777777" w:rsidR="00623CD4" w:rsidRPr="00082A41" w:rsidRDefault="00623CD4">
            <w:pPr>
              <w:spacing w:after="0" w:line="360" w:lineRule="auto"/>
              <w:jc w:val="center"/>
              <w:rPr>
                <w:rFonts w:ascii="Times New Roman" w:hAnsi="Times New Roman" w:cs="Times New Roman"/>
              </w:rPr>
            </w:pPr>
          </w:p>
          <w:p w14:paraId="19D0A5D7"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3.90</w:t>
            </w:r>
          </w:p>
        </w:tc>
        <w:tc>
          <w:tcPr>
            <w:tcW w:w="792" w:type="dxa"/>
            <w:tcBorders>
              <w:top w:val="single" w:sz="4" w:space="0" w:color="auto"/>
              <w:left w:val="nil"/>
              <w:bottom w:val="nil"/>
              <w:right w:val="nil"/>
            </w:tcBorders>
          </w:tcPr>
          <w:p w14:paraId="7476E366" w14:textId="77777777" w:rsidR="00623CD4" w:rsidRPr="00082A41" w:rsidRDefault="00623CD4">
            <w:pPr>
              <w:spacing w:after="0" w:line="360" w:lineRule="auto"/>
              <w:jc w:val="center"/>
              <w:rPr>
                <w:rFonts w:ascii="Times New Roman" w:hAnsi="Times New Roman" w:cs="Times New Roman"/>
              </w:rPr>
            </w:pPr>
          </w:p>
          <w:p w14:paraId="0FFEA60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.303</w:t>
            </w:r>
          </w:p>
        </w:tc>
        <w:tc>
          <w:tcPr>
            <w:tcW w:w="1141" w:type="dxa"/>
            <w:tcBorders>
              <w:top w:val="single" w:sz="4" w:space="0" w:color="auto"/>
              <w:left w:val="nil"/>
              <w:bottom w:val="nil"/>
              <w:right w:val="nil"/>
            </w:tcBorders>
          </w:tcPr>
          <w:p w14:paraId="373462FD" w14:textId="77777777" w:rsidR="00623CD4" w:rsidRPr="00082A41" w:rsidRDefault="00623CD4">
            <w:pPr>
              <w:spacing w:after="0" w:line="360" w:lineRule="auto"/>
              <w:jc w:val="center"/>
            </w:pPr>
          </w:p>
          <w:p w14:paraId="6FC654D5" w14:textId="77777777" w:rsidR="00623CD4" w:rsidRPr="00082A41" w:rsidRDefault="00623CD4">
            <w:pPr>
              <w:spacing w:after="0" w:line="360" w:lineRule="auto"/>
              <w:jc w:val="center"/>
              <w:rPr>
                <w:rFonts w:ascii="Times New Roman" w:hAnsi="Times New Roman" w:cs="Times New Roman"/>
                <w:bCs/>
                <w:sz w:val="20"/>
                <w:szCs w:val="20"/>
              </w:rPr>
            </w:pPr>
            <w:r w:rsidRPr="00082A41">
              <w:t>3.63</w:t>
            </w:r>
          </w:p>
        </w:tc>
        <w:tc>
          <w:tcPr>
            <w:tcW w:w="973" w:type="dxa"/>
            <w:tcBorders>
              <w:top w:val="single" w:sz="4" w:space="0" w:color="auto"/>
              <w:left w:val="nil"/>
              <w:bottom w:val="nil"/>
              <w:right w:val="nil"/>
            </w:tcBorders>
          </w:tcPr>
          <w:p w14:paraId="26B14FD0" w14:textId="77777777" w:rsidR="00623CD4" w:rsidRPr="00082A41" w:rsidRDefault="00623CD4">
            <w:pPr>
              <w:spacing w:after="0" w:line="360" w:lineRule="auto"/>
              <w:jc w:val="center"/>
              <w:rPr>
                <w:rFonts w:ascii="Times New Roman" w:hAnsi="Times New Roman" w:cs="Times New Roman"/>
                <w:bCs/>
                <w:sz w:val="20"/>
                <w:szCs w:val="20"/>
              </w:rPr>
            </w:pPr>
          </w:p>
          <w:p w14:paraId="7B4FAFB5"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2054EDFC" w14:textId="77777777">
        <w:trPr>
          <w:trHeight w:val="483"/>
        </w:trPr>
        <w:tc>
          <w:tcPr>
            <w:tcW w:w="545" w:type="dxa"/>
            <w:tcBorders>
              <w:top w:val="nil"/>
              <w:left w:val="nil"/>
              <w:bottom w:val="nil"/>
              <w:right w:val="nil"/>
            </w:tcBorders>
            <w:hideMark/>
          </w:tcPr>
          <w:p w14:paraId="22816594"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2</w:t>
            </w:r>
          </w:p>
        </w:tc>
        <w:tc>
          <w:tcPr>
            <w:tcW w:w="3144" w:type="dxa"/>
            <w:tcBorders>
              <w:top w:val="nil"/>
              <w:left w:val="nil"/>
              <w:bottom w:val="nil"/>
              <w:right w:val="nil"/>
            </w:tcBorders>
            <w:hideMark/>
          </w:tcPr>
          <w:p w14:paraId="5922B5D5"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sz w:val="20"/>
                <w:szCs w:val="20"/>
              </w:rPr>
              <w:t xml:space="preserve">Socio-political instability affects environmental policy enforcement in Akwa Ibom State. </w:t>
            </w:r>
          </w:p>
        </w:tc>
        <w:tc>
          <w:tcPr>
            <w:tcW w:w="790" w:type="dxa"/>
            <w:tcBorders>
              <w:top w:val="nil"/>
              <w:left w:val="nil"/>
              <w:bottom w:val="nil"/>
              <w:right w:val="nil"/>
            </w:tcBorders>
          </w:tcPr>
          <w:p w14:paraId="23A688C4" w14:textId="77777777" w:rsidR="00623CD4" w:rsidRPr="00082A41" w:rsidRDefault="00623CD4">
            <w:pPr>
              <w:spacing w:after="0" w:line="360" w:lineRule="auto"/>
              <w:jc w:val="center"/>
              <w:rPr>
                <w:rFonts w:ascii="Times New Roman" w:hAnsi="Times New Roman" w:cs="Times New Roman"/>
              </w:rPr>
            </w:pPr>
          </w:p>
          <w:p w14:paraId="46D99F9E"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3.84</w:t>
            </w:r>
          </w:p>
        </w:tc>
        <w:tc>
          <w:tcPr>
            <w:tcW w:w="702" w:type="dxa"/>
            <w:tcBorders>
              <w:top w:val="nil"/>
              <w:left w:val="nil"/>
              <w:bottom w:val="nil"/>
              <w:right w:val="nil"/>
            </w:tcBorders>
          </w:tcPr>
          <w:p w14:paraId="25CD5721" w14:textId="77777777" w:rsidR="00623CD4" w:rsidRPr="00082A41" w:rsidRDefault="00623CD4">
            <w:pPr>
              <w:spacing w:after="0" w:line="360" w:lineRule="auto"/>
              <w:jc w:val="center"/>
              <w:rPr>
                <w:rFonts w:ascii="Times New Roman" w:hAnsi="Times New Roman" w:cs="Times New Roman"/>
              </w:rPr>
            </w:pPr>
          </w:p>
          <w:p w14:paraId="51944196"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.370</w:t>
            </w:r>
          </w:p>
        </w:tc>
        <w:tc>
          <w:tcPr>
            <w:tcW w:w="613" w:type="dxa"/>
            <w:tcBorders>
              <w:top w:val="nil"/>
              <w:left w:val="nil"/>
              <w:bottom w:val="nil"/>
              <w:right w:val="nil"/>
            </w:tcBorders>
          </w:tcPr>
          <w:p w14:paraId="3FA504F6" w14:textId="77777777" w:rsidR="00623CD4" w:rsidRPr="00082A41" w:rsidRDefault="00623CD4">
            <w:pPr>
              <w:spacing w:after="0" w:line="360" w:lineRule="auto"/>
              <w:jc w:val="center"/>
              <w:rPr>
                <w:rFonts w:ascii="Times New Roman" w:hAnsi="Times New Roman" w:cs="Times New Roman"/>
              </w:rPr>
            </w:pPr>
          </w:p>
          <w:p w14:paraId="38BC39AB"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3.26</w:t>
            </w:r>
          </w:p>
        </w:tc>
        <w:tc>
          <w:tcPr>
            <w:tcW w:w="792" w:type="dxa"/>
            <w:tcBorders>
              <w:top w:val="nil"/>
              <w:left w:val="nil"/>
              <w:bottom w:val="nil"/>
              <w:right w:val="nil"/>
            </w:tcBorders>
          </w:tcPr>
          <w:p w14:paraId="27FD28F8" w14:textId="77777777" w:rsidR="00623CD4" w:rsidRPr="00082A41" w:rsidRDefault="00623CD4">
            <w:pPr>
              <w:spacing w:after="0" w:line="360" w:lineRule="auto"/>
              <w:jc w:val="center"/>
              <w:rPr>
                <w:rFonts w:ascii="Times New Roman" w:hAnsi="Times New Roman" w:cs="Times New Roman"/>
              </w:rPr>
            </w:pPr>
          </w:p>
          <w:p w14:paraId="36196F63"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.443</w:t>
            </w:r>
          </w:p>
        </w:tc>
        <w:tc>
          <w:tcPr>
            <w:tcW w:w="613" w:type="dxa"/>
            <w:tcBorders>
              <w:top w:val="nil"/>
              <w:left w:val="nil"/>
              <w:bottom w:val="nil"/>
              <w:right w:val="nil"/>
            </w:tcBorders>
          </w:tcPr>
          <w:p w14:paraId="08D2F2C6" w14:textId="77777777" w:rsidR="00623CD4" w:rsidRPr="00082A41" w:rsidRDefault="00623CD4">
            <w:pPr>
              <w:spacing w:after="0" w:line="360" w:lineRule="auto"/>
              <w:jc w:val="center"/>
              <w:rPr>
                <w:rFonts w:ascii="Times New Roman" w:hAnsi="Times New Roman" w:cs="Times New Roman"/>
              </w:rPr>
            </w:pPr>
          </w:p>
          <w:p w14:paraId="1FB84630"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3.68</w:t>
            </w:r>
          </w:p>
        </w:tc>
        <w:tc>
          <w:tcPr>
            <w:tcW w:w="792" w:type="dxa"/>
            <w:tcBorders>
              <w:top w:val="nil"/>
              <w:left w:val="nil"/>
              <w:bottom w:val="nil"/>
              <w:right w:val="nil"/>
            </w:tcBorders>
          </w:tcPr>
          <w:p w14:paraId="7B695203" w14:textId="77777777" w:rsidR="00623CD4" w:rsidRPr="00082A41" w:rsidRDefault="00623CD4">
            <w:pPr>
              <w:spacing w:after="0" w:line="360" w:lineRule="auto"/>
              <w:jc w:val="center"/>
              <w:rPr>
                <w:rFonts w:ascii="Times New Roman" w:hAnsi="Times New Roman" w:cs="Times New Roman"/>
              </w:rPr>
            </w:pPr>
          </w:p>
          <w:p w14:paraId="127C2E3C"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.471</w:t>
            </w:r>
          </w:p>
        </w:tc>
        <w:tc>
          <w:tcPr>
            <w:tcW w:w="1141" w:type="dxa"/>
            <w:tcBorders>
              <w:top w:val="nil"/>
              <w:left w:val="nil"/>
              <w:bottom w:val="nil"/>
              <w:right w:val="nil"/>
            </w:tcBorders>
          </w:tcPr>
          <w:p w14:paraId="41067210" w14:textId="77777777" w:rsidR="00623CD4" w:rsidRPr="00082A41" w:rsidRDefault="00623CD4">
            <w:pPr>
              <w:spacing w:after="0" w:line="360" w:lineRule="auto"/>
              <w:jc w:val="center"/>
            </w:pPr>
          </w:p>
          <w:p w14:paraId="2F52A77B" w14:textId="77777777" w:rsidR="00623CD4" w:rsidRPr="00082A41" w:rsidRDefault="00623CD4">
            <w:pPr>
              <w:spacing w:after="0" w:line="360" w:lineRule="auto"/>
              <w:jc w:val="center"/>
              <w:rPr>
                <w:rFonts w:ascii="Times New Roman" w:hAnsi="Times New Roman" w:cs="Times New Roman"/>
                <w:bCs/>
                <w:sz w:val="20"/>
                <w:szCs w:val="20"/>
              </w:rPr>
            </w:pPr>
            <w:r w:rsidRPr="00082A41">
              <w:t>3.59</w:t>
            </w:r>
          </w:p>
        </w:tc>
        <w:tc>
          <w:tcPr>
            <w:tcW w:w="973" w:type="dxa"/>
            <w:tcBorders>
              <w:top w:val="nil"/>
              <w:left w:val="nil"/>
              <w:bottom w:val="nil"/>
              <w:right w:val="nil"/>
            </w:tcBorders>
          </w:tcPr>
          <w:p w14:paraId="10EFE118" w14:textId="77777777" w:rsidR="00623CD4" w:rsidRPr="00082A41" w:rsidRDefault="00623CD4">
            <w:pPr>
              <w:spacing w:after="0" w:line="360" w:lineRule="auto"/>
              <w:jc w:val="center"/>
              <w:rPr>
                <w:rFonts w:ascii="Times New Roman" w:hAnsi="Times New Roman" w:cs="Times New Roman"/>
                <w:bCs/>
                <w:sz w:val="20"/>
                <w:szCs w:val="20"/>
              </w:rPr>
            </w:pPr>
          </w:p>
          <w:p w14:paraId="5D9B0D2A"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12D82E6F" w14:textId="77777777">
        <w:trPr>
          <w:trHeight w:val="483"/>
        </w:trPr>
        <w:tc>
          <w:tcPr>
            <w:tcW w:w="545" w:type="dxa"/>
            <w:tcBorders>
              <w:top w:val="nil"/>
              <w:left w:val="nil"/>
              <w:bottom w:val="nil"/>
              <w:right w:val="nil"/>
            </w:tcBorders>
            <w:hideMark/>
          </w:tcPr>
          <w:p w14:paraId="753A9B55"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3</w:t>
            </w:r>
          </w:p>
        </w:tc>
        <w:tc>
          <w:tcPr>
            <w:tcW w:w="3144" w:type="dxa"/>
            <w:tcBorders>
              <w:top w:val="nil"/>
              <w:left w:val="nil"/>
              <w:bottom w:val="nil"/>
              <w:right w:val="nil"/>
            </w:tcBorders>
            <w:hideMark/>
          </w:tcPr>
          <w:p w14:paraId="64661452"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sz w:val="20"/>
                <w:szCs w:val="20"/>
              </w:rPr>
              <w:t xml:space="preserve">Dependence on oil revenue reduces government commitment to carbon reduction initiatives. </w:t>
            </w:r>
          </w:p>
        </w:tc>
        <w:tc>
          <w:tcPr>
            <w:tcW w:w="790" w:type="dxa"/>
            <w:tcBorders>
              <w:top w:val="nil"/>
              <w:left w:val="nil"/>
              <w:bottom w:val="nil"/>
              <w:right w:val="nil"/>
            </w:tcBorders>
          </w:tcPr>
          <w:p w14:paraId="3B268527" w14:textId="77777777" w:rsidR="00623CD4" w:rsidRPr="00082A41" w:rsidRDefault="00623CD4">
            <w:pPr>
              <w:spacing w:after="0" w:line="360" w:lineRule="auto"/>
              <w:jc w:val="center"/>
              <w:rPr>
                <w:rFonts w:ascii="Times New Roman" w:hAnsi="Times New Roman" w:cs="Times New Roman"/>
              </w:rPr>
            </w:pPr>
          </w:p>
          <w:p w14:paraId="4FCEEA35"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3.98</w:t>
            </w:r>
          </w:p>
        </w:tc>
        <w:tc>
          <w:tcPr>
            <w:tcW w:w="702" w:type="dxa"/>
            <w:tcBorders>
              <w:top w:val="nil"/>
              <w:left w:val="nil"/>
              <w:bottom w:val="nil"/>
              <w:right w:val="nil"/>
            </w:tcBorders>
          </w:tcPr>
          <w:p w14:paraId="4FFBC034" w14:textId="77777777" w:rsidR="00623CD4" w:rsidRPr="00082A41" w:rsidRDefault="00623CD4">
            <w:pPr>
              <w:spacing w:after="0" w:line="360" w:lineRule="auto"/>
              <w:jc w:val="center"/>
              <w:rPr>
                <w:rFonts w:ascii="Times New Roman" w:hAnsi="Times New Roman" w:cs="Times New Roman"/>
              </w:rPr>
            </w:pPr>
          </w:p>
          <w:p w14:paraId="080979A3"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.141</w:t>
            </w:r>
          </w:p>
        </w:tc>
        <w:tc>
          <w:tcPr>
            <w:tcW w:w="613" w:type="dxa"/>
            <w:tcBorders>
              <w:top w:val="nil"/>
              <w:left w:val="nil"/>
              <w:bottom w:val="nil"/>
              <w:right w:val="nil"/>
            </w:tcBorders>
          </w:tcPr>
          <w:p w14:paraId="6E8C2785" w14:textId="77777777" w:rsidR="00623CD4" w:rsidRPr="00082A41" w:rsidRDefault="00623CD4">
            <w:pPr>
              <w:spacing w:after="0" w:line="360" w:lineRule="auto"/>
              <w:jc w:val="center"/>
              <w:rPr>
                <w:rFonts w:ascii="Times New Roman" w:hAnsi="Times New Roman" w:cs="Times New Roman"/>
              </w:rPr>
            </w:pPr>
          </w:p>
          <w:p w14:paraId="11D51A32"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3.92</w:t>
            </w:r>
          </w:p>
        </w:tc>
        <w:tc>
          <w:tcPr>
            <w:tcW w:w="792" w:type="dxa"/>
            <w:tcBorders>
              <w:top w:val="nil"/>
              <w:left w:val="nil"/>
              <w:bottom w:val="nil"/>
              <w:right w:val="nil"/>
            </w:tcBorders>
          </w:tcPr>
          <w:p w14:paraId="375AB3D3" w14:textId="77777777" w:rsidR="00623CD4" w:rsidRPr="00082A41" w:rsidRDefault="00623CD4">
            <w:pPr>
              <w:spacing w:after="0" w:line="360" w:lineRule="auto"/>
              <w:jc w:val="center"/>
              <w:rPr>
                <w:rFonts w:ascii="Times New Roman" w:hAnsi="Times New Roman" w:cs="Times New Roman"/>
              </w:rPr>
            </w:pPr>
          </w:p>
          <w:p w14:paraId="2DB18051"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.274</w:t>
            </w:r>
          </w:p>
        </w:tc>
        <w:tc>
          <w:tcPr>
            <w:tcW w:w="613" w:type="dxa"/>
            <w:tcBorders>
              <w:top w:val="nil"/>
              <w:left w:val="nil"/>
              <w:bottom w:val="nil"/>
              <w:right w:val="nil"/>
            </w:tcBorders>
          </w:tcPr>
          <w:p w14:paraId="0D947507" w14:textId="77777777" w:rsidR="00623CD4" w:rsidRPr="00082A41" w:rsidRDefault="00623CD4">
            <w:pPr>
              <w:spacing w:after="0" w:line="360" w:lineRule="auto"/>
              <w:jc w:val="center"/>
              <w:rPr>
                <w:rFonts w:ascii="Times New Roman" w:hAnsi="Times New Roman" w:cs="Times New Roman"/>
              </w:rPr>
            </w:pPr>
          </w:p>
          <w:p w14:paraId="135A399B"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3.38</w:t>
            </w:r>
          </w:p>
        </w:tc>
        <w:tc>
          <w:tcPr>
            <w:tcW w:w="792" w:type="dxa"/>
            <w:tcBorders>
              <w:top w:val="nil"/>
              <w:left w:val="nil"/>
              <w:bottom w:val="nil"/>
              <w:right w:val="nil"/>
            </w:tcBorders>
          </w:tcPr>
          <w:p w14:paraId="07609B4C" w14:textId="77777777" w:rsidR="00623CD4" w:rsidRPr="00082A41" w:rsidRDefault="00623CD4">
            <w:pPr>
              <w:spacing w:after="0" w:line="360" w:lineRule="auto"/>
              <w:jc w:val="center"/>
              <w:rPr>
                <w:rFonts w:ascii="Times New Roman" w:hAnsi="Times New Roman" w:cs="Times New Roman"/>
              </w:rPr>
            </w:pPr>
          </w:p>
          <w:p w14:paraId="203257A0"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.490</w:t>
            </w:r>
          </w:p>
        </w:tc>
        <w:tc>
          <w:tcPr>
            <w:tcW w:w="1141" w:type="dxa"/>
            <w:tcBorders>
              <w:top w:val="nil"/>
              <w:left w:val="nil"/>
              <w:bottom w:val="nil"/>
              <w:right w:val="nil"/>
            </w:tcBorders>
          </w:tcPr>
          <w:p w14:paraId="465864A0" w14:textId="77777777" w:rsidR="00623CD4" w:rsidRPr="00082A41" w:rsidRDefault="00623CD4">
            <w:pPr>
              <w:spacing w:after="0" w:line="360" w:lineRule="auto"/>
              <w:jc w:val="center"/>
            </w:pPr>
          </w:p>
          <w:p w14:paraId="48191D40" w14:textId="77777777" w:rsidR="00623CD4" w:rsidRPr="00082A41" w:rsidRDefault="00623CD4">
            <w:pPr>
              <w:spacing w:after="0" w:line="360" w:lineRule="auto"/>
              <w:jc w:val="center"/>
              <w:rPr>
                <w:rFonts w:ascii="Times New Roman" w:hAnsi="Times New Roman" w:cs="Times New Roman"/>
                <w:bCs/>
                <w:sz w:val="20"/>
                <w:szCs w:val="20"/>
              </w:rPr>
            </w:pPr>
            <w:r w:rsidRPr="00082A41">
              <w:t>3.76</w:t>
            </w:r>
          </w:p>
        </w:tc>
        <w:tc>
          <w:tcPr>
            <w:tcW w:w="973" w:type="dxa"/>
            <w:tcBorders>
              <w:top w:val="nil"/>
              <w:left w:val="nil"/>
              <w:bottom w:val="nil"/>
              <w:right w:val="nil"/>
            </w:tcBorders>
          </w:tcPr>
          <w:p w14:paraId="0683F2E6" w14:textId="77777777" w:rsidR="00623CD4" w:rsidRPr="00082A41" w:rsidRDefault="00623CD4">
            <w:pPr>
              <w:spacing w:after="0" w:line="360" w:lineRule="auto"/>
              <w:jc w:val="center"/>
              <w:rPr>
                <w:rFonts w:ascii="Times New Roman" w:hAnsi="Times New Roman" w:cs="Times New Roman"/>
                <w:bCs/>
                <w:sz w:val="20"/>
                <w:szCs w:val="20"/>
              </w:rPr>
            </w:pPr>
          </w:p>
          <w:p w14:paraId="0F0A2272"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6C700961" w14:textId="77777777">
        <w:trPr>
          <w:trHeight w:val="483"/>
        </w:trPr>
        <w:tc>
          <w:tcPr>
            <w:tcW w:w="545" w:type="dxa"/>
            <w:tcBorders>
              <w:top w:val="nil"/>
              <w:left w:val="nil"/>
              <w:bottom w:val="nil"/>
              <w:right w:val="nil"/>
            </w:tcBorders>
            <w:hideMark/>
          </w:tcPr>
          <w:p w14:paraId="0A7A0296"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4</w:t>
            </w:r>
          </w:p>
        </w:tc>
        <w:tc>
          <w:tcPr>
            <w:tcW w:w="3144" w:type="dxa"/>
            <w:tcBorders>
              <w:top w:val="nil"/>
              <w:left w:val="nil"/>
              <w:bottom w:val="nil"/>
              <w:right w:val="nil"/>
            </w:tcBorders>
            <w:hideMark/>
          </w:tcPr>
          <w:p w14:paraId="05C1F90E"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sz w:val="20"/>
                <w:szCs w:val="20"/>
              </w:rPr>
              <w:t xml:space="preserve">Community resistance to energy transition projects slows down decarbonization efforts. </w:t>
            </w:r>
          </w:p>
        </w:tc>
        <w:tc>
          <w:tcPr>
            <w:tcW w:w="790" w:type="dxa"/>
            <w:tcBorders>
              <w:top w:val="nil"/>
              <w:left w:val="nil"/>
              <w:bottom w:val="nil"/>
              <w:right w:val="nil"/>
            </w:tcBorders>
          </w:tcPr>
          <w:p w14:paraId="7D7C4947" w14:textId="77777777" w:rsidR="00623CD4" w:rsidRPr="00082A41" w:rsidRDefault="00623CD4">
            <w:pPr>
              <w:spacing w:after="0" w:line="360" w:lineRule="auto"/>
              <w:jc w:val="center"/>
              <w:rPr>
                <w:rFonts w:ascii="Times New Roman" w:hAnsi="Times New Roman" w:cs="Times New Roman"/>
              </w:rPr>
            </w:pPr>
          </w:p>
          <w:p w14:paraId="241415A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2.02</w:t>
            </w:r>
          </w:p>
        </w:tc>
        <w:tc>
          <w:tcPr>
            <w:tcW w:w="702" w:type="dxa"/>
            <w:tcBorders>
              <w:top w:val="nil"/>
              <w:left w:val="nil"/>
              <w:bottom w:val="nil"/>
              <w:right w:val="nil"/>
            </w:tcBorders>
          </w:tcPr>
          <w:p w14:paraId="318FF1C0" w14:textId="77777777" w:rsidR="00623CD4" w:rsidRPr="00082A41" w:rsidRDefault="00623CD4">
            <w:pPr>
              <w:spacing w:after="0" w:line="360" w:lineRule="auto"/>
              <w:jc w:val="center"/>
              <w:rPr>
                <w:rFonts w:ascii="Times New Roman" w:hAnsi="Times New Roman" w:cs="Times New Roman"/>
              </w:rPr>
            </w:pPr>
          </w:p>
          <w:p w14:paraId="7A3A282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.915</w:t>
            </w:r>
          </w:p>
        </w:tc>
        <w:tc>
          <w:tcPr>
            <w:tcW w:w="613" w:type="dxa"/>
            <w:tcBorders>
              <w:top w:val="nil"/>
              <w:left w:val="nil"/>
              <w:bottom w:val="nil"/>
              <w:right w:val="nil"/>
            </w:tcBorders>
          </w:tcPr>
          <w:p w14:paraId="2423D629" w14:textId="77777777" w:rsidR="00623CD4" w:rsidRPr="00082A41" w:rsidRDefault="00623CD4">
            <w:pPr>
              <w:spacing w:after="0" w:line="360" w:lineRule="auto"/>
              <w:jc w:val="center"/>
              <w:rPr>
                <w:rFonts w:ascii="Times New Roman" w:hAnsi="Times New Roman" w:cs="Times New Roman"/>
              </w:rPr>
            </w:pPr>
          </w:p>
          <w:p w14:paraId="0DDBA2F6"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2.12</w:t>
            </w:r>
          </w:p>
        </w:tc>
        <w:tc>
          <w:tcPr>
            <w:tcW w:w="792" w:type="dxa"/>
            <w:tcBorders>
              <w:top w:val="nil"/>
              <w:left w:val="nil"/>
              <w:bottom w:val="nil"/>
              <w:right w:val="nil"/>
            </w:tcBorders>
          </w:tcPr>
          <w:p w14:paraId="3E077675" w14:textId="77777777" w:rsidR="00623CD4" w:rsidRPr="00082A41" w:rsidRDefault="00623CD4">
            <w:pPr>
              <w:spacing w:after="0" w:line="360" w:lineRule="auto"/>
              <w:jc w:val="center"/>
              <w:rPr>
                <w:rFonts w:ascii="Times New Roman" w:hAnsi="Times New Roman" w:cs="Times New Roman"/>
              </w:rPr>
            </w:pPr>
          </w:p>
          <w:p w14:paraId="3F583E18"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1.023</w:t>
            </w:r>
          </w:p>
        </w:tc>
        <w:tc>
          <w:tcPr>
            <w:tcW w:w="613" w:type="dxa"/>
            <w:tcBorders>
              <w:top w:val="nil"/>
              <w:left w:val="nil"/>
              <w:bottom w:val="nil"/>
              <w:right w:val="nil"/>
            </w:tcBorders>
          </w:tcPr>
          <w:p w14:paraId="37530585" w14:textId="77777777" w:rsidR="00623CD4" w:rsidRPr="00082A41" w:rsidRDefault="00623CD4">
            <w:pPr>
              <w:spacing w:after="0" w:line="360" w:lineRule="auto"/>
              <w:jc w:val="center"/>
              <w:rPr>
                <w:rFonts w:ascii="Times New Roman" w:hAnsi="Times New Roman" w:cs="Times New Roman"/>
              </w:rPr>
            </w:pPr>
          </w:p>
          <w:p w14:paraId="0707A140"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1.94</w:t>
            </w:r>
          </w:p>
        </w:tc>
        <w:tc>
          <w:tcPr>
            <w:tcW w:w="792" w:type="dxa"/>
            <w:tcBorders>
              <w:top w:val="nil"/>
              <w:left w:val="nil"/>
              <w:bottom w:val="nil"/>
              <w:right w:val="nil"/>
            </w:tcBorders>
          </w:tcPr>
          <w:p w14:paraId="4AC1D73C" w14:textId="77777777" w:rsidR="00623CD4" w:rsidRPr="00082A41" w:rsidRDefault="00623CD4">
            <w:pPr>
              <w:spacing w:after="0" w:line="360" w:lineRule="auto"/>
              <w:jc w:val="center"/>
              <w:rPr>
                <w:rFonts w:ascii="Times New Roman" w:hAnsi="Times New Roman" w:cs="Times New Roman"/>
              </w:rPr>
            </w:pPr>
          </w:p>
          <w:p w14:paraId="096B017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.913</w:t>
            </w:r>
          </w:p>
        </w:tc>
        <w:tc>
          <w:tcPr>
            <w:tcW w:w="1141" w:type="dxa"/>
            <w:tcBorders>
              <w:top w:val="nil"/>
              <w:left w:val="nil"/>
              <w:bottom w:val="nil"/>
              <w:right w:val="nil"/>
            </w:tcBorders>
          </w:tcPr>
          <w:p w14:paraId="69244F47" w14:textId="77777777" w:rsidR="00623CD4" w:rsidRPr="00082A41" w:rsidRDefault="00623CD4">
            <w:pPr>
              <w:spacing w:after="0" w:line="360" w:lineRule="auto"/>
              <w:jc w:val="center"/>
            </w:pPr>
          </w:p>
          <w:p w14:paraId="31024C35" w14:textId="77777777" w:rsidR="00623CD4" w:rsidRPr="00082A41" w:rsidRDefault="00623CD4">
            <w:pPr>
              <w:spacing w:after="0" w:line="360" w:lineRule="auto"/>
              <w:jc w:val="center"/>
              <w:rPr>
                <w:rFonts w:ascii="Times New Roman" w:hAnsi="Times New Roman" w:cs="Times New Roman"/>
                <w:bCs/>
                <w:sz w:val="20"/>
                <w:szCs w:val="20"/>
              </w:rPr>
            </w:pPr>
            <w:r w:rsidRPr="00082A41">
              <w:t>2.03</w:t>
            </w:r>
          </w:p>
        </w:tc>
        <w:tc>
          <w:tcPr>
            <w:tcW w:w="973" w:type="dxa"/>
            <w:tcBorders>
              <w:top w:val="nil"/>
              <w:left w:val="nil"/>
              <w:bottom w:val="nil"/>
              <w:right w:val="nil"/>
            </w:tcBorders>
          </w:tcPr>
          <w:p w14:paraId="403258EF" w14:textId="77777777" w:rsidR="00623CD4" w:rsidRPr="00082A41" w:rsidRDefault="00623CD4">
            <w:pPr>
              <w:spacing w:after="0" w:line="360" w:lineRule="auto"/>
              <w:jc w:val="center"/>
              <w:rPr>
                <w:rFonts w:ascii="Times New Roman" w:hAnsi="Times New Roman" w:cs="Times New Roman"/>
                <w:bCs/>
                <w:sz w:val="20"/>
                <w:szCs w:val="20"/>
              </w:rPr>
            </w:pPr>
          </w:p>
          <w:p w14:paraId="668A8DD5"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570AC372" w14:textId="77777777">
        <w:trPr>
          <w:trHeight w:val="405"/>
        </w:trPr>
        <w:tc>
          <w:tcPr>
            <w:tcW w:w="545" w:type="dxa"/>
            <w:tcBorders>
              <w:top w:val="nil"/>
              <w:left w:val="nil"/>
              <w:bottom w:val="single" w:sz="4" w:space="0" w:color="auto"/>
              <w:right w:val="nil"/>
            </w:tcBorders>
            <w:hideMark/>
          </w:tcPr>
          <w:p w14:paraId="2124C8C0"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5</w:t>
            </w:r>
          </w:p>
        </w:tc>
        <w:tc>
          <w:tcPr>
            <w:tcW w:w="3144" w:type="dxa"/>
            <w:tcBorders>
              <w:top w:val="nil"/>
              <w:left w:val="nil"/>
              <w:bottom w:val="single" w:sz="4" w:space="0" w:color="auto"/>
              <w:right w:val="nil"/>
            </w:tcBorders>
            <w:hideMark/>
          </w:tcPr>
          <w:p w14:paraId="1B3620A1"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sz w:val="20"/>
                <w:szCs w:val="20"/>
              </w:rPr>
              <w:t xml:space="preserve">Socio-political considerations significantly influence environmental decision-making. </w:t>
            </w:r>
          </w:p>
        </w:tc>
        <w:tc>
          <w:tcPr>
            <w:tcW w:w="790" w:type="dxa"/>
            <w:tcBorders>
              <w:top w:val="nil"/>
              <w:left w:val="nil"/>
              <w:bottom w:val="single" w:sz="4" w:space="0" w:color="auto"/>
              <w:right w:val="nil"/>
            </w:tcBorders>
          </w:tcPr>
          <w:p w14:paraId="068E80C8" w14:textId="77777777" w:rsidR="00623CD4" w:rsidRPr="00082A41" w:rsidRDefault="00623CD4">
            <w:pPr>
              <w:spacing w:after="0" w:line="360" w:lineRule="auto"/>
              <w:jc w:val="center"/>
              <w:rPr>
                <w:rFonts w:ascii="Times New Roman" w:hAnsi="Times New Roman" w:cs="Times New Roman"/>
              </w:rPr>
            </w:pPr>
          </w:p>
          <w:p w14:paraId="23EF264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3.54</w:t>
            </w:r>
          </w:p>
        </w:tc>
        <w:tc>
          <w:tcPr>
            <w:tcW w:w="702" w:type="dxa"/>
            <w:tcBorders>
              <w:top w:val="nil"/>
              <w:left w:val="nil"/>
              <w:bottom w:val="single" w:sz="4" w:space="0" w:color="auto"/>
              <w:right w:val="nil"/>
            </w:tcBorders>
          </w:tcPr>
          <w:p w14:paraId="289CB01D" w14:textId="77777777" w:rsidR="00623CD4" w:rsidRPr="00082A41" w:rsidRDefault="00623CD4">
            <w:pPr>
              <w:spacing w:after="0" w:line="360" w:lineRule="auto"/>
              <w:jc w:val="center"/>
              <w:rPr>
                <w:rFonts w:ascii="Times New Roman" w:hAnsi="Times New Roman" w:cs="Times New Roman"/>
              </w:rPr>
            </w:pPr>
          </w:p>
          <w:p w14:paraId="1E1D0A1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.646</w:t>
            </w:r>
          </w:p>
        </w:tc>
        <w:tc>
          <w:tcPr>
            <w:tcW w:w="613" w:type="dxa"/>
            <w:tcBorders>
              <w:top w:val="nil"/>
              <w:left w:val="nil"/>
              <w:bottom w:val="single" w:sz="4" w:space="0" w:color="auto"/>
              <w:right w:val="nil"/>
            </w:tcBorders>
          </w:tcPr>
          <w:p w14:paraId="5B193872" w14:textId="77777777" w:rsidR="00623CD4" w:rsidRPr="00082A41" w:rsidRDefault="00623CD4">
            <w:pPr>
              <w:spacing w:after="0" w:line="360" w:lineRule="auto"/>
              <w:jc w:val="center"/>
              <w:rPr>
                <w:rFonts w:ascii="Times New Roman" w:hAnsi="Times New Roman" w:cs="Times New Roman"/>
              </w:rPr>
            </w:pPr>
          </w:p>
          <w:p w14:paraId="719765AC"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3.38</w:t>
            </w:r>
          </w:p>
        </w:tc>
        <w:tc>
          <w:tcPr>
            <w:tcW w:w="792" w:type="dxa"/>
            <w:tcBorders>
              <w:top w:val="nil"/>
              <w:left w:val="nil"/>
              <w:bottom w:val="single" w:sz="4" w:space="0" w:color="auto"/>
              <w:right w:val="nil"/>
            </w:tcBorders>
          </w:tcPr>
          <w:p w14:paraId="582465C7" w14:textId="77777777" w:rsidR="00623CD4" w:rsidRPr="00082A41" w:rsidRDefault="00623CD4">
            <w:pPr>
              <w:spacing w:after="0" w:line="360" w:lineRule="auto"/>
              <w:jc w:val="center"/>
              <w:rPr>
                <w:rFonts w:ascii="Times New Roman" w:hAnsi="Times New Roman" w:cs="Times New Roman"/>
              </w:rPr>
            </w:pPr>
          </w:p>
          <w:p w14:paraId="07616B86"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.780</w:t>
            </w:r>
          </w:p>
        </w:tc>
        <w:tc>
          <w:tcPr>
            <w:tcW w:w="613" w:type="dxa"/>
            <w:tcBorders>
              <w:top w:val="nil"/>
              <w:left w:val="nil"/>
              <w:bottom w:val="single" w:sz="4" w:space="0" w:color="auto"/>
              <w:right w:val="nil"/>
            </w:tcBorders>
          </w:tcPr>
          <w:p w14:paraId="3F669A31" w14:textId="77777777" w:rsidR="00623CD4" w:rsidRPr="00082A41" w:rsidRDefault="00623CD4">
            <w:pPr>
              <w:spacing w:after="0" w:line="360" w:lineRule="auto"/>
              <w:jc w:val="center"/>
              <w:rPr>
                <w:rFonts w:ascii="Times New Roman" w:hAnsi="Times New Roman" w:cs="Times New Roman"/>
              </w:rPr>
            </w:pPr>
          </w:p>
          <w:p w14:paraId="5E363193"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3.26</w:t>
            </w:r>
          </w:p>
        </w:tc>
        <w:tc>
          <w:tcPr>
            <w:tcW w:w="792" w:type="dxa"/>
            <w:tcBorders>
              <w:top w:val="nil"/>
              <w:left w:val="nil"/>
              <w:bottom w:val="single" w:sz="4" w:space="0" w:color="auto"/>
              <w:right w:val="nil"/>
            </w:tcBorders>
          </w:tcPr>
          <w:p w14:paraId="6018C432" w14:textId="77777777" w:rsidR="00623CD4" w:rsidRPr="00082A41" w:rsidRDefault="00623CD4">
            <w:pPr>
              <w:spacing w:after="0" w:line="360" w:lineRule="auto"/>
              <w:jc w:val="center"/>
              <w:rPr>
                <w:rFonts w:ascii="Times New Roman" w:hAnsi="Times New Roman" w:cs="Times New Roman"/>
              </w:rPr>
            </w:pPr>
          </w:p>
          <w:p w14:paraId="312B8C4E"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.828</w:t>
            </w:r>
          </w:p>
        </w:tc>
        <w:tc>
          <w:tcPr>
            <w:tcW w:w="1141" w:type="dxa"/>
            <w:tcBorders>
              <w:top w:val="nil"/>
              <w:left w:val="nil"/>
              <w:bottom w:val="single" w:sz="4" w:space="0" w:color="auto"/>
              <w:right w:val="nil"/>
            </w:tcBorders>
          </w:tcPr>
          <w:p w14:paraId="6EB25384" w14:textId="77777777" w:rsidR="00623CD4" w:rsidRPr="00082A41" w:rsidRDefault="00623CD4">
            <w:pPr>
              <w:spacing w:after="0" w:line="360" w:lineRule="auto"/>
              <w:jc w:val="center"/>
            </w:pPr>
          </w:p>
          <w:p w14:paraId="4A3ADE39" w14:textId="77777777" w:rsidR="00623CD4" w:rsidRPr="00082A41" w:rsidRDefault="00623CD4">
            <w:pPr>
              <w:spacing w:after="0" w:line="360" w:lineRule="auto"/>
              <w:jc w:val="center"/>
              <w:rPr>
                <w:rFonts w:ascii="Times New Roman" w:hAnsi="Times New Roman" w:cs="Times New Roman"/>
                <w:bCs/>
                <w:sz w:val="20"/>
                <w:szCs w:val="20"/>
              </w:rPr>
            </w:pPr>
            <w:r w:rsidRPr="00082A41">
              <w:t>3.39</w:t>
            </w:r>
          </w:p>
        </w:tc>
        <w:tc>
          <w:tcPr>
            <w:tcW w:w="973" w:type="dxa"/>
            <w:tcBorders>
              <w:top w:val="nil"/>
              <w:left w:val="nil"/>
              <w:bottom w:val="single" w:sz="4" w:space="0" w:color="auto"/>
              <w:right w:val="nil"/>
            </w:tcBorders>
          </w:tcPr>
          <w:p w14:paraId="4F6C0081" w14:textId="77777777" w:rsidR="00623CD4" w:rsidRPr="00082A41" w:rsidRDefault="00623CD4">
            <w:pPr>
              <w:spacing w:after="0" w:line="360" w:lineRule="auto"/>
              <w:jc w:val="center"/>
              <w:rPr>
                <w:rFonts w:ascii="Times New Roman" w:hAnsi="Times New Roman" w:cs="Times New Roman"/>
                <w:bCs/>
                <w:sz w:val="20"/>
                <w:szCs w:val="20"/>
              </w:rPr>
            </w:pPr>
          </w:p>
          <w:p w14:paraId="7D5C3FDC"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19907980" w14:textId="77777777">
        <w:trPr>
          <w:trHeight w:val="348"/>
        </w:trPr>
        <w:tc>
          <w:tcPr>
            <w:tcW w:w="3689" w:type="dxa"/>
            <w:gridSpan w:val="2"/>
            <w:tcBorders>
              <w:top w:val="single" w:sz="4" w:space="0" w:color="auto"/>
              <w:left w:val="nil"/>
              <w:bottom w:val="single" w:sz="4" w:space="0" w:color="auto"/>
              <w:right w:val="nil"/>
            </w:tcBorders>
            <w:hideMark/>
          </w:tcPr>
          <w:p w14:paraId="52F8D53D"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b/>
                <w:sz w:val="20"/>
                <w:szCs w:val="20"/>
              </w:rPr>
              <w:t>Grand Mean (</w:t>
            </w:r>
            <m:oMath>
              <m:acc>
                <m:accPr>
                  <m:chr m:val="̅"/>
                  <m:ctrlPr>
                    <w:rPr>
                      <w:rFonts w:ascii="Cambria Math" w:hAnsi="Cambria Math" w:cs="Times New Roman"/>
                      <w:b/>
                      <w:i/>
                      <w:kern w:val="2"/>
                      <w14:ligatures w14:val="standardContextual"/>
                    </w:rPr>
                  </m:ctrlPr>
                </m:accPr>
                <m:e>
                  <m:r>
                    <m:rPr>
                      <m:sty m:val="bi"/>
                    </m:rPr>
                    <w:rPr>
                      <w:rFonts w:ascii="Cambria Math" w:hAnsi="Cambria Math" w:cs="Times New Roman"/>
                      <w:sz w:val="20"/>
                      <w:szCs w:val="20"/>
                    </w:rPr>
                    <m:t>x</m:t>
                  </m:r>
                </m:e>
              </m:acc>
            </m:oMath>
            <w:r w:rsidRPr="00082A41">
              <w:rPr>
                <w:rFonts w:ascii="Times New Roman" w:hAnsi="Times New Roman" w:cs="Times New Roman"/>
                <w:b/>
                <w:sz w:val="20"/>
                <w:szCs w:val="20"/>
              </w:rPr>
              <w:t xml:space="preserve">) </w:t>
            </w:r>
          </w:p>
        </w:tc>
        <w:tc>
          <w:tcPr>
            <w:tcW w:w="790" w:type="dxa"/>
            <w:tcBorders>
              <w:top w:val="single" w:sz="4" w:space="0" w:color="auto"/>
              <w:left w:val="nil"/>
              <w:bottom w:val="single" w:sz="4" w:space="0" w:color="auto"/>
              <w:right w:val="nil"/>
            </w:tcBorders>
            <w:hideMark/>
          </w:tcPr>
          <w:p w14:paraId="2F19636C" w14:textId="77777777" w:rsidR="00623CD4" w:rsidRPr="00082A41" w:rsidRDefault="00623CD4">
            <w:pPr>
              <w:spacing w:after="0" w:line="36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3.36</w:t>
            </w:r>
          </w:p>
        </w:tc>
        <w:tc>
          <w:tcPr>
            <w:tcW w:w="702" w:type="dxa"/>
            <w:tcBorders>
              <w:top w:val="single" w:sz="4" w:space="0" w:color="auto"/>
              <w:left w:val="nil"/>
              <w:bottom w:val="single" w:sz="4" w:space="0" w:color="auto"/>
              <w:right w:val="nil"/>
            </w:tcBorders>
          </w:tcPr>
          <w:p w14:paraId="7C07ED0A" w14:textId="77777777" w:rsidR="00623CD4" w:rsidRPr="00082A41" w:rsidRDefault="00623CD4">
            <w:pPr>
              <w:spacing w:after="0" w:line="360" w:lineRule="auto"/>
              <w:jc w:val="center"/>
              <w:rPr>
                <w:rFonts w:ascii="Times New Roman" w:hAnsi="Times New Roman" w:cs="Times New Roman"/>
                <w:b/>
                <w:bCs/>
                <w:sz w:val="20"/>
                <w:szCs w:val="20"/>
              </w:rPr>
            </w:pPr>
          </w:p>
        </w:tc>
        <w:tc>
          <w:tcPr>
            <w:tcW w:w="613" w:type="dxa"/>
            <w:tcBorders>
              <w:top w:val="single" w:sz="4" w:space="0" w:color="auto"/>
              <w:left w:val="nil"/>
              <w:bottom w:val="single" w:sz="4" w:space="0" w:color="auto"/>
              <w:right w:val="nil"/>
            </w:tcBorders>
            <w:hideMark/>
          </w:tcPr>
          <w:p w14:paraId="571D8B6C" w14:textId="77777777" w:rsidR="00623CD4" w:rsidRPr="00082A41" w:rsidRDefault="00623CD4">
            <w:pPr>
              <w:spacing w:after="0" w:line="36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3.25</w:t>
            </w:r>
          </w:p>
        </w:tc>
        <w:tc>
          <w:tcPr>
            <w:tcW w:w="792" w:type="dxa"/>
            <w:tcBorders>
              <w:top w:val="single" w:sz="4" w:space="0" w:color="auto"/>
              <w:left w:val="nil"/>
              <w:bottom w:val="single" w:sz="4" w:space="0" w:color="auto"/>
              <w:right w:val="nil"/>
            </w:tcBorders>
          </w:tcPr>
          <w:p w14:paraId="237A9291" w14:textId="77777777" w:rsidR="00623CD4" w:rsidRPr="00082A41" w:rsidRDefault="00623CD4">
            <w:pPr>
              <w:spacing w:after="0" w:line="360" w:lineRule="auto"/>
              <w:jc w:val="center"/>
              <w:rPr>
                <w:rFonts w:ascii="Times New Roman" w:hAnsi="Times New Roman" w:cs="Times New Roman"/>
                <w:b/>
                <w:bCs/>
                <w:sz w:val="20"/>
                <w:szCs w:val="20"/>
              </w:rPr>
            </w:pPr>
          </w:p>
        </w:tc>
        <w:tc>
          <w:tcPr>
            <w:tcW w:w="613" w:type="dxa"/>
            <w:tcBorders>
              <w:top w:val="single" w:sz="4" w:space="0" w:color="auto"/>
              <w:left w:val="nil"/>
              <w:bottom w:val="single" w:sz="4" w:space="0" w:color="auto"/>
              <w:right w:val="nil"/>
            </w:tcBorders>
            <w:hideMark/>
          </w:tcPr>
          <w:p w14:paraId="30558078" w14:textId="77777777" w:rsidR="00623CD4" w:rsidRPr="00082A41" w:rsidRDefault="00623CD4">
            <w:pPr>
              <w:spacing w:after="0" w:line="360"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3.23</w:t>
            </w:r>
          </w:p>
        </w:tc>
        <w:tc>
          <w:tcPr>
            <w:tcW w:w="792" w:type="dxa"/>
            <w:tcBorders>
              <w:top w:val="single" w:sz="4" w:space="0" w:color="auto"/>
              <w:left w:val="nil"/>
              <w:bottom w:val="single" w:sz="4" w:space="0" w:color="auto"/>
              <w:right w:val="nil"/>
            </w:tcBorders>
          </w:tcPr>
          <w:p w14:paraId="5B2E537C" w14:textId="77777777" w:rsidR="00623CD4" w:rsidRPr="00082A41" w:rsidRDefault="00623CD4">
            <w:pPr>
              <w:spacing w:after="0" w:line="360" w:lineRule="auto"/>
              <w:jc w:val="center"/>
              <w:rPr>
                <w:rFonts w:ascii="Times New Roman" w:hAnsi="Times New Roman" w:cs="Times New Roman"/>
                <w:b/>
                <w:bCs/>
                <w:sz w:val="20"/>
                <w:szCs w:val="20"/>
              </w:rPr>
            </w:pPr>
          </w:p>
        </w:tc>
        <w:tc>
          <w:tcPr>
            <w:tcW w:w="1141" w:type="dxa"/>
            <w:tcBorders>
              <w:top w:val="single" w:sz="4" w:space="0" w:color="auto"/>
              <w:left w:val="nil"/>
              <w:bottom w:val="single" w:sz="4" w:space="0" w:color="auto"/>
              <w:right w:val="nil"/>
            </w:tcBorders>
            <w:hideMark/>
          </w:tcPr>
          <w:p w14:paraId="1B45985C"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3.28</w:t>
            </w:r>
          </w:p>
        </w:tc>
        <w:tc>
          <w:tcPr>
            <w:tcW w:w="973" w:type="dxa"/>
            <w:tcBorders>
              <w:top w:val="single" w:sz="4" w:space="0" w:color="auto"/>
              <w:left w:val="nil"/>
              <w:bottom w:val="single" w:sz="4" w:space="0" w:color="auto"/>
              <w:right w:val="nil"/>
            </w:tcBorders>
            <w:hideMark/>
          </w:tcPr>
          <w:p w14:paraId="57F2D2DE"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Agree</w:t>
            </w:r>
          </w:p>
        </w:tc>
      </w:tr>
    </w:tbl>
    <w:p w14:paraId="5691D7B9" w14:textId="77777777" w:rsidR="00623CD4" w:rsidRPr="00082A41" w:rsidRDefault="00623CD4" w:rsidP="00623CD4">
      <w:pPr>
        <w:spacing w:line="360" w:lineRule="auto"/>
        <w:jc w:val="both"/>
        <w:rPr>
          <w:rFonts w:ascii="Times New Roman" w:eastAsia="Times New Roman" w:hAnsi="Times New Roman" w:cs="Times New Roman"/>
          <w:sz w:val="24"/>
          <w:szCs w:val="24"/>
        </w:rPr>
      </w:pPr>
      <w:bookmarkStart w:id="4" w:name="_Hlk227865161"/>
      <w:bookmarkEnd w:id="3"/>
      <w:r w:rsidRPr="00082A41">
        <w:rPr>
          <w:rFonts w:ascii="Times New Roman" w:eastAsia="Times New Roman" w:hAnsi="Times New Roman" w:cs="Times New Roman"/>
          <w:b/>
          <w:sz w:val="24"/>
          <w:szCs w:val="24"/>
        </w:rPr>
        <w:t>Source:</w:t>
      </w:r>
      <w:r w:rsidRPr="00082A41">
        <w:rPr>
          <w:rFonts w:ascii="Times New Roman" w:eastAsia="Times New Roman" w:hAnsi="Times New Roman" w:cs="Times New Roman"/>
          <w:sz w:val="24"/>
          <w:szCs w:val="24"/>
        </w:rPr>
        <w:t xml:space="preserve"> Researchers’ Fieldwork, 2026</w:t>
      </w:r>
      <w:bookmarkEnd w:id="4"/>
    </w:p>
    <w:p w14:paraId="25BBE3D6" w14:textId="77777777" w:rsidR="003A607E" w:rsidRPr="00082A41" w:rsidRDefault="003A607E" w:rsidP="00623CD4">
      <w:pPr>
        <w:spacing w:after="0" w:line="360" w:lineRule="auto"/>
        <w:jc w:val="both"/>
        <w:rPr>
          <w:rFonts w:ascii="Times New Roman" w:hAnsi="Times New Roman" w:cs="Times New Roman"/>
          <w:sz w:val="24"/>
          <w:szCs w:val="24"/>
        </w:rPr>
      </w:pPr>
      <w:bookmarkStart w:id="5" w:name="_Hlk227864017"/>
    </w:p>
    <w:p w14:paraId="2F6D0D13" w14:textId="0B6E7527" w:rsidR="00EB68BD" w:rsidRPr="00082A41" w:rsidRDefault="00DA4539" w:rsidP="00623CD4">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Table 2 indicates the mean scores and standard deviations regarding the perceptions about the socio-political determinants of decarbonization in Akwa Ibom State within the LGAs of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The mean scores for the five socio-political factors of decarbonization are 3.63, 3.59, 3.76, 2.03, and 3.39, respectively. These scores show that there is general agreement </w:t>
      </w:r>
      <w:r w:rsidRPr="00082A41">
        <w:rPr>
          <w:rFonts w:ascii="Times New Roman" w:hAnsi="Times New Roman" w:cs="Times New Roman"/>
          <w:sz w:val="24"/>
          <w:szCs w:val="24"/>
        </w:rPr>
        <w:lastRenderedPageBreak/>
        <w:t xml:space="preserve">regarding the negative impact that socio-political factors like political interest in oil revenues, socio-political instability, and economic dependence on oil have on decarbonization. Notably, the mean score of 2.03 for factor number four suggests that there is no agreement regarding the significant negative influence that community resistance may have on decarbonization efforts. From the three LGAs </w:t>
      </w:r>
      <w:proofErr w:type="spellStart"/>
      <w:r w:rsidRPr="00082A41">
        <w:rPr>
          <w:rFonts w:ascii="Times New Roman" w:hAnsi="Times New Roman" w:cs="Times New Roman"/>
          <w:sz w:val="24"/>
          <w:szCs w:val="24"/>
        </w:rPr>
        <w:t>analy</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ed</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has the highest mean score (3.36), followed by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(3.25)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(3.23). Overall, the mean score of 3.28 further shows general agreement about the negative impact of socio-political factors on decarbonization.</w:t>
      </w:r>
    </w:p>
    <w:p w14:paraId="142AABD9" w14:textId="77777777" w:rsidR="00DA4539" w:rsidRPr="00082A41" w:rsidRDefault="00DA4539" w:rsidP="00623CD4">
      <w:pPr>
        <w:spacing w:after="0" w:line="360" w:lineRule="auto"/>
        <w:jc w:val="both"/>
        <w:rPr>
          <w:rFonts w:ascii="Times New Roman" w:hAnsi="Times New Roman" w:cs="Times New Roman"/>
          <w:sz w:val="24"/>
          <w:szCs w:val="24"/>
        </w:rPr>
      </w:pPr>
    </w:p>
    <w:p w14:paraId="6B00AD52" w14:textId="279113FD" w:rsidR="00623CD4" w:rsidRPr="00082A41" w:rsidRDefault="00623CD4" w:rsidP="00623CD4">
      <w:pPr>
        <w:spacing w:after="0" w:line="360" w:lineRule="auto"/>
        <w:jc w:val="both"/>
        <w:rPr>
          <w:rFonts w:ascii="Times New Roman" w:eastAsia="Times New Roman" w:hAnsi="Times New Roman" w:cs="Times New Roman"/>
          <w:sz w:val="24"/>
          <w:szCs w:val="24"/>
          <w:lang w:val="en-GB" w:eastAsia="en-GB"/>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3</w:t>
      </w:r>
      <w:r w:rsidR="00CC3834" w:rsidRPr="00082A41">
        <w:rPr>
          <w:rFonts w:ascii="Times New Roman" w:eastAsia="Times New Roman" w:hAnsi="Times New Roman" w:cs="Times New Roman"/>
          <w:b/>
          <w:bCs/>
          <w:sz w:val="24"/>
          <w:szCs w:val="24"/>
        </w:rPr>
        <w:t>:</w:t>
      </w:r>
      <w:r w:rsidRPr="00082A41">
        <w:rPr>
          <w:rFonts w:ascii="Times New Roman" w:eastAsia="Times New Roman" w:hAnsi="Times New Roman" w:cs="Times New Roman"/>
          <w:b/>
          <w:bCs/>
          <w:sz w:val="24"/>
          <w:szCs w:val="24"/>
        </w:rPr>
        <w:t xml:space="preserve"> </w:t>
      </w:r>
      <w:r w:rsidRPr="00082A41">
        <w:rPr>
          <w:rFonts w:ascii="Times New Roman" w:eastAsia="Times New Roman" w:hAnsi="Times New Roman" w:cs="Times New Roman"/>
          <w:b/>
          <w:bCs/>
        </w:rPr>
        <w:t xml:space="preserve">Perception of Respondents on the </w:t>
      </w:r>
      <w:r w:rsidRPr="00082A41">
        <w:rPr>
          <w:rFonts w:ascii="Times New Roman" w:eastAsia="Calibri" w:hAnsi="Times New Roman" w:cs="Times New Roman"/>
          <w:b/>
          <w:bCs/>
        </w:rPr>
        <w:t>Governance and Institutional Influence on Decarbonization in Akwa Ibom State</w:t>
      </w:r>
    </w:p>
    <w:tbl>
      <w:tblPr>
        <w:tblStyle w:val="TableGrid"/>
        <w:tblW w:w="10065"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6"/>
        <w:gridCol w:w="3216"/>
        <w:gridCol w:w="611"/>
        <w:gridCol w:w="701"/>
        <w:gridCol w:w="611"/>
        <w:gridCol w:w="788"/>
        <w:gridCol w:w="611"/>
        <w:gridCol w:w="788"/>
        <w:gridCol w:w="1136"/>
        <w:gridCol w:w="967"/>
      </w:tblGrid>
      <w:tr w:rsidR="00082A41" w:rsidRPr="00082A41" w14:paraId="0BB13762" w14:textId="77777777">
        <w:trPr>
          <w:trHeight w:val="386"/>
        </w:trPr>
        <w:tc>
          <w:tcPr>
            <w:tcW w:w="635" w:type="dxa"/>
            <w:vMerge w:val="restart"/>
            <w:tcBorders>
              <w:top w:val="single" w:sz="4" w:space="0" w:color="auto"/>
              <w:left w:val="nil"/>
              <w:bottom w:val="nil"/>
              <w:right w:val="nil"/>
            </w:tcBorders>
            <w:hideMark/>
          </w:tcPr>
          <w:p w14:paraId="14062534" w14:textId="77777777" w:rsidR="00623CD4" w:rsidRPr="00082A41" w:rsidRDefault="00623CD4">
            <w:pPr>
              <w:spacing w:after="0" w:line="216" w:lineRule="auto"/>
              <w:rPr>
                <w:rFonts w:ascii="Times New Roman" w:hAnsi="Times New Roman" w:cs="Times New Roman"/>
                <w:b/>
                <w:bCs/>
                <w:sz w:val="20"/>
                <w:szCs w:val="20"/>
              </w:rPr>
            </w:pPr>
            <w:bookmarkStart w:id="6" w:name="_Hlk227863677"/>
            <w:bookmarkEnd w:id="5"/>
            <w:r w:rsidRPr="00082A41">
              <w:rPr>
                <w:rFonts w:ascii="Times New Roman" w:hAnsi="Times New Roman" w:cs="Times New Roman"/>
                <w:b/>
                <w:bCs/>
                <w:sz w:val="20"/>
                <w:szCs w:val="20"/>
              </w:rPr>
              <w:t>S/N</w:t>
            </w:r>
          </w:p>
        </w:tc>
        <w:tc>
          <w:tcPr>
            <w:tcW w:w="3214" w:type="dxa"/>
            <w:vMerge w:val="restart"/>
            <w:tcBorders>
              <w:top w:val="single" w:sz="4" w:space="0" w:color="auto"/>
              <w:left w:val="nil"/>
              <w:bottom w:val="single" w:sz="4" w:space="0" w:color="auto"/>
              <w:right w:val="nil"/>
            </w:tcBorders>
          </w:tcPr>
          <w:p w14:paraId="4ACE083E" w14:textId="77777777" w:rsidR="00623CD4" w:rsidRPr="00082A41" w:rsidRDefault="00623CD4">
            <w:pPr>
              <w:spacing w:after="0"/>
              <w:rPr>
                <w:rFonts w:ascii="Times New Roman" w:hAnsi="Times New Roman" w:cs="Times New Roman"/>
                <w:sz w:val="20"/>
                <w:szCs w:val="20"/>
              </w:rPr>
            </w:pPr>
          </w:p>
        </w:tc>
        <w:tc>
          <w:tcPr>
            <w:tcW w:w="6213" w:type="dxa"/>
            <w:gridSpan w:val="8"/>
            <w:tcBorders>
              <w:top w:val="single" w:sz="4" w:space="0" w:color="auto"/>
              <w:left w:val="nil"/>
              <w:bottom w:val="single" w:sz="4" w:space="0" w:color="auto"/>
              <w:right w:val="nil"/>
            </w:tcBorders>
            <w:hideMark/>
          </w:tcPr>
          <w:p w14:paraId="5D1F0FE2"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LGAs</w:t>
            </w:r>
          </w:p>
        </w:tc>
      </w:tr>
      <w:tr w:rsidR="00082A41" w:rsidRPr="00082A41" w14:paraId="33C32D81" w14:textId="77777777">
        <w:trPr>
          <w:trHeight w:val="676"/>
        </w:trPr>
        <w:tc>
          <w:tcPr>
            <w:tcW w:w="3849" w:type="dxa"/>
            <w:vMerge/>
            <w:tcBorders>
              <w:top w:val="single" w:sz="4" w:space="0" w:color="auto"/>
              <w:left w:val="nil"/>
              <w:bottom w:val="nil"/>
              <w:right w:val="nil"/>
            </w:tcBorders>
            <w:vAlign w:val="center"/>
            <w:hideMark/>
          </w:tcPr>
          <w:p w14:paraId="28A65BC2"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214" w:type="dxa"/>
            <w:vMerge/>
            <w:tcBorders>
              <w:top w:val="single" w:sz="4" w:space="0" w:color="auto"/>
              <w:left w:val="nil"/>
              <w:bottom w:val="single" w:sz="4" w:space="0" w:color="auto"/>
              <w:right w:val="nil"/>
            </w:tcBorders>
            <w:vAlign w:val="center"/>
            <w:hideMark/>
          </w:tcPr>
          <w:p w14:paraId="111ADAF3"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1312" w:type="dxa"/>
            <w:gridSpan w:val="2"/>
            <w:tcBorders>
              <w:top w:val="single" w:sz="4" w:space="0" w:color="auto"/>
              <w:left w:val="nil"/>
              <w:bottom w:val="single" w:sz="4" w:space="0" w:color="auto"/>
              <w:right w:val="nil"/>
            </w:tcBorders>
            <w:hideMark/>
          </w:tcPr>
          <w:p w14:paraId="4E4E5BF7"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EKET </w:t>
            </w:r>
          </w:p>
          <w:p w14:paraId="2F2AFBB5"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1</w:t>
            </w:r>
            <w:r w:rsidRPr="00082A41">
              <w:rPr>
                <w:rFonts w:ascii="Times New Roman" w:hAnsi="Times New Roman" w:cs="Times New Roman"/>
                <w:b/>
                <w:bCs/>
                <w:sz w:val="20"/>
                <w:szCs w:val="20"/>
              </w:rPr>
              <w:t>=50</w:t>
            </w:r>
          </w:p>
        </w:tc>
        <w:tc>
          <w:tcPr>
            <w:tcW w:w="1399" w:type="dxa"/>
            <w:gridSpan w:val="2"/>
            <w:tcBorders>
              <w:top w:val="single" w:sz="4" w:space="0" w:color="auto"/>
              <w:left w:val="nil"/>
              <w:bottom w:val="single" w:sz="4" w:space="0" w:color="auto"/>
              <w:right w:val="nil"/>
            </w:tcBorders>
            <w:hideMark/>
          </w:tcPr>
          <w:p w14:paraId="1F071497"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IBENO </w:t>
            </w:r>
          </w:p>
          <w:p w14:paraId="6DADA36B"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2</w:t>
            </w:r>
            <w:r w:rsidRPr="00082A41">
              <w:rPr>
                <w:rFonts w:ascii="Times New Roman" w:hAnsi="Times New Roman" w:cs="Times New Roman"/>
                <w:b/>
                <w:bCs/>
                <w:sz w:val="20"/>
                <w:szCs w:val="20"/>
              </w:rPr>
              <w:t>=50</w:t>
            </w:r>
          </w:p>
        </w:tc>
        <w:tc>
          <w:tcPr>
            <w:tcW w:w="1399" w:type="dxa"/>
            <w:gridSpan w:val="2"/>
            <w:tcBorders>
              <w:top w:val="single" w:sz="4" w:space="0" w:color="auto"/>
              <w:left w:val="nil"/>
              <w:bottom w:val="single" w:sz="4" w:space="0" w:color="auto"/>
              <w:right w:val="nil"/>
            </w:tcBorders>
            <w:hideMark/>
          </w:tcPr>
          <w:p w14:paraId="39633369"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EASTERN OBOLO N</w:t>
            </w:r>
            <w:r w:rsidRPr="00082A41">
              <w:rPr>
                <w:rFonts w:ascii="Times New Roman" w:hAnsi="Times New Roman" w:cs="Times New Roman"/>
                <w:b/>
                <w:bCs/>
                <w:sz w:val="20"/>
                <w:szCs w:val="20"/>
                <w:vertAlign w:val="subscript"/>
              </w:rPr>
              <w:t>3</w:t>
            </w:r>
            <w:r w:rsidRPr="00082A41">
              <w:rPr>
                <w:rFonts w:ascii="Times New Roman" w:hAnsi="Times New Roman" w:cs="Times New Roman"/>
                <w:b/>
                <w:bCs/>
                <w:sz w:val="20"/>
                <w:szCs w:val="20"/>
              </w:rPr>
              <w:t>=50</w:t>
            </w:r>
          </w:p>
        </w:tc>
        <w:tc>
          <w:tcPr>
            <w:tcW w:w="1136" w:type="dxa"/>
            <w:vMerge w:val="restart"/>
            <w:tcBorders>
              <w:top w:val="single" w:sz="4" w:space="0" w:color="auto"/>
              <w:left w:val="nil"/>
              <w:bottom w:val="single" w:sz="4" w:space="0" w:color="auto"/>
              <w:right w:val="nil"/>
            </w:tcBorders>
          </w:tcPr>
          <w:p w14:paraId="2DB82095" w14:textId="77777777" w:rsidR="00623CD4" w:rsidRPr="00082A41" w:rsidRDefault="00623CD4">
            <w:pPr>
              <w:spacing w:after="0"/>
              <w:jc w:val="center"/>
              <w:rPr>
                <w:rFonts w:ascii="Times New Roman" w:hAnsi="Times New Roman" w:cs="Times New Roman"/>
                <w:bCs/>
                <w:sz w:val="20"/>
                <w:szCs w:val="20"/>
              </w:rPr>
            </w:pPr>
          </w:p>
          <w:p w14:paraId="0BC6BB04" w14:textId="77777777" w:rsidR="00623CD4" w:rsidRPr="00082A41" w:rsidRDefault="00623CD4">
            <w:pPr>
              <w:spacing w:after="0"/>
              <w:jc w:val="center"/>
              <w:rPr>
                <w:rFonts w:ascii="Times New Roman" w:hAnsi="Times New Roman" w:cs="Times New Roman"/>
                <w:sz w:val="20"/>
                <w:szCs w:val="20"/>
              </w:rPr>
            </w:pPr>
          </w:p>
          <w:p w14:paraId="6201357C" w14:textId="77777777" w:rsidR="00623CD4" w:rsidRPr="00082A41" w:rsidRDefault="00623CD4">
            <w:pPr>
              <w:spacing w:after="0"/>
              <w:rPr>
                <w:rFonts w:ascii="Times New Roman" w:hAnsi="Times New Roman" w:cs="Times New Roman"/>
                <w:b/>
                <w:sz w:val="20"/>
                <w:szCs w:val="20"/>
              </w:rPr>
            </w:pPr>
          </w:p>
          <w:p w14:paraId="636DB641" w14:textId="77777777" w:rsidR="00623CD4" w:rsidRPr="00082A41" w:rsidRDefault="00623CD4">
            <w:pPr>
              <w:spacing w:after="0"/>
              <w:rPr>
                <w:rFonts w:ascii="Times New Roman" w:hAnsi="Times New Roman" w:cs="Times New Roman"/>
                <w:b/>
                <w:sz w:val="20"/>
                <w:szCs w:val="20"/>
              </w:rPr>
            </w:pPr>
            <w:r w:rsidRPr="00082A41">
              <w:rPr>
                <w:rFonts w:ascii="Times New Roman" w:hAnsi="Times New Roman" w:cs="Times New Roman"/>
                <w:b/>
                <w:sz w:val="20"/>
                <w:szCs w:val="20"/>
              </w:rPr>
              <w:t>Aggregate</w:t>
            </w:r>
          </w:p>
        </w:tc>
        <w:tc>
          <w:tcPr>
            <w:tcW w:w="967" w:type="dxa"/>
            <w:vMerge w:val="restart"/>
            <w:tcBorders>
              <w:top w:val="single" w:sz="4" w:space="0" w:color="auto"/>
              <w:left w:val="nil"/>
              <w:bottom w:val="single" w:sz="4" w:space="0" w:color="auto"/>
              <w:right w:val="nil"/>
            </w:tcBorders>
          </w:tcPr>
          <w:p w14:paraId="02F5BE26" w14:textId="77777777" w:rsidR="00623CD4" w:rsidRPr="00082A41" w:rsidRDefault="00623CD4">
            <w:pPr>
              <w:spacing w:after="0"/>
              <w:jc w:val="center"/>
              <w:rPr>
                <w:rFonts w:ascii="Times New Roman" w:hAnsi="Times New Roman" w:cs="Times New Roman"/>
                <w:sz w:val="20"/>
                <w:szCs w:val="20"/>
              </w:rPr>
            </w:pPr>
          </w:p>
          <w:p w14:paraId="288C65D0" w14:textId="77777777" w:rsidR="00623CD4" w:rsidRPr="00082A41" w:rsidRDefault="00623CD4">
            <w:pPr>
              <w:spacing w:after="0"/>
              <w:jc w:val="center"/>
              <w:rPr>
                <w:rFonts w:ascii="Times New Roman" w:hAnsi="Times New Roman" w:cs="Times New Roman"/>
                <w:sz w:val="20"/>
                <w:szCs w:val="20"/>
              </w:rPr>
            </w:pPr>
          </w:p>
          <w:p w14:paraId="2D2AA446" w14:textId="77777777" w:rsidR="00623CD4" w:rsidRPr="00082A41" w:rsidRDefault="00623CD4">
            <w:pPr>
              <w:spacing w:after="0"/>
              <w:jc w:val="center"/>
              <w:rPr>
                <w:rFonts w:ascii="Times New Roman" w:hAnsi="Times New Roman" w:cs="Times New Roman"/>
                <w:b/>
                <w:bCs/>
                <w:sz w:val="20"/>
                <w:szCs w:val="20"/>
              </w:rPr>
            </w:pPr>
          </w:p>
          <w:p w14:paraId="57ECD563" w14:textId="77777777" w:rsidR="00623CD4" w:rsidRPr="00082A41" w:rsidRDefault="00623CD4">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Remark</w:t>
            </w:r>
          </w:p>
        </w:tc>
      </w:tr>
      <w:tr w:rsidR="00082A41" w:rsidRPr="00082A41" w14:paraId="5323E76B" w14:textId="77777777">
        <w:trPr>
          <w:trHeight w:val="82"/>
        </w:trPr>
        <w:tc>
          <w:tcPr>
            <w:tcW w:w="3849" w:type="dxa"/>
            <w:vMerge/>
            <w:tcBorders>
              <w:top w:val="single" w:sz="4" w:space="0" w:color="auto"/>
              <w:left w:val="nil"/>
              <w:bottom w:val="nil"/>
              <w:right w:val="nil"/>
            </w:tcBorders>
            <w:vAlign w:val="center"/>
            <w:hideMark/>
          </w:tcPr>
          <w:p w14:paraId="61B56EF9"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214" w:type="dxa"/>
            <w:vMerge/>
            <w:tcBorders>
              <w:top w:val="single" w:sz="4" w:space="0" w:color="auto"/>
              <w:left w:val="nil"/>
              <w:bottom w:val="single" w:sz="4" w:space="0" w:color="auto"/>
              <w:right w:val="nil"/>
            </w:tcBorders>
            <w:vAlign w:val="center"/>
            <w:hideMark/>
          </w:tcPr>
          <w:p w14:paraId="086F40BE"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611" w:type="dxa"/>
            <w:tcBorders>
              <w:top w:val="single" w:sz="4" w:space="0" w:color="auto"/>
              <w:left w:val="nil"/>
              <w:bottom w:val="single" w:sz="4" w:space="0" w:color="auto"/>
              <w:right w:val="nil"/>
            </w:tcBorders>
            <w:vAlign w:val="center"/>
            <w:hideMark/>
          </w:tcPr>
          <w:p w14:paraId="2F137D49"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oMath>
            </m:oMathPara>
          </w:p>
        </w:tc>
        <w:tc>
          <w:tcPr>
            <w:tcW w:w="701" w:type="dxa"/>
            <w:tcBorders>
              <w:top w:val="single" w:sz="4" w:space="0" w:color="auto"/>
              <w:left w:val="nil"/>
              <w:bottom w:val="single" w:sz="4" w:space="0" w:color="auto"/>
              <w:right w:val="nil"/>
            </w:tcBorders>
            <w:vAlign w:val="center"/>
            <w:hideMark/>
          </w:tcPr>
          <w:p w14:paraId="19BA1F35"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1</w:t>
            </w:r>
          </w:p>
        </w:tc>
        <w:tc>
          <w:tcPr>
            <w:tcW w:w="611" w:type="dxa"/>
            <w:tcBorders>
              <w:top w:val="single" w:sz="4" w:space="0" w:color="auto"/>
              <w:left w:val="nil"/>
              <w:bottom w:val="single" w:sz="4" w:space="0" w:color="auto"/>
              <w:right w:val="nil"/>
            </w:tcBorders>
            <w:vAlign w:val="center"/>
            <w:hideMark/>
          </w:tcPr>
          <w:p w14:paraId="144BE4E3"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oMath>
            </m:oMathPara>
          </w:p>
        </w:tc>
        <w:tc>
          <w:tcPr>
            <w:tcW w:w="788" w:type="dxa"/>
            <w:tcBorders>
              <w:top w:val="single" w:sz="4" w:space="0" w:color="auto"/>
              <w:left w:val="nil"/>
              <w:bottom w:val="single" w:sz="4" w:space="0" w:color="auto"/>
              <w:right w:val="nil"/>
            </w:tcBorders>
            <w:vAlign w:val="center"/>
            <w:hideMark/>
          </w:tcPr>
          <w:p w14:paraId="3E988785"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2</w:t>
            </w:r>
          </w:p>
        </w:tc>
        <w:tc>
          <w:tcPr>
            <w:tcW w:w="611" w:type="dxa"/>
            <w:tcBorders>
              <w:top w:val="single" w:sz="4" w:space="0" w:color="auto"/>
              <w:left w:val="nil"/>
              <w:bottom w:val="single" w:sz="4" w:space="0" w:color="auto"/>
              <w:right w:val="nil"/>
            </w:tcBorders>
            <w:vAlign w:val="center"/>
            <w:hideMark/>
          </w:tcPr>
          <w:p w14:paraId="7C93D5D9"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3</m:t>
                    </m:r>
                  </m:sub>
                </m:sSub>
              </m:oMath>
            </m:oMathPara>
          </w:p>
        </w:tc>
        <w:tc>
          <w:tcPr>
            <w:tcW w:w="788" w:type="dxa"/>
            <w:tcBorders>
              <w:top w:val="single" w:sz="4" w:space="0" w:color="auto"/>
              <w:left w:val="nil"/>
              <w:bottom w:val="single" w:sz="4" w:space="0" w:color="auto"/>
              <w:right w:val="nil"/>
            </w:tcBorders>
            <w:vAlign w:val="center"/>
            <w:hideMark/>
          </w:tcPr>
          <w:p w14:paraId="4E7FF28C"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3</w:t>
            </w:r>
          </w:p>
        </w:tc>
        <w:tc>
          <w:tcPr>
            <w:tcW w:w="1136" w:type="dxa"/>
            <w:vMerge/>
            <w:tcBorders>
              <w:top w:val="single" w:sz="4" w:space="0" w:color="auto"/>
              <w:left w:val="nil"/>
              <w:bottom w:val="single" w:sz="4" w:space="0" w:color="auto"/>
              <w:right w:val="nil"/>
            </w:tcBorders>
            <w:vAlign w:val="center"/>
            <w:hideMark/>
          </w:tcPr>
          <w:p w14:paraId="1D88C37F" w14:textId="77777777" w:rsidR="00623CD4" w:rsidRPr="00082A41" w:rsidRDefault="00623CD4">
            <w:pPr>
              <w:spacing w:after="0" w:line="240" w:lineRule="auto"/>
              <w:rPr>
                <w:rFonts w:ascii="Times New Roman" w:hAnsi="Times New Roman" w:cs="Times New Roman"/>
                <w:b/>
                <w:kern w:val="2"/>
                <w:sz w:val="20"/>
                <w:szCs w:val="20"/>
                <w14:ligatures w14:val="standardContextual"/>
              </w:rPr>
            </w:pPr>
          </w:p>
        </w:tc>
        <w:tc>
          <w:tcPr>
            <w:tcW w:w="967" w:type="dxa"/>
            <w:vMerge/>
            <w:tcBorders>
              <w:top w:val="single" w:sz="4" w:space="0" w:color="auto"/>
              <w:left w:val="nil"/>
              <w:bottom w:val="single" w:sz="4" w:space="0" w:color="auto"/>
              <w:right w:val="nil"/>
            </w:tcBorders>
            <w:vAlign w:val="center"/>
            <w:hideMark/>
          </w:tcPr>
          <w:p w14:paraId="22C0A26D"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r>
      <w:tr w:rsidR="00082A41" w:rsidRPr="00082A41" w14:paraId="4F071255" w14:textId="77777777">
        <w:trPr>
          <w:trHeight w:val="501"/>
        </w:trPr>
        <w:tc>
          <w:tcPr>
            <w:tcW w:w="635" w:type="dxa"/>
            <w:tcBorders>
              <w:top w:val="nil"/>
              <w:left w:val="nil"/>
              <w:bottom w:val="nil"/>
              <w:right w:val="nil"/>
            </w:tcBorders>
            <w:hideMark/>
          </w:tcPr>
          <w:p w14:paraId="2371DA13"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1</w:t>
            </w:r>
          </w:p>
        </w:tc>
        <w:tc>
          <w:tcPr>
            <w:tcW w:w="3214" w:type="dxa"/>
            <w:tcBorders>
              <w:top w:val="single" w:sz="4" w:space="0" w:color="auto"/>
              <w:left w:val="nil"/>
              <w:bottom w:val="nil"/>
              <w:right w:val="nil"/>
            </w:tcBorders>
            <w:hideMark/>
          </w:tcPr>
          <w:p w14:paraId="61C7DB73"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Weak institutional enforcement limits the effectiveness of decarbonization policies. </w:t>
            </w:r>
          </w:p>
        </w:tc>
        <w:tc>
          <w:tcPr>
            <w:tcW w:w="611" w:type="dxa"/>
            <w:tcBorders>
              <w:top w:val="single" w:sz="4" w:space="0" w:color="auto"/>
              <w:left w:val="nil"/>
              <w:bottom w:val="nil"/>
              <w:right w:val="nil"/>
            </w:tcBorders>
          </w:tcPr>
          <w:p w14:paraId="4B3AAEBB" w14:textId="77777777" w:rsidR="00623CD4" w:rsidRPr="00082A41" w:rsidRDefault="00623CD4" w:rsidP="00EB68BD">
            <w:pPr>
              <w:spacing w:after="0"/>
              <w:jc w:val="center"/>
              <w:rPr>
                <w:rFonts w:ascii="Times New Roman" w:hAnsi="Times New Roman" w:cs="Times New Roman"/>
              </w:rPr>
            </w:pPr>
          </w:p>
          <w:p w14:paraId="254E219D"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4.00</w:t>
            </w:r>
          </w:p>
        </w:tc>
        <w:tc>
          <w:tcPr>
            <w:tcW w:w="701" w:type="dxa"/>
            <w:tcBorders>
              <w:top w:val="single" w:sz="4" w:space="0" w:color="auto"/>
              <w:left w:val="nil"/>
              <w:bottom w:val="nil"/>
              <w:right w:val="nil"/>
            </w:tcBorders>
          </w:tcPr>
          <w:p w14:paraId="416C4A2B" w14:textId="77777777" w:rsidR="00623CD4" w:rsidRPr="00082A41" w:rsidRDefault="00623CD4" w:rsidP="00EB68BD">
            <w:pPr>
              <w:spacing w:after="0"/>
              <w:jc w:val="center"/>
              <w:rPr>
                <w:rFonts w:ascii="Times New Roman" w:hAnsi="Times New Roman" w:cs="Times New Roman"/>
              </w:rPr>
            </w:pPr>
          </w:p>
          <w:p w14:paraId="72662E0F"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.000</w:t>
            </w:r>
          </w:p>
        </w:tc>
        <w:tc>
          <w:tcPr>
            <w:tcW w:w="611" w:type="dxa"/>
            <w:tcBorders>
              <w:top w:val="single" w:sz="4" w:space="0" w:color="auto"/>
              <w:left w:val="nil"/>
              <w:bottom w:val="nil"/>
              <w:right w:val="nil"/>
            </w:tcBorders>
          </w:tcPr>
          <w:p w14:paraId="5501D881" w14:textId="77777777" w:rsidR="00623CD4" w:rsidRPr="00082A41" w:rsidRDefault="00623CD4" w:rsidP="00EB68BD">
            <w:pPr>
              <w:spacing w:after="0"/>
              <w:jc w:val="center"/>
              <w:rPr>
                <w:rFonts w:ascii="Times New Roman" w:hAnsi="Times New Roman" w:cs="Times New Roman"/>
              </w:rPr>
            </w:pPr>
          </w:p>
          <w:p w14:paraId="42DBABCC"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3.72</w:t>
            </w:r>
          </w:p>
        </w:tc>
        <w:tc>
          <w:tcPr>
            <w:tcW w:w="788" w:type="dxa"/>
            <w:tcBorders>
              <w:top w:val="single" w:sz="4" w:space="0" w:color="auto"/>
              <w:left w:val="nil"/>
              <w:bottom w:val="nil"/>
              <w:right w:val="nil"/>
            </w:tcBorders>
          </w:tcPr>
          <w:p w14:paraId="005A9046" w14:textId="77777777" w:rsidR="00623CD4" w:rsidRPr="00082A41" w:rsidRDefault="00623CD4" w:rsidP="00EB68BD">
            <w:pPr>
              <w:spacing w:after="0"/>
              <w:jc w:val="center"/>
              <w:rPr>
                <w:rFonts w:ascii="Times New Roman" w:hAnsi="Times New Roman" w:cs="Times New Roman"/>
              </w:rPr>
            </w:pPr>
          </w:p>
          <w:p w14:paraId="2D5D74C5"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.454</w:t>
            </w:r>
          </w:p>
        </w:tc>
        <w:tc>
          <w:tcPr>
            <w:tcW w:w="611" w:type="dxa"/>
            <w:tcBorders>
              <w:top w:val="single" w:sz="4" w:space="0" w:color="auto"/>
              <w:left w:val="nil"/>
              <w:bottom w:val="nil"/>
              <w:right w:val="nil"/>
            </w:tcBorders>
          </w:tcPr>
          <w:p w14:paraId="75556AE7" w14:textId="77777777" w:rsidR="00623CD4" w:rsidRPr="00082A41" w:rsidRDefault="00623CD4" w:rsidP="00EB68BD">
            <w:pPr>
              <w:spacing w:after="0"/>
              <w:jc w:val="center"/>
              <w:rPr>
                <w:rFonts w:ascii="Times New Roman" w:hAnsi="Times New Roman" w:cs="Times New Roman"/>
              </w:rPr>
            </w:pPr>
          </w:p>
          <w:p w14:paraId="68F31720"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3.76</w:t>
            </w:r>
          </w:p>
        </w:tc>
        <w:tc>
          <w:tcPr>
            <w:tcW w:w="788" w:type="dxa"/>
            <w:tcBorders>
              <w:top w:val="single" w:sz="4" w:space="0" w:color="auto"/>
              <w:left w:val="nil"/>
              <w:bottom w:val="nil"/>
              <w:right w:val="nil"/>
            </w:tcBorders>
          </w:tcPr>
          <w:p w14:paraId="50CB2687" w14:textId="77777777" w:rsidR="00623CD4" w:rsidRPr="00082A41" w:rsidRDefault="00623CD4" w:rsidP="00EB68BD">
            <w:pPr>
              <w:spacing w:after="0"/>
              <w:jc w:val="center"/>
              <w:rPr>
                <w:rFonts w:ascii="Times New Roman" w:hAnsi="Times New Roman" w:cs="Times New Roman"/>
              </w:rPr>
            </w:pPr>
          </w:p>
          <w:p w14:paraId="1C91E535"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.431</w:t>
            </w:r>
          </w:p>
        </w:tc>
        <w:tc>
          <w:tcPr>
            <w:tcW w:w="1136" w:type="dxa"/>
            <w:tcBorders>
              <w:top w:val="single" w:sz="4" w:space="0" w:color="auto"/>
              <w:left w:val="nil"/>
              <w:bottom w:val="nil"/>
              <w:right w:val="nil"/>
            </w:tcBorders>
          </w:tcPr>
          <w:p w14:paraId="2412E5C4" w14:textId="77777777" w:rsidR="00623CD4" w:rsidRPr="00082A41" w:rsidRDefault="00623CD4" w:rsidP="00EB68BD">
            <w:pPr>
              <w:spacing w:after="0"/>
              <w:jc w:val="center"/>
            </w:pPr>
          </w:p>
          <w:p w14:paraId="04055CEF" w14:textId="77777777" w:rsidR="00623CD4" w:rsidRPr="00082A41" w:rsidRDefault="00623CD4" w:rsidP="00EB68BD">
            <w:pPr>
              <w:spacing w:after="0"/>
              <w:jc w:val="center"/>
              <w:rPr>
                <w:rFonts w:ascii="Times New Roman" w:hAnsi="Times New Roman" w:cs="Times New Roman"/>
                <w:bCs/>
                <w:sz w:val="20"/>
                <w:szCs w:val="20"/>
              </w:rPr>
            </w:pPr>
            <w:r w:rsidRPr="00082A41">
              <w:t>3.83</w:t>
            </w:r>
          </w:p>
        </w:tc>
        <w:tc>
          <w:tcPr>
            <w:tcW w:w="967" w:type="dxa"/>
            <w:tcBorders>
              <w:top w:val="single" w:sz="4" w:space="0" w:color="auto"/>
              <w:left w:val="nil"/>
              <w:bottom w:val="nil"/>
              <w:right w:val="nil"/>
            </w:tcBorders>
          </w:tcPr>
          <w:p w14:paraId="5CCAF04C" w14:textId="77777777" w:rsidR="00623CD4" w:rsidRPr="00082A41" w:rsidRDefault="00623CD4" w:rsidP="00EB68BD">
            <w:pPr>
              <w:spacing w:after="0"/>
              <w:jc w:val="center"/>
              <w:rPr>
                <w:rFonts w:ascii="Times New Roman" w:hAnsi="Times New Roman" w:cs="Times New Roman"/>
                <w:bCs/>
                <w:sz w:val="20"/>
                <w:szCs w:val="20"/>
              </w:rPr>
            </w:pPr>
          </w:p>
          <w:p w14:paraId="70718BA4"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254BE6E6" w14:textId="77777777">
        <w:trPr>
          <w:trHeight w:val="484"/>
        </w:trPr>
        <w:tc>
          <w:tcPr>
            <w:tcW w:w="635" w:type="dxa"/>
            <w:tcBorders>
              <w:top w:val="nil"/>
              <w:left w:val="nil"/>
              <w:bottom w:val="nil"/>
              <w:right w:val="nil"/>
            </w:tcBorders>
            <w:hideMark/>
          </w:tcPr>
          <w:p w14:paraId="5D57152D"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2</w:t>
            </w:r>
          </w:p>
        </w:tc>
        <w:tc>
          <w:tcPr>
            <w:tcW w:w="3214" w:type="dxa"/>
            <w:tcBorders>
              <w:top w:val="nil"/>
              <w:left w:val="nil"/>
              <w:bottom w:val="nil"/>
              <w:right w:val="nil"/>
            </w:tcBorders>
            <w:hideMark/>
          </w:tcPr>
          <w:p w14:paraId="70D4586E"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Government agencies responsible for environmental protection are not well coordinated. </w:t>
            </w:r>
          </w:p>
        </w:tc>
        <w:tc>
          <w:tcPr>
            <w:tcW w:w="611" w:type="dxa"/>
            <w:tcBorders>
              <w:top w:val="nil"/>
              <w:left w:val="nil"/>
              <w:bottom w:val="nil"/>
              <w:right w:val="nil"/>
            </w:tcBorders>
          </w:tcPr>
          <w:p w14:paraId="1D51622F" w14:textId="77777777" w:rsidR="00623CD4" w:rsidRPr="00082A41" w:rsidRDefault="00623CD4" w:rsidP="00EB68BD">
            <w:pPr>
              <w:spacing w:after="0"/>
              <w:jc w:val="center"/>
              <w:rPr>
                <w:rFonts w:ascii="Times New Roman" w:hAnsi="Times New Roman" w:cs="Times New Roman"/>
              </w:rPr>
            </w:pPr>
          </w:p>
          <w:p w14:paraId="5630600B"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3.78</w:t>
            </w:r>
          </w:p>
        </w:tc>
        <w:tc>
          <w:tcPr>
            <w:tcW w:w="701" w:type="dxa"/>
            <w:tcBorders>
              <w:top w:val="nil"/>
              <w:left w:val="nil"/>
              <w:bottom w:val="nil"/>
              <w:right w:val="nil"/>
            </w:tcBorders>
          </w:tcPr>
          <w:p w14:paraId="18E15DF7" w14:textId="77777777" w:rsidR="00623CD4" w:rsidRPr="00082A41" w:rsidRDefault="00623CD4" w:rsidP="00EB68BD">
            <w:pPr>
              <w:spacing w:after="0"/>
              <w:jc w:val="center"/>
              <w:rPr>
                <w:rFonts w:ascii="Times New Roman" w:hAnsi="Times New Roman" w:cs="Times New Roman"/>
              </w:rPr>
            </w:pPr>
          </w:p>
          <w:p w14:paraId="18DE89A6"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.418</w:t>
            </w:r>
          </w:p>
        </w:tc>
        <w:tc>
          <w:tcPr>
            <w:tcW w:w="611" w:type="dxa"/>
            <w:tcBorders>
              <w:top w:val="nil"/>
              <w:left w:val="nil"/>
              <w:bottom w:val="nil"/>
              <w:right w:val="nil"/>
            </w:tcBorders>
          </w:tcPr>
          <w:p w14:paraId="2C5372A2" w14:textId="77777777" w:rsidR="00623CD4" w:rsidRPr="00082A41" w:rsidRDefault="00623CD4" w:rsidP="00EB68BD">
            <w:pPr>
              <w:spacing w:after="0"/>
              <w:jc w:val="center"/>
              <w:rPr>
                <w:rFonts w:ascii="Times New Roman" w:hAnsi="Times New Roman" w:cs="Times New Roman"/>
              </w:rPr>
            </w:pPr>
          </w:p>
          <w:p w14:paraId="186175B7"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3.30</w:t>
            </w:r>
          </w:p>
        </w:tc>
        <w:tc>
          <w:tcPr>
            <w:tcW w:w="788" w:type="dxa"/>
            <w:tcBorders>
              <w:top w:val="nil"/>
              <w:left w:val="nil"/>
              <w:bottom w:val="nil"/>
              <w:right w:val="nil"/>
            </w:tcBorders>
          </w:tcPr>
          <w:p w14:paraId="6DED9E2E" w14:textId="77777777" w:rsidR="00623CD4" w:rsidRPr="00082A41" w:rsidRDefault="00623CD4" w:rsidP="00EB68BD">
            <w:pPr>
              <w:spacing w:after="0"/>
              <w:jc w:val="center"/>
              <w:rPr>
                <w:rFonts w:ascii="Times New Roman" w:hAnsi="Times New Roman" w:cs="Times New Roman"/>
              </w:rPr>
            </w:pPr>
          </w:p>
          <w:p w14:paraId="4FDA4D76"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.614</w:t>
            </w:r>
          </w:p>
        </w:tc>
        <w:tc>
          <w:tcPr>
            <w:tcW w:w="611" w:type="dxa"/>
            <w:tcBorders>
              <w:top w:val="nil"/>
              <w:left w:val="nil"/>
              <w:bottom w:val="nil"/>
              <w:right w:val="nil"/>
            </w:tcBorders>
          </w:tcPr>
          <w:p w14:paraId="04DA805D" w14:textId="77777777" w:rsidR="00623CD4" w:rsidRPr="00082A41" w:rsidRDefault="00623CD4" w:rsidP="00EB68BD">
            <w:pPr>
              <w:spacing w:after="0"/>
              <w:jc w:val="center"/>
              <w:rPr>
                <w:rFonts w:ascii="Times New Roman" w:hAnsi="Times New Roman" w:cs="Times New Roman"/>
              </w:rPr>
            </w:pPr>
          </w:p>
          <w:p w14:paraId="4D7B10C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3.46</w:t>
            </w:r>
          </w:p>
        </w:tc>
        <w:tc>
          <w:tcPr>
            <w:tcW w:w="788" w:type="dxa"/>
            <w:tcBorders>
              <w:top w:val="nil"/>
              <w:left w:val="nil"/>
              <w:bottom w:val="nil"/>
              <w:right w:val="nil"/>
            </w:tcBorders>
          </w:tcPr>
          <w:p w14:paraId="053E92F6" w14:textId="77777777" w:rsidR="00623CD4" w:rsidRPr="00082A41" w:rsidRDefault="00623CD4" w:rsidP="00EB68BD">
            <w:pPr>
              <w:spacing w:after="0"/>
              <w:jc w:val="center"/>
              <w:rPr>
                <w:rFonts w:ascii="Times New Roman" w:hAnsi="Times New Roman" w:cs="Times New Roman"/>
              </w:rPr>
            </w:pPr>
          </w:p>
          <w:p w14:paraId="4C98887C"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.706</w:t>
            </w:r>
          </w:p>
        </w:tc>
        <w:tc>
          <w:tcPr>
            <w:tcW w:w="1136" w:type="dxa"/>
            <w:tcBorders>
              <w:top w:val="nil"/>
              <w:left w:val="nil"/>
              <w:bottom w:val="nil"/>
              <w:right w:val="nil"/>
            </w:tcBorders>
          </w:tcPr>
          <w:p w14:paraId="12B8E1D4" w14:textId="77777777" w:rsidR="00623CD4" w:rsidRPr="00082A41" w:rsidRDefault="00623CD4" w:rsidP="00EB68BD">
            <w:pPr>
              <w:spacing w:after="0"/>
              <w:jc w:val="center"/>
            </w:pPr>
          </w:p>
          <w:p w14:paraId="59BC4141" w14:textId="77777777" w:rsidR="00623CD4" w:rsidRPr="00082A41" w:rsidRDefault="00623CD4" w:rsidP="00EB68BD">
            <w:pPr>
              <w:spacing w:after="0"/>
              <w:jc w:val="center"/>
              <w:rPr>
                <w:rFonts w:ascii="Times New Roman" w:hAnsi="Times New Roman" w:cs="Times New Roman"/>
                <w:bCs/>
                <w:sz w:val="20"/>
                <w:szCs w:val="20"/>
              </w:rPr>
            </w:pPr>
            <w:r w:rsidRPr="00082A41">
              <w:t>3.51</w:t>
            </w:r>
          </w:p>
        </w:tc>
        <w:tc>
          <w:tcPr>
            <w:tcW w:w="967" w:type="dxa"/>
            <w:tcBorders>
              <w:top w:val="nil"/>
              <w:left w:val="nil"/>
              <w:bottom w:val="nil"/>
              <w:right w:val="nil"/>
            </w:tcBorders>
          </w:tcPr>
          <w:p w14:paraId="26204025" w14:textId="77777777" w:rsidR="00623CD4" w:rsidRPr="00082A41" w:rsidRDefault="00623CD4" w:rsidP="00EB68BD">
            <w:pPr>
              <w:spacing w:after="0"/>
              <w:jc w:val="center"/>
              <w:rPr>
                <w:rFonts w:ascii="Times New Roman" w:hAnsi="Times New Roman" w:cs="Times New Roman"/>
                <w:bCs/>
                <w:sz w:val="20"/>
                <w:szCs w:val="20"/>
              </w:rPr>
            </w:pPr>
          </w:p>
          <w:p w14:paraId="3E4983A3"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55EFEDA3" w14:textId="77777777">
        <w:trPr>
          <w:trHeight w:val="484"/>
        </w:trPr>
        <w:tc>
          <w:tcPr>
            <w:tcW w:w="635" w:type="dxa"/>
            <w:tcBorders>
              <w:top w:val="nil"/>
              <w:left w:val="nil"/>
              <w:bottom w:val="nil"/>
              <w:right w:val="nil"/>
            </w:tcBorders>
            <w:hideMark/>
          </w:tcPr>
          <w:p w14:paraId="6BE5C17F"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3</w:t>
            </w:r>
          </w:p>
        </w:tc>
        <w:tc>
          <w:tcPr>
            <w:tcW w:w="3214" w:type="dxa"/>
            <w:tcBorders>
              <w:top w:val="nil"/>
              <w:left w:val="nil"/>
              <w:bottom w:val="nil"/>
              <w:right w:val="nil"/>
            </w:tcBorders>
            <w:hideMark/>
          </w:tcPr>
          <w:p w14:paraId="683D0AF6"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Policy inconsistency affects long-term decarbonization planning.  </w:t>
            </w:r>
          </w:p>
        </w:tc>
        <w:tc>
          <w:tcPr>
            <w:tcW w:w="611" w:type="dxa"/>
            <w:tcBorders>
              <w:top w:val="nil"/>
              <w:left w:val="nil"/>
              <w:bottom w:val="nil"/>
              <w:right w:val="nil"/>
            </w:tcBorders>
          </w:tcPr>
          <w:p w14:paraId="08DA79E1" w14:textId="77777777" w:rsidR="00623CD4" w:rsidRPr="00082A41" w:rsidRDefault="00623CD4" w:rsidP="00EB68BD">
            <w:pPr>
              <w:spacing w:after="0"/>
              <w:jc w:val="center"/>
              <w:rPr>
                <w:rFonts w:ascii="Times New Roman" w:hAnsi="Times New Roman" w:cs="Times New Roman"/>
              </w:rPr>
            </w:pPr>
          </w:p>
          <w:p w14:paraId="40825F8A"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3.82</w:t>
            </w:r>
          </w:p>
        </w:tc>
        <w:tc>
          <w:tcPr>
            <w:tcW w:w="701" w:type="dxa"/>
            <w:tcBorders>
              <w:top w:val="nil"/>
              <w:left w:val="nil"/>
              <w:bottom w:val="nil"/>
              <w:right w:val="nil"/>
            </w:tcBorders>
          </w:tcPr>
          <w:p w14:paraId="649810D0" w14:textId="77777777" w:rsidR="00623CD4" w:rsidRPr="00082A41" w:rsidRDefault="00623CD4" w:rsidP="00EB68BD">
            <w:pPr>
              <w:spacing w:after="0"/>
              <w:jc w:val="center"/>
              <w:rPr>
                <w:rFonts w:ascii="Times New Roman" w:hAnsi="Times New Roman" w:cs="Times New Roman"/>
              </w:rPr>
            </w:pPr>
          </w:p>
          <w:p w14:paraId="38C9FA0B"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.388</w:t>
            </w:r>
          </w:p>
        </w:tc>
        <w:tc>
          <w:tcPr>
            <w:tcW w:w="611" w:type="dxa"/>
            <w:tcBorders>
              <w:top w:val="nil"/>
              <w:left w:val="nil"/>
              <w:bottom w:val="nil"/>
              <w:right w:val="nil"/>
            </w:tcBorders>
          </w:tcPr>
          <w:p w14:paraId="378A42DA" w14:textId="77777777" w:rsidR="00623CD4" w:rsidRPr="00082A41" w:rsidRDefault="00623CD4" w:rsidP="00EB68BD">
            <w:pPr>
              <w:spacing w:after="0"/>
              <w:jc w:val="center"/>
              <w:rPr>
                <w:rFonts w:ascii="Times New Roman" w:hAnsi="Times New Roman" w:cs="Times New Roman"/>
              </w:rPr>
            </w:pPr>
          </w:p>
          <w:p w14:paraId="4E336A47"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3.74</w:t>
            </w:r>
          </w:p>
        </w:tc>
        <w:tc>
          <w:tcPr>
            <w:tcW w:w="788" w:type="dxa"/>
            <w:tcBorders>
              <w:top w:val="nil"/>
              <w:left w:val="nil"/>
              <w:bottom w:val="nil"/>
              <w:right w:val="nil"/>
            </w:tcBorders>
          </w:tcPr>
          <w:p w14:paraId="258111C4" w14:textId="77777777" w:rsidR="00623CD4" w:rsidRPr="00082A41" w:rsidRDefault="00623CD4" w:rsidP="00EB68BD">
            <w:pPr>
              <w:spacing w:after="0"/>
              <w:jc w:val="center"/>
              <w:rPr>
                <w:rFonts w:ascii="Times New Roman" w:hAnsi="Times New Roman" w:cs="Times New Roman"/>
              </w:rPr>
            </w:pPr>
          </w:p>
          <w:p w14:paraId="63935C3A"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.443</w:t>
            </w:r>
          </w:p>
        </w:tc>
        <w:tc>
          <w:tcPr>
            <w:tcW w:w="611" w:type="dxa"/>
            <w:tcBorders>
              <w:top w:val="nil"/>
              <w:left w:val="nil"/>
              <w:bottom w:val="nil"/>
              <w:right w:val="nil"/>
            </w:tcBorders>
          </w:tcPr>
          <w:p w14:paraId="2745F69D" w14:textId="77777777" w:rsidR="00623CD4" w:rsidRPr="00082A41" w:rsidRDefault="00623CD4" w:rsidP="00EB68BD">
            <w:pPr>
              <w:spacing w:after="0"/>
              <w:jc w:val="center"/>
              <w:rPr>
                <w:rFonts w:ascii="Times New Roman" w:hAnsi="Times New Roman" w:cs="Times New Roman"/>
              </w:rPr>
            </w:pPr>
          </w:p>
          <w:p w14:paraId="42129AD5"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3.82</w:t>
            </w:r>
          </w:p>
        </w:tc>
        <w:tc>
          <w:tcPr>
            <w:tcW w:w="788" w:type="dxa"/>
            <w:tcBorders>
              <w:top w:val="nil"/>
              <w:left w:val="nil"/>
              <w:bottom w:val="nil"/>
              <w:right w:val="nil"/>
            </w:tcBorders>
          </w:tcPr>
          <w:p w14:paraId="5ECAC740" w14:textId="77777777" w:rsidR="00623CD4" w:rsidRPr="00082A41" w:rsidRDefault="00623CD4" w:rsidP="00EB68BD">
            <w:pPr>
              <w:spacing w:after="0"/>
              <w:jc w:val="center"/>
              <w:rPr>
                <w:rFonts w:ascii="Times New Roman" w:hAnsi="Times New Roman" w:cs="Times New Roman"/>
              </w:rPr>
            </w:pPr>
          </w:p>
          <w:p w14:paraId="244AD558"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.388</w:t>
            </w:r>
          </w:p>
        </w:tc>
        <w:tc>
          <w:tcPr>
            <w:tcW w:w="1136" w:type="dxa"/>
            <w:tcBorders>
              <w:top w:val="nil"/>
              <w:left w:val="nil"/>
              <w:bottom w:val="nil"/>
              <w:right w:val="nil"/>
            </w:tcBorders>
          </w:tcPr>
          <w:p w14:paraId="65E74471" w14:textId="77777777" w:rsidR="00623CD4" w:rsidRPr="00082A41" w:rsidRDefault="00623CD4" w:rsidP="00EB68BD">
            <w:pPr>
              <w:spacing w:after="0"/>
              <w:jc w:val="center"/>
            </w:pPr>
          </w:p>
          <w:p w14:paraId="74399B15" w14:textId="77777777" w:rsidR="00623CD4" w:rsidRPr="00082A41" w:rsidRDefault="00623CD4" w:rsidP="00EB68BD">
            <w:pPr>
              <w:spacing w:after="0"/>
              <w:jc w:val="center"/>
              <w:rPr>
                <w:rFonts w:ascii="Times New Roman" w:hAnsi="Times New Roman" w:cs="Times New Roman"/>
                <w:bCs/>
                <w:sz w:val="20"/>
                <w:szCs w:val="20"/>
              </w:rPr>
            </w:pPr>
            <w:r w:rsidRPr="00082A41">
              <w:t>3.79</w:t>
            </w:r>
          </w:p>
        </w:tc>
        <w:tc>
          <w:tcPr>
            <w:tcW w:w="967" w:type="dxa"/>
            <w:tcBorders>
              <w:top w:val="nil"/>
              <w:left w:val="nil"/>
              <w:bottom w:val="nil"/>
              <w:right w:val="nil"/>
            </w:tcBorders>
          </w:tcPr>
          <w:p w14:paraId="60FF7461" w14:textId="77777777" w:rsidR="00623CD4" w:rsidRPr="00082A41" w:rsidRDefault="00623CD4" w:rsidP="00EB68BD">
            <w:pPr>
              <w:spacing w:after="0"/>
              <w:jc w:val="center"/>
              <w:rPr>
                <w:rFonts w:ascii="Times New Roman" w:hAnsi="Times New Roman" w:cs="Times New Roman"/>
                <w:bCs/>
                <w:sz w:val="20"/>
                <w:szCs w:val="20"/>
              </w:rPr>
            </w:pPr>
          </w:p>
          <w:p w14:paraId="4320A1E7"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4896737D" w14:textId="77777777">
        <w:trPr>
          <w:trHeight w:val="484"/>
        </w:trPr>
        <w:tc>
          <w:tcPr>
            <w:tcW w:w="635" w:type="dxa"/>
            <w:tcBorders>
              <w:top w:val="nil"/>
              <w:left w:val="nil"/>
              <w:bottom w:val="nil"/>
              <w:right w:val="nil"/>
            </w:tcBorders>
            <w:hideMark/>
          </w:tcPr>
          <w:p w14:paraId="707C746F"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4</w:t>
            </w:r>
          </w:p>
        </w:tc>
        <w:tc>
          <w:tcPr>
            <w:tcW w:w="3214" w:type="dxa"/>
            <w:tcBorders>
              <w:top w:val="nil"/>
              <w:left w:val="nil"/>
              <w:bottom w:val="nil"/>
              <w:right w:val="nil"/>
            </w:tcBorders>
            <w:hideMark/>
          </w:tcPr>
          <w:p w14:paraId="718BA794"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Political leadership priorities often override environmental sustainability goals.</w:t>
            </w:r>
          </w:p>
        </w:tc>
        <w:tc>
          <w:tcPr>
            <w:tcW w:w="611" w:type="dxa"/>
            <w:tcBorders>
              <w:top w:val="nil"/>
              <w:left w:val="nil"/>
              <w:bottom w:val="nil"/>
              <w:right w:val="nil"/>
            </w:tcBorders>
          </w:tcPr>
          <w:p w14:paraId="15A8D047" w14:textId="77777777" w:rsidR="00623CD4" w:rsidRPr="00082A41" w:rsidRDefault="00623CD4" w:rsidP="00EB68BD">
            <w:pPr>
              <w:spacing w:after="0"/>
              <w:jc w:val="center"/>
              <w:rPr>
                <w:rFonts w:ascii="Times New Roman" w:hAnsi="Times New Roman" w:cs="Times New Roman"/>
              </w:rPr>
            </w:pPr>
          </w:p>
          <w:p w14:paraId="084B02D9"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3.96</w:t>
            </w:r>
          </w:p>
        </w:tc>
        <w:tc>
          <w:tcPr>
            <w:tcW w:w="701" w:type="dxa"/>
            <w:tcBorders>
              <w:top w:val="nil"/>
              <w:left w:val="nil"/>
              <w:bottom w:val="nil"/>
              <w:right w:val="nil"/>
            </w:tcBorders>
          </w:tcPr>
          <w:p w14:paraId="40B8E426" w14:textId="77777777" w:rsidR="00623CD4" w:rsidRPr="00082A41" w:rsidRDefault="00623CD4" w:rsidP="00EB68BD">
            <w:pPr>
              <w:spacing w:after="0"/>
              <w:jc w:val="center"/>
              <w:rPr>
                <w:rFonts w:ascii="Times New Roman" w:hAnsi="Times New Roman" w:cs="Times New Roman"/>
              </w:rPr>
            </w:pPr>
          </w:p>
          <w:p w14:paraId="10154AD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.198</w:t>
            </w:r>
          </w:p>
        </w:tc>
        <w:tc>
          <w:tcPr>
            <w:tcW w:w="611" w:type="dxa"/>
            <w:tcBorders>
              <w:top w:val="nil"/>
              <w:left w:val="nil"/>
              <w:bottom w:val="nil"/>
              <w:right w:val="nil"/>
            </w:tcBorders>
          </w:tcPr>
          <w:p w14:paraId="1BE3F292" w14:textId="77777777" w:rsidR="00623CD4" w:rsidRPr="00082A41" w:rsidRDefault="00623CD4" w:rsidP="00EB68BD">
            <w:pPr>
              <w:spacing w:after="0"/>
              <w:jc w:val="center"/>
              <w:rPr>
                <w:rFonts w:ascii="Times New Roman" w:hAnsi="Times New Roman" w:cs="Times New Roman"/>
              </w:rPr>
            </w:pPr>
          </w:p>
          <w:p w14:paraId="12DD78D3"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3.64</w:t>
            </w:r>
          </w:p>
        </w:tc>
        <w:tc>
          <w:tcPr>
            <w:tcW w:w="788" w:type="dxa"/>
            <w:tcBorders>
              <w:top w:val="nil"/>
              <w:left w:val="nil"/>
              <w:bottom w:val="nil"/>
              <w:right w:val="nil"/>
            </w:tcBorders>
          </w:tcPr>
          <w:p w14:paraId="5570E974" w14:textId="77777777" w:rsidR="00623CD4" w:rsidRPr="00082A41" w:rsidRDefault="00623CD4" w:rsidP="00EB68BD">
            <w:pPr>
              <w:spacing w:after="0"/>
              <w:jc w:val="center"/>
              <w:rPr>
                <w:rFonts w:ascii="Times New Roman" w:hAnsi="Times New Roman" w:cs="Times New Roman"/>
              </w:rPr>
            </w:pPr>
          </w:p>
          <w:p w14:paraId="67B8E6D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.485</w:t>
            </w:r>
          </w:p>
        </w:tc>
        <w:tc>
          <w:tcPr>
            <w:tcW w:w="611" w:type="dxa"/>
            <w:tcBorders>
              <w:top w:val="nil"/>
              <w:left w:val="nil"/>
              <w:bottom w:val="nil"/>
              <w:right w:val="nil"/>
            </w:tcBorders>
          </w:tcPr>
          <w:p w14:paraId="3B7C04C5" w14:textId="77777777" w:rsidR="00623CD4" w:rsidRPr="00082A41" w:rsidRDefault="00623CD4" w:rsidP="00EB68BD">
            <w:pPr>
              <w:spacing w:after="0"/>
              <w:jc w:val="center"/>
              <w:rPr>
                <w:rFonts w:ascii="Times New Roman" w:hAnsi="Times New Roman" w:cs="Times New Roman"/>
              </w:rPr>
            </w:pPr>
          </w:p>
          <w:p w14:paraId="1FCFC46C"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3.68</w:t>
            </w:r>
          </w:p>
        </w:tc>
        <w:tc>
          <w:tcPr>
            <w:tcW w:w="788" w:type="dxa"/>
            <w:tcBorders>
              <w:top w:val="nil"/>
              <w:left w:val="nil"/>
              <w:bottom w:val="nil"/>
              <w:right w:val="nil"/>
            </w:tcBorders>
          </w:tcPr>
          <w:p w14:paraId="00AF2853" w14:textId="77777777" w:rsidR="00623CD4" w:rsidRPr="00082A41" w:rsidRDefault="00623CD4" w:rsidP="00EB68BD">
            <w:pPr>
              <w:spacing w:after="0"/>
              <w:jc w:val="center"/>
              <w:rPr>
                <w:rFonts w:ascii="Times New Roman" w:hAnsi="Times New Roman" w:cs="Times New Roman"/>
              </w:rPr>
            </w:pPr>
          </w:p>
          <w:p w14:paraId="5AAA9765"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.471</w:t>
            </w:r>
          </w:p>
        </w:tc>
        <w:tc>
          <w:tcPr>
            <w:tcW w:w="1136" w:type="dxa"/>
            <w:tcBorders>
              <w:top w:val="nil"/>
              <w:left w:val="nil"/>
              <w:bottom w:val="nil"/>
              <w:right w:val="nil"/>
            </w:tcBorders>
          </w:tcPr>
          <w:p w14:paraId="5D7EF414" w14:textId="77777777" w:rsidR="00623CD4" w:rsidRPr="00082A41" w:rsidRDefault="00623CD4" w:rsidP="00EB68BD">
            <w:pPr>
              <w:spacing w:after="0"/>
              <w:jc w:val="center"/>
            </w:pPr>
          </w:p>
          <w:p w14:paraId="6A668844" w14:textId="77777777" w:rsidR="00623CD4" w:rsidRPr="00082A41" w:rsidRDefault="00623CD4" w:rsidP="00EB68BD">
            <w:pPr>
              <w:spacing w:after="0"/>
              <w:jc w:val="center"/>
              <w:rPr>
                <w:rFonts w:ascii="Times New Roman" w:hAnsi="Times New Roman" w:cs="Times New Roman"/>
                <w:bCs/>
                <w:sz w:val="20"/>
                <w:szCs w:val="20"/>
              </w:rPr>
            </w:pPr>
            <w:r w:rsidRPr="00082A41">
              <w:t>3.76</w:t>
            </w:r>
          </w:p>
        </w:tc>
        <w:tc>
          <w:tcPr>
            <w:tcW w:w="967" w:type="dxa"/>
            <w:tcBorders>
              <w:top w:val="nil"/>
              <w:left w:val="nil"/>
              <w:bottom w:val="nil"/>
              <w:right w:val="nil"/>
            </w:tcBorders>
          </w:tcPr>
          <w:p w14:paraId="7A869335" w14:textId="77777777" w:rsidR="00623CD4" w:rsidRPr="00082A41" w:rsidRDefault="00623CD4" w:rsidP="00EB68BD">
            <w:pPr>
              <w:spacing w:after="0"/>
              <w:jc w:val="center"/>
              <w:rPr>
                <w:rFonts w:ascii="Times New Roman" w:hAnsi="Times New Roman" w:cs="Times New Roman"/>
                <w:bCs/>
                <w:sz w:val="20"/>
                <w:szCs w:val="20"/>
              </w:rPr>
            </w:pPr>
          </w:p>
          <w:p w14:paraId="17CA57C9"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3FBA3F4A" w14:textId="77777777">
        <w:trPr>
          <w:trHeight w:val="405"/>
        </w:trPr>
        <w:tc>
          <w:tcPr>
            <w:tcW w:w="635" w:type="dxa"/>
            <w:tcBorders>
              <w:top w:val="nil"/>
              <w:left w:val="nil"/>
              <w:bottom w:val="single" w:sz="4" w:space="0" w:color="auto"/>
              <w:right w:val="nil"/>
            </w:tcBorders>
            <w:hideMark/>
          </w:tcPr>
          <w:p w14:paraId="4ED96876"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5</w:t>
            </w:r>
          </w:p>
        </w:tc>
        <w:tc>
          <w:tcPr>
            <w:tcW w:w="3214" w:type="dxa"/>
            <w:tcBorders>
              <w:top w:val="nil"/>
              <w:left w:val="nil"/>
              <w:bottom w:val="single" w:sz="4" w:space="0" w:color="auto"/>
              <w:right w:val="nil"/>
            </w:tcBorders>
            <w:hideMark/>
          </w:tcPr>
          <w:p w14:paraId="05895FD8"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Institutional frameworks in Akwa Ibom State support fossil fuel dependency more than clean energy transition.</w:t>
            </w:r>
          </w:p>
        </w:tc>
        <w:tc>
          <w:tcPr>
            <w:tcW w:w="611" w:type="dxa"/>
            <w:tcBorders>
              <w:top w:val="nil"/>
              <w:left w:val="nil"/>
              <w:bottom w:val="single" w:sz="4" w:space="0" w:color="auto"/>
              <w:right w:val="nil"/>
            </w:tcBorders>
          </w:tcPr>
          <w:p w14:paraId="022EA74E" w14:textId="77777777" w:rsidR="00623CD4" w:rsidRPr="00082A41" w:rsidRDefault="00623CD4" w:rsidP="00EB68BD">
            <w:pPr>
              <w:spacing w:after="0"/>
              <w:jc w:val="center"/>
              <w:rPr>
                <w:rFonts w:ascii="Times New Roman" w:hAnsi="Times New Roman" w:cs="Times New Roman"/>
              </w:rPr>
            </w:pPr>
          </w:p>
          <w:p w14:paraId="52D519E6"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4.00</w:t>
            </w:r>
          </w:p>
        </w:tc>
        <w:tc>
          <w:tcPr>
            <w:tcW w:w="701" w:type="dxa"/>
            <w:tcBorders>
              <w:top w:val="nil"/>
              <w:left w:val="nil"/>
              <w:bottom w:val="single" w:sz="4" w:space="0" w:color="auto"/>
              <w:right w:val="nil"/>
            </w:tcBorders>
          </w:tcPr>
          <w:p w14:paraId="544F8018" w14:textId="77777777" w:rsidR="00623CD4" w:rsidRPr="00082A41" w:rsidRDefault="00623CD4" w:rsidP="00EB68BD">
            <w:pPr>
              <w:spacing w:after="0"/>
              <w:jc w:val="center"/>
              <w:rPr>
                <w:rFonts w:ascii="Times New Roman" w:hAnsi="Times New Roman" w:cs="Times New Roman"/>
              </w:rPr>
            </w:pPr>
          </w:p>
          <w:p w14:paraId="08F20D03"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.000</w:t>
            </w:r>
          </w:p>
        </w:tc>
        <w:tc>
          <w:tcPr>
            <w:tcW w:w="611" w:type="dxa"/>
            <w:tcBorders>
              <w:top w:val="nil"/>
              <w:left w:val="nil"/>
              <w:bottom w:val="single" w:sz="4" w:space="0" w:color="auto"/>
              <w:right w:val="nil"/>
            </w:tcBorders>
          </w:tcPr>
          <w:p w14:paraId="48E9DBF8" w14:textId="77777777" w:rsidR="00623CD4" w:rsidRPr="00082A41" w:rsidRDefault="00623CD4" w:rsidP="00EB68BD">
            <w:pPr>
              <w:spacing w:after="0"/>
              <w:jc w:val="center"/>
              <w:rPr>
                <w:rFonts w:ascii="Times New Roman" w:hAnsi="Times New Roman" w:cs="Times New Roman"/>
              </w:rPr>
            </w:pPr>
          </w:p>
          <w:p w14:paraId="4EA8958E"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3.30</w:t>
            </w:r>
          </w:p>
        </w:tc>
        <w:tc>
          <w:tcPr>
            <w:tcW w:w="788" w:type="dxa"/>
            <w:tcBorders>
              <w:top w:val="nil"/>
              <w:left w:val="nil"/>
              <w:bottom w:val="single" w:sz="4" w:space="0" w:color="auto"/>
              <w:right w:val="nil"/>
            </w:tcBorders>
          </w:tcPr>
          <w:p w14:paraId="347E47F8" w14:textId="77777777" w:rsidR="00623CD4" w:rsidRPr="00082A41" w:rsidRDefault="00623CD4" w:rsidP="00EB68BD">
            <w:pPr>
              <w:spacing w:after="0"/>
              <w:jc w:val="center"/>
              <w:rPr>
                <w:rFonts w:ascii="Times New Roman" w:hAnsi="Times New Roman" w:cs="Times New Roman"/>
              </w:rPr>
            </w:pPr>
          </w:p>
          <w:p w14:paraId="6B9BD7B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.544</w:t>
            </w:r>
          </w:p>
        </w:tc>
        <w:tc>
          <w:tcPr>
            <w:tcW w:w="611" w:type="dxa"/>
            <w:tcBorders>
              <w:top w:val="nil"/>
              <w:left w:val="nil"/>
              <w:bottom w:val="single" w:sz="4" w:space="0" w:color="auto"/>
              <w:right w:val="nil"/>
            </w:tcBorders>
          </w:tcPr>
          <w:p w14:paraId="54AEC95D" w14:textId="77777777" w:rsidR="00623CD4" w:rsidRPr="00082A41" w:rsidRDefault="00623CD4" w:rsidP="00EB68BD">
            <w:pPr>
              <w:spacing w:after="0"/>
              <w:jc w:val="center"/>
              <w:rPr>
                <w:rFonts w:ascii="Times New Roman" w:hAnsi="Times New Roman" w:cs="Times New Roman"/>
              </w:rPr>
            </w:pPr>
          </w:p>
          <w:p w14:paraId="506FDECF"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3.78</w:t>
            </w:r>
          </w:p>
        </w:tc>
        <w:tc>
          <w:tcPr>
            <w:tcW w:w="788" w:type="dxa"/>
            <w:tcBorders>
              <w:top w:val="nil"/>
              <w:left w:val="nil"/>
              <w:bottom w:val="single" w:sz="4" w:space="0" w:color="auto"/>
              <w:right w:val="nil"/>
            </w:tcBorders>
          </w:tcPr>
          <w:p w14:paraId="6EC385DC" w14:textId="77777777" w:rsidR="00623CD4" w:rsidRPr="00082A41" w:rsidRDefault="00623CD4" w:rsidP="00EB68BD">
            <w:pPr>
              <w:spacing w:after="0"/>
              <w:jc w:val="center"/>
              <w:rPr>
                <w:rFonts w:ascii="Times New Roman" w:hAnsi="Times New Roman" w:cs="Times New Roman"/>
              </w:rPr>
            </w:pPr>
          </w:p>
          <w:p w14:paraId="5DF340E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.418</w:t>
            </w:r>
          </w:p>
        </w:tc>
        <w:tc>
          <w:tcPr>
            <w:tcW w:w="1136" w:type="dxa"/>
            <w:tcBorders>
              <w:top w:val="nil"/>
              <w:left w:val="nil"/>
              <w:bottom w:val="single" w:sz="4" w:space="0" w:color="auto"/>
              <w:right w:val="nil"/>
            </w:tcBorders>
          </w:tcPr>
          <w:p w14:paraId="580CF099" w14:textId="77777777" w:rsidR="00623CD4" w:rsidRPr="00082A41" w:rsidRDefault="00623CD4" w:rsidP="00EB68BD">
            <w:pPr>
              <w:spacing w:after="0"/>
              <w:jc w:val="center"/>
            </w:pPr>
          </w:p>
          <w:p w14:paraId="0376F6E7" w14:textId="77777777" w:rsidR="00623CD4" w:rsidRPr="00082A41" w:rsidRDefault="00623CD4" w:rsidP="00EB68BD">
            <w:pPr>
              <w:spacing w:after="0"/>
              <w:jc w:val="center"/>
              <w:rPr>
                <w:rFonts w:ascii="Times New Roman" w:hAnsi="Times New Roman" w:cs="Times New Roman"/>
                <w:bCs/>
                <w:sz w:val="20"/>
                <w:szCs w:val="20"/>
              </w:rPr>
            </w:pPr>
            <w:r w:rsidRPr="00082A41">
              <w:t>3.69</w:t>
            </w:r>
          </w:p>
        </w:tc>
        <w:tc>
          <w:tcPr>
            <w:tcW w:w="967" w:type="dxa"/>
            <w:tcBorders>
              <w:top w:val="nil"/>
              <w:left w:val="nil"/>
              <w:bottom w:val="single" w:sz="4" w:space="0" w:color="auto"/>
              <w:right w:val="nil"/>
            </w:tcBorders>
          </w:tcPr>
          <w:p w14:paraId="05EA9CD1" w14:textId="77777777" w:rsidR="00623CD4" w:rsidRPr="00082A41" w:rsidRDefault="00623CD4" w:rsidP="00EB68BD">
            <w:pPr>
              <w:spacing w:after="0"/>
              <w:jc w:val="center"/>
              <w:rPr>
                <w:rFonts w:ascii="Times New Roman" w:hAnsi="Times New Roman" w:cs="Times New Roman"/>
                <w:bCs/>
                <w:sz w:val="20"/>
                <w:szCs w:val="20"/>
              </w:rPr>
            </w:pPr>
          </w:p>
          <w:p w14:paraId="148EA770"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48B02D0A" w14:textId="77777777">
        <w:trPr>
          <w:trHeight w:val="348"/>
        </w:trPr>
        <w:tc>
          <w:tcPr>
            <w:tcW w:w="3849" w:type="dxa"/>
            <w:gridSpan w:val="2"/>
            <w:tcBorders>
              <w:top w:val="single" w:sz="4" w:space="0" w:color="auto"/>
              <w:left w:val="nil"/>
              <w:bottom w:val="single" w:sz="4" w:space="0" w:color="auto"/>
              <w:right w:val="nil"/>
            </w:tcBorders>
            <w:hideMark/>
          </w:tcPr>
          <w:p w14:paraId="671ADE49"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b/>
                <w:sz w:val="20"/>
                <w:szCs w:val="20"/>
              </w:rPr>
              <w:t>Grand Mean (</w:t>
            </w:r>
            <m:oMath>
              <m:acc>
                <m:accPr>
                  <m:chr m:val="̅"/>
                  <m:ctrlPr>
                    <w:rPr>
                      <w:rFonts w:ascii="Cambria Math" w:hAnsi="Cambria Math" w:cs="Times New Roman"/>
                      <w:b/>
                      <w:i/>
                      <w:kern w:val="2"/>
                      <w14:ligatures w14:val="standardContextual"/>
                    </w:rPr>
                  </m:ctrlPr>
                </m:accPr>
                <m:e>
                  <m:r>
                    <m:rPr>
                      <m:sty m:val="bi"/>
                    </m:rPr>
                    <w:rPr>
                      <w:rFonts w:ascii="Cambria Math" w:hAnsi="Cambria Math" w:cs="Times New Roman"/>
                      <w:sz w:val="20"/>
                      <w:szCs w:val="20"/>
                    </w:rPr>
                    <m:t>x</m:t>
                  </m:r>
                </m:e>
              </m:acc>
            </m:oMath>
            <w:r w:rsidRPr="00082A41">
              <w:rPr>
                <w:rFonts w:ascii="Times New Roman" w:hAnsi="Times New Roman" w:cs="Times New Roman"/>
                <w:b/>
                <w:sz w:val="20"/>
                <w:szCs w:val="20"/>
              </w:rPr>
              <w:t xml:space="preserve">) </w:t>
            </w:r>
          </w:p>
        </w:tc>
        <w:tc>
          <w:tcPr>
            <w:tcW w:w="611" w:type="dxa"/>
            <w:tcBorders>
              <w:top w:val="single" w:sz="4" w:space="0" w:color="auto"/>
              <w:left w:val="nil"/>
              <w:bottom w:val="single" w:sz="4" w:space="0" w:color="auto"/>
              <w:right w:val="nil"/>
            </w:tcBorders>
            <w:hideMark/>
          </w:tcPr>
          <w:p w14:paraId="0CCE7FA6"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3.91</w:t>
            </w:r>
          </w:p>
        </w:tc>
        <w:tc>
          <w:tcPr>
            <w:tcW w:w="701" w:type="dxa"/>
            <w:tcBorders>
              <w:top w:val="single" w:sz="4" w:space="0" w:color="auto"/>
              <w:left w:val="nil"/>
              <w:bottom w:val="single" w:sz="4" w:space="0" w:color="auto"/>
              <w:right w:val="nil"/>
            </w:tcBorders>
          </w:tcPr>
          <w:p w14:paraId="6903B0B6" w14:textId="77777777" w:rsidR="00623CD4" w:rsidRPr="00082A41" w:rsidRDefault="00623CD4" w:rsidP="00EB68BD">
            <w:pPr>
              <w:spacing w:after="0"/>
              <w:jc w:val="center"/>
              <w:rPr>
                <w:rFonts w:ascii="Times New Roman" w:hAnsi="Times New Roman" w:cs="Times New Roman"/>
                <w:b/>
                <w:bCs/>
                <w:sz w:val="20"/>
                <w:szCs w:val="20"/>
              </w:rPr>
            </w:pPr>
          </w:p>
        </w:tc>
        <w:tc>
          <w:tcPr>
            <w:tcW w:w="611" w:type="dxa"/>
            <w:tcBorders>
              <w:top w:val="single" w:sz="4" w:space="0" w:color="auto"/>
              <w:left w:val="nil"/>
              <w:bottom w:val="single" w:sz="4" w:space="0" w:color="auto"/>
              <w:right w:val="nil"/>
            </w:tcBorders>
            <w:hideMark/>
          </w:tcPr>
          <w:p w14:paraId="4D9F12CE"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3.54</w:t>
            </w:r>
          </w:p>
        </w:tc>
        <w:tc>
          <w:tcPr>
            <w:tcW w:w="788" w:type="dxa"/>
            <w:tcBorders>
              <w:top w:val="single" w:sz="4" w:space="0" w:color="auto"/>
              <w:left w:val="nil"/>
              <w:bottom w:val="single" w:sz="4" w:space="0" w:color="auto"/>
              <w:right w:val="nil"/>
            </w:tcBorders>
          </w:tcPr>
          <w:p w14:paraId="6AA136C2" w14:textId="77777777" w:rsidR="00623CD4" w:rsidRPr="00082A41" w:rsidRDefault="00623CD4" w:rsidP="00EB68BD">
            <w:pPr>
              <w:spacing w:after="0"/>
              <w:jc w:val="center"/>
              <w:rPr>
                <w:rFonts w:ascii="Times New Roman" w:hAnsi="Times New Roman" w:cs="Times New Roman"/>
                <w:b/>
                <w:bCs/>
                <w:sz w:val="20"/>
                <w:szCs w:val="20"/>
              </w:rPr>
            </w:pPr>
          </w:p>
        </w:tc>
        <w:tc>
          <w:tcPr>
            <w:tcW w:w="611" w:type="dxa"/>
            <w:tcBorders>
              <w:top w:val="single" w:sz="4" w:space="0" w:color="auto"/>
              <w:left w:val="nil"/>
              <w:bottom w:val="single" w:sz="4" w:space="0" w:color="auto"/>
              <w:right w:val="nil"/>
            </w:tcBorders>
            <w:hideMark/>
          </w:tcPr>
          <w:p w14:paraId="45BEAD15"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3.70</w:t>
            </w:r>
          </w:p>
        </w:tc>
        <w:tc>
          <w:tcPr>
            <w:tcW w:w="788" w:type="dxa"/>
            <w:tcBorders>
              <w:top w:val="single" w:sz="4" w:space="0" w:color="auto"/>
              <w:left w:val="nil"/>
              <w:bottom w:val="single" w:sz="4" w:space="0" w:color="auto"/>
              <w:right w:val="nil"/>
            </w:tcBorders>
          </w:tcPr>
          <w:p w14:paraId="3F02DB17" w14:textId="77777777" w:rsidR="00623CD4" w:rsidRPr="00082A41" w:rsidRDefault="00623CD4" w:rsidP="00EB68BD">
            <w:pPr>
              <w:spacing w:after="0"/>
              <w:jc w:val="center"/>
              <w:rPr>
                <w:rFonts w:ascii="Times New Roman" w:hAnsi="Times New Roman" w:cs="Times New Roman"/>
                <w:b/>
                <w:bCs/>
                <w:sz w:val="20"/>
                <w:szCs w:val="20"/>
              </w:rPr>
            </w:pPr>
          </w:p>
        </w:tc>
        <w:tc>
          <w:tcPr>
            <w:tcW w:w="1136" w:type="dxa"/>
            <w:tcBorders>
              <w:top w:val="single" w:sz="4" w:space="0" w:color="auto"/>
              <w:left w:val="nil"/>
              <w:bottom w:val="single" w:sz="4" w:space="0" w:color="auto"/>
              <w:right w:val="nil"/>
            </w:tcBorders>
            <w:hideMark/>
          </w:tcPr>
          <w:p w14:paraId="6B9BE0BD" w14:textId="77777777" w:rsidR="00623CD4" w:rsidRPr="00082A41" w:rsidRDefault="00623CD4" w:rsidP="00EB68BD">
            <w:pPr>
              <w:spacing w:after="0"/>
              <w:jc w:val="center"/>
              <w:rPr>
                <w:rFonts w:ascii="Times New Roman" w:hAnsi="Times New Roman" w:cs="Times New Roman"/>
                <w:b/>
                <w:sz w:val="20"/>
                <w:szCs w:val="20"/>
              </w:rPr>
            </w:pPr>
            <w:r w:rsidRPr="00082A41">
              <w:rPr>
                <w:rFonts w:ascii="Times New Roman" w:hAnsi="Times New Roman" w:cs="Times New Roman"/>
                <w:b/>
                <w:sz w:val="20"/>
                <w:szCs w:val="20"/>
              </w:rPr>
              <w:t>3.72</w:t>
            </w:r>
          </w:p>
        </w:tc>
        <w:tc>
          <w:tcPr>
            <w:tcW w:w="967" w:type="dxa"/>
            <w:tcBorders>
              <w:top w:val="single" w:sz="4" w:space="0" w:color="auto"/>
              <w:left w:val="nil"/>
              <w:bottom w:val="single" w:sz="4" w:space="0" w:color="auto"/>
              <w:right w:val="nil"/>
            </w:tcBorders>
            <w:hideMark/>
          </w:tcPr>
          <w:p w14:paraId="56099544" w14:textId="77777777" w:rsidR="00623CD4" w:rsidRPr="00082A41" w:rsidRDefault="00623CD4" w:rsidP="00EB68BD">
            <w:pPr>
              <w:spacing w:after="0"/>
              <w:jc w:val="center"/>
              <w:rPr>
                <w:rFonts w:ascii="Times New Roman" w:hAnsi="Times New Roman" w:cs="Times New Roman"/>
                <w:b/>
                <w:sz w:val="20"/>
                <w:szCs w:val="20"/>
              </w:rPr>
            </w:pPr>
            <w:r w:rsidRPr="00082A41">
              <w:rPr>
                <w:rFonts w:ascii="Times New Roman" w:hAnsi="Times New Roman" w:cs="Times New Roman"/>
                <w:b/>
                <w:sz w:val="20"/>
                <w:szCs w:val="20"/>
              </w:rPr>
              <w:t>Agree</w:t>
            </w:r>
          </w:p>
        </w:tc>
      </w:tr>
    </w:tbl>
    <w:bookmarkEnd w:id="6"/>
    <w:p w14:paraId="4981A1D3" w14:textId="059B57AA" w:rsidR="00623CD4" w:rsidRPr="00082A41" w:rsidRDefault="00623CD4" w:rsidP="00623CD4">
      <w:pPr>
        <w:spacing w:line="36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b/>
          <w:sz w:val="24"/>
          <w:szCs w:val="24"/>
        </w:rPr>
        <w:t>Source:</w:t>
      </w:r>
      <w:r w:rsidRPr="00082A41">
        <w:rPr>
          <w:rFonts w:ascii="Times New Roman" w:eastAsia="Times New Roman" w:hAnsi="Times New Roman" w:cs="Times New Roman"/>
          <w:sz w:val="24"/>
          <w:szCs w:val="24"/>
        </w:rPr>
        <w:t xml:space="preserve"> Researchers’ Fieldwork, 2026</w:t>
      </w:r>
    </w:p>
    <w:p w14:paraId="22626A88" w14:textId="77777777" w:rsidR="00EB68BD" w:rsidRPr="00082A41" w:rsidRDefault="00EB68BD" w:rsidP="00EB68BD">
      <w:pPr>
        <w:spacing w:after="0" w:line="360" w:lineRule="auto"/>
        <w:jc w:val="both"/>
        <w:rPr>
          <w:rFonts w:ascii="Times New Roman" w:hAnsi="Times New Roman" w:cs="Times New Roman"/>
          <w:sz w:val="24"/>
          <w:szCs w:val="24"/>
        </w:rPr>
      </w:pPr>
    </w:p>
    <w:p w14:paraId="490CEF94" w14:textId="0EEDE380" w:rsidR="006A4095" w:rsidRPr="00082A41" w:rsidRDefault="006A4095" w:rsidP="006A4095">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Table 3 displays the mean values and standard deviations of the respondent</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 xml:space="preserve"> perception about governance and institutions' influences on decarbonization in Akwa Ibom State. For item numbers one to five, the mean values are 3.83, 3.51, 3.79, 3.76, and 3.69</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respectively, which reveal that there is agreement that the influence of governance and institutions is negative </w:t>
      </w:r>
      <w:r w:rsidR="00CC3834" w:rsidRPr="00082A41">
        <w:rPr>
          <w:rFonts w:ascii="Times New Roman" w:hAnsi="Times New Roman" w:cs="Times New Roman"/>
          <w:sz w:val="24"/>
          <w:szCs w:val="24"/>
        </w:rPr>
        <w:t>on</w:t>
      </w:r>
      <w:r w:rsidRPr="00082A41">
        <w:rPr>
          <w:rFonts w:ascii="Times New Roman" w:hAnsi="Times New Roman" w:cs="Times New Roman"/>
          <w:sz w:val="24"/>
          <w:szCs w:val="24"/>
        </w:rPr>
        <w:t xml:space="preserve"> decarbonization. </w:t>
      </w:r>
      <w:r w:rsidRPr="00082A41">
        <w:rPr>
          <w:rFonts w:ascii="Times New Roman" w:hAnsi="Times New Roman" w:cs="Times New Roman"/>
          <w:sz w:val="24"/>
          <w:szCs w:val="24"/>
        </w:rPr>
        <w:lastRenderedPageBreak/>
        <w:t xml:space="preserve">It was observed that the respondents believe that weak enforcement, lack of coordinated effort among institutions, inconsistent policies, and government’s focus on certain goals affect effective decarbonization. They further believe that the institutions are likely to encourage fossil fuel dependency instead of facilitating decarbonization. The mean scores were found to be highest in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(3.91) compared to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(3.70) and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(3.54). The grand mean value of 3.72 confirms that there was agreement about the influence of governance and institutions on decarbonization.</w:t>
      </w:r>
    </w:p>
    <w:p w14:paraId="3934FCAD" w14:textId="77777777" w:rsidR="006A4095" w:rsidRPr="00082A41" w:rsidRDefault="006A4095" w:rsidP="006A4095">
      <w:pPr>
        <w:spacing w:after="0" w:line="360" w:lineRule="auto"/>
        <w:jc w:val="both"/>
        <w:rPr>
          <w:rFonts w:ascii="Times New Roman" w:hAnsi="Times New Roman" w:cs="Times New Roman"/>
          <w:sz w:val="24"/>
          <w:szCs w:val="24"/>
        </w:rPr>
      </w:pPr>
    </w:p>
    <w:p w14:paraId="693E3BE8" w14:textId="573D5467" w:rsidR="00623CD4" w:rsidRPr="00082A41" w:rsidRDefault="00623CD4" w:rsidP="00623CD4">
      <w:pPr>
        <w:spacing w:after="0" w:line="360" w:lineRule="auto"/>
        <w:jc w:val="both"/>
        <w:rPr>
          <w:rFonts w:ascii="Times New Roman" w:eastAsia="Times New Roman" w:hAnsi="Times New Roman" w:cs="Times New Roman"/>
          <w:sz w:val="24"/>
          <w:szCs w:val="24"/>
          <w:lang w:val="en-GB" w:eastAsia="en-GB"/>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4</w:t>
      </w:r>
      <w:r w:rsidR="00CC3834" w:rsidRPr="00082A41">
        <w:rPr>
          <w:rFonts w:ascii="Times New Roman" w:eastAsia="Times New Roman" w:hAnsi="Times New Roman" w:cs="Times New Roman"/>
          <w:b/>
          <w:bCs/>
          <w:sz w:val="24"/>
          <w:szCs w:val="24"/>
        </w:rPr>
        <w:t>:</w:t>
      </w:r>
      <w:r w:rsidRPr="00082A41">
        <w:rPr>
          <w:rFonts w:ascii="Times New Roman" w:eastAsia="Times New Roman" w:hAnsi="Times New Roman" w:cs="Times New Roman"/>
          <w:b/>
          <w:bCs/>
          <w:sz w:val="24"/>
          <w:szCs w:val="24"/>
        </w:rPr>
        <w:t xml:space="preserve"> </w:t>
      </w:r>
      <w:r w:rsidRPr="00082A41">
        <w:rPr>
          <w:rFonts w:ascii="Times New Roman" w:eastAsia="Times New Roman" w:hAnsi="Times New Roman" w:cs="Times New Roman"/>
          <w:b/>
          <w:bCs/>
        </w:rPr>
        <w:t xml:space="preserve">Perception of Respondents on the </w:t>
      </w:r>
      <w:r w:rsidRPr="00082A41">
        <w:rPr>
          <w:rFonts w:ascii="Times New Roman" w:eastAsia="Calibri" w:hAnsi="Times New Roman" w:cs="Times New Roman"/>
          <w:b/>
          <w:bCs/>
        </w:rPr>
        <w:t>Stakeholder Roles on Decarbonization in Akwa Ibom State</w:t>
      </w:r>
    </w:p>
    <w:tbl>
      <w:tblPr>
        <w:tblStyle w:val="TableGrid"/>
        <w:tblW w:w="10244"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3363"/>
        <w:gridCol w:w="622"/>
        <w:gridCol w:w="713"/>
        <w:gridCol w:w="622"/>
        <w:gridCol w:w="803"/>
        <w:gridCol w:w="622"/>
        <w:gridCol w:w="803"/>
        <w:gridCol w:w="1157"/>
        <w:gridCol w:w="982"/>
      </w:tblGrid>
      <w:tr w:rsidR="00082A41" w:rsidRPr="00082A41" w14:paraId="2DC50BF9" w14:textId="77777777" w:rsidTr="00EB68BD">
        <w:trPr>
          <w:trHeight w:val="378"/>
        </w:trPr>
        <w:tc>
          <w:tcPr>
            <w:tcW w:w="558" w:type="dxa"/>
            <w:vMerge w:val="restart"/>
            <w:tcBorders>
              <w:top w:val="single" w:sz="4" w:space="0" w:color="auto"/>
              <w:left w:val="nil"/>
              <w:bottom w:val="single" w:sz="4" w:space="0" w:color="auto"/>
              <w:right w:val="nil"/>
            </w:tcBorders>
            <w:hideMark/>
          </w:tcPr>
          <w:p w14:paraId="138D2746" w14:textId="77777777" w:rsidR="00623CD4" w:rsidRPr="00082A41" w:rsidRDefault="00623CD4">
            <w:pPr>
              <w:spacing w:after="0" w:line="216" w:lineRule="auto"/>
              <w:rPr>
                <w:rFonts w:ascii="Times New Roman" w:hAnsi="Times New Roman" w:cs="Times New Roman"/>
                <w:sz w:val="20"/>
                <w:szCs w:val="20"/>
              </w:rPr>
            </w:pPr>
            <w:r w:rsidRPr="00082A41">
              <w:rPr>
                <w:rFonts w:ascii="Times New Roman" w:hAnsi="Times New Roman" w:cs="Times New Roman"/>
                <w:sz w:val="20"/>
                <w:szCs w:val="20"/>
              </w:rPr>
              <w:t>S/N</w:t>
            </w:r>
          </w:p>
        </w:tc>
        <w:tc>
          <w:tcPr>
            <w:tcW w:w="3362" w:type="dxa"/>
            <w:vMerge w:val="restart"/>
            <w:tcBorders>
              <w:top w:val="single" w:sz="4" w:space="0" w:color="auto"/>
              <w:left w:val="nil"/>
              <w:bottom w:val="single" w:sz="4" w:space="0" w:color="auto"/>
              <w:right w:val="nil"/>
            </w:tcBorders>
          </w:tcPr>
          <w:p w14:paraId="292862CD" w14:textId="77777777" w:rsidR="00623CD4" w:rsidRPr="00082A41" w:rsidRDefault="00623CD4">
            <w:pPr>
              <w:spacing w:after="0" w:line="216" w:lineRule="auto"/>
              <w:rPr>
                <w:rFonts w:ascii="Times New Roman" w:hAnsi="Times New Roman" w:cs="Times New Roman"/>
                <w:sz w:val="20"/>
                <w:szCs w:val="20"/>
              </w:rPr>
            </w:pPr>
          </w:p>
        </w:tc>
        <w:tc>
          <w:tcPr>
            <w:tcW w:w="6324" w:type="dxa"/>
            <w:gridSpan w:val="8"/>
            <w:tcBorders>
              <w:top w:val="single" w:sz="4" w:space="0" w:color="auto"/>
              <w:left w:val="nil"/>
              <w:bottom w:val="single" w:sz="4" w:space="0" w:color="auto"/>
              <w:right w:val="nil"/>
            </w:tcBorders>
            <w:hideMark/>
          </w:tcPr>
          <w:p w14:paraId="0D63190F"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LGAs</w:t>
            </w:r>
          </w:p>
        </w:tc>
      </w:tr>
      <w:tr w:rsidR="00082A41" w:rsidRPr="00082A41" w14:paraId="21117AF3" w14:textId="77777777" w:rsidTr="00EB68BD">
        <w:trPr>
          <w:trHeight w:val="662"/>
        </w:trPr>
        <w:tc>
          <w:tcPr>
            <w:tcW w:w="558" w:type="dxa"/>
            <w:vMerge/>
            <w:tcBorders>
              <w:top w:val="single" w:sz="4" w:space="0" w:color="auto"/>
              <w:left w:val="nil"/>
              <w:bottom w:val="single" w:sz="4" w:space="0" w:color="auto"/>
              <w:right w:val="nil"/>
            </w:tcBorders>
            <w:vAlign w:val="center"/>
            <w:hideMark/>
          </w:tcPr>
          <w:p w14:paraId="7B6919C8"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3362" w:type="dxa"/>
            <w:vMerge/>
            <w:tcBorders>
              <w:top w:val="single" w:sz="4" w:space="0" w:color="auto"/>
              <w:left w:val="nil"/>
              <w:bottom w:val="single" w:sz="4" w:space="0" w:color="auto"/>
              <w:right w:val="nil"/>
            </w:tcBorders>
            <w:vAlign w:val="center"/>
            <w:hideMark/>
          </w:tcPr>
          <w:p w14:paraId="0A0F150E"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1335" w:type="dxa"/>
            <w:gridSpan w:val="2"/>
            <w:tcBorders>
              <w:top w:val="single" w:sz="4" w:space="0" w:color="auto"/>
              <w:left w:val="nil"/>
              <w:bottom w:val="single" w:sz="4" w:space="0" w:color="auto"/>
              <w:right w:val="nil"/>
            </w:tcBorders>
            <w:hideMark/>
          </w:tcPr>
          <w:p w14:paraId="7FA77640" w14:textId="77777777" w:rsidR="00623CD4" w:rsidRPr="00082A41" w:rsidRDefault="00623CD4">
            <w:pPr>
              <w:spacing w:after="0" w:line="216"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EKET </w:t>
            </w:r>
          </w:p>
          <w:p w14:paraId="56706FFB" w14:textId="77777777" w:rsidR="00623CD4" w:rsidRPr="00082A41" w:rsidRDefault="00623CD4">
            <w:pPr>
              <w:spacing w:after="0" w:line="216"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1</w:t>
            </w:r>
            <w:r w:rsidRPr="00082A41">
              <w:rPr>
                <w:rFonts w:ascii="Times New Roman" w:hAnsi="Times New Roman" w:cs="Times New Roman"/>
                <w:b/>
                <w:bCs/>
                <w:sz w:val="20"/>
                <w:szCs w:val="20"/>
              </w:rPr>
              <w:t>=50</w:t>
            </w:r>
          </w:p>
        </w:tc>
        <w:tc>
          <w:tcPr>
            <w:tcW w:w="1425" w:type="dxa"/>
            <w:gridSpan w:val="2"/>
            <w:tcBorders>
              <w:top w:val="single" w:sz="4" w:space="0" w:color="auto"/>
              <w:left w:val="nil"/>
              <w:bottom w:val="single" w:sz="4" w:space="0" w:color="auto"/>
              <w:right w:val="nil"/>
            </w:tcBorders>
            <w:hideMark/>
          </w:tcPr>
          <w:p w14:paraId="3284DE67"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IBENO </w:t>
            </w:r>
          </w:p>
          <w:p w14:paraId="2E54F6AD"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2</w:t>
            </w:r>
            <w:r w:rsidRPr="00082A41">
              <w:rPr>
                <w:rFonts w:ascii="Times New Roman" w:hAnsi="Times New Roman" w:cs="Times New Roman"/>
                <w:b/>
                <w:bCs/>
                <w:sz w:val="20"/>
                <w:szCs w:val="20"/>
              </w:rPr>
              <w:t>=50</w:t>
            </w:r>
          </w:p>
        </w:tc>
        <w:tc>
          <w:tcPr>
            <w:tcW w:w="1425" w:type="dxa"/>
            <w:gridSpan w:val="2"/>
            <w:tcBorders>
              <w:top w:val="single" w:sz="4" w:space="0" w:color="auto"/>
              <w:left w:val="nil"/>
              <w:bottom w:val="single" w:sz="4" w:space="0" w:color="auto"/>
              <w:right w:val="nil"/>
            </w:tcBorders>
            <w:hideMark/>
          </w:tcPr>
          <w:p w14:paraId="0C881BD9"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EASTERN OBOLO N</w:t>
            </w:r>
            <w:r w:rsidRPr="00082A41">
              <w:rPr>
                <w:rFonts w:ascii="Times New Roman" w:hAnsi="Times New Roman" w:cs="Times New Roman"/>
                <w:b/>
                <w:bCs/>
                <w:sz w:val="20"/>
                <w:szCs w:val="20"/>
                <w:vertAlign w:val="subscript"/>
              </w:rPr>
              <w:t>3</w:t>
            </w:r>
            <w:r w:rsidRPr="00082A41">
              <w:rPr>
                <w:rFonts w:ascii="Times New Roman" w:hAnsi="Times New Roman" w:cs="Times New Roman"/>
                <w:b/>
                <w:bCs/>
                <w:sz w:val="20"/>
                <w:szCs w:val="20"/>
              </w:rPr>
              <w:t>=50</w:t>
            </w:r>
          </w:p>
        </w:tc>
        <w:tc>
          <w:tcPr>
            <w:tcW w:w="1157" w:type="dxa"/>
            <w:vMerge w:val="restart"/>
            <w:tcBorders>
              <w:top w:val="single" w:sz="4" w:space="0" w:color="auto"/>
              <w:left w:val="nil"/>
              <w:bottom w:val="single" w:sz="4" w:space="0" w:color="auto"/>
              <w:right w:val="nil"/>
            </w:tcBorders>
          </w:tcPr>
          <w:p w14:paraId="5CA114DE" w14:textId="77777777" w:rsidR="00623CD4" w:rsidRPr="00082A41" w:rsidRDefault="00623CD4">
            <w:pPr>
              <w:spacing w:after="0" w:line="192" w:lineRule="auto"/>
              <w:jc w:val="center"/>
              <w:rPr>
                <w:rFonts w:ascii="Times New Roman" w:hAnsi="Times New Roman" w:cs="Times New Roman"/>
                <w:bCs/>
                <w:sz w:val="20"/>
                <w:szCs w:val="20"/>
              </w:rPr>
            </w:pPr>
          </w:p>
          <w:p w14:paraId="2AAA7BF7" w14:textId="77777777" w:rsidR="00623CD4" w:rsidRPr="00082A41" w:rsidRDefault="00623CD4">
            <w:pPr>
              <w:spacing w:after="0" w:line="192" w:lineRule="auto"/>
              <w:jc w:val="center"/>
              <w:rPr>
                <w:rFonts w:ascii="Times New Roman" w:hAnsi="Times New Roman" w:cs="Times New Roman"/>
                <w:sz w:val="20"/>
                <w:szCs w:val="20"/>
              </w:rPr>
            </w:pPr>
          </w:p>
          <w:p w14:paraId="69627B1C" w14:textId="77777777" w:rsidR="00623CD4" w:rsidRPr="00082A41" w:rsidRDefault="00623CD4">
            <w:pPr>
              <w:spacing w:after="0" w:line="192" w:lineRule="auto"/>
              <w:rPr>
                <w:rFonts w:ascii="Times New Roman" w:hAnsi="Times New Roman" w:cs="Times New Roman"/>
                <w:b/>
                <w:sz w:val="20"/>
                <w:szCs w:val="20"/>
              </w:rPr>
            </w:pPr>
          </w:p>
          <w:p w14:paraId="0219CCD9" w14:textId="77777777" w:rsidR="00623CD4" w:rsidRPr="00082A41" w:rsidRDefault="00623CD4">
            <w:pPr>
              <w:spacing w:after="0" w:line="192" w:lineRule="auto"/>
              <w:rPr>
                <w:rFonts w:ascii="Times New Roman" w:hAnsi="Times New Roman" w:cs="Times New Roman"/>
                <w:b/>
                <w:sz w:val="20"/>
                <w:szCs w:val="20"/>
              </w:rPr>
            </w:pPr>
            <w:r w:rsidRPr="00082A41">
              <w:rPr>
                <w:rFonts w:ascii="Times New Roman" w:hAnsi="Times New Roman" w:cs="Times New Roman"/>
                <w:b/>
                <w:sz w:val="20"/>
                <w:szCs w:val="20"/>
              </w:rPr>
              <w:t>Aggregate</w:t>
            </w:r>
          </w:p>
        </w:tc>
        <w:tc>
          <w:tcPr>
            <w:tcW w:w="980" w:type="dxa"/>
            <w:vMerge w:val="restart"/>
            <w:tcBorders>
              <w:top w:val="single" w:sz="4" w:space="0" w:color="auto"/>
              <w:left w:val="nil"/>
              <w:bottom w:val="single" w:sz="4" w:space="0" w:color="auto"/>
              <w:right w:val="nil"/>
            </w:tcBorders>
          </w:tcPr>
          <w:p w14:paraId="32D454FC" w14:textId="77777777" w:rsidR="00623CD4" w:rsidRPr="00082A41" w:rsidRDefault="00623CD4">
            <w:pPr>
              <w:spacing w:after="0" w:line="192" w:lineRule="auto"/>
              <w:jc w:val="center"/>
              <w:rPr>
                <w:rFonts w:ascii="Times New Roman" w:hAnsi="Times New Roman" w:cs="Times New Roman"/>
                <w:sz w:val="20"/>
                <w:szCs w:val="20"/>
              </w:rPr>
            </w:pPr>
          </w:p>
          <w:p w14:paraId="16CD0B36" w14:textId="77777777" w:rsidR="00623CD4" w:rsidRPr="00082A41" w:rsidRDefault="00623CD4">
            <w:pPr>
              <w:spacing w:after="0" w:line="192" w:lineRule="auto"/>
              <w:jc w:val="center"/>
              <w:rPr>
                <w:rFonts w:ascii="Times New Roman" w:hAnsi="Times New Roman" w:cs="Times New Roman"/>
                <w:sz w:val="20"/>
                <w:szCs w:val="20"/>
              </w:rPr>
            </w:pPr>
          </w:p>
          <w:p w14:paraId="5333E1EB" w14:textId="77777777" w:rsidR="00623CD4" w:rsidRPr="00082A41" w:rsidRDefault="00623CD4">
            <w:pPr>
              <w:spacing w:after="0" w:line="192" w:lineRule="auto"/>
              <w:jc w:val="center"/>
              <w:rPr>
                <w:rFonts w:ascii="Times New Roman" w:hAnsi="Times New Roman" w:cs="Times New Roman"/>
                <w:b/>
                <w:bCs/>
                <w:sz w:val="20"/>
                <w:szCs w:val="20"/>
              </w:rPr>
            </w:pPr>
          </w:p>
          <w:p w14:paraId="086EE345"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Remark</w:t>
            </w:r>
          </w:p>
        </w:tc>
      </w:tr>
      <w:tr w:rsidR="00082A41" w:rsidRPr="00082A41" w14:paraId="0408F944" w14:textId="77777777" w:rsidTr="00EB68BD">
        <w:trPr>
          <w:trHeight w:val="81"/>
        </w:trPr>
        <w:tc>
          <w:tcPr>
            <w:tcW w:w="558" w:type="dxa"/>
            <w:vMerge/>
            <w:tcBorders>
              <w:top w:val="single" w:sz="4" w:space="0" w:color="auto"/>
              <w:left w:val="nil"/>
              <w:bottom w:val="single" w:sz="4" w:space="0" w:color="auto"/>
              <w:right w:val="nil"/>
            </w:tcBorders>
            <w:vAlign w:val="center"/>
            <w:hideMark/>
          </w:tcPr>
          <w:p w14:paraId="36A68E8D"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3362" w:type="dxa"/>
            <w:vMerge/>
            <w:tcBorders>
              <w:top w:val="single" w:sz="4" w:space="0" w:color="auto"/>
              <w:left w:val="nil"/>
              <w:bottom w:val="single" w:sz="4" w:space="0" w:color="auto"/>
              <w:right w:val="nil"/>
            </w:tcBorders>
            <w:vAlign w:val="center"/>
            <w:hideMark/>
          </w:tcPr>
          <w:p w14:paraId="2EB77BA2"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622" w:type="dxa"/>
            <w:tcBorders>
              <w:top w:val="single" w:sz="4" w:space="0" w:color="auto"/>
              <w:left w:val="nil"/>
              <w:bottom w:val="single" w:sz="4" w:space="0" w:color="auto"/>
              <w:right w:val="nil"/>
            </w:tcBorders>
            <w:vAlign w:val="center"/>
            <w:hideMark/>
          </w:tcPr>
          <w:p w14:paraId="500EC979"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oMath>
            </m:oMathPara>
          </w:p>
        </w:tc>
        <w:tc>
          <w:tcPr>
            <w:tcW w:w="712" w:type="dxa"/>
            <w:tcBorders>
              <w:top w:val="single" w:sz="4" w:space="0" w:color="auto"/>
              <w:left w:val="nil"/>
              <w:bottom w:val="single" w:sz="4" w:space="0" w:color="auto"/>
              <w:right w:val="nil"/>
            </w:tcBorders>
            <w:vAlign w:val="center"/>
            <w:hideMark/>
          </w:tcPr>
          <w:p w14:paraId="6253F5B4"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1</w:t>
            </w:r>
          </w:p>
        </w:tc>
        <w:tc>
          <w:tcPr>
            <w:tcW w:w="622" w:type="dxa"/>
            <w:tcBorders>
              <w:top w:val="single" w:sz="4" w:space="0" w:color="auto"/>
              <w:left w:val="nil"/>
              <w:bottom w:val="single" w:sz="4" w:space="0" w:color="auto"/>
              <w:right w:val="nil"/>
            </w:tcBorders>
            <w:vAlign w:val="center"/>
            <w:hideMark/>
          </w:tcPr>
          <w:p w14:paraId="4A05F6EC"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oMath>
            </m:oMathPara>
          </w:p>
        </w:tc>
        <w:tc>
          <w:tcPr>
            <w:tcW w:w="802" w:type="dxa"/>
            <w:tcBorders>
              <w:top w:val="single" w:sz="4" w:space="0" w:color="auto"/>
              <w:left w:val="nil"/>
              <w:bottom w:val="single" w:sz="4" w:space="0" w:color="auto"/>
              <w:right w:val="nil"/>
            </w:tcBorders>
            <w:vAlign w:val="center"/>
            <w:hideMark/>
          </w:tcPr>
          <w:p w14:paraId="61DE913A"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2</w:t>
            </w:r>
          </w:p>
        </w:tc>
        <w:tc>
          <w:tcPr>
            <w:tcW w:w="622" w:type="dxa"/>
            <w:tcBorders>
              <w:top w:val="single" w:sz="4" w:space="0" w:color="auto"/>
              <w:left w:val="nil"/>
              <w:bottom w:val="single" w:sz="4" w:space="0" w:color="auto"/>
              <w:right w:val="nil"/>
            </w:tcBorders>
            <w:vAlign w:val="center"/>
            <w:hideMark/>
          </w:tcPr>
          <w:p w14:paraId="32764194"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3</m:t>
                    </m:r>
                  </m:sub>
                </m:sSub>
              </m:oMath>
            </m:oMathPara>
          </w:p>
        </w:tc>
        <w:tc>
          <w:tcPr>
            <w:tcW w:w="802" w:type="dxa"/>
            <w:tcBorders>
              <w:top w:val="single" w:sz="4" w:space="0" w:color="auto"/>
              <w:left w:val="nil"/>
              <w:bottom w:val="single" w:sz="4" w:space="0" w:color="auto"/>
              <w:right w:val="nil"/>
            </w:tcBorders>
            <w:vAlign w:val="center"/>
            <w:hideMark/>
          </w:tcPr>
          <w:p w14:paraId="7DBE86A1"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3</w:t>
            </w:r>
          </w:p>
        </w:tc>
        <w:tc>
          <w:tcPr>
            <w:tcW w:w="1157" w:type="dxa"/>
            <w:vMerge/>
            <w:tcBorders>
              <w:top w:val="single" w:sz="4" w:space="0" w:color="auto"/>
              <w:left w:val="nil"/>
              <w:bottom w:val="single" w:sz="4" w:space="0" w:color="auto"/>
              <w:right w:val="nil"/>
            </w:tcBorders>
            <w:vAlign w:val="center"/>
            <w:hideMark/>
          </w:tcPr>
          <w:p w14:paraId="113FD3B7" w14:textId="77777777" w:rsidR="00623CD4" w:rsidRPr="00082A41" w:rsidRDefault="00623CD4">
            <w:pPr>
              <w:spacing w:after="0" w:line="240" w:lineRule="auto"/>
              <w:rPr>
                <w:rFonts w:ascii="Times New Roman" w:hAnsi="Times New Roman" w:cs="Times New Roman"/>
                <w:b/>
                <w:kern w:val="2"/>
                <w:sz w:val="20"/>
                <w:szCs w:val="20"/>
                <w14:ligatures w14:val="standardContextual"/>
              </w:rPr>
            </w:pPr>
          </w:p>
        </w:tc>
        <w:tc>
          <w:tcPr>
            <w:tcW w:w="980" w:type="dxa"/>
            <w:vMerge/>
            <w:tcBorders>
              <w:top w:val="single" w:sz="4" w:space="0" w:color="auto"/>
              <w:left w:val="nil"/>
              <w:bottom w:val="single" w:sz="4" w:space="0" w:color="auto"/>
              <w:right w:val="nil"/>
            </w:tcBorders>
            <w:vAlign w:val="center"/>
            <w:hideMark/>
          </w:tcPr>
          <w:p w14:paraId="58A9C575"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r>
      <w:tr w:rsidR="00082A41" w:rsidRPr="00082A41" w14:paraId="4721513D" w14:textId="77777777" w:rsidTr="00EB68BD">
        <w:trPr>
          <w:trHeight w:val="491"/>
        </w:trPr>
        <w:tc>
          <w:tcPr>
            <w:tcW w:w="558" w:type="dxa"/>
            <w:tcBorders>
              <w:top w:val="single" w:sz="4" w:space="0" w:color="auto"/>
              <w:left w:val="nil"/>
              <w:bottom w:val="nil"/>
              <w:right w:val="nil"/>
            </w:tcBorders>
            <w:hideMark/>
          </w:tcPr>
          <w:p w14:paraId="674F5E6C"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1</w:t>
            </w:r>
          </w:p>
        </w:tc>
        <w:tc>
          <w:tcPr>
            <w:tcW w:w="3362" w:type="dxa"/>
            <w:tcBorders>
              <w:top w:val="single" w:sz="4" w:space="0" w:color="auto"/>
              <w:left w:val="nil"/>
              <w:bottom w:val="nil"/>
              <w:right w:val="nil"/>
            </w:tcBorders>
            <w:hideMark/>
          </w:tcPr>
          <w:p w14:paraId="6AE64254"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Government officials actively promote decarbonization initiatives in the state. </w:t>
            </w:r>
          </w:p>
        </w:tc>
        <w:tc>
          <w:tcPr>
            <w:tcW w:w="622" w:type="dxa"/>
            <w:tcBorders>
              <w:top w:val="single" w:sz="4" w:space="0" w:color="auto"/>
              <w:left w:val="nil"/>
              <w:bottom w:val="nil"/>
              <w:right w:val="nil"/>
            </w:tcBorders>
          </w:tcPr>
          <w:p w14:paraId="1E8B7C57" w14:textId="77777777" w:rsidR="00623CD4" w:rsidRPr="00082A41" w:rsidRDefault="00623CD4" w:rsidP="00EB68BD">
            <w:pPr>
              <w:spacing w:after="0"/>
              <w:jc w:val="center"/>
              <w:rPr>
                <w:rFonts w:ascii="Times New Roman" w:hAnsi="Times New Roman" w:cs="Times New Roman"/>
              </w:rPr>
            </w:pPr>
          </w:p>
          <w:p w14:paraId="682DD7C4"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1.70</w:t>
            </w:r>
          </w:p>
        </w:tc>
        <w:tc>
          <w:tcPr>
            <w:tcW w:w="712" w:type="dxa"/>
            <w:tcBorders>
              <w:top w:val="single" w:sz="4" w:space="0" w:color="auto"/>
              <w:left w:val="nil"/>
              <w:bottom w:val="nil"/>
              <w:right w:val="nil"/>
            </w:tcBorders>
          </w:tcPr>
          <w:p w14:paraId="41BB62F4" w14:textId="77777777" w:rsidR="00623CD4" w:rsidRPr="00082A41" w:rsidRDefault="00623CD4" w:rsidP="00EB68BD">
            <w:pPr>
              <w:spacing w:after="0"/>
              <w:jc w:val="center"/>
              <w:rPr>
                <w:rFonts w:ascii="Times New Roman" w:hAnsi="Times New Roman" w:cs="Times New Roman"/>
              </w:rPr>
            </w:pPr>
          </w:p>
          <w:p w14:paraId="4CD001EE"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.463</w:t>
            </w:r>
          </w:p>
        </w:tc>
        <w:tc>
          <w:tcPr>
            <w:tcW w:w="622" w:type="dxa"/>
            <w:tcBorders>
              <w:top w:val="single" w:sz="4" w:space="0" w:color="auto"/>
              <w:left w:val="nil"/>
              <w:bottom w:val="nil"/>
              <w:right w:val="nil"/>
            </w:tcBorders>
          </w:tcPr>
          <w:p w14:paraId="62E6F8C0" w14:textId="77777777" w:rsidR="00623CD4" w:rsidRPr="00082A41" w:rsidRDefault="00623CD4" w:rsidP="00EB68BD">
            <w:pPr>
              <w:spacing w:after="0"/>
              <w:jc w:val="center"/>
              <w:rPr>
                <w:rFonts w:ascii="Times New Roman" w:hAnsi="Times New Roman" w:cs="Times New Roman"/>
              </w:rPr>
            </w:pPr>
          </w:p>
          <w:p w14:paraId="51E1D02A"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1.58</w:t>
            </w:r>
          </w:p>
        </w:tc>
        <w:tc>
          <w:tcPr>
            <w:tcW w:w="802" w:type="dxa"/>
            <w:tcBorders>
              <w:top w:val="single" w:sz="4" w:space="0" w:color="auto"/>
              <w:left w:val="nil"/>
              <w:bottom w:val="nil"/>
              <w:right w:val="nil"/>
            </w:tcBorders>
          </w:tcPr>
          <w:p w14:paraId="5EFBC31B" w14:textId="77777777" w:rsidR="00623CD4" w:rsidRPr="00082A41" w:rsidRDefault="00623CD4" w:rsidP="00EB68BD">
            <w:pPr>
              <w:spacing w:after="0"/>
              <w:jc w:val="center"/>
              <w:rPr>
                <w:rFonts w:ascii="Times New Roman" w:hAnsi="Times New Roman" w:cs="Times New Roman"/>
              </w:rPr>
            </w:pPr>
          </w:p>
          <w:p w14:paraId="7B78D99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.731</w:t>
            </w:r>
          </w:p>
        </w:tc>
        <w:tc>
          <w:tcPr>
            <w:tcW w:w="622" w:type="dxa"/>
            <w:tcBorders>
              <w:top w:val="single" w:sz="4" w:space="0" w:color="auto"/>
              <w:left w:val="nil"/>
              <w:bottom w:val="nil"/>
              <w:right w:val="nil"/>
            </w:tcBorders>
          </w:tcPr>
          <w:p w14:paraId="663F8C0E" w14:textId="77777777" w:rsidR="00623CD4" w:rsidRPr="00082A41" w:rsidRDefault="00623CD4" w:rsidP="00EB68BD">
            <w:pPr>
              <w:spacing w:after="0"/>
              <w:jc w:val="center"/>
              <w:rPr>
                <w:rFonts w:ascii="Times New Roman" w:hAnsi="Times New Roman" w:cs="Times New Roman"/>
              </w:rPr>
            </w:pPr>
          </w:p>
          <w:p w14:paraId="2EECE30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1.40</w:t>
            </w:r>
          </w:p>
        </w:tc>
        <w:tc>
          <w:tcPr>
            <w:tcW w:w="802" w:type="dxa"/>
            <w:tcBorders>
              <w:top w:val="single" w:sz="4" w:space="0" w:color="auto"/>
              <w:left w:val="nil"/>
              <w:bottom w:val="nil"/>
              <w:right w:val="nil"/>
            </w:tcBorders>
          </w:tcPr>
          <w:p w14:paraId="50CD891C" w14:textId="77777777" w:rsidR="00623CD4" w:rsidRPr="00082A41" w:rsidRDefault="00623CD4" w:rsidP="00EB68BD">
            <w:pPr>
              <w:spacing w:after="0"/>
              <w:jc w:val="center"/>
              <w:rPr>
                <w:rFonts w:ascii="Times New Roman" w:hAnsi="Times New Roman" w:cs="Times New Roman"/>
              </w:rPr>
            </w:pPr>
          </w:p>
          <w:p w14:paraId="7811D8A7"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.639</w:t>
            </w:r>
          </w:p>
        </w:tc>
        <w:tc>
          <w:tcPr>
            <w:tcW w:w="1157" w:type="dxa"/>
            <w:tcBorders>
              <w:top w:val="single" w:sz="4" w:space="0" w:color="auto"/>
              <w:left w:val="nil"/>
              <w:bottom w:val="nil"/>
              <w:right w:val="nil"/>
            </w:tcBorders>
          </w:tcPr>
          <w:p w14:paraId="5FB16492" w14:textId="77777777" w:rsidR="00623CD4" w:rsidRPr="00082A41" w:rsidRDefault="00623CD4" w:rsidP="00EB68BD">
            <w:pPr>
              <w:spacing w:after="0"/>
              <w:jc w:val="center"/>
            </w:pPr>
          </w:p>
          <w:p w14:paraId="336C1014" w14:textId="77777777" w:rsidR="00623CD4" w:rsidRPr="00082A41" w:rsidRDefault="00623CD4" w:rsidP="00EB68BD">
            <w:pPr>
              <w:spacing w:after="0"/>
              <w:jc w:val="center"/>
              <w:rPr>
                <w:rFonts w:ascii="Times New Roman" w:hAnsi="Times New Roman" w:cs="Times New Roman"/>
                <w:bCs/>
                <w:sz w:val="20"/>
                <w:szCs w:val="20"/>
              </w:rPr>
            </w:pPr>
            <w:r w:rsidRPr="00082A41">
              <w:t>1.56</w:t>
            </w:r>
          </w:p>
        </w:tc>
        <w:tc>
          <w:tcPr>
            <w:tcW w:w="980" w:type="dxa"/>
            <w:tcBorders>
              <w:top w:val="single" w:sz="4" w:space="0" w:color="auto"/>
              <w:left w:val="nil"/>
              <w:bottom w:val="nil"/>
              <w:right w:val="nil"/>
            </w:tcBorders>
          </w:tcPr>
          <w:p w14:paraId="53B19D57" w14:textId="77777777" w:rsidR="00623CD4" w:rsidRPr="00082A41" w:rsidRDefault="00623CD4" w:rsidP="00EB68BD">
            <w:pPr>
              <w:spacing w:after="0"/>
              <w:jc w:val="center"/>
              <w:rPr>
                <w:rFonts w:ascii="Times New Roman" w:hAnsi="Times New Roman" w:cs="Times New Roman"/>
                <w:bCs/>
                <w:sz w:val="20"/>
                <w:szCs w:val="20"/>
              </w:rPr>
            </w:pPr>
          </w:p>
          <w:p w14:paraId="5FEDF6C8"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Disagree</w:t>
            </w:r>
          </w:p>
        </w:tc>
      </w:tr>
      <w:tr w:rsidR="00082A41" w:rsidRPr="00082A41" w14:paraId="5AC1506E" w14:textId="77777777" w:rsidTr="00EB68BD">
        <w:trPr>
          <w:trHeight w:val="475"/>
        </w:trPr>
        <w:tc>
          <w:tcPr>
            <w:tcW w:w="558" w:type="dxa"/>
            <w:tcBorders>
              <w:top w:val="nil"/>
              <w:left w:val="nil"/>
              <w:bottom w:val="nil"/>
              <w:right w:val="nil"/>
            </w:tcBorders>
            <w:hideMark/>
          </w:tcPr>
          <w:p w14:paraId="6436714B"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2</w:t>
            </w:r>
          </w:p>
        </w:tc>
        <w:tc>
          <w:tcPr>
            <w:tcW w:w="3362" w:type="dxa"/>
            <w:tcBorders>
              <w:top w:val="nil"/>
              <w:left w:val="nil"/>
              <w:bottom w:val="nil"/>
              <w:right w:val="nil"/>
            </w:tcBorders>
            <w:hideMark/>
          </w:tcPr>
          <w:p w14:paraId="17A525D0"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Local communities are adequately involved in environmental decision-making. </w:t>
            </w:r>
          </w:p>
        </w:tc>
        <w:tc>
          <w:tcPr>
            <w:tcW w:w="622" w:type="dxa"/>
            <w:tcBorders>
              <w:top w:val="nil"/>
              <w:left w:val="nil"/>
              <w:bottom w:val="nil"/>
              <w:right w:val="nil"/>
            </w:tcBorders>
          </w:tcPr>
          <w:p w14:paraId="35A84EB1" w14:textId="77777777" w:rsidR="00623CD4" w:rsidRPr="00082A41" w:rsidRDefault="00623CD4" w:rsidP="00EB68BD">
            <w:pPr>
              <w:spacing w:after="0"/>
              <w:jc w:val="center"/>
              <w:rPr>
                <w:rFonts w:ascii="Times New Roman" w:hAnsi="Times New Roman" w:cs="Times New Roman"/>
              </w:rPr>
            </w:pPr>
          </w:p>
          <w:p w14:paraId="14DFA3A3"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1.46</w:t>
            </w:r>
          </w:p>
        </w:tc>
        <w:tc>
          <w:tcPr>
            <w:tcW w:w="712" w:type="dxa"/>
            <w:tcBorders>
              <w:top w:val="nil"/>
              <w:left w:val="nil"/>
              <w:bottom w:val="nil"/>
              <w:right w:val="nil"/>
            </w:tcBorders>
          </w:tcPr>
          <w:p w14:paraId="629554B1" w14:textId="77777777" w:rsidR="00623CD4" w:rsidRPr="00082A41" w:rsidRDefault="00623CD4" w:rsidP="00EB68BD">
            <w:pPr>
              <w:spacing w:after="0"/>
              <w:jc w:val="center"/>
              <w:rPr>
                <w:rFonts w:ascii="Times New Roman" w:hAnsi="Times New Roman" w:cs="Times New Roman"/>
              </w:rPr>
            </w:pPr>
          </w:p>
          <w:p w14:paraId="15DEF826"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.613</w:t>
            </w:r>
          </w:p>
        </w:tc>
        <w:tc>
          <w:tcPr>
            <w:tcW w:w="622" w:type="dxa"/>
            <w:tcBorders>
              <w:top w:val="nil"/>
              <w:left w:val="nil"/>
              <w:bottom w:val="nil"/>
              <w:right w:val="nil"/>
            </w:tcBorders>
          </w:tcPr>
          <w:p w14:paraId="25E28839" w14:textId="77777777" w:rsidR="00623CD4" w:rsidRPr="00082A41" w:rsidRDefault="00623CD4" w:rsidP="00EB68BD">
            <w:pPr>
              <w:spacing w:after="0"/>
              <w:jc w:val="center"/>
              <w:rPr>
                <w:rFonts w:ascii="Times New Roman" w:hAnsi="Times New Roman" w:cs="Times New Roman"/>
              </w:rPr>
            </w:pPr>
          </w:p>
          <w:p w14:paraId="7E90B1F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1.40</w:t>
            </w:r>
          </w:p>
        </w:tc>
        <w:tc>
          <w:tcPr>
            <w:tcW w:w="802" w:type="dxa"/>
            <w:tcBorders>
              <w:top w:val="nil"/>
              <w:left w:val="nil"/>
              <w:bottom w:val="nil"/>
              <w:right w:val="nil"/>
            </w:tcBorders>
          </w:tcPr>
          <w:p w14:paraId="10077672" w14:textId="77777777" w:rsidR="00623CD4" w:rsidRPr="00082A41" w:rsidRDefault="00623CD4" w:rsidP="00EB68BD">
            <w:pPr>
              <w:spacing w:after="0"/>
              <w:jc w:val="center"/>
              <w:rPr>
                <w:rFonts w:ascii="Times New Roman" w:hAnsi="Times New Roman" w:cs="Times New Roman"/>
              </w:rPr>
            </w:pPr>
          </w:p>
          <w:p w14:paraId="0957ABB0"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.606</w:t>
            </w:r>
          </w:p>
        </w:tc>
        <w:tc>
          <w:tcPr>
            <w:tcW w:w="622" w:type="dxa"/>
            <w:tcBorders>
              <w:top w:val="nil"/>
              <w:left w:val="nil"/>
              <w:bottom w:val="nil"/>
              <w:right w:val="nil"/>
            </w:tcBorders>
          </w:tcPr>
          <w:p w14:paraId="0362423A" w14:textId="77777777" w:rsidR="00623CD4" w:rsidRPr="00082A41" w:rsidRDefault="00623CD4" w:rsidP="00EB68BD">
            <w:pPr>
              <w:spacing w:after="0"/>
              <w:jc w:val="center"/>
              <w:rPr>
                <w:rFonts w:ascii="Times New Roman" w:hAnsi="Times New Roman" w:cs="Times New Roman"/>
              </w:rPr>
            </w:pPr>
          </w:p>
          <w:p w14:paraId="6B9362E4"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1.92</w:t>
            </w:r>
          </w:p>
        </w:tc>
        <w:tc>
          <w:tcPr>
            <w:tcW w:w="802" w:type="dxa"/>
            <w:tcBorders>
              <w:top w:val="nil"/>
              <w:left w:val="nil"/>
              <w:bottom w:val="nil"/>
              <w:right w:val="nil"/>
            </w:tcBorders>
          </w:tcPr>
          <w:p w14:paraId="1045AB09" w14:textId="77777777" w:rsidR="00623CD4" w:rsidRPr="00082A41" w:rsidRDefault="00623CD4" w:rsidP="00EB68BD">
            <w:pPr>
              <w:spacing w:after="0"/>
              <w:jc w:val="center"/>
              <w:rPr>
                <w:rFonts w:ascii="Times New Roman" w:hAnsi="Times New Roman" w:cs="Times New Roman"/>
              </w:rPr>
            </w:pPr>
          </w:p>
          <w:p w14:paraId="5BBF2274"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.566</w:t>
            </w:r>
          </w:p>
        </w:tc>
        <w:tc>
          <w:tcPr>
            <w:tcW w:w="1157" w:type="dxa"/>
            <w:tcBorders>
              <w:top w:val="nil"/>
              <w:left w:val="nil"/>
              <w:bottom w:val="nil"/>
              <w:right w:val="nil"/>
            </w:tcBorders>
          </w:tcPr>
          <w:p w14:paraId="4E99A018" w14:textId="77777777" w:rsidR="00623CD4" w:rsidRPr="00082A41" w:rsidRDefault="00623CD4" w:rsidP="00EB68BD">
            <w:pPr>
              <w:spacing w:after="0"/>
              <w:jc w:val="center"/>
            </w:pPr>
          </w:p>
          <w:p w14:paraId="769F9E65" w14:textId="77777777" w:rsidR="00623CD4" w:rsidRPr="00082A41" w:rsidRDefault="00623CD4" w:rsidP="00EB68BD">
            <w:pPr>
              <w:spacing w:after="0"/>
              <w:jc w:val="center"/>
              <w:rPr>
                <w:rFonts w:ascii="Times New Roman" w:hAnsi="Times New Roman" w:cs="Times New Roman"/>
                <w:bCs/>
                <w:sz w:val="20"/>
                <w:szCs w:val="20"/>
              </w:rPr>
            </w:pPr>
            <w:r w:rsidRPr="00082A41">
              <w:t>1.59</w:t>
            </w:r>
          </w:p>
        </w:tc>
        <w:tc>
          <w:tcPr>
            <w:tcW w:w="980" w:type="dxa"/>
            <w:tcBorders>
              <w:top w:val="nil"/>
              <w:left w:val="nil"/>
              <w:bottom w:val="nil"/>
              <w:right w:val="nil"/>
            </w:tcBorders>
          </w:tcPr>
          <w:p w14:paraId="648C7530" w14:textId="77777777" w:rsidR="00623CD4" w:rsidRPr="00082A41" w:rsidRDefault="00623CD4" w:rsidP="00EB68BD">
            <w:pPr>
              <w:spacing w:after="0"/>
              <w:jc w:val="center"/>
              <w:rPr>
                <w:rFonts w:ascii="Times New Roman" w:hAnsi="Times New Roman" w:cs="Times New Roman"/>
                <w:bCs/>
                <w:sz w:val="20"/>
                <w:szCs w:val="20"/>
              </w:rPr>
            </w:pPr>
          </w:p>
          <w:p w14:paraId="7B788CDF"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Disagree</w:t>
            </w:r>
          </w:p>
        </w:tc>
      </w:tr>
      <w:tr w:rsidR="00082A41" w:rsidRPr="00082A41" w14:paraId="65A3BDA1" w14:textId="77777777" w:rsidTr="00EB68BD">
        <w:trPr>
          <w:trHeight w:val="475"/>
        </w:trPr>
        <w:tc>
          <w:tcPr>
            <w:tcW w:w="558" w:type="dxa"/>
            <w:tcBorders>
              <w:top w:val="nil"/>
              <w:left w:val="nil"/>
              <w:bottom w:val="nil"/>
              <w:right w:val="nil"/>
            </w:tcBorders>
            <w:hideMark/>
          </w:tcPr>
          <w:p w14:paraId="45376AE5"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3</w:t>
            </w:r>
          </w:p>
        </w:tc>
        <w:tc>
          <w:tcPr>
            <w:tcW w:w="3362" w:type="dxa"/>
            <w:tcBorders>
              <w:top w:val="nil"/>
              <w:left w:val="nil"/>
              <w:bottom w:val="nil"/>
              <w:right w:val="nil"/>
            </w:tcBorders>
            <w:hideMark/>
          </w:tcPr>
          <w:p w14:paraId="7A0CB259"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Oil and gas companies contribute positively to reducing carbon emissions. </w:t>
            </w:r>
          </w:p>
        </w:tc>
        <w:tc>
          <w:tcPr>
            <w:tcW w:w="622" w:type="dxa"/>
            <w:tcBorders>
              <w:top w:val="nil"/>
              <w:left w:val="nil"/>
              <w:bottom w:val="nil"/>
              <w:right w:val="nil"/>
            </w:tcBorders>
          </w:tcPr>
          <w:p w14:paraId="5422F465" w14:textId="77777777" w:rsidR="00623CD4" w:rsidRPr="00082A41" w:rsidRDefault="00623CD4" w:rsidP="00EB68BD">
            <w:pPr>
              <w:spacing w:after="0"/>
              <w:jc w:val="center"/>
              <w:rPr>
                <w:rFonts w:ascii="Times New Roman" w:hAnsi="Times New Roman" w:cs="Times New Roman"/>
              </w:rPr>
            </w:pPr>
          </w:p>
          <w:p w14:paraId="5C06AE77"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1.78</w:t>
            </w:r>
          </w:p>
        </w:tc>
        <w:tc>
          <w:tcPr>
            <w:tcW w:w="712" w:type="dxa"/>
            <w:tcBorders>
              <w:top w:val="nil"/>
              <w:left w:val="nil"/>
              <w:bottom w:val="nil"/>
              <w:right w:val="nil"/>
            </w:tcBorders>
          </w:tcPr>
          <w:p w14:paraId="075FFB07" w14:textId="77777777" w:rsidR="00623CD4" w:rsidRPr="00082A41" w:rsidRDefault="00623CD4" w:rsidP="00EB68BD">
            <w:pPr>
              <w:spacing w:after="0"/>
              <w:jc w:val="center"/>
              <w:rPr>
                <w:rFonts w:ascii="Times New Roman" w:hAnsi="Times New Roman" w:cs="Times New Roman"/>
              </w:rPr>
            </w:pPr>
          </w:p>
          <w:p w14:paraId="082DEF5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.418</w:t>
            </w:r>
          </w:p>
        </w:tc>
        <w:tc>
          <w:tcPr>
            <w:tcW w:w="622" w:type="dxa"/>
            <w:tcBorders>
              <w:top w:val="nil"/>
              <w:left w:val="nil"/>
              <w:bottom w:val="nil"/>
              <w:right w:val="nil"/>
            </w:tcBorders>
          </w:tcPr>
          <w:p w14:paraId="6542E3F8" w14:textId="77777777" w:rsidR="00623CD4" w:rsidRPr="00082A41" w:rsidRDefault="00623CD4" w:rsidP="00EB68BD">
            <w:pPr>
              <w:spacing w:after="0"/>
              <w:jc w:val="center"/>
              <w:rPr>
                <w:rFonts w:ascii="Times New Roman" w:hAnsi="Times New Roman" w:cs="Times New Roman"/>
              </w:rPr>
            </w:pPr>
          </w:p>
          <w:p w14:paraId="5230905D"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1.64</w:t>
            </w:r>
          </w:p>
        </w:tc>
        <w:tc>
          <w:tcPr>
            <w:tcW w:w="802" w:type="dxa"/>
            <w:tcBorders>
              <w:top w:val="nil"/>
              <w:left w:val="nil"/>
              <w:bottom w:val="nil"/>
              <w:right w:val="nil"/>
            </w:tcBorders>
          </w:tcPr>
          <w:p w14:paraId="2C1F0F83" w14:textId="77777777" w:rsidR="00623CD4" w:rsidRPr="00082A41" w:rsidRDefault="00623CD4" w:rsidP="00EB68BD">
            <w:pPr>
              <w:spacing w:after="0"/>
              <w:jc w:val="center"/>
              <w:rPr>
                <w:rFonts w:ascii="Times New Roman" w:hAnsi="Times New Roman" w:cs="Times New Roman"/>
              </w:rPr>
            </w:pPr>
          </w:p>
          <w:p w14:paraId="3EA2D24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.485</w:t>
            </w:r>
          </w:p>
        </w:tc>
        <w:tc>
          <w:tcPr>
            <w:tcW w:w="622" w:type="dxa"/>
            <w:tcBorders>
              <w:top w:val="nil"/>
              <w:left w:val="nil"/>
              <w:bottom w:val="nil"/>
              <w:right w:val="nil"/>
            </w:tcBorders>
          </w:tcPr>
          <w:p w14:paraId="0768F443" w14:textId="77777777" w:rsidR="00623CD4" w:rsidRPr="00082A41" w:rsidRDefault="00623CD4" w:rsidP="00EB68BD">
            <w:pPr>
              <w:spacing w:after="0"/>
              <w:jc w:val="center"/>
              <w:rPr>
                <w:rFonts w:ascii="Times New Roman" w:hAnsi="Times New Roman" w:cs="Times New Roman"/>
              </w:rPr>
            </w:pPr>
          </w:p>
          <w:p w14:paraId="606F705A"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1.26</w:t>
            </w:r>
          </w:p>
        </w:tc>
        <w:tc>
          <w:tcPr>
            <w:tcW w:w="802" w:type="dxa"/>
            <w:tcBorders>
              <w:top w:val="nil"/>
              <w:left w:val="nil"/>
              <w:bottom w:val="nil"/>
              <w:right w:val="nil"/>
            </w:tcBorders>
          </w:tcPr>
          <w:p w14:paraId="2E360783" w14:textId="77777777" w:rsidR="00623CD4" w:rsidRPr="00082A41" w:rsidRDefault="00623CD4" w:rsidP="00EB68BD">
            <w:pPr>
              <w:spacing w:after="0"/>
              <w:jc w:val="center"/>
              <w:rPr>
                <w:rFonts w:ascii="Times New Roman" w:hAnsi="Times New Roman" w:cs="Times New Roman"/>
              </w:rPr>
            </w:pPr>
          </w:p>
          <w:p w14:paraId="69CAE5C2"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.443</w:t>
            </w:r>
          </w:p>
        </w:tc>
        <w:tc>
          <w:tcPr>
            <w:tcW w:w="1157" w:type="dxa"/>
            <w:tcBorders>
              <w:top w:val="nil"/>
              <w:left w:val="nil"/>
              <w:bottom w:val="nil"/>
              <w:right w:val="nil"/>
            </w:tcBorders>
          </w:tcPr>
          <w:p w14:paraId="27DD3405" w14:textId="77777777" w:rsidR="00623CD4" w:rsidRPr="00082A41" w:rsidRDefault="00623CD4" w:rsidP="00EB68BD">
            <w:pPr>
              <w:spacing w:after="0"/>
              <w:jc w:val="center"/>
            </w:pPr>
          </w:p>
          <w:p w14:paraId="6C2176E9" w14:textId="77777777" w:rsidR="00623CD4" w:rsidRPr="00082A41" w:rsidRDefault="00623CD4" w:rsidP="00EB68BD">
            <w:pPr>
              <w:spacing w:after="0"/>
              <w:jc w:val="center"/>
              <w:rPr>
                <w:rFonts w:ascii="Times New Roman" w:hAnsi="Times New Roman" w:cs="Times New Roman"/>
                <w:bCs/>
                <w:sz w:val="20"/>
                <w:szCs w:val="20"/>
              </w:rPr>
            </w:pPr>
            <w:r w:rsidRPr="00082A41">
              <w:t>1.56</w:t>
            </w:r>
          </w:p>
        </w:tc>
        <w:tc>
          <w:tcPr>
            <w:tcW w:w="980" w:type="dxa"/>
            <w:tcBorders>
              <w:top w:val="nil"/>
              <w:left w:val="nil"/>
              <w:bottom w:val="nil"/>
              <w:right w:val="nil"/>
            </w:tcBorders>
          </w:tcPr>
          <w:p w14:paraId="5ADBB357" w14:textId="77777777" w:rsidR="00623CD4" w:rsidRPr="00082A41" w:rsidRDefault="00623CD4" w:rsidP="00EB68BD">
            <w:pPr>
              <w:spacing w:after="0"/>
              <w:jc w:val="center"/>
              <w:rPr>
                <w:rFonts w:ascii="Times New Roman" w:hAnsi="Times New Roman" w:cs="Times New Roman"/>
                <w:bCs/>
                <w:sz w:val="20"/>
                <w:szCs w:val="20"/>
              </w:rPr>
            </w:pPr>
          </w:p>
          <w:p w14:paraId="397C039F"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Disagree</w:t>
            </w:r>
          </w:p>
        </w:tc>
      </w:tr>
      <w:tr w:rsidR="00082A41" w:rsidRPr="00082A41" w14:paraId="1F917061" w14:textId="77777777" w:rsidTr="00EB68BD">
        <w:trPr>
          <w:trHeight w:val="475"/>
        </w:trPr>
        <w:tc>
          <w:tcPr>
            <w:tcW w:w="558" w:type="dxa"/>
            <w:tcBorders>
              <w:top w:val="nil"/>
              <w:left w:val="nil"/>
              <w:bottom w:val="nil"/>
              <w:right w:val="nil"/>
            </w:tcBorders>
            <w:hideMark/>
          </w:tcPr>
          <w:p w14:paraId="55AEC5A5"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4</w:t>
            </w:r>
          </w:p>
        </w:tc>
        <w:tc>
          <w:tcPr>
            <w:tcW w:w="3362" w:type="dxa"/>
            <w:tcBorders>
              <w:top w:val="nil"/>
              <w:left w:val="nil"/>
              <w:bottom w:val="nil"/>
              <w:right w:val="nil"/>
            </w:tcBorders>
            <w:hideMark/>
          </w:tcPr>
          <w:p w14:paraId="2CE123F5" w14:textId="66DBE861"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Lack of awareness among stakeholders limits support for decarbonization policies. </w:t>
            </w:r>
          </w:p>
        </w:tc>
        <w:tc>
          <w:tcPr>
            <w:tcW w:w="622" w:type="dxa"/>
            <w:tcBorders>
              <w:top w:val="nil"/>
              <w:left w:val="nil"/>
              <w:bottom w:val="nil"/>
              <w:right w:val="nil"/>
            </w:tcBorders>
          </w:tcPr>
          <w:p w14:paraId="542D3FC0" w14:textId="77777777" w:rsidR="00623CD4" w:rsidRPr="00082A41" w:rsidRDefault="00623CD4" w:rsidP="00EB68BD">
            <w:pPr>
              <w:spacing w:after="0"/>
              <w:jc w:val="center"/>
              <w:rPr>
                <w:rFonts w:ascii="Times New Roman" w:hAnsi="Times New Roman" w:cs="Times New Roman"/>
              </w:rPr>
            </w:pPr>
          </w:p>
          <w:p w14:paraId="66F3891B"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3.18</w:t>
            </w:r>
          </w:p>
        </w:tc>
        <w:tc>
          <w:tcPr>
            <w:tcW w:w="712" w:type="dxa"/>
            <w:tcBorders>
              <w:top w:val="nil"/>
              <w:left w:val="nil"/>
              <w:bottom w:val="nil"/>
              <w:right w:val="nil"/>
            </w:tcBorders>
          </w:tcPr>
          <w:p w14:paraId="27DFC147" w14:textId="77777777" w:rsidR="00623CD4" w:rsidRPr="00082A41" w:rsidRDefault="00623CD4" w:rsidP="00EB68BD">
            <w:pPr>
              <w:spacing w:after="0"/>
              <w:jc w:val="center"/>
              <w:rPr>
                <w:rFonts w:ascii="Times New Roman" w:hAnsi="Times New Roman" w:cs="Times New Roman"/>
              </w:rPr>
            </w:pPr>
          </w:p>
          <w:p w14:paraId="4E068CEB"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.691</w:t>
            </w:r>
          </w:p>
        </w:tc>
        <w:tc>
          <w:tcPr>
            <w:tcW w:w="622" w:type="dxa"/>
            <w:tcBorders>
              <w:top w:val="nil"/>
              <w:left w:val="nil"/>
              <w:bottom w:val="nil"/>
              <w:right w:val="nil"/>
            </w:tcBorders>
          </w:tcPr>
          <w:p w14:paraId="6C590230" w14:textId="77777777" w:rsidR="00623CD4" w:rsidRPr="00082A41" w:rsidRDefault="00623CD4" w:rsidP="00EB68BD">
            <w:pPr>
              <w:spacing w:after="0"/>
              <w:jc w:val="center"/>
              <w:rPr>
                <w:rFonts w:ascii="Times New Roman" w:hAnsi="Times New Roman" w:cs="Times New Roman"/>
              </w:rPr>
            </w:pPr>
          </w:p>
          <w:p w14:paraId="2DB5DE14"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3.12</w:t>
            </w:r>
          </w:p>
        </w:tc>
        <w:tc>
          <w:tcPr>
            <w:tcW w:w="802" w:type="dxa"/>
            <w:tcBorders>
              <w:top w:val="nil"/>
              <w:left w:val="nil"/>
              <w:bottom w:val="nil"/>
              <w:right w:val="nil"/>
            </w:tcBorders>
          </w:tcPr>
          <w:p w14:paraId="35157BCF" w14:textId="77777777" w:rsidR="00623CD4" w:rsidRPr="00082A41" w:rsidRDefault="00623CD4" w:rsidP="00EB68BD">
            <w:pPr>
              <w:spacing w:after="0"/>
              <w:jc w:val="center"/>
              <w:rPr>
                <w:rFonts w:ascii="Times New Roman" w:hAnsi="Times New Roman" w:cs="Times New Roman"/>
              </w:rPr>
            </w:pPr>
          </w:p>
          <w:p w14:paraId="143B862C"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.849</w:t>
            </w:r>
          </w:p>
        </w:tc>
        <w:tc>
          <w:tcPr>
            <w:tcW w:w="622" w:type="dxa"/>
            <w:tcBorders>
              <w:top w:val="nil"/>
              <w:left w:val="nil"/>
              <w:bottom w:val="nil"/>
              <w:right w:val="nil"/>
            </w:tcBorders>
          </w:tcPr>
          <w:p w14:paraId="4A9714E2" w14:textId="77777777" w:rsidR="00623CD4" w:rsidRPr="00082A41" w:rsidRDefault="00623CD4" w:rsidP="00EB68BD">
            <w:pPr>
              <w:spacing w:after="0"/>
              <w:jc w:val="center"/>
              <w:rPr>
                <w:rFonts w:ascii="Times New Roman" w:hAnsi="Times New Roman" w:cs="Times New Roman"/>
              </w:rPr>
            </w:pPr>
          </w:p>
          <w:p w14:paraId="21090635"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3.36</w:t>
            </w:r>
          </w:p>
        </w:tc>
        <w:tc>
          <w:tcPr>
            <w:tcW w:w="802" w:type="dxa"/>
            <w:tcBorders>
              <w:top w:val="nil"/>
              <w:left w:val="nil"/>
              <w:bottom w:val="nil"/>
              <w:right w:val="nil"/>
            </w:tcBorders>
          </w:tcPr>
          <w:p w14:paraId="723FEC81" w14:textId="77777777" w:rsidR="00623CD4" w:rsidRPr="00082A41" w:rsidRDefault="00623CD4" w:rsidP="00EB68BD">
            <w:pPr>
              <w:spacing w:after="0"/>
              <w:jc w:val="center"/>
              <w:rPr>
                <w:rFonts w:ascii="Times New Roman" w:hAnsi="Times New Roman" w:cs="Times New Roman"/>
              </w:rPr>
            </w:pPr>
          </w:p>
          <w:p w14:paraId="1960F51F"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.663</w:t>
            </w:r>
          </w:p>
        </w:tc>
        <w:tc>
          <w:tcPr>
            <w:tcW w:w="1157" w:type="dxa"/>
            <w:tcBorders>
              <w:top w:val="nil"/>
              <w:left w:val="nil"/>
              <w:bottom w:val="nil"/>
              <w:right w:val="nil"/>
            </w:tcBorders>
          </w:tcPr>
          <w:p w14:paraId="37A85B3D" w14:textId="77777777" w:rsidR="00623CD4" w:rsidRPr="00082A41" w:rsidRDefault="00623CD4" w:rsidP="00EB68BD">
            <w:pPr>
              <w:spacing w:after="0"/>
              <w:jc w:val="center"/>
            </w:pPr>
          </w:p>
          <w:p w14:paraId="50C0F6BF" w14:textId="77777777" w:rsidR="00623CD4" w:rsidRPr="00082A41" w:rsidRDefault="00623CD4" w:rsidP="00EB68BD">
            <w:pPr>
              <w:spacing w:after="0"/>
              <w:jc w:val="center"/>
              <w:rPr>
                <w:rFonts w:ascii="Times New Roman" w:hAnsi="Times New Roman" w:cs="Times New Roman"/>
                <w:bCs/>
                <w:sz w:val="20"/>
                <w:szCs w:val="20"/>
              </w:rPr>
            </w:pPr>
            <w:r w:rsidRPr="00082A41">
              <w:t>3.22</w:t>
            </w:r>
          </w:p>
        </w:tc>
        <w:tc>
          <w:tcPr>
            <w:tcW w:w="980" w:type="dxa"/>
            <w:tcBorders>
              <w:top w:val="nil"/>
              <w:left w:val="nil"/>
              <w:bottom w:val="nil"/>
              <w:right w:val="nil"/>
            </w:tcBorders>
          </w:tcPr>
          <w:p w14:paraId="15C6D116" w14:textId="77777777" w:rsidR="00623CD4" w:rsidRPr="00082A41" w:rsidRDefault="00623CD4" w:rsidP="00EB68BD">
            <w:pPr>
              <w:spacing w:after="0"/>
              <w:jc w:val="center"/>
              <w:rPr>
                <w:rFonts w:ascii="Times New Roman" w:hAnsi="Times New Roman" w:cs="Times New Roman"/>
                <w:bCs/>
                <w:sz w:val="20"/>
                <w:szCs w:val="20"/>
              </w:rPr>
            </w:pPr>
          </w:p>
          <w:p w14:paraId="074FE85A"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5E30DF8D" w14:textId="77777777" w:rsidTr="00EB68BD">
        <w:trPr>
          <w:trHeight w:val="397"/>
        </w:trPr>
        <w:tc>
          <w:tcPr>
            <w:tcW w:w="558" w:type="dxa"/>
            <w:tcBorders>
              <w:top w:val="nil"/>
              <w:left w:val="nil"/>
              <w:bottom w:val="single" w:sz="4" w:space="0" w:color="auto"/>
              <w:right w:val="nil"/>
            </w:tcBorders>
            <w:hideMark/>
          </w:tcPr>
          <w:p w14:paraId="29910F1C" w14:textId="77777777" w:rsidR="00623CD4" w:rsidRPr="00082A41" w:rsidRDefault="00623CD4">
            <w:pPr>
              <w:spacing w:after="0" w:line="360" w:lineRule="auto"/>
              <w:jc w:val="both"/>
              <w:rPr>
                <w:rFonts w:ascii="Times New Roman" w:hAnsi="Times New Roman" w:cs="Times New Roman"/>
                <w:bCs/>
                <w:sz w:val="20"/>
                <w:szCs w:val="20"/>
              </w:rPr>
            </w:pPr>
            <w:r w:rsidRPr="00082A41">
              <w:rPr>
                <w:rFonts w:ascii="Times New Roman" w:hAnsi="Times New Roman" w:cs="Times New Roman"/>
                <w:bCs/>
                <w:sz w:val="20"/>
                <w:szCs w:val="20"/>
              </w:rPr>
              <w:t>5</w:t>
            </w:r>
          </w:p>
        </w:tc>
        <w:tc>
          <w:tcPr>
            <w:tcW w:w="3362" w:type="dxa"/>
            <w:tcBorders>
              <w:top w:val="nil"/>
              <w:left w:val="nil"/>
              <w:bottom w:val="single" w:sz="4" w:space="0" w:color="auto"/>
              <w:right w:val="nil"/>
            </w:tcBorders>
            <w:hideMark/>
          </w:tcPr>
          <w:p w14:paraId="3CFD5ECB"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rPr>
              <w:t xml:space="preserve">Effective stakeholder collaboration is essential for successful decarbonization. </w:t>
            </w:r>
          </w:p>
        </w:tc>
        <w:tc>
          <w:tcPr>
            <w:tcW w:w="622" w:type="dxa"/>
            <w:tcBorders>
              <w:top w:val="nil"/>
              <w:left w:val="nil"/>
              <w:bottom w:val="single" w:sz="4" w:space="0" w:color="auto"/>
              <w:right w:val="nil"/>
            </w:tcBorders>
          </w:tcPr>
          <w:p w14:paraId="5F2A5F5F" w14:textId="77777777" w:rsidR="00623CD4" w:rsidRPr="00082A41" w:rsidRDefault="00623CD4" w:rsidP="00EB68BD">
            <w:pPr>
              <w:spacing w:after="0"/>
              <w:jc w:val="center"/>
              <w:rPr>
                <w:rFonts w:ascii="Times New Roman" w:hAnsi="Times New Roman" w:cs="Times New Roman"/>
              </w:rPr>
            </w:pPr>
          </w:p>
          <w:p w14:paraId="7799A03E"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3.58</w:t>
            </w:r>
          </w:p>
        </w:tc>
        <w:tc>
          <w:tcPr>
            <w:tcW w:w="712" w:type="dxa"/>
            <w:tcBorders>
              <w:top w:val="nil"/>
              <w:left w:val="nil"/>
              <w:bottom w:val="single" w:sz="4" w:space="0" w:color="auto"/>
              <w:right w:val="nil"/>
            </w:tcBorders>
          </w:tcPr>
          <w:p w14:paraId="5BA55778" w14:textId="77777777" w:rsidR="00623CD4" w:rsidRPr="00082A41" w:rsidRDefault="00623CD4" w:rsidP="00EB68BD">
            <w:pPr>
              <w:spacing w:after="0"/>
              <w:jc w:val="center"/>
              <w:rPr>
                <w:rFonts w:ascii="Times New Roman" w:hAnsi="Times New Roman" w:cs="Times New Roman"/>
              </w:rPr>
            </w:pPr>
          </w:p>
          <w:p w14:paraId="711974A0"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.499</w:t>
            </w:r>
          </w:p>
        </w:tc>
        <w:tc>
          <w:tcPr>
            <w:tcW w:w="622" w:type="dxa"/>
            <w:tcBorders>
              <w:top w:val="nil"/>
              <w:left w:val="nil"/>
              <w:bottom w:val="single" w:sz="4" w:space="0" w:color="auto"/>
              <w:right w:val="nil"/>
            </w:tcBorders>
          </w:tcPr>
          <w:p w14:paraId="789C1CC0" w14:textId="77777777" w:rsidR="00623CD4" w:rsidRPr="00082A41" w:rsidRDefault="00623CD4" w:rsidP="00EB68BD">
            <w:pPr>
              <w:spacing w:after="0"/>
              <w:jc w:val="center"/>
              <w:rPr>
                <w:rFonts w:ascii="Times New Roman" w:hAnsi="Times New Roman" w:cs="Times New Roman"/>
              </w:rPr>
            </w:pPr>
          </w:p>
          <w:p w14:paraId="1807F10E"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3.42</w:t>
            </w:r>
          </w:p>
        </w:tc>
        <w:tc>
          <w:tcPr>
            <w:tcW w:w="802" w:type="dxa"/>
            <w:tcBorders>
              <w:top w:val="nil"/>
              <w:left w:val="nil"/>
              <w:bottom w:val="single" w:sz="4" w:space="0" w:color="auto"/>
              <w:right w:val="nil"/>
            </w:tcBorders>
          </w:tcPr>
          <w:p w14:paraId="03B770F1" w14:textId="77777777" w:rsidR="00623CD4" w:rsidRPr="00082A41" w:rsidRDefault="00623CD4" w:rsidP="00EB68BD">
            <w:pPr>
              <w:spacing w:after="0"/>
              <w:jc w:val="center"/>
              <w:rPr>
                <w:rFonts w:ascii="Times New Roman" w:hAnsi="Times New Roman" w:cs="Times New Roman"/>
              </w:rPr>
            </w:pPr>
          </w:p>
          <w:p w14:paraId="2F7492A3"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.499</w:t>
            </w:r>
          </w:p>
        </w:tc>
        <w:tc>
          <w:tcPr>
            <w:tcW w:w="622" w:type="dxa"/>
            <w:tcBorders>
              <w:top w:val="nil"/>
              <w:left w:val="nil"/>
              <w:bottom w:val="single" w:sz="4" w:space="0" w:color="auto"/>
              <w:right w:val="nil"/>
            </w:tcBorders>
          </w:tcPr>
          <w:p w14:paraId="262A3CD3" w14:textId="77777777" w:rsidR="00623CD4" w:rsidRPr="00082A41" w:rsidRDefault="00623CD4" w:rsidP="00EB68BD">
            <w:pPr>
              <w:spacing w:after="0"/>
              <w:jc w:val="center"/>
              <w:rPr>
                <w:rFonts w:ascii="Times New Roman" w:hAnsi="Times New Roman" w:cs="Times New Roman"/>
              </w:rPr>
            </w:pPr>
          </w:p>
          <w:p w14:paraId="3D6C3AAD"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3.22</w:t>
            </w:r>
          </w:p>
        </w:tc>
        <w:tc>
          <w:tcPr>
            <w:tcW w:w="802" w:type="dxa"/>
            <w:tcBorders>
              <w:top w:val="nil"/>
              <w:left w:val="nil"/>
              <w:bottom w:val="single" w:sz="4" w:space="0" w:color="auto"/>
              <w:right w:val="nil"/>
            </w:tcBorders>
          </w:tcPr>
          <w:p w14:paraId="7C13D862" w14:textId="77777777" w:rsidR="00623CD4" w:rsidRPr="00082A41" w:rsidRDefault="00623CD4" w:rsidP="00EB68BD">
            <w:pPr>
              <w:spacing w:after="0"/>
              <w:jc w:val="center"/>
              <w:rPr>
                <w:rFonts w:ascii="Times New Roman" w:hAnsi="Times New Roman" w:cs="Times New Roman"/>
              </w:rPr>
            </w:pPr>
          </w:p>
          <w:p w14:paraId="20612A21" w14:textId="77777777" w:rsidR="00623CD4" w:rsidRPr="00082A41" w:rsidRDefault="00623CD4" w:rsidP="00EB68BD">
            <w:pPr>
              <w:spacing w:after="0"/>
              <w:jc w:val="center"/>
              <w:rPr>
                <w:rFonts w:ascii="Times New Roman" w:hAnsi="Times New Roman" w:cs="Times New Roman"/>
                <w:b/>
              </w:rPr>
            </w:pPr>
            <w:r w:rsidRPr="00082A41">
              <w:rPr>
                <w:rFonts w:ascii="Times New Roman" w:hAnsi="Times New Roman" w:cs="Times New Roman"/>
              </w:rPr>
              <w:t>.418</w:t>
            </w:r>
          </w:p>
        </w:tc>
        <w:tc>
          <w:tcPr>
            <w:tcW w:w="1157" w:type="dxa"/>
            <w:tcBorders>
              <w:top w:val="nil"/>
              <w:left w:val="nil"/>
              <w:bottom w:val="single" w:sz="4" w:space="0" w:color="auto"/>
              <w:right w:val="nil"/>
            </w:tcBorders>
          </w:tcPr>
          <w:p w14:paraId="4A99F7A6" w14:textId="77777777" w:rsidR="00623CD4" w:rsidRPr="00082A41" w:rsidRDefault="00623CD4" w:rsidP="00EB68BD">
            <w:pPr>
              <w:spacing w:after="0"/>
              <w:jc w:val="center"/>
            </w:pPr>
          </w:p>
          <w:p w14:paraId="0FBE75F9" w14:textId="77777777" w:rsidR="00623CD4" w:rsidRPr="00082A41" w:rsidRDefault="00623CD4" w:rsidP="00EB68BD">
            <w:pPr>
              <w:spacing w:after="0"/>
              <w:jc w:val="center"/>
              <w:rPr>
                <w:rFonts w:ascii="Times New Roman" w:hAnsi="Times New Roman" w:cs="Times New Roman"/>
                <w:bCs/>
                <w:sz w:val="20"/>
                <w:szCs w:val="20"/>
              </w:rPr>
            </w:pPr>
            <w:r w:rsidRPr="00082A41">
              <w:t>3.41</w:t>
            </w:r>
          </w:p>
        </w:tc>
        <w:tc>
          <w:tcPr>
            <w:tcW w:w="980" w:type="dxa"/>
            <w:tcBorders>
              <w:top w:val="nil"/>
              <w:left w:val="nil"/>
              <w:bottom w:val="single" w:sz="4" w:space="0" w:color="auto"/>
              <w:right w:val="nil"/>
            </w:tcBorders>
          </w:tcPr>
          <w:p w14:paraId="18C07CB2" w14:textId="77777777" w:rsidR="00623CD4" w:rsidRPr="00082A41" w:rsidRDefault="00623CD4" w:rsidP="00EB68BD">
            <w:pPr>
              <w:spacing w:after="0"/>
              <w:jc w:val="center"/>
              <w:rPr>
                <w:rFonts w:ascii="Times New Roman" w:hAnsi="Times New Roman" w:cs="Times New Roman"/>
                <w:bCs/>
                <w:sz w:val="20"/>
                <w:szCs w:val="20"/>
              </w:rPr>
            </w:pPr>
          </w:p>
          <w:p w14:paraId="2B7C64B9" w14:textId="77777777" w:rsidR="00623CD4" w:rsidRPr="00082A41" w:rsidRDefault="00623CD4" w:rsidP="00EB68BD">
            <w:pPr>
              <w:spacing w:after="0"/>
              <w:jc w:val="center"/>
              <w:rPr>
                <w:rFonts w:ascii="Times New Roman" w:hAnsi="Times New Roman" w:cs="Times New Roman"/>
                <w:bCs/>
                <w:sz w:val="20"/>
                <w:szCs w:val="20"/>
              </w:rPr>
            </w:pPr>
            <w:r w:rsidRPr="00082A41">
              <w:rPr>
                <w:rFonts w:ascii="Times New Roman" w:hAnsi="Times New Roman" w:cs="Times New Roman"/>
                <w:bCs/>
                <w:sz w:val="20"/>
                <w:szCs w:val="20"/>
              </w:rPr>
              <w:t>Agree</w:t>
            </w:r>
          </w:p>
        </w:tc>
      </w:tr>
      <w:tr w:rsidR="00082A41" w:rsidRPr="00082A41" w14:paraId="5D13AE25" w14:textId="77777777" w:rsidTr="00EB68BD">
        <w:trPr>
          <w:trHeight w:val="341"/>
        </w:trPr>
        <w:tc>
          <w:tcPr>
            <w:tcW w:w="3921" w:type="dxa"/>
            <w:gridSpan w:val="2"/>
            <w:tcBorders>
              <w:top w:val="single" w:sz="4" w:space="0" w:color="auto"/>
              <w:left w:val="nil"/>
              <w:bottom w:val="single" w:sz="4" w:space="0" w:color="auto"/>
              <w:right w:val="nil"/>
            </w:tcBorders>
            <w:hideMark/>
          </w:tcPr>
          <w:p w14:paraId="13FD15F8" w14:textId="77777777" w:rsidR="00623CD4" w:rsidRPr="00082A41" w:rsidRDefault="00623CD4" w:rsidP="00EB68BD">
            <w:pPr>
              <w:spacing w:after="0"/>
              <w:jc w:val="both"/>
              <w:rPr>
                <w:rFonts w:ascii="Times New Roman" w:hAnsi="Times New Roman" w:cs="Times New Roman"/>
                <w:b/>
                <w:sz w:val="20"/>
                <w:szCs w:val="20"/>
              </w:rPr>
            </w:pPr>
            <w:r w:rsidRPr="00082A41">
              <w:rPr>
                <w:rFonts w:ascii="Times New Roman" w:hAnsi="Times New Roman" w:cs="Times New Roman"/>
                <w:b/>
                <w:sz w:val="20"/>
                <w:szCs w:val="20"/>
              </w:rPr>
              <w:t>Grand Mean (</w:t>
            </w:r>
            <m:oMath>
              <m:acc>
                <m:accPr>
                  <m:chr m:val="̅"/>
                  <m:ctrlPr>
                    <w:rPr>
                      <w:rFonts w:ascii="Cambria Math" w:hAnsi="Cambria Math" w:cs="Times New Roman"/>
                      <w:b/>
                      <w:i/>
                      <w:kern w:val="2"/>
                      <w14:ligatures w14:val="standardContextual"/>
                    </w:rPr>
                  </m:ctrlPr>
                </m:accPr>
                <m:e>
                  <m:r>
                    <m:rPr>
                      <m:sty m:val="bi"/>
                    </m:rPr>
                    <w:rPr>
                      <w:rFonts w:ascii="Cambria Math" w:hAnsi="Cambria Math" w:cs="Times New Roman"/>
                      <w:sz w:val="20"/>
                      <w:szCs w:val="20"/>
                    </w:rPr>
                    <m:t>x</m:t>
                  </m:r>
                </m:e>
              </m:acc>
            </m:oMath>
            <w:r w:rsidRPr="00082A41">
              <w:rPr>
                <w:rFonts w:ascii="Times New Roman" w:hAnsi="Times New Roman" w:cs="Times New Roman"/>
                <w:b/>
                <w:sz w:val="20"/>
                <w:szCs w:val="20"/>
              </w:rPr>
              <w:t xml:space="preserve">) </w:t>
            </w:r>
          </w:p>
        </w:tc>
        <w:tc>
          <w:tcPr>
            <w:tcW w:w="622" w:type="dxa"/>
            <w:tcBorders>
              <w:top w:val="single" w:sz="4" w:space="0" w:color="auto"/>
              <w:left w:val="nil"/>
              <w:bottom w:val="single" w:sz="4" w:space="0" w:color="auto"/>
              <w:right w:val="nil"/>
            </w:tcBorders>
            <w:hideMark/>
          </w:tcPr>
          <w:p w14:paraId="6F40743A"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2.34</w:t>
            </w:r>
          </w:p>
        </w:tc>
        <w:tc>
          <w:tcPr>
            <w:tcW w:w="712" w:type="dxa"/>
            <w:tcBorders>
              <w:top w:val="single" w:sz="4" w:space="0" w:color="auto"/>
              <w:left w:val="nil"/>
              <w:bottom w:val="single" w:sz="4" w:space="0" w:color="auto"/>
              <w:right w:val="nil"/>
            </w:tcBorders>
          </w:tcPr>
          <w:p w14:paraId="16B7CA90" w14:textId="77777777" w:rsidR="00623CD4" w:rsidRPr="00082A41" w:rsidRDefault="00623CD4" w:rsidP="00EB68BD">
            <w:pPr>
              <w:spacing w:after="0"/>
              <w:jc w:val="center"/>
              <w:rPr>
                <w:rFonts w:ascii="Times New Roman" w:hAnsi="Times New Roman" w:cs="Times New Roman"/>
                <w:b/>
                <w:bCs/>
                <w:sz w:val="20"/>
                <w:szCs w:val="20"/>
              </w:rPr>
            </w:pPr>
          </w:p>
        </w:tc>
        <w:tc>
          <w:tcPr>
            <w:tcW w:w="622" w:type="dxa"/>
            <w:tcBorders>
              <w:top w:val="single" w:sz="4" w:space="0" w:color="auto"/>
              <w:left w:val="nil"/>
              <w:bottom w:val="single" w:sz="4" w:space="0" w:color="auto"/>
              <w:right w:val="nil"/>
            </w:tcBorders>
            <w:hideMark/>
          </w:tcPr>
          <w:p w14:paraId="23E2A299"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2.23</w:t>
            </w:r>
          </w:p>
        </w:tc>
        <w:tc>
          <w:tcPr>
            <w:tcW w:w="802" w:type="dxa"/>
            <w:tcBorders>
              <w:top w:val="single" w:sz="4" w:space="0" w:color="auto"/>
              <w:left w:val="nil"/>
              <w:bottom w:val="single" w:sz="4" w:space="0" w:color="auto"/>
              <w:right w:val="nil"/>
            </w:tcBorders>
          </w:tcPr>
          <w:p w14:paraId="48848878" w14:textId="77777777" w:rsidR="00623CD4" w:rsidRPr="00082A41" w:rsidRDefault="00623CD4" w:rsidP="00EB68BD">
            <w:pPr>
              <w:spacing w:after="0"/>
              <w:jc w:val="center"/>
              <w:rPr>
                <w:rFonts w:ascii="Times New Roman" w:hAnsi="Times New Roman" w:cs="Times New Roman"/>
                <w:b/>
                <w:bCs/>
                <w:sz w:val="20"/>
                <w:szCs w:val="20"/>
              </w:rPr>
            </w:pPr>
          </w:p>
        </w:tc>
        <w:tc>
          <w:tcPr>
            <w:tcW w:w="622" w:type="dxa"/>
            <w:tcBorders>
              <w:top w:val="single" w:sz="4" w:space="0" w:color="auto"/>
              <w:left w:val="nil"/>
              <w:bottom w:val="single" w:sz="4" w:space="0" w:color="auto"/>
              <w:right w:val="nil"/>
            </w:tcBorders>
            <w:hideMark/>
          </w:tcPr>
          <w:p w14:paraId="1F7448F9" w14:textId="77777777" w:rsidR="00623CD4" w:rsidRPr="00082A41" w:rsidRDefault="00623CD4" w:rsidP="00EB68BD">
            <w:pPr>
              <w:spacing w:after="0"/>
              <w:jc w:val="center"/>
              <w:rPr>
                <w:rFonts w:ascii="Times New Roman" w:hAnsi="Times New Roman" w:cs="Times New Roman"/>
                <w:b/>
                <w:bCs/>
                <w:sz w:val="20"/>
                <w:szCs w:val="20"/>
              </w:rPr>
            </w:pPr>
            <w:r w:rsidRPr="00082A41">
              <w:rPr>
                <w:rFonts w:ascii="Times New Roman" w:hAnsi="Times New Roman" w:cs="Times New Roman"/>
                <w:b/>
                <w:bCs/>
                <w:sz w:val="20"/>
                <w:szCs w:val="20"/>
              </w:rPr>
              <w:t>2.23</w:t>
            </w:r>
          </w:p>
        </w:tc>
        <w:tc>
          <w:tcPr>
            <w:tcW w:w="802" w:type="dxa"/>
            <w:tcBorders>
              <w:top w:val="single" w:sz="4" w:space="0" w:color="auto"/>
              <w:left w:val="nil"/>
              <w:bottom w:val="single" w:sz="4" w:space="0" w:color="auto"/>
              <w:right w:val="nil"/>
            </w:tcBorders>
          </w:tcPr>
          <w:p w14:paraId="4B204914" w14:textId="77777777" w:rsidR="00623CD4" w:rsidRPr="00082A41" w:rsidRDefault="00623CD4" w:rsidP="00EB68BD">
            <w:pPr>
              <w:spacing w:after="0"/>
              <w:jc w:val="center"/>
              <w:rPr>
                <w:rFonts w:ascii="Times New Roman" w:hAnsi="Times New Roman" w:cs="Times New Roman"/>
                <w:b/>
                <w:bCs/>
                <w:sz w:val="20"/>
                <w:szCs w:val="20"/>
              </w:rPr>
            </w:pPr>
          </w:p>
        </w:tc>
        <w:tc>
          <w:tcPr>
            <w:tcW w:w="1157" w:type="dxa"/>
            <w:tcBorders>
              <w:top w:val="single" w:sz="4" w:space="0" w:color="auto"/>
              <w:left w:val="nil"/>
              <w:bottom w:val="single" w:sz="4" w:space="0" w:color="auto"/>
              <w:right w:val="nil"/>
            </w:tcBorders>
            <w:hideMark/>
          </w:tcPr>
          <w:p w14:paraId="30A06F31" w14:textId="77777777" w:rsidR="00623CD4" w:rsidRPr="00082A41" w:rsidRDefault="00623CD4" w:rsidP="00EB68BD">
            <w:pPr>
              <w:spacing w:after="0"/>
              <w:jc w:val="center"/>
              <w:rPr>
                <w:rFonts w:ascii="Times New Roman" w:hAnsi="Times New Roman" w:cs="Times New Roman"/>
                <w:b/>
                <w:sz w:val="20"/>
                <w:szCs w:val="20"/>
              </w:rPr>
            </w:pPr>
            <w:r w:rsidRPr="00082A41">
              <w:rPr>
                <w:rFonts w:ascii="Times New Roman" w:hAnsi="Times New Roman" w:cs="Times New Roman"/>
                <w:b/>
                <w:sz w:val="20"/>
                <w:szCs w:val="20"/>
              </w:rPr>
              <w:t>2.27</w:t>
            </w:r>
          </w:p>
        </w:tc>
        <w:tc>
          <w:tcPr>
            <w:tcW w:w="980" w:type="dxa"/>
            <w:tcBorders>
              <w:top w:val="single" w:sz="4" w:space="0" w:color="auto"/>
              <w:left w:val="nil"/>
              <w:bottom w:val="single" w:sz="4" w:space="0" w:color="auto"/>
              <w:right w:val="nil"/>
            </w:tcBorders>
            <w:hideMark/>
          </w:tcPr>
          <w:p w14:paraId="15D665FF" w14:textId="77777777" w:rsidR="00623CD4" w:rsidRPr="00082A41" w:rsidRDefault="00623CD4" w:rsidP="00EB68BD">
            <w:pPr>
              <w:spacing w:after="0"/>
              <w:jc w:val="center"/>
              <w:rPr>
                <w:rFonts w:ascii="Times New Roman" w:hAnsi="Times New Roman" w:cs="Times New Roman"/>
                <w:b/>
                <w:sz w:val="20"/>
                <w:szCs w:val="20"/>
              </w:rPr>
            </w:pPr>
            <w:r w:rsidRPr="00082A41">
              <w:rPr>
                <w:rFonts w:ascii="Times New Roman" w:hAnsi="Times New Roman" w:cs="Times New Roman"/>
                <w:b/>
                <w:bCs/>
                <w:sz w:val="20"/>
                <w:szCs w:val="20"/>
              </w:rPr>
              <w:t>Disagree</w:t>
            </w:r>
          </w:p>
        </w:tc>
      </w:tr>
    </w:tbl>
    <w:p w14:paraId="570C985B" w14:textId="77777777" w:rsidR="00623CD4" w:rsidRPr="00082A41" w:rsidRDefault="00623CD4" w:rsidP="00623CD4">
      <w:pPr>
        <w:spacing w:line="36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b/>
          <w:sz w:val="24"/>
          <w:szCs w:val="24"/>
        </w:rPr>
        <w:t>Source:</w:t>
      </w:r>
      <w:r w:rsidRPr="00082A41">
        <w:rPr>
          <w:rFonts w:ascii="Times New Roman" w:eastAsia="Times New Roman" w:hAnsi="Times New Roman" w:cs="Times New Roman"/>
          <w:sz w:val="24"/>
          <w:szCs w:val="24"/>
        </w:rPr>
        <w:t xml:space="preserve"> Researchers’ Fieldwork, 2026</w:t>
      </w:r>
    </w:p>
    <w:p w14:paraId="543314E3" w14:textId="77777777" w:rsidR="0044385E" w:rsidRPr="00082A41" w:rsidRDefault="0044385E" w:rsidP="0044385E">
      <w:pPr>
        <w:jc w:val="both"/>
        <w:rPr>
          <w:rFonts w:ascii="Times New Roman" w:hAnsi="Times New Roman" w:cs="Times New Roman"/>
          <w:sz w:val="24"/>
          <w:szCs w:val="24"/>
        </w:rPr>
      </w:pPr>
    </w:p>
    <w:p w14:paraId="14123B88" w14:textId="14B179FE" w:rsidR="006C5485" w:rsidRPr="00082A41" w:rsidRDefault="006C5485" w:rsidP="00623CD4">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Table 4 contains mean ratings and their corresponding standard deviation in regard to the respondents’ perception about stakeholder roles in decarbonization activities within Akwa Ibom State. Respondents rated items one to five </w:t>
      </w:r>
      <w:r w:rsidR="00CC3834" w:rsidRPr="00082A41">
        <w:rPr>
          <w:rFonts w:ascii="Times New Roman" w:hAnsi="Times New Roman" w:cs="Times New Roman"/>
          <w:sz w:val="24"/>
          <w:szCs w:val="24"/>
        </w:rPr>
        <w:t>a</w:t>
      </w:r>
      <w:r w:rsidRPr="00082A41">
        <w:rPr>
          <w:rFonts w:ascii="Times New Roman" w:hAnsi="Times New Roman" w:cs="Times New Roman"/>
          <w:sz w:val="24"/>
          <w:szCs w:val="24"/>
        </w:rPr>
        <w:t xml:space="preserve">n average </w:t>
      </w:r>
      <w:r w:rsidR="00CC3834" w:rsidRPr="00082A41">
        <w:rPr>
          <w:rFonts w:ascii="Times New Roman" w:hAnsi="Times New Roman" w:cs="Times New Roman"/>
          <w:sz w:val="24"/>
          <w:szCs w:val="24"/>
        </w:rPr>
        <w:t xml:space="preserve">of </w:t>
      </w:r>
      <w:r w:rsidRPr="00082A41">
        <w:rPr>
          <w:rFonts w:ascii="Times New Roman" w:hAnsi="Times New Roman" w:cs="Times New Roman"/>
          <w:sz w:val="24"/>
          <w:szCs w:val="24"/>
        </w:rPr>
        <w:t>1.56, 1.59, 1.56, 3.22, and 3.41</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respectively. In the first place, from the findings, it can be seen that the majority of respondents </w:t>
      </w:r>
      <w:r w:rsidRPr="00082A41">
        <w:rPr>
          <w:rFonts w:ascii="Times New Roman" w:hAnsi="Times New Roman" w:cs="Times New Roman"/>
          <w:sz w:val="24"/>
          <w:szCs w:val="24"/>
        </w:rPr>
        <w:lastRenderedPageBreak/>
        <w:t xml:space="preserve">did not agree with the idea that government officials promote decarbonization activities, that the locals have adequate participation in making environmental decisions, and that the oil and gas companies play any role in </w:t>
      </w:r>
      <w:proofErr w:type="spellStart"/>
      <w:r w:rsidRPr="00082A41">
        <w:rPr>
          <w:rFonts w:ascii="Times New Roman" w:hAnsi="Times New Roman" w:cs="Times New Roman"/>
          <w:sz w:val="24"/>
          <w:szCs w:val="24"/>
        </w:rPr>
        <w:t>minimi</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ing</w:t>
      </w:r>
      <w:proofErr w:type="spellEnd"/>
      <w:r w:rsidRPr="00082A41">
        <w:rPr>
          <w:rFonts w:ascii="Times New Roman" w:hAnsi="Times New Roman" w:cs="Times New Roman"/>
          <w:sz w:val="24"/>
          <w:szCs w:val="24"/>
        </w:rPr>
        <w:t xml:space="preserve"> carbon emissions. It can therefore be noted that such information indicates poor performance of the stakeholders as indicated by the respondents. However, the respondents agreed on the fact that lack of awareness inhibits effective implementation of decarbonization strategies (x̅=3.22), while stakeholder cooperation is very essential (x̅=3.41). In regard to mean rating across the LGAs, while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recorded a mean of 2.34,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had a mean of 2.23. On average, the mean score across the LGAs was 2.27, which means general agreement could not be reached about the stakeholders' performance.</w:t>
      </w:r>
    </w:p>
    <w:p w14:paraId="665F34F9" w14:textId="77777777" w:rsidR="006C5485" w:rsidRPr="00082A41" w:rsidRDefault="006C5485" w:rsidP="00623CD4">
      <w:pPr>
        <w:spacing w:after="0" w:line="360" w:lineRule="auto"/>
        <w:jc w:val="both"/>
        <w:rPr>
          <w:rFonts w:ascii="Times New Roman" w:hAnsi="Times New Roman" w:cs="Times New Roman"/>
          <w:sz w:val="24"/>
          <w:szCs w:val="24"/>
        </w:rPr>
      </w:pPr>
    </w:p>
    <w:p w14:paraId="3CAFD8CE" w14:textId="01E6F359" w:rsidR="00623CD4" w:rsidRPr="00082A41" w:rsidRDefault="00623CD4" w:rsidP="00623CD4">
      <w:pPr>
        <w:spacing w:after="0" w:line="360" w:lineRule="auto"/>
        <w:jc w:val="both"/>
        <w:rPr>
          <w:rFonts w:ascii="Times New Roman" w:eastAsia="Times New Roman" w:hAnsi="Times New Roman" w:cs="Times New Roman"/>
          <w:sz w:val="24"/>
          <w:szCs w:val="24"/>
          <w:lang w:val="en-GB" w:eastAsia="en-GB"/>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5</w:t>
      </w:r>
      <w:r w:rsidRPr="00082A41">
        <w:rPr>
          <w:rFonts w:ascii="Times New Roman" w:eastAsia="Times New Roman" w:hAnsi="Times New Roman" w:cs="Times New Roman"/>
          <w:b/>
          <w:bCs/>
          <w:sz w:val="24"/>
          <w:szCs w:val="24"/>
        </w:rPr>
        <w:t xml:space="preserve"> </w:t>
      </w:r>
      <w:r w:rsidRPr="00082A41">
        <w:rPr>
          <w:rFonts w:ascii="Times New Roman" w:eastAsia="Times New Roman" w:hAnsi="Times New Roman" w:cs="Times New Roman"/>
          <w:b/>
          <w:bCs/>
        </w:rPr>
        <w:t xml:space="preserve">Perception of Respondents on the </w:t>
      </w:r>
      <w:r w:rsidRPr="00082A41">
        <w:rPr>
          <w:rFonts w:ascii="Times New Roman" w:eastAsia="Calibri" w:hAnsi="Times New Roman" w:cs="Times New Roman"/>
          <w:b/>
          <w:bCs/>
        </w:rPr>
        <w:t>Decarbonization Outcomes in Akwa Ibom State</w:t>
      </w:r>
    </w:p>
    <w:tbl>
      <w:tblPr>
        <w:tblStyle w:val="TableGrid"/>
        <w:tblW w:w="10050"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3300"/>
        <w:gridCol w:w="611"/>
        <w:gridCol w:w="699"/>
        <w:gridCol w:w="611"/>
        <w:gridCol w:w="787"/>
        <w:gridCol w:w="611"/>
        <w:gridCol w:w="787"/>
        <w:gridCol w:w="1136"/>
        <w:gridCol w:w="962"/>
      </w:tblGrid>
      <w:tr w:rsidR="00082A41" w:rsidRPr="00082A41" w14:paraId="79084518" w14:textId="77777777">
        <w:trPr>
          <w:trHeight w:val="374"/>
        </w:trPr>
        <w:tc>
          <w:tcPr>
            <w:tcW w:w="545" w:type="dxa"/>
            <w:vMerge w:val="restart"/>
            <w:tcBorders>
              <w:top w:val="single" w:sz="4" w:space="0" w:color="auto"/>
              <w:left w:val="nil"/>
              <w:bottom w:val="nil"/>
              <w:right w:val="nil"/>
            </w:tcBorders>
            <w:hideMark/>
          </w:tcPr>
          <w:p w14:paraId="411D1E3E" w14:textId="77777777" w:rsidR="00623CD4" w:rsidRPr="00082A41" w:rsidRDefault="00623CD4">
            <w:pPr>
              <w:spacing w:after="0" w:line="216" w:lineRule="auto"/>
              <w:rPr>
                <w:rFonts w:ascii="Times New Roman" w:hAnsi="Times New Roman" w:cs="Times New Roman"/>
                <w:b/>
                <w:bCs/>
                <w:sz w:val="20"/>
                <w:szCs w:val="20"/>
              </w:rPr>
            </w:pPr>
            <w:r w:rsidRPr="00082A41">
              <w:rPr>
                <w:rFonts w:ascii="Times New Roman" w:hAnsi="Times New Roman" w:cs="Times New Roman"/>
                <w:b/>
                <w:bCs/>
                <w:sz w:val="20"/>
                <w:szCs w:val="20"/>
              </w:rPr>
              <w:t>S/N</w:t>
            </w:r>
          </w:p>
        </w:tc>
        <w:tc>
          <w:tcPr>
            <w:tcW w:w="3299" w:type="dxa"/>
            <w:vMerge w:val="restart"/>
            <w:tcBorders>
              <w:top w:val="single" w:sz="4" w:space="0" w:color="auto"/>
              <w:left w:val="nil"/>
              <w:bottom w:val="single" w:sz="4" w:space="0" w:color="auto"/>
              <w:right w:val="nil"/>
            </w:tcBorders>
          </w:tcPr>
          <w:p w14:paraId="151E0E56" w14:textId="77777777" w:rsidR="00623CD4" w:rsidRPr="00082A41" w:rsidRDefault="00623CD4">
            <w:pPr>
              <w:spacing w:after="0" w:line="216" w:lineRule="auto"/>
              <w:rPr>
                <w:rFonts w:ascii="Times New Roman" w:hAnsi="Times New Roman" w:cs="Times New Roman"/>
                <w:sz w:val="20"/>
                <w:szCs w:val="20"/>
              </w:rPr>
            </w:pPr>
          </w:p>
        </w:tc>
        <w:tc>
          <w:tcPr>
            <w:tcW w:w="6204" w:type="dxa"/>
            <w:gridSpan w:val="8"/>
            <w:tcBorders>
              <w:top w:val="single" w:sz="4" w:space="0" w:color="auto"/>
              <w:left w:val="nil"/>
              <w:bottom w:val="single" w:sz="4" w:space="0" w:color="auto"/>
              <w:right w:val="nil"/>
            </w:tcBorders>
            <w:hideMark/>
          </w:tcPr>
          <w:p w14:paraId="3D18BC9A"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LGAs</w:t>
            </w:r>
          </w:p>
        </w:tc>
      </w:tr>
      <w:tr w:rsidR="00082A41" w:rsidRPr="00082A41" w14:paraId="6DD842F8" w14:textId="77777777">
        <w:trPr>
          <w:trHeight w:val="655"/>
        </w:trPr>
        <w:tc>
          <w:tcPr>
            <w:tcW w:w="3844" w:type="dxa"/>
            <w:vMerge/>
            <w:tcBorders>
              <w:top w:val="single" w:sz="4" w:space="0" w:color="auto"/>
              <w:left w:val="nil"/>
              <w:bottom w:val="nil"/>
              <w:right w:val="nil"/>
            </w:tcBorders>
            <w:vAlign w:val="center"/>
            <w:hideMark/>
          </w:tcPr>
          <w:p w14:paraId="4D4FB22A"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299" w:type="dxa"/>
            <w:vMerge/>
            <w:tcBorders>
              <w:top w:val="single" w:sz="4" w:space="0" w:color="auto"/>
              <w:left w:val="nil"/>
              <w:bottom w:val="single" w:sz="4" w:space="0" w:color="auto"/>
              <w:right w:val="nil"/>
            </w:tcBorders>
            <w:vAlign w:val="center"/>
            <w:hideMark/>
          </w:tcPr>
          <w:p w14:paraId="0572C642"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1310" w:type="dxa"/>
            <w:gridSpan w:val="2"/>
            <w:tcBorders>
              <w:top w:val="single" w:sz="4" w:space="0" w:color="auto"/>
              <w:left w:val="nil"/>
              <w:bottom w:val="single" w:sz="4" w:space="0" w:color="auto"/>
              <w:right w:val="nil"/>
            </w:tcBorders>
            <w:hideMark/>
          </w:tcPr>
          <w:p w14:paraId="1F2C9304" w14:textId="77777777" w:rsidR="00623CD4" w:rsidRPr="00082A41" w:rsidRDefault="00623CD4">
            <w:pPr>
              <w:spacing w:after="0" w:line="216"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EKET </w:t>
            </w:r>
          </w:p>
          <w:p w14:paraId="0C10CD68" w14:textId="77777777" w:rsidR="00623CD4" w:rsidRPr="00082A41" w:rsidRDefault="00623CD4">
            <w:pPr>
              <w:spacing w:after="0" w:line="216"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1</w:t>
            </w:r>
            <w:r w:rsidRPr="00082A41">
              <w:rPr>
                <w:rFonts w:ascii="Times New Roman" w:hAnsi="Times New Roman" w:cs="Times New Roman"/>
                <w:b/>
                <w:bCs/>
                <w:sz w:val="20"/>
                <w:szCs w:val="20"/>
              </w:rPr>
              <w:t>=50</w:t>
            </w:r>
          </w:p>
        </w:tc>
        <w:tc>
          <w:tcPr>
            <w:tcW w:w="1398" w:type="dxa"/>
            <w:gridSpan w:val="2"/>
            <w:tcBorders>
              <w:top w:val="single" w:sz="4" w:space="0" w:color="auto"/>
              <w:left w:val="nil"/>
              <w:bottom w:val="single" w:sz="4" w:space="0" w:color="auto"/>
              <w:right w:val="nil"/>
            </w:tcBorders>
            <w:hideMark/>
          </w:tcPr>
          <w:p w14:paraId="7BA4D729"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 xml:space="preserve">IBENO </w:t>
            </w:r>
          </w:p>
          <w:p w14:paraId="7DDF2B90"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N</w:t>
            </w:r>
            <w:r w:rsidRPr="00082A41">
              <w:rPr>
                <w:rFonts w:ascii="Times New Roman" w:hAnsi="Times New Roman" w:cs="Times New Roman"/>
                <w:b/>
                <w:bCs/>
                <w:sz w:val="20"/>
                <w:szCs w:val="20"/>
                <w:vertAlign w:val="subscript"/>
              </w:rPr>
              <w:t>2</w:t>
            </w:r>
            <w:r w:rsidRPr="00082A41">
              <w:rPr>
                <w:rFonts w:ascii="Times New Roman" w:hAnsi="Times New Roman" w:cs="Times New Roman"/>
                <w:b/>
                <w:bCs/>
                <w:sz w:val="20"/>
                <w:szCs w:val="20"/>
              </w:rPr>
              <w:t>=50</w:t>
            </w:r>
          </w:p>
        </w:tc>
        <w:tc>
          <w:tcPr>
            <w:tcW w:w="1398" w:type="dxa"/>
            <w:gridSpan w:val="2"/>
            <w:tcBorders>
              <w:top w:val="single" w:sz="4" w:space="0" w:color="auto"/>
              <w:left w:val="nil"/>
              <w:bottom w:val="single" w:sz="4" w:space="0" w:color="auto"/>
              <w:right w:val="nil"/>
            </w:tcBorders>
            <w:hideMark/>
          </w:tcPr>
          <w:p w14:paraId="75973443"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EASTERN OBOLO N</w:t>
            </w:r>
            <w:r w:rsidRPr="00082A41">
              <w:rPr>
                <w:rFonts w:ascii="Times New Roman" w:hAnsi="Times New Roman" w:cs="Times New Roman"/>
                <w:b/>
                <w:bCs/>
                <w:sz w:val="20"/>
                <w:szCs w:val="20"/>
                <w:vertAlign w:val="subscript"/>
              </w:rPr>
              <w:t>3</w:t>
            </w:r>
            <w:r w:rsidRPr="00082A41">
              <w:rPr>
                <w:rFonts w:ascii="Times New Roman" w:hAnsi="Times New Roman" w:cs="Times New Roman"/>
                <w:b/>
                <w:bCs/>
                <w:sz w:val="20"/>
                <w:szCs w:val="20"/>
              </w:rPr>
              <w:t>=50</w:t>
            </w:r>
          </w:p>
        </w:tc>
        <w:tc>
          <w:tcPr>
            <w:tcW w:w="1136" w:type="dxa"/>
            <w:vMerge w:val="restart"/>
            <w:tcBorders>
              <w:top w:val="single" w:sz="4" w:space="0" w:color="auto"/>
              <w:left w:val="nil"/>
              <w:bottom w:val="single" w:sz="4" w:space="0" w:color="auto"/>
              <w:right w:val="nil"/>
            </w:tcBorders>
          </w:tcPr>
          <w:p w14:paraId="44BCDF68" w14:textId="77777777" w:rsidR="00623CD4" w:rsidRPr="00082A41" w:rsidRDefault="00623CD4">
            <w:pPr>
              <w:spacing w:after="0" w:line="192" w:lineRule="auto"/>
              <w:jc w:val="center"/>
              <w:rPr>
                <w:rFonts w:ascii="Times New Roman" w:hAnsi="Times New Roman" w:cs="Times New Roman"/>
                <w:bCs/>
                <w:sz w:val="20"/>
                <w:szCs w:val="20"/>
              </w:rPr>
            </w:pPr>
          </w:p>
          <w:p w14:paraId="1CD3765F" w14:textId="77777777" w:rsidR="00623CD4" w:rsidRPr="00082A41" w:rsidRDefault="00623CD4">
            <w:pPr>
              <w:spacing w:after="0" w:line="192" w:lineRule="auto"/>
              <w:jc w:val="center"/>
              <w:rPr>
                <w:rFonts w:ascii="Times New Roman" w:hAnsi="Times New Roman" w:cs="Times New Roman"/>
                <w:sz w:val="20"/>
                <w:szCs w:val="20"/>
              </w:rPr>
            </w:pPr>
          </w:p>
          <w:p w14:paraId="7770C8F7" w14:textId="77777777" w:rsidR="00623CD4" w:rsidRPr="00082A41" w:rsidRDefault="00623CD4">
            <w:pPr>
              <w:spacing w:after="0" w:line="192" w:lineRule="auto"/>
              <w:rPr>
                <w:rFonts w:ascii="Times New Roman" w:hAnsi="Times New Roman" w:cs="Times New Roman"/>
                <w:b/>
                <w:sz w:val="20"/>
                <w:szCs w:val="20"/>
              </w:rPr>
            </w:pPr>
          </w:p>
          <w:p w14:paraId="3CDA9D3F" w14:textId="77777777" w:rsidR="00623CD4" w:rsidRPr="00082A41" w:rsidRDefault="00623CD4">
            <w:pPr>
              <w:spacing w:after="0" w:line="192" w:lineRule="auto"/>
              <w:rPr>
                <w:rFonts w:ascii="Times New Roman" w:hAnsi="Times New Roman" w:cs="Times New Roman"/>
                <w:b/>
                <w:sz w:val="20"/>
                <w:szCs w:val="20"/>
              </w:rPr>
            </w:pPr>
            <w:r w:rsidRPr="00082A41">
              <w:rPr>
                <w:rFonts w:ascii="Times New Roman" w:hAnsi="Times New Roman" w:cs="Times New Roman"/>
                <w:b/>
                <w:sz w:val="20"/>
                <w:szCs w:val="20"/>
              </w:rPr>
              <w:t>Aggregate</w:t>
            </w:r>
          </w:p>
        </w:tc>
        <w:tc>
          <w:tcPr>
            <w:tcW w:w="962" w:type="dxa"/>
            <w:vMerge w:val="restart"/>
            <w:tcBorders>
              <w:top w:val="single" w:sz="4" w:space="0" w:color="auto"/>
              <w:left w:val="nil"/>
              <w:bottom w:val="single" w:sz="4" w:space="0" w:color="auto"/>
              <w:right w:val="nil"/>
            </w:tcBorders>
          </w:tcPr>
          <w:p w14:paraId="29CF5AEC" w14:textId="77777777" w:rsidR="00623CD4" w:rsidRPr="00082A41" w:rsidRDefault="00623CD4">
            <w:pPr>
              <w:spacing w:after="0" w:line="192" w:lineRule="auto"/>
              <w:jc w:val="center"/>
              <w:rPr>
                <w:rFonts w:ascii="Times New Roman" w:hAnsi="Times New Roman" w:cs="Times New Roman"/>
                <w:sz w:val="20"/>
                <w:szCs w:val="20"/>
              </w:rPr>
            </w:pPr>
          </w:p>
          <w:p w14:paraId="12DFCBD4" w14:textId="77777777" w:rsidR="00623CD4" w:rsidRPr="00082A41" w:rsidRDefault="00623CD4">
            <w:pPr>
              <w:spacing w:after="0" w:line="192" w:lineRule="auto"/>
              <w:jc w:val="center"/>
              <w:rPr>
                <w:rFonts w:ascii="Times New Roman" w:hAnsi="Times New Roman" w:cs="Times New Roman"/>
                <w:sz w:val="20"/>
                <w:szCs w:val="20"/>
              </w:rPr>
            </w:pPr>
          </w:p>
          <w:p w14:paraId="2E9B516B" w14:textId="77777777" w:rsidR="00623CD4" w:rsidRPr="00082A41" w:rsidRDefault="00623CD4">
            <w:pPr>
              <w:spacing w:after="0" w:line="192" w:lineRule="auto"/>
              <w:jc w:val="center"/>
              <w:rPr>
                <w:rFonts w:ascii="Times New Roman" w:hAnsi="Times New Roman" w:cs="Times New Roman"/>
                <w:b/>
                <w:bCs/>
                <w:sz w:val="20"/>
                <w:szCs w:val="20"/>
              </w:rPr>
            </w:pPr>
          </w:p>
          <w:p w14:paraId="178F41B4" w14:textId="77777777" w:rsidR="00623CD4" w:rsidRPr="00082A41" w:rsidRDefault="00623CD4">
            <w:pPr>
              <w:spacing w:after="0" w:line="192" w:lineRule="auto"/>
              <w:jc w:val="center"/>
              <w:rPr>
                <w:rFonts w:ascii="Times New Roman" w:hAnsi="Times New Roman" w:cs="Times New Roman"/>
                <w:b/>
                <w:bCs/>
                <w:sz w:val="20"/>
                <w:szCs w:val="20"/>
              </w:rPr>
            </w:pPr>
            <w:r w:rsidRPr="00082A41">
              <w:rPr>
                <w:rFonts w:ascii="Times New Roman" w:hAnsi="Times New Roman" w:cs="Times New Roman"/>
                <w:b/>
                <w:bCs/>
                <w:sz w:val="20"/>
                <w:szCs w:val="20"/>
              </w:rPr>
              <w:t>Remark</w:t>
            </w:r>
          </w:p>
        </w:tc>
      </w:tr>
      <w:tr w:rsidR="00082A41" w:rsidRPr="00082A41" w14:paraId="27AF5192" w14:textId="77777777">
        <w:trPr>
          <w:trHeight w:val="81"/>
        </w:trPr>
        <w:tc>
          <w:tcPr>
            <w:tcW w:w="3844" w:type="dxa"/>
            <w:vMerge/>
            <w:tcBorders>
              <w:top w:val="single" w:sz="4" w:space="0" w:color="auto"/>
              <w:left w:val="nil"/>
              <w:bottom w:val="nil"/>
              <w:right w:val="nil"/>
            </w:tcBorders>
            <w:vAlign w:val="center"/>
            <w:hideMark/>
          </w:tcPr>
          <w:p w14:paraId="1C8E2739"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c>
          <w:tcPr>
            <w:tcW w:w="3299" w:type="dxa"/>
            <w:vMerge/>
            <w:tcBorders>
              <w:top w:val="single" w:sz="4" w:space="0" w:color="auto"/>
              <w:left w:val="nil"/>
              <w:bottom w:val="single" w:sz="4" w:space="0" w:color="auto"/>
              <w:right w:val="nil"/>
            </w:tcBorders>
            <w:vAlign w:val="center"/>
            <w:hideMark/>
          </w:tcPr>
          <w:p w14:paraId="14836464" w14:textId="77777777" w:rsidR="00623CD4" w:rsidRPr="00082A41" w:rsidRDefault="00623CD4">
            <w:pPr>
              <w:spacing w:after="0" w:line="240" w:lineRule="auto"/>
              <w:rPr>
                <w:rFonts w:ascii="Times New Roman" w:hAnsi="Times New Roman" w:cs="Times New Roman"/>
                <w:kern w:val="2"/>
                <w:sz w:val="20"/>
                <w:szCs w:val="20"/>
                <w14:ligatures w14:val="standardContextual"/>
              </w:rPr>
            </w:pPr>
          </w:p>
        </w:tc>
        <w:tc>
          <w:tcPr>
            <w:tcW w:w="611" w:type="dxa"/>
            <w:tcBorders>
              <w:top w:val="single" w:sz="4" w:space="0" w:color="auto"/>
              <w:left w:val="nil"/>
              <w:bottom w:val="single" w:sz="4" w:space="0" w:color="auto"/>
              <w:right w:val="nil"/>
            </w:tcBorders>
            <w:vAlign w:val="center"/>
            <w:hideMark/>
          </w:tcPr>
          <w:p w14:paraId="0FAF0A07"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1</m:t>
                    </m:r>
                  </m:sub>
                </m:sSub>
              </m:oMath>
            </m:oMathPara>
          </w:p>
        </w:tc>
        <w:tc>
          <w:tcPr>
            <w:tcW w:w="699" w:type="dxa"/>
            <w:tcBorders>
              <w:top w:val="single" w:sz="4" w:space="0" w:color="auto"/>
              <w:left w:val="nil"/>
              <w:bottom w:val="single" w:sz="4" w:space="0" w:color="auto"/>
              <w:right w:val="nil"/>
            </w:tcBorders>
            <w:vAlign w:val="center"/>
            <w:hideMark/>
          </w:tcPr>
          <w:p w14:paraId="49205CC6"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1</w:t>
            </w:r>
          </w:p>
        </w:tc>
        <w:tc>
          <w:tcPr>
            <w:tcW w:w="611" w:type="dxa"/>
            <w:tcBorders>
              <w:top w:val="single" w:sz="4" w:space="0" w:color="auto"/>
              <w:left w:val="nil"/>
              <w:bottom w:val="single" w:sz="4" w:space="0" w:color="auto"/>
              <w:right w:val="nil"/>
            </w:tcBorders>
            <w:vAlign w:val="center"/>
            <w:hideMark/>
          </w:tcPr>
          <w:p w14:paraId="7993F48A"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2</m:t>
                    </m:r>
                  </m:sub>
                </m:sSub>
              </m:oMath>
            </m:oMathPara>
          </w:p>
        </w:tc>
        <w:tc>
          <w:tcPr>
            <w:tcW w:w="787" w:type="dxa"/>
            <w:tcBorders>
              <w:top w:val="single" w:sz="4" w:space="0" w:color="auto"/>
              <w:left w:val="nil"/>
              <w:bottom w:val="single" w:sz="4" w:space="0" w:color="auto"/>
              <w:right w:val="nil"/>
            </w:tcBorders>
            <w:vAlign w:val="center"/>
            <w:hideMark/>
          </w:tcPr>
          <w:p w14:paraId="3C193F74"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2</w:t>
            </w:r>
          </w:p>
        </w:tc>
        <w:tc>
          <w:tcPr>
            <w:tcW w:w="611" w:type="dxa"/>
            <w:tcBorders>
              <w:top w:val="single" w:sz="4" w:space="0" w:color="auto"/>
              <w:left w:val="nil"/>
              <w:bottom w:val="single" w:sz="4" w:space="0" w:color="auto"/>
              <w:right w:val="nil"/>
            </w:tcBorders>
            <w:vAlign w:val="center"/>
            <w:hideMark/>
          </w:tcPr>
          <w:p w14:paraId="2FA41F95" w14:textId="77777777" w:rsidR="00623CD4" w:rsidRPr="00082A41" w:rsidRDefault="00D72921">
            <w:pPr>
              <w:spacing w:after="0" w:line="216" w:lineRule="auto"/>
              <w:jc w:val="center"/>
              <w:rPr>
                <w:rFonts w:ascii="Times New Roman" w:hAnsi="Times New Roman" w:cs="Times New Roman"/>
                <w:b/>
                <w:sz w:val="24"/>
                <w:szCs w:val="24"/>
              </w:rPr>
            </w:pPr>
            <m:oMathPara>
              <m:oMath>
                <m:sSub>
                  <m:sSubPr>
                    <m:ctrlPr>
                      <w:rPr>
                        <w:rFonts w:ascii="Cambria Math" w:hAnsi="Cambria Math" w:cs="Times New Roman"/>
                        <w:b/>
                        <w:i/>
                        <w:kern w:val="2"/>
                        <w:sz w:val="24"/>
                        <w:szCs w:val="24"/>
                        <w14:ligatures w14:val="standardContextual"/>
                      </w:rPr>
                    </m:ctrlPr>
                  </m:sSubPr>
                  <m:e>
                    <m:acc>
                      <m:accPr>
                        <m:chr m:val="̅"/>
                        <m:ctrlPr>
                          <w:rPr>
                            <w:rFonts w:ascii="Cambria Math" w:hAnsi="Cambria Math" w:cs="Times New Roman"/>
                            <w:b/>
                            <w:i/>
                            <w:kern w:val="2"/>
                            <w:sz w:val="24"/>
                            <w:szCs w:val="24"/>
                            <w14:ligatures w14:val="standardContextual"/>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3</m:t>
                    </m:r>
                  </m:sub>
                </m:sSub>
              </m:oMath>
            </m:oMathPara>
          </w:p>
        </w:tc>
        <w:tc>
          <w:tcPr>
            <w:tcW w:w="787" w:type="dxa"/>
            <w:tcBorders>
              <w:top w:val="single" w:sz="4" w:space="0" w:color="auto"/>
              <w:left w:val="nil"/>
              <w:bottom w:val="single" w:sz="4" w:space="0" w:color="auto"/>
              <w:right w:val="nil"/>
            </w:tcBorders>
            <w:vAlign w:val="center"/>
            <w:hideMark/>
          </w:tcPr>
          <w:p w14:paraId="465C53D2" w14:textId="77777777" w:rsidR="00623CD4" w:rsidRPr="00082A41" w:rsidRDefault="00623CD4">
            <w:pPr>
              <w:spacing w:after="0" w:line="216" w:lineRule="auto"/>
              <w:jc w:val="center"/>
              <w:rPr>
                <w:rFonts w:ascii="Times New Roman" w:hAnsi="Times New Roman" w:cs="Times New Roman"/>
                <w:b/>
                <w:sz w:val="24"/>
                <w:szCs w:val="24"/>
                <w:vertAlign w:val="subscript"/>
              </w:rPr>
            </w:pPr>
            <w:r w:rsidRPr="00082A41">
              <w:rPr>
                <w:rFonts w:ascii="Times New Roman" w:hAnsi="Times New Roman" w:cs="Times New Roman"/>
                <w:b/>
                <w:sz w:val="24"/>
                <w:szCs w:val="24"/>
              </w:rPr>
              <w:t>σ</w:t>
            </w:r>
            <w:r w:rsidRPr="00082A41">
              <w:rPr>
                <w:rFonts w:ascii="Times New Roman" w:hAnsi="Times New Roman" w:cs="Times New Roman"/>
                <w:b/>
                <w:sz w:val="24"/>
                <w:szCs w:val="24"/>
                <w:vertAlign w:val="subscript"/>
              </w:rPr>
              <w:t>3</w:t>
            </w:r>
          </w:p>
        </w:tc>
        <w:tc>
          <w:tcPr>
            <w:tcW w:w="1136" w:type="dxa"/>
            <w:vMerge/>
            <w:tcBorders>
              <w:top w:val="single" w:sz="4" w:space="0" w:color="auto"/>
              <w:left w:val="nil"/>
              <w:bottom w:val="single" w:sz="4" w:space="0" w:color="auto"/>
              <w:right w:val="nil"/>
            </w:tcBorders>
            <w:vAlign w:val="center"/>
            <w:hideMark/>
          </w:tcPr>
          <w:p w14:paraId="5F087E12" w14:textId="77777777" w:rsidR="00623CD4" w:rsidRPr="00082A41" w:rsidRDefault="00623CD4">
            <w:pPr>
              <w:spacing w:after="0" w:line="240" w:lineRule="auto"/>
              <w:rPr>
                <w:rFonts w:ascii="Times New Roman" w:hAnsi="Times New Roman" w:cs="Times New Roman"/>
                <w:b/>
                <w:kern w:val="2"/>
                <w:sz w:val="20"/>
                <w:szCs w:val="20"/>
                <w14:ligatures w14:val="standardContextual"/>
              </w:rPr>
            </w:pPr>
          </w:p>
        </w:tc>
        <w:tc>
          <w:tcPr>
            <w:tcW w:w="962" w:type="dxa"/>
            <w:vMerge/>
            <w:tcBorders>
              <w:top w:val="single" w:sz="4" w:space="0" w:color="auto"/>
              <w:left w:val="nil"/>
              <w:bottom w:val="single" w:sz="4" w:space="0" w:color="auto"/>
              <w:right w:val="nil"/>
            </w:tcBorders>
            <w:vAlign w:val="center"/>
            <w:hideMark/>
          </w:tcPr>
          <w:p w14:paraId="63D9701F" w14:textId="77777777" w:rsidR="00623CD4" w:rsidRPr="00082A41" w:rsidRDefault="00623CD4">
            <w:pPr>
              <w:spacing w:after="0" w:line="240" w:lineRule="auto"/>
              <w:rPr>
                <w:rFonts w:ascii="Times New Roman" w:hAnsi="Times New Roman" w:cs="Times New Roman"/>
                <w:b/>
                <w:bCs/>
                <w:kern w:val="2"/>
                <w:sz w:val="20"/>
                <w:szCs w:val="20"/>
                <w14:ligatures w14:val="standardContextual"/>
              </w:rPr>
            </w:pPr>
          </w:p>
        </w:tc>
      </w:tr>
      <w:tr w:rsidR="00082A41" w:rsidRPr="00082A41" w14:paraId="33075B46" w14:textId="77777777">
        <w:trPr>
          <w:trHeight w:val="486"/>
        </w:trPr>
        <w:tc>
          <w:tcPr>
            <w:tcW w:w="545" w:type="dxa"/>
            <w:tcBorders>
              <w:top w:val="nil"/>
              <w:left w:val="nil"/>
              <w:bottom w:val="nil"/>
              <w:right w:val="nil"/>
            </w:tcBorders>
            <w:hideMark/>
          </w:tcPr>
          <w:p w14:paraId="0BD90EA1" w14:textId="77777777" w:rsidR="00623CD4" w:rsidRPr="00082A41" w:rsidRDefault="00623CD4">
            <w:pPr>
              <w:spacing w:after="0" w:line="480" w:lineRule="auto"/>
              <w:jc w:val="both"/>
              <w:rPr>
                <w:rFonts w:ascii="Times New Roman" w:hAnsi="Times New Roman" w:cs="Times New Roman"/>
                <w:bCs/>
                <w:sz w:val="20"/>
                <w:szCs w:val="20"/>
              </w:rPr>
            </w:pPr>
            <w:r w:rsidRPr="00082A41">
              <w:rPr>
                <w:rFonts w:ascii="Times New Roman" w:hAnsi="Times New Roman" w:cs="Times New Roman"/>
                <w:bCs/>
                <w:sz w:val="20"/>
                <w:szCs w:val="20"/>
              </w:rPr>
              <w:t>1</w:t>
            </w:r>
          </w:p>
        </w:tc>
        <w:tc>
          <w:tcPr>
            <w:tcW w:w="3299" w:type="dxa"/>
            <w:tcBorders>
              <w:top w:val="single" w:sz="4" w:space="0" w:color="auto"/>
              <w:left w:val="nil"/>
              <w:bottom w:val="nil"/>
              <w:right w:val="nil"/>
            </w:tcBorders>
            <w:hideMark/>
          </w:tcPr>
          <w:p w14:paraId="2112FFFF"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rPr>
              <w:t>There has been a noticeable reduction in carbon emissions in Akwa Ibom State.</w:t>
            </w:r>
          </w:p>
        </w:tc>
        <w:tc>
          <w:tcPr>
            <w:tcW w:w="611" w:type="dxa"/>
            <w:tcBorders>
              <w:top w:val="single" w:sz="4" w:space="0" w:color="auto"/>
              <w:left w:val="nil"/>
              <w:bottom w:val="nil"/>
              <w:right w:val="nil"/>
            </w:tcBorders>
          </w:tcPr>
          <w:p w14:paraId="70F39461" w14:textId="77777777" w:rsidR="00623CD4" w:rsidRPr="00082A41" w:rsidRDefault="00623CD4">
            <w:pPr>
              <w:spacing w:after="0" w:line="360" w:lineRule="auto"/>
              <w:jc w:val="center"/>
              <w:rPr>
                <w:rFonts w:ascii="Times New Roman" w:hAnsi="Times New Roman" w:cs="Times New Roman"/>
              </w:rPr>
            </w:pPr>
          </w:p>
          <w:p w14:paraId="4B9036A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1.94</w:t>
            </w:r>
          </w:p>
        </w:tc>
        <w:tc>
          <w:tcPr>
            <w:tcW w:w="699" w:type="dxa"/>
            <w:tcBorders>
              <w:top w:val="single" w:sz="4" w:space="0" w:color="auto"/>
              <w:left w:val="nil"/>
              <w:bottom w:val="nil"/>
              <w:right w:val="nil"/>
            </w:tcBorders>
          </w:tcPr>
          <w:p w14:paraId="768DE11C" w14:textId="77777777" w:rsidR="00623CD4" w:rsidRPr="00082A41" w:rsidRDefault="00623CD4">
            <w:pPr>
              <w:spacing w:after="0" w:line="360" w:lineRule="auto"/>
              <w:jc w:val="center"/>
              <w:rPr>
                <w:rFonts w:ascii="Times New Roman" w:hAnsi="Times New Roman" w:cs="Times New Roman"/>
              </w:rPr>
            </w:pPr>
          </w:p>
          <w:p w14:paraId="3C01E8B5"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.424</w:t>
            </w:r>
          </w:p>
        </w:tc>
        <w:tc>
          <w:tcPr>
            <w:tcW w:w="611" w:type="dxa"/>
            <w:tcBorders>
              <w:top w:val="single" w:sz="4" w:space="0" w:color="auto"/>
              <w:left w:val="nil"/>
              <w:bottom w:val="nil"/>
              <w:right w:val="nil"/>
            </w:tcBorders>
          </w:tcPr>
          <w:p w14:paraId="30493335" w14:textId="77777777" w:rsidR="00623CD4" w:rsidRPr="00082A41" w:rsidRDefault="00623CD4">
            <w:pPr>
              <w:spacing w:after="0" w:line="360" w:lineRule="auto"/>
              <w:jc w:val="center"/>
              <w:rPr>
                <w:rFonts w:ascii="Times New Roman" w:hAnsi="Times New Roman" w:cs="Times New Roman"/>
              </w:rPr>
            </w:pPr>
          </w:p>
          <w:p w14:paraId="033E4EB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1.72</w:t>
            </w:r>
          </w:p>
        </w:tc>
        <w:tc>
          <w:tcPr>
            <w:tcW w:w="787" w:type="dxa"/>
            <w:tcBorders>
              <w:top w:val="single" w:sz="4" w:space="0" w:color="auto"/>
              <w:left w:val="nil"/>
              <w:bottom w:val="nil"/>
              <w:right w:val="nil"/>
            </w:tcBorders>
          </w:tcPr>
          <w:p w14:paraId="085EDA37" w14:textId="77777777" w:rsidR="00623CD4" w:rsidRPr="00082A41" w:rsidRDefault="00623CD4">
            <w:pPr>
              <w:spacing w:after="0" w:line="360" w:lineRule="auto"/>
              <w:jc w:val="center"/>
              <w:rPr>
                <w:rFonts w:ascii="Times New Roman" w:hAnsi="Times New Roman" w:cs="Times New Roman"/>
              </w:rPr>
            </w:pPr>
          </w:p>
          <w:p w14:paraId="39E61CA4"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.671</w:t>
            </w:r>
          </w:p>
        </w:tc>
        <w:tc>
          <w:tcPr>
            <w:tcW w:w="611" w:type="dxa"/>
            <w:tcBorders>
              <w:top w:val="single" w:sz="4" w:space="0" w:color="auto"/>
              <w:left w:val="nil"/>
              <w:bottom w:val="nil"/>
              <w:right w:val="nil"/>
            </w:tcBorders>
          </w:tcPr>
          <w:p w14:paraId="4BE593F0" w14:textId="77777777" w:rsidR="00623CD4" w:rsidRPr="00082A41" w:rsidRDefault="00623CD4">
            <w:pPr>
              <w:spacing w:after="0" w:line="360" w:lineRule="auto"/>
              <w:jc w:val="center"/>
              <w:rPr>
                <w:rFonts w:ascii="Times New Roman" w:hAnsi="Times New Roman" w:cs="Times New Roman"/>
              </w:rPr>
            </w:pPr>
          </w:p>
          <w:p w14:paraId="41693CF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1.28</w:t>
            </w:r>
          </w:p>
        </w:tc>
        <w:tc>
          <w:tcPr>
            <w:tcW w:w="787" w:type="dxa"/>
            <w:tcBorders>
              <w:top w:val="single" w:sz="4" w:space="0" w:color="auto"/>
              <w:left w:val="nil"/>
              <w:bottom w:val="nil"/>
              <w:right w:val="nil"/>
            </w:tcBorders>
          </w:tcPr>
          <w:p w14:paraId="7D54EDAD" w14:textId="77777777" w:rsidR="00623CD4" w:rsidRPr="00082A41" w:rsidRDefault="00623CD4">
            <w:pPr>
              <w:spacing w:after="0" w:line="360" w:lineRule="auto"/>
              <w:jc w:val="center"/>
              <w:rPr>
                <w:rFonts w:ascii="Times New Roman" w:hAnsi="Times New Roman" w:cs="Times New Roman"/>
              </w:rPr>
            </w:pPr>
          </w:p>
          <w:p w14:paraId="3E2F0227"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.454</w:t>
            </w:r>
          </w:p>
        </w:tc>
        <w:tc>
          <w:tcPr>
            <w:tcW w:w="1136" w:type="dxa"/>
            <w:tcBorders>
              <w:top w:val="single" w:sz="4" w:space="0" w:color="auto"/>
              <w:left w:val="nil"/>
              <w:bottom w:val="nil"/>
              <w:right w:val="nil"/>
            </w:tcBorders>
          </w:tcPr>
          <w:p w14:paraId="2C727932" w14:textId="77777777" w:rsidR="00623CD4" w:rsidRPr="00082A41" w:rsidRDefault="00623CD4">
            <w:pPr>
              <w:spacing w:after="0" w:line="360" w:lineRule="auto"/>
              <w:jc w:val="center"/>
            </w:pPr>
          </w:p>
          <w:p w14:paraId="3EA043A3" w14:textId="77777777" w:rsidR="00623CD4" w:rsidRPr="00082A41" w:rsidRDefault="00623CD4">
            <w:pPr>
              <w:spacing w:after="0" w:line="360" w:lineRule="auto"/>
              <w:jc w:val="center"/>
              <w:rPr>
                <w:rFonts w:ascii="Times New Roman" w:hAnsi="Times New Roman" w:cs="Times New Roman"/>
                <w:bCs/>
                <w:sz w:val="20"/>
                <w:szCs w:val="20"/>
              </w:rPr>
            </w:pPr>
            <w:r w:rsidRPr="00082A41">
              <w:t>1.65</w:t>
            </w:r>
          </w:p>
        </w:tc>
        <w:tc>
          <w:tcPr>
            <w:tcW w:w="962" w:type="dxa"/>
            <w:tcBorders>
              <w:top w:val="single" w:sz="4" w:space="0" w:color="auto"/>
              <w:left w:val="nil"/>
              <w:bottom w:val="nil"/>
              <w:right w:val="nil"/>
            </w:tcBorders>
          </w:tcPr>
          <w:p w14:paraId="254FA134" w14:textId="77777777" w:rsidR="00623CD4" w:rsidRPr="00082A41" w:rsidRDefault="00623CD4">
            <w:pPr>
              <w:spacing w:after="0" w:line="360" w:lineRule="auto"/>
              <w:jc w:val="center"/>
              <w:rPr>
                <w:rFonts w:ascii="Times New Roman" w:hAnsi="Times New Roman" w:cs="Times New Roman"/>
                <w:bCs/>
                <w:sz w:val="20"/>
                <w:szCs w:val="20"/>
              </w:rPr>
            </w:pPr>
          </w:p>
          <w:p w14:paraId="7AE80B53" w14:textId="77777777" w:rsidR="00623CD4" w:rsidRPr="00082A41" w:rsidRDefault="00623CD4">
            <w:pPr>
              <w:spacing w:after="0" w:line="360" w:lineRule="auto"/>
              <w:jc w:val="center"/>
              <w:rPr>
                <w:rFonts w:ascii="Times New Roman" w:hAnsi="Times New Roman" w:cs="Times New Roman"/>
                <w:bCs/>
                <w:sz w:val="20"/>
                <w:szCs w:val="20"/>
              </w:rPr>
            </w:pPr>
            <w:r w:rsidRPr="00082A41">
              <w:rPr>
                <w:rFonts w:ascii="Times New Roman" w:hAnsi="Times New Roman" w:cs="Times New Roman"/>
                <w:bCs/>
                <w:sz w:val="20"/>
                <w:szCs w:val="20"/>
              </w:rPr>
              <w:t>Disagree</w:t>
            </w:r>
          </w:p>
        </w:tc>
      </w:tr>
      <w:tr w:rsidR="00082A41" w:rsidRPr="00082A41" w14:paraId="44158BEC" w14:textId="77777777">
        <w:trPr>
          <w:trHeight w:val="469"/>
        </w:trPr>
        <w:tc>
          <w:tcPr>
            <w:tcW w:w="545" w:type="dxa"/>
            <w:tcBorders>
              <w:top w:val="nil"/>
              <w:left w:val="nil"/>
              <w:bottom w:val="nil"/>
              <w:right w:val="nil"/>
            </w:tcBorders>
            <w:hideMark/>
          </w:tcPr>
          <w:p w14:paraId="3C456A77" w14:textId="77777777" w:rsidR="00623CD4" w:rsidRPr="00082A41" w:rsidRDefault="00623CD4">
            <w:pPr>
              <w:spacing w:after="0" w:line="480" w:lineRule="auto"/>
              <w:jc w:val="both"/>
              <w:rPr>
                <w:rFonts w:ascii="Times New Roman" w:hAnsi="Times New Roman" w:cs="Times New Roman"/>
                <w:bCs/>
                <w:sz w:val="20"/>
                <w:szCs w:val="20"/>
              </w:rPr>
            </w:pPr>
            <w:r w:rsidRPr="00082A41">
              <w:rPr>
                <w:rFonts w:ascii="Times New Roman" w:hAnsi="Times New Roman" w:cs="Times New Roman"/>
                <w:bCs/>
                <w:sz w:val="20"/>
                <w:szCs w:val="20"/>
              </w:rPr>
              <w:t>2</w:t>
            </w:r>
          </w:p>
        </w:tc>
        <w:tc>
          <w:tcPr>
            <w:tcW w:w="3299" w:type="dxa"/>
            <w:tcBorders>
              <w:top w:val="nil"/>
              <w:left w:val="nil"/>
              <w:bottom w:val="nil"/>
              <w:right w:val="nil"/>
            </w:tcBorders>
            <w:hideMark/>
          </w:tcPr>
          <w:p w14:paraId="4E122F7F"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rPr>
              <w:t xml:space="preserve">Renewable energy adoption is increasing in the state. </w:t>
            </w:r>
          </w:p>
        </w:tc>
        <w:tc>
          <w:tcPr>
            <w:tcW w:w="611" w:type="dxa"/>
            <w:tcBorders>
              <w:top w:val="nil"/>
              <w:left w:val="nil"/>
              <w:bottom w:val="nil"/>
              <w:right w:val="nil"/>
            </w:tcBorders>
          </w:tcPr>
          <w:p w14:paraId="2AB4F3EE" w14:textId="77777777" w:rsidR="00623CD4" w:rsidRPr="00082A41" w:rsidRDefault="00623CD4">
            <w:pPr>
              <w:spacing w:after="0" w:line="360" w:lineRule="auto"/>
              <w:jc w:val="center"/>
              <w:rPr>
                <w:rFonts w:ascii="Times New Roman" w:hAnsi="Times New Roman" w:cs="Times New Roman"/>
              </w:rPr>
            </w:pPr>
          </w:p>
          <w:p w14:paraId="7AFEAE4D"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2.16</w:t>
            </w:r>
          </w:p>
        </w:tc>
        <w:tc>
          <w:tcPr>
            <w:tcW w:w="699" w:type="dxa"/>
            <w:tcBorders>
              <w:top w:val="nil"/>
              <w:left w:val="nil"/>
              <w:bottom w:val="nil"/>
              <w:right w:val="nil"/>
            </w:tcBorders>
          </w:tcPr>
          <w:p w14:paraId="1771ACB2" w14:textId="77777777" w:rsidR="00623CD4" w:rsidRPr="00082A41" w:rsidRDefault="00623CD4">
            <w:pPr>
              <w:spacing w:after="0" w:line="360" w:lineRule="auto"/>
              <w:jc w:val="center"/>
              <w:rPr>
                <w:rFonts w:ascii="Times New Roman" w:hAnsi="Times New Roman" w:cs="Times New Roman"/>
              </w:rPr>
            </w:pPr>
          </w:p>
          <w:p w14:paraId="7EFAF1B7"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.934</w:t>
            </w:r>
          </w:p>
        </w:tc>
        <w:tc>
          <w:tcPr>
            <w:tcW w:w="611" w:type="dxa"/>
            <w:tcBorders>
              <w:top w:val="nil"/>
              <w:left w:val="nil"/>
              <w:bottom w:val="nil"/>
              <w:right w:val="nil"/>
            </w:tcBorders>
          </w:tcPr>
          <w:p w14:paraId="7C17FD80" w14:textId="77777777" w:rsidR="00623CD4" w:rsidRPr="00082A41" w:rsidRDefault="00623CD4">
            <w:pPr>
              <w:spacing w:after="0" w:line="360" w:lineRule="auto"/>
              <w:jc w:val="center"/>
              <w:rPr>
                <w:rFonts w:ascii="Times New Roman" w:hAnsi="Times New Roman" w:cs="Times New Roman"/>
              </w:rPr>
            </w:pPr>
          </w:p>
          <w:p w14:paraId="3F6519CD"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2.04</w:t>
            </w:r>
          </w:p>
        </w:tc>
        <w:tc>
          <w:tcPr>
            <w:tcW w:w="787" w:type="dxa"/>
            <w:tcBorders>
              <w:top w:val="nil"/>
              <w:left w:val="nil"/>
              <w:bottom w:val="nil"/>
              <w:right w:val="nil"/>
            </w:tcBorders>
          </w:tcPr>
          <w:p w14:paraId="249BA285" w14:textId="77777777" w:rsidR="00623CD4" w:rsidRPr="00082A41" w:rsidRDefault="00623CD4">
            <w:pPr>
              <w:spacing w:after="0" w:line="360" w:lineRule="auto"/>
              <w:jc w:val="center"/>
              <w:rPr>
                <w:rFonts w:ascii="Times New Roman" w:hAnsi="Times New Roman" w:cs="Times New Roman"/>
              </w:rPr>
            </w:pPr>
          </w:p>
          <w:p w14:paraId="01B68204"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.832</w:t>
            </w:r>
          </w:p>
        </w:tc>
        <w:tc>
          <w:tcPr>
            <w:tcW w:w="611" w:type="dxa"/>
            <w:tcBorders>
              <w:top w:val="nil"/>
              <w:left w:val="nil"/>
              <w:bottom w:val="nil"/>
              <w:right w:val="nil"/>
            </w:tcBorders>
          </w:tcPr>
          <w:p w14:paraId="51A681AF" w14:textId="77777777" w:rsidR="00623CD4" w:rsidRPr="00082A41" w:rsidRDefault="00623CD4">
            <w:pPr>
              <w:spacing w:after="0" w:line="360" w:lineRule="auto"/>
              <w:jc w:val="center"/>
              <w:rPr>
                <w:rFonts w:ascii="Times New Roman" w:hAnsi="Times New Roman" w:cs="Times New Roman"/>
              </w:rPr>
            </w:pPr>
          </w:p>
          <w:p w14:paraId="7BC9F32F"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2.04</w:t>
            </w:r>
          </w:p>
        </w:tc>
        <w:tc>
          <w:tcPr>
            <w:tcW w:w="787" w:type="dxa"/>
            <w:tcBorders>
              <w:top w:val="nil"/>
              <w:left w:val="nil"/>
              <w:bottom w:val="nil"/>
              <w:right w:val="nil"/>
            </w:tcBorders>
          </w:tcPr>
          <w:p w14:paraId="0D835667" w14:textId="77777777" w:rsidR="00623CD4" w:rsidRPr="00082A41" w:rsidRDefault="00623CD4">
            <w:pPr>
              <w:spacing w:after="0" w:line="360" w:lineRule="auto"/>
              <w:jc w:val="center"/>
              <w:rPr>
                <w:rFonts w:ascii="Times New Roman" w:hAnsi="Times New Roman" w:cs="Times New Roman"/>
              </w:rPr>
            </w:pPr>
          </w:p>
          <w:p w14:paraId="02965881"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.807</w:t>
            </w:r>
          </w:p>
        </w:tc>
        <w:tc>
          <w:tcPr>
            <w:tcW w:w="1136" w:type="dxa"/>
            <w:tcBorders>
              <w:top w:val="nil"/>
              <w:left w:val="nil"/>
              <w:bottom w:val="nil"/>
              <w:right w:val="nil"/>
            </w:tcBorders>
          </w:tcPr>
          <w:p w14:paraId="5CCE1159" w14:textId="77777777" w:rsidR="00623CD4" w:rsidRPr="00082A41" w:rsidRDefault="00623CD4">
            <w:pPr>
              <w:spacing w:after="0" w:line="360" w:lineRule="auto"/>
              <w:jc w:val="center"/>
            </w:pPr>
          </w:p>
          <w:p w14:paraId="687C5DEC" w14:textId="77777777" w:rsidR="00623CD4" w:rsidRPr="00082A41" w:rsidRDefault="00623CD4">
            <w:pPr>
              <w:spacing w:after="0" w:line="360" w:lineRule="auto"/>
              <w:jc w:val="center"/>
              <w:rPr>
                <w:rFonts w:ascii="Times New Roman" w:hAnsi="Times New Roman" w:cs="Times New Roman"/>
                <w:bCs/>
                <w:sz w:val="20"/>
                <w:szCs w:val="20"/>
              </w:rPr>
            </w:pPr>
            <w:r w:rsidRPr="00082A41">
              <w:t>2.08</w:t>
            </w:r>
          </w:p>
        </w:tc>
        <w:tc>
          <w:tcPr>
            <w:tcW w:w="962" w:type="dxa"/>
            <w:tcBorders>
              <w:top w:val="nil"/>
              <w:left w:val="nil"/>
              <w:bottom w:val="nil"/>
              <w:right w:val="nil"/>
            </w:tcBorders>
          </w:tcPr>
          <w:p w14:paraId="062C085F" w14:textId="77777777" w:rsidR="00623CD4" w:rsidRPr="00082A41" w:rsidRDefault="00623CD4">
            <w:pPr>
              <w:spacing w:after="0" w:line="360" w:lineRule="auto"/>
              <w:jc w:val="center"/>
              <w:rPr>
                <w:rFonts w:ascii="Times New Roman" w:hAnsi="Times New Roman" w:cs="Times New Roman"/>
                <w:sz w:val="20"/>
                <w:szCs w:val="20"/>
              </w:rPr>
            </w:pPr>
          </w:p>
          <w:p w14:paraId="6249CB9F" w14:textId="77777777" w:rsidR="00623CD4" w:rsidRPr="00082A41" w:rsidRDefault="00623CD4">
            <w:pPr>
              <w:spacing w:after="0" w:line="360" w:lineRule="auto"/>
              <w:jc w:val="center"/>
              <w:rPr>
                <w:rFonts w:ascii="Times New Roman" w:hAnsi="Times New Roman" w:cs="Times New Roman"/>
                <w:sz w:val="20"/>
                <w:szCs w:val="20"/>
              </w:rPr>
            </w:pPr>
            <w:r w:rsidRPr="00082A41">
              <w:rPr>
                <w:rFonts w:ascii="Times New Roman" w:hAnsi="Times New Roman" w:cs="Times New Roman"/>
                <w:sz w:val="20"/>
                <w:szCs w:val="20"/>
              </w:rPr>
              <w:t>Disagree</w:t>
            </w:r>
          </w:p>
        </w:tc>
      </w:tr>
      <w:tr w:rsidR="00082A41" w:rsidRPr="00082A41" w14:paraId="2693847C" w14:textId="77777777">
        <w:trPr>
          <w:trHeight w:val="469"/>
        </w:trPr>
        <w:tc>
          <w:tcPr>
            <w:tcW w:w="545" w:type="dxa"/>
            <w:tcBorders>
              <w:top w:val="nil"/>
              <w:left w:val="nil"/>
              <w:bottom w:val="nil"/>
              <w:right w:val="nil"/>
            </w:tcBorders>
            <w:hideMark/>
          </w:tcPr>
          <w:p w14:paraId="09A5AB90" w14:textId="77777777" w:rsidR="00623CD4" w:rsidRPr="00082A41" w:rsidRDefault="00623CD4">
            <w:pPr>
              <w:spacing w:after="0" w:line="480" w:lineRule="auto"/>
              <w:jc w:val="both"/>
              <w:rPr>
                <w:rFonts w:ascii="Times New Roman" w:hAnsi="Times New Roman" w:cs="Times New Roman"/>
                <w:bCs/>
                <w:sz w:val="20"/>
                <w:szCs w:val="20"/>
              </w:rPr>
            </w:pPr>
            <w:r w:rsidRPr="00082A41">
              <w:rPr>
                <w:rFonts w:ascii="Times New Roman" w:hAnsi="Times New Roman" w:cs="Times New Roman"/>
                <w:bCs/>
                <w:sz w:val="20"/>
                <w:szCs w:val="20"/>
              </w:rPr>
              <w:t>3</w:t>
            </w:r>
          </w:p>
        </w:tc>
        <w:tc>
          <w:tcPr>
            <w:tcW w:w="3299" w:type="dxa"/>
            <w:tcBorders>
              <w:top w:val="nil"/>
              <w:left w:val="nil"/>
              <w:bottom w:val="nil"/>
              <w:right w:val="nil"/>
            </w:tcBorders>
            <w:hideMark/>
          </w:tcPr>
          <w:p w14:paraId="33B36A16"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rPr>
              <w:t>Gas flaring has significantly reduced in recent years.</w:t>
            </w:r>
          </w:p>
        </w:tc>
        <w:tc>
          <w:tcPr>
            <w:tcW w:w="611" w:type="dxa"/>
            <w:tcBorders>
              <w:top w:val="nil"/>
              <w:left w:val="nil"/>
              <w:bottom w:val="nil"/>
              <w:right w:val="nil"/>
            </w:tcBorders>
          </w:tcPr>
          <w:p w14:paraId="04F99F5E" w14:textId="77777777" w:rsidR="00623CD4" w:rsidRPr="00082A41" w:rsidRDefault="00623CD4">
            <w:pPr>
              <w:spacing w:after="0" w:line="360" w:lineRule="auto"/>
              <w:jc w:val="center"/>
              <w:rPr>
                <w:rFonts w:ascii="Times New Roman" w:hAnsi="Times New Roman" w:cs="Times New Roman"/>
              </w:rPr>
            </w:pPr>
          </w:p>
          <w:p w14:paraId="776396A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2.22</w:t>
            </w:r>
          </w:p>
        </w:tc>
        <w:tc>
          <w:tcPr>
            <w:tcW w:w="699" w:type="dxa"/>
            <w:tcBorders>
              <w:top w:val="nil"/>
              <w:left w:val="nil"/>
              <w:bottom w:val="nil"/>
              <w:right w:val="nil"/>
            </w:tcBorders>
          </w:tcPr>
          <w:p w14:paraId="4297D678" w14:textId="77777777" w:rsidR="00623CD4" w:rsidRPr="00082A41" w:rsidRDefault="00623CD4">
            <w:pPr>
              <w:spacing w:after="0" w:line="360" w:lineRule="auto"/>
              <w:jc w:val="center"/>
              <w:rPr>
                <w:rFonts w:ascii="Times New Roman" w:hAnsi="Times New Roman" w:cs="Times New Roman"/>
              </w:rPr>
            </w:pPr>
          </w:p>
          <w:p w14:paraId="560B83D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.954</w:t>
            </w:r>
          </w:p>
        </w:tc>
        <w:tc>
          <w:tcPr>
            <w:tcW w:w="611" w:type="dxa"/>
            <w:tcBorders>
              <w:top w:val="nil"/>
              <w:left w:val="nil"/>
              <w:bottom w:val="nil"/>
              <w:right w:val="nil"/>
            </w:tcBorders>
          </w:tcPr>
          <w:p w14:paraId="12CDF5E6" w14:textId="77777777" w:rsidR="00623CD4" w:rsidRPr="00082A41" w:rsidRDefault="00623CD4">
            <w:pPr>
              <w:spacing w:after="0" w:line="360" w:lineRule="auto"/>
              <w:jc w:val="center"/>
              <w:rPr>
                <w:rFonts w:ascii="Times New Roman" w:hAnsi="Times New Roman" w:cs="Times New Roman"/>
              </w:rPr>
            </w:pPr>
          </w:p>
          <w:p w14:paraId="025F38C6"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1.92</w:t>
            </w:r>
          </w:p>
        </w:tc>
        <w:tc>
          <w:tcPr>
            <w:tcW w:w="787" w:type="dxa"/>
            <w:tcBorders>
              <w:top w:val="nil"/>
              <w:left w:val="nil"/>
              <w:bottom w:val="nil"/>
              <w:right w:val="nil"/>
            </w:tcBorders>
          </w:tcPr>
          <w:p w14:paraId="1A11AA98" w14:textId="77777777" w:rsidR="00623CD4" w:rsidRPr="00082A41" w:rsidRDefault="00623CD4">
            <w:pPr>
              <w:spacing w:after="0" w:line="360" w:lineRule="auto"/>
              <w:jc w:val="center"/>
              <w:rPr>
                <w:rFonts w:ascii="Times New Roman" w:hAnsi="Times New Roman" w:cs="Times New Roman"/>
              </w:rPr>
            </w:pPr>
          </w:p>
          <w:p w14:paraId="32CA5892"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.396</w:t>
            </w:r>
          </w:p>
        </w:tc>
        <w:tc>
          <w:tcPr>
            <w:tcW w:w="611" w:type="dxa"/>
            <w:tcBorders>
              <w:top w:val="nil"/>
              <w:left w:val="nil"/>
              <w:bottom w:val="nil"/>
              <w:right w:val="nil"/>
            </w:tcBorders>
          </w:tcPr>
          <w:p w14:paraId="17B4B13C" w14:textId="77777777" w:rsidR="00623CD4" w:rsidRPr="00082A41" w:rsidRDefault="00623CD4">
            <w:pPr>
              <w:spacing w:after="0" w:line="360" w:lineRule="auto"/>
              <w:jc w:val="center"/>
              <w:rPr>
                <w:rFonts w:ascii="Times New Roman" w:hAnsi="Times New Roman" w:cs="Times New Roman"/>
              </w:rPr>
            </w:pPr>
          </w:p>
          <w:p w14:paraId="09FFF642"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1.32</w:t>
            </w:r>
          </w:p>
        </w:tc>
        <w:tc>
          <w:tcPr>
            <w:tcW w:w="787" w:type="dxa"/>
            <w:tcBorders>
              <w:top w:val="nil"/>
              <w:left w:val="nil"/>
              <w:bottom w:val="nil"/>
              <w:right w:val="nil"/>
            </w:tcBorders>
          </w:tcPr>
          <w:p w14:paraId="3B9702F1" w14:textId="77777777" w:rsidR="00623CD4" w:rsidRPr="00082A41" w:rsidRDefault="00623CD4">
            <w:pPr>
              <w:spacing w:after="0" w:line="360" w:lineRule="auto"/>
              <w:jc w:val="center"/>
              <w:rPr>
                <w:rFonts w:ascii="Times New Roman" w:hAnsi="Times New Roman" w:cs="Times New Roman"/>
              </w:rPr>
            </w:pPr>
          </w:p>
          <w:p w14:paraId="2B589D89"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.471</w:t>
            </w:r>
          </w:p>
        </w:tc>
        <w:tc>
          <w:tcPr>
            <w:tcW w:w="1136" w:type="dxa"/>
            <w:tcBorders>
              <w:top w:val="nil"/>
              <w:left w:val="nil"/>
              <w:bottom w:val="nil"/>
              <w:right w:val="nil"/>
            </w:tcBorders>
          </w:tcPr>
          <w:p w14:paraId="01A05D47" w14:textId="77777777" w:rsidR="00623CD4" w:rsidRPr="00082A41" w:rsidRDefault="00623CD4">
            <w:pPr>
              <w:spacing w:after="0" w:line="360" w:lineRule="auto"/>
              <w:jc w:val="center"/>
            </w:pPr>
          </w:p>
          <w:p w14:paraId="00270B5E" w14:textId="77777777" w:rsidR="00623CD4" w:rsidRPr="00082A41" w:rsidRDefault="00623CD4">
            <w:pPr>
              <w:spacing w:after="0" w:line="360" w:lineRule="auto"/>
              <w:jc w:val="center"/>
              <w:rPr>
                <w:rFonts w:ascii="Times New Roman" w:hAnsi="Times New Roman" w:cs="Times New Roman"/>
                <w:bCs/>
                <w:sz w:val="20"/>
                <w:szCs w:val="20"/>
              </w:rPr>
            </w:pPr>
            <w:r w:rsidRPr="00082A41">
              <w:t>1.82</w:t>
            </w:r>
          </w:p>
        </w:tc>
        <w:tc>
          <w:tcPr>
            <w:tcW w:w="962" w:type="dxa"/>
            <w:tcBorders>
              <w:top w:val="nil"/>
              <w:left w:val="nil"/>
              <w:bottom w:val="nil"/>
              <w:right w:val="nil"/>
            </w:tcBorders>
          </w:tcPr>
          <w:p w14:paraId="74EBCCD2" w14:textId="77777777" w:rsidR="00623CD4" w:rsidRPr="00082A41" w:rsidRDefault="00623CD4">
            <w:pPr>
              <w:spacing w:after="0" w:line="360" w:lineRule="auto"/>
              <w:jc w:val="center"/>
              <w:rPr>
                <w:rFonts w:ascii="Times New Roman" w:hAnsi="Times New Roman" w:cs="Times New Roman"/>
                <w:sz w:val="20"/>
                <w:szCs w:val="20"/>
              </w:rPr>
            </w:pPr>
          </w:p>
          <w:p w14:paraId="151D780F" w14:textId="77777777" w:rsidR="00623CD4" w:rsidRPr="00082A41" w:rsidRDefault="00623CD4">
            <w:pPr>
              <w:spacing w:after="0" w:line="360" w:lineRule="auto"/>
              <w:jc w:val="center"/>
              <w:rPr>
                <w:rFonts w:ascii="Times New Roman" w:hAnsi="Times New Roman" w:cs="Times New Roman"/>
                <w:sz w:val="20"/>
                <w:szCs w:val="20"/>
              </w:rPr>
            </w:pPr>
            <w:r w:rsidRPr="00082A41">
              <w:rPr>
                <w:rFonts w:ascii="Times New Roman" w:hAnsi="Times New Roman" w:cs="Times New Roman"/>
                <w:sz w:val="20"/>
                <w:szCs w:val="20"/>
              </w:rPr>
              <w:t>Disagree</w:t>
            </w:r>
          </w:p>
        </w:tc>
      </w:tr>
      <w:tr w:rsidR="00082A41" w:rsidRPr="00082A41" w14:paraId="21D5367F" w14:textId="77777777">
        <w:trPr>
          <w:trHeight w:val="469"/>
        </w:trPr>
        <w:tc>
          <w:tcPr>
            <w:tcW w:w="545" w:type="dxa"/>
            <w:tcBorders>
              <w:top w:val="nil"/>
              <w:left w:val="nil"/>
              <w:bottom w:val="nil"/>
              <w:right w:val="nil"/>
            </w:tcBorders>
            <w:hideMark/>
          </w:tcPr>
          <w:p w14:paraId="044E42E5" w14:textId="77777777" w:rsidR="00623CD4" w:rsidRPr="00082A41" w:rsidRDefault="00623CD4">
            <w:pPr>
              <w:spacing w:after="0" w:line="480" w:lineRule="auto"/>
              <w:jc w:val="both"/>
              <w:rPr>
                <w:rFonts w:ascii="Times New Roman" w:hAnsi="Times New Roman" w:cs="Times New Roman"/>
                <w:bCs/>
                <w:sz w:val="20"/>
                <w:szCs w:val="20"/>
              </w:rPr>
            </w:pPr>
            <w:r w:rsidRPr="00082A41">
              <w:rPr>
                <w:rFonts w:ascii="Times New Roman" w:hAnsi="Times New Roman" w:cs="Times New Roman"/>
                <w:bCs/>
                <w:sz w:val="20"/>
                <w:szCs w:val="20"/>
              </w:rPr>
              <w:t>4</w:t>
            </w:r>
          </w:p>
        </w:tc>
        <w:tc>
          <w:tcPr>
            <w:tcW w:w="3299" w:type="dxa"/>
            <w:tcBorders>
              <w:top w:val="nil"/>
              <w:left w:val="nil"/>
              <w:bottom w:val="nil"/>
              <w:right w:val="nil"/>
            </w:tcBorders>
            <w:hideMark/>
          </w:tcPr>
          <w:p w14:paraId="4969075C"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rPr>
              <w:t>Environmental policies in the state have improved air quality.</w:t>
            </w:r>
          </w:p>
        </w:tc>
        <w:tc>
          <w:tcPr>
            <w:tcW w:w="611" w:type="dxa"/>
            <w:tcBorders>
              <w:top w:val="nil"/>
              <w:left w:val="nil"/>
              <w:bottom w:val="nil"/>
              <w:right w:val="nil"/>
            </w:tcBorders>
          </w:tcPr>
          <w:p w14:paraId="5D4C28CA" w14:textId="77777777" w:rsidR="00623CD4" w:rsidRPr="00082A41" w:rsidRDefault="00623CD4">
            <w:pPr>
              <w:spacing w:after="0" w:line="360" w:lineRule="auto"/>
              <w:jc w:val="center"/>
              <w:rPr>
                <w:rFonts w:ascii="Times New Roman" w:hAnsi="Times New Roman" w:cs="Times New Roman"/>
              </w:rPr>
            </w:pPr>
          </w:p>
          <w:p w14:paraId="4DC5BB74"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2.20</w:t>
            </w:r>
          </w:p>
        </w:tc>
        <w:tc>
          <w:tcPr>
            <w:tcW w:w="699" w:type="dxa"/>
            <w:tcBorders>
              <w:top w:val="nil"/>
              <w:left w:val="nil"/>
              <w:bottom w:val="nil"/>
              <w:right w:val="nil"/>
            </w:tcBorders>
          </w:tcPr>
          <w:p w14:paraId="35B52476" w14:textId="77777777" w:rsidR="00623CD4" w:rsidRPr="00082A41" w:rsidRDefault="00623CD4">
            <w:pPr>
              <w:spacing w:after="0" w:line="360" w:lineRule="auto"/>
              <w:jc w:val="center"/>
              <w:rPr>
                <w:rFonts w:ascii="Times New Roman" w:hAnsi="Times New Roman" w:cs="Times New Roman"/>
              </w:rPr>
            </w:pPr>
          </w:p>
          <w:p w14:paraId="01449C1C"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.904</w:t>
            </w:r>
          </w:p>
        </w:tc>
        <w:tc>
          <w:tcPr>
            <w:tcW w:w="611" w:type="dxa"/>
            <w:tcBorders>
              <w:top w:val="nil"/>
              <w:left w:val="nil"/>
              <w:bottom w:val="nil"/>
              <w:right w:val="nil"/>
            </w:tcBorders>
          </w:tcPr>
          <w:p w14:paraId="40259E76" w14:textId="77777777" w:rsidR="00623CD4" w:rsidRPr="00082A41" w:rsidRDefault="00623CD4">
            <w:pPr>
              <w:spacing w:after="0" w:line="360" w:lineRule="auto"/>
              <w:jc w:val="center"/>
              <w:rPr>
                <w:rFonts w:ascii="Times New Roman" w:hAnsi="Times New Roman" w:cs="Times New Roman"/>
              </w:rPr>
            </w:pPr>
          </w:p>
          <w:p w14:paraId="7E3CE8DC"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1.30</w:t>
            </w:r>
          </w:p>
        </w:tc>
        <w:tc>
          <w:tcPr>
            <w:tcW w:w="787" w:type="dxa"/>
            <w:tcBorders>
              <w:top w:val="nil"/>
              <w:left w:val="nil"/>
              <w:bottom w:val="nil"/>
              <w:right w:val="nil"/>
            </w:tcBorders>
          </w:tcPr>
          <w:p w14:paraId="01BE3CFB" w14:textId="77777777" w:rsidR="00623CD4" w:rsidRPr="00082A41" w:rsidRDefault="00623CD4">
            <w:pPr>
              <w:spacing w:after="0" w:line="360" w:lineRule="auto"/>
              <w:jc w:val="center"/>
              <w:rPr>
                <w:rFonts w:ascii="Times New Roman" w:hAnsi="Times New Roman" w:cs="Times New Roman"/>
              </w:rPr>
            </w:pPr>
          </w:p>
          <w:p w14:paraId="7A3622CD"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.678</w:t>
            </w:r>
          </w:p>
        </w:tc>
        <w:tc>
          <w:tcPr>
            <w:tcW w:w="611" w:type="dxa"/>
            <w:tcBorders>
              <w:top w:val="nil"/>
              <w:left w:val="nil"/>
              <w:bottom w:val="nil"/>
              <w:right w:val="nil"/>
            </w:tcBorders>
          </w:tcPr>
          <w:p w14:paraId="09E20678" w14:textId="77777777" w:rsidR="00623CD4" w:rsidRPr="00082A41" w:rsidRDefault="00623CD4">
            <w:pPr>
              <w:spacing w:after="0" w:line="360" w:lineRule="auto"/>
              <w:jc w:val="center"/>
              <w:rPr>
                <w:rFonts w:ascii="Times New Roman" w:hAnsi="Times New Roman" w:cs="Times New Roman"/>
              </w:rPr>
            </w:pPr>
          </w:p>
          <w:p w14:paraId="3F1ED4AE"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1.14</w:t>
            </w:r>
          </w:p>
        </w:tc>
        <w:tc>
          <w:tcPr>
            <w:tcW w:w="787" w:type="dxa"/>
            <w:tcBorders>
              <w:top w:val="nil"/>
              <w:left w:val="nil"/>
              <w:bottom w:val="nil"/>
              <w:right w:val="nil"/>
            </w:tcBorders>
          </w:tcPr>
          <w:p w14:paraId="1CD1DBB3" w14:textId="77777777" w:rsidR="00623CD4" w:rsidRPr="00082A41" w:rsidRDefault="00623CD4">
            <w:pPr>
              <w:spacing w:after="0" w:line="360" w:lineRule="auto"/>
              <w:jc w:val="center"/>
              <w:rPr>
                <w:rFonts w:ascii="Times New Roman" w:hAnsi="Times New Roman" w:cs="Times New Roman"/>
              </w:rPr>
            </w:pPr>
          </w:p>
          <w:p w14:paraId="39E61641"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.351</w:t>
            </w:r>
          </w:p>
        </w:tc>
        <w:tc>
          <w:tcPr>
            <w:tcW w:w="1136" w:type="dxa"/>
            <w:tcBorders>
              <w:top w:val="nil"/>
              <w:left w:val="nil"/>
              <w:bottom w:val="nil"/>
              <w:right w:val="nil"/>
            </w:tcBorders>
          </w:tcPr>
          <w:p w14:paraId="4AF0863E" w14:textId="77777777" w:rsidR="00623CD4" w:rsidRPr="00082A41" w:rsidRDefault="00623CD4">
            <w:pPr>
              <w:spacing w:after="0" w:line="360" w:lineRule="auto"/>
              <w:jc w:val="center"/>
            </w:pPr>
          </w:p>
          <w:p w14:paraId="085ACF12" w14:textId="77777777" w:rsidR="00623CD4" w:rsidRPr="00082A41" w:rsidRDefault="00623CD4">
            <w:pPr>
              <w:spacing w:after="0" w:line="360" w:lineRule="auto"/>
              <w:jc w:val="center"/>
              <w:rPr>
                <w:rFonts w:ascii="Times New Roman" w:hAnsi="Times New Roman" w:cs="Times New Roman"/>
                <w:bCs/>
                <w:sz w:val="20"/>
                <w:szCs w:val="20"/>
              </w:rPr>
            </w:pPr>
            <w:r w:rsidRPr="00082A41">
              <w:t>1.55</w:t>
            </w:r>
          </w:p>
        </w:tc>
        <w:tc>
          <w:tcPr>
            <w:tcW w:w="962" w:type="dxa"/>
            <w:tcBorders>
              <w:top w:val="nil"/>
              <w:left w:val="nil"/>
              <w:bottom w:val="nil"/>
              <w:right w:val="nil"/>
            </w:tcBorders>
          </w:tcPr>
          <w:p w14:paraId="1EC69126" w14:textId="77777777" w:rsidR="00623CD4" w:rsidRPr="00082A41" w:rsidRDefault="00623CD4">
            <w:pPr>
              <w:spacing w:after="0" w:line="360" w:lineRule="auto"/>
              <w:jc w:val="center"/>
              <w:rPr>
                <w:rFonts w:ascii="Times New Roman" w:hAnsi="Times New Roman" w:cs="Times New Roman"/>
                <w:sz w:val="20"/>
                <w:szCs w:val="20"/>
              </w:rPr>
            </w:pPr>
          </w:p>
          <w:p w14:paraId="42BB2DB4" w14:textId="77777777" w:rsidR="00623CD4" w:rsidRPr="00082A41" w:rsidRDefault="00623CD4">
            <w:pPr>
              <w:spacing w:after="0" w:line="360" w:lineRule="auto"/>
              <w:jc w:val="center"/>
              <w:rPr>
                <w:rFonts w:ascii="Times New Roman" w:hAnsi="Times New Roman" w:cs="Times New Roman"/>
                <w:sz w:val="20"/>
                <w:szCs w:val="20"/>
              </w:rPr>
            </w:pPr>
            <w:r w:rsidRPr="00082A41">
              <w:rPr>
                <w:rFonts w:ascii="Times New Roman" w:hAnsi="Times New Roman" w:cs="Times New Roman"/>
                <w:sz w:val="20"/>
                <w:szCs w:val="20"/>
              </w:rPr>
              <w:t>Disagree</w:t>
            </w:r>
          </w:p>
        </w:tc>
      </w:tr>
      <w:tr w:rsidR="00082A41" w:rsidRPr="00082A41" w14:paraId="0F186238" w14:textId="77777777">
        <w:trPr>
          <w:trHeight w:val="393"/>
        </w:trPr>
        <w:tc>
          <w:tcPr>
            <w:tcW w:w="545" w:type="dxa"/>
            <w:tcBorders>
              <w:top w:val="nil"/>
              <w:left w:val="nil"/>
              <w:bottom w:val="single" w:sz="4" w:space="0" w:color="auto"/>
              <w:right w:val="nil"/>
            </w:tcBorders>
            <w:hideMark/>
          </w:tcPr>
          <w:p w14:paraId="0B987364" w14:textId="77777777" w:rsidR="00623CD4" w:rsidRPr="00082A41" w:rsidRDefault="00623CD4">
            <w:pPr>
              <w:spacing w:after="0" w:line="480" w:lineRule="auto"/>
              <w:jc w:val="both"/>
              <w:rPr>
                <w:rFonts w:ascii="Times New Roman" w:hAnsi="Times New Roman" w:cs="Times New Roman"/>
                <w:bCs/>
                <w:sz w:val="20"/>
                <w:szCs w:val="20"/>
              </w:rPr>
            </w:pPr>
            <w:r w:rsidRPr="00082A41">
              <w:rPr>
                <w:rFonts w:ascii="Times New Roman" w:hAnsi="Times New Roman" w:cs="Times New Roman"/>
                <w:bCs/>
                <w:sz w:val="20"/>
                <w:szCs w:val="20"/>
              </w:rPr>
              <w:t>5</w:t>
            </w:r>
          </w:p>
        </w:tc>
        <w:tc>
          <w:tcPr>
            <w:tcW w:w="3299" w:type="dxa"/>
            <w:tcBorders>
              <w:top w:val="nil"/>
              <w:left w:val="nil"/>
              <w:bottom w:val="single" w:sz="4" w:space="0" w:color="auto"/>
              <w:right w:val="nil"/>
            </w:tcBorders>
            <w:hideMark/>
          </w:tcPr>
          <w:p w14:paraId="728F8137" w14:textId="77777777" w:rsidR="00623CD4" w:rsidRPr="00082A41" w:rsidRDefault="00623CD4">
            <w:pPr>
              <w:spacing w:after="0" w:line="360" w:lineRule="auto"/>
              <w:jc w:val="both"/>
              <w:rPr>
                <w:rFonts w:ascii="Times New Roman" w:hAnsi="Times New Roman" w:cs="Times New Roman"/>
                <w:b/>
                <w:sz w:val="20"/>
                <w:szCs w:val="20"/>
              </w:rPr>
            </w:pPr>
            <w:r w:rsidRPr="00082A41">
              <w:rPr>
                <w:rFonts w:ascii="Times New Roman" w:hAnsi="Times New Roman" w:cs="Times New Roman"/>
              </w:rPr>
              <w:t>Decarbonization efforts in Akwa Ibom State are effective overall.</w:t>
            </w:r>
          </w:p>
        </w:tc>
        <w:tc>
          <w:tcPr>
            <w:tcW w:w="611" w:type="dxa"/>
            <w:tcBorders>
              <w:top w:val="nil"/>
              <w:left w:val="nil"/>
              <w:bottom w:val="single" w:sz="4" w:space="0" w:color="auto"/>
              <w:right w:val="nil"/>
            </w:tcBorders>
          </w:tcPr>
          <w:p w14:paraId="065D1C89" w14:textId="77777777" w:rsidR="00623CD4" w:rsidRPr="00082A41" w:rsidRDefault="00623CD4">
            <w:pPr>
              <w:spacing w:after="0" w:line="360" w:lineRule="auto"/>
              <w:jc w:val="center"/>
              <w:rPr>
                <w:rFonts w:ascii="Times New Roman" w:hAnsi="Times New Roman" w:cs="Times New Roman"/>
              </w:rPr>
            </w:pPr>
          </w:p>
          <w:p w14:paraId="3D1C697E"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1.96</w:t>
            </w:r>
          </w:p>
        </w:tc>
        <w:tc>
          <w:tcPr>
            <w:tcW w:w="699" w:type="dxa"/>
            <w:tcBorders>
              <w:top w:val="nil"/>
              <w:left w:val="nil"/>
              <w:bottom w:val="single" w:sz="4" w:space="0" w:color="auto"/>
              <w:right w:val="nil"/>
            </w:tcBorders>
          </w:tcPr>
          <w:p w14:paraId="0607E9AF" w14:textId="77777777" w:rsidR="00623CD4" w:rsidRPr="00082A41" w:rsidRDefault="00623CD4">
            <w:pPr>
              <w:spacing w:after="0" w:line="360" w:lineRule="auto"/>
              <w:jc w:val="center"/>
              <w:rPr>
                <w:rFonts w:ascii="Times New Roman" w:hAnsi="Times New Roman" w:cs="Times New Roman"/>
              </w:rPr>
            </w:pPr>
          </w:p>
          <w:p w14:paraId="789C890E"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.348</w:t>
            </w:r>
          </w:p>
        </w:tc>
        <w:tc>
          <w:tcPr>
            <w:tcW w:w="611" w:type="dxa"/>
            <w:tcBorders>
              <w:top w:val="nil"/>
              <w:left w:val="nil"/>
              <w:bottom w:val="single" w:sz="4" w:space="0" w:color="auto"/>
              <w:right w:val="nil"/>
            </w:tcBorders>
          </w:tcPr>
          <w:p w14:paraId="2842DDEA" w14:textId="77777777" w:rsidR="00623CD4" w:rsidRPr="00082A41" w:rsidRDefault="00623CD4">
            <w:pPr>
              <w:spacing w:after="0" w:line="360" w:lineRule="auto"/>
              <w:jc w:val="center"/>
              <w:rPr>
                <w:rFonts w:ascii="Times New Roman" w:hAnsi="Times New Roman" w:cs="Times New Roman"/>
              </w:rPr>
            </w:pPr>
          </w:p>
          <w:p w14:paraId="28482F5A"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1.32</w:t>
            </w:r>
          </w:p>
        </w:tc>
        <w:tc>
          <w:tcPr>
            <w:tcW w:w="787" w:type="dxa"/>
            <w:tcBorders>
              <w:top w:val="nil"/>
              <w:left w:val="nil"/>
              <w:bottom w:val="single" w:sz="4" w:space="0" w:color="auto"/>
              <w:right w:val="nil"/>
            </w:tcBorders>
          </w:tcPr>
          <w:p w14:paraId="744D6543" w14:textId="77777777" w:rsidR="00623CD4" w:rsidRPr="00082A41" w:rsidRDefault="00623CD4">
            <w:pPr>
              <w:spacing w:after="0" w:line="360" w:lineRule="auto"/>
              <w:jc w:val="center"/>
              <w:rPr>
                <w:rFonts w:ascii="Times New Roman" w:hAnsi="Times New Roman" w:cs="Times New Roman"/>
              </w:rPr>
            </w:pPr>
          </w:p>
          <w:p w14:paraId="5832A5D0"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.471</w:t>
            </w:r>
          </w:p>
        </w:tc>
        <w:tc>
          <w:tcPr>
            <w:tcW w:w="611" w:type="dxa"/>
            <w:tcBorders>
              <w:top w:val="nil"/>
              <w:left w:val="nil"/>
              <w:bottom w:val="single" w:sz="4" w:space="0" w:color="auto"/>
              <w:right w:val="nil"/>
            </w:tcBorders>
          </w:tcPr>
          <w:p w14:paraId="2A0FFAC0" w14:textId="77777777" w:rsidR="00623CD4" w:rsidRPr="00082A41" w:rsidRDefault="00623CD4">
            <w:pPr>
              <w:spacing w:after="0" w:line="360" w:lineRule="auto"/>
              <w:jc w:val="center"/>
              <w:rPr>
                <w:rFonts w:ascii="Times New Roman" w:hAnsi="Times New Roman" w:cs="Times New Roman"/>
              </w:rPr>
            </w:pPr>
          </w:p>
          <w:p w14:paraId="42135797"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1.34</w:t>
            </w:r>
          </w:p>
        </w:tc>
        <w:tc>
          <w:tcPr>
            <w:tcW w:w="787" w:type="dxa"/>
            <w:tcBorders>
              <w:top w:val="nil"/>
              <w:left w:val="nil"/>
              <w:bottom w:val="single" w:sz="4" w:space="0" w:color="auto"/>
              <w:right w:val="nil"/>
            </w:tcBorders>
          </w:tcPr>
          <w:p w14:paraId="7B140C66" w14:textId="77777777" w:rsidR="00623CD4" w:rsidRPr="00082A41" w:rsidRDefault="00623CD4">
            <w:pPr>
              <w:spacing w:after="0" w:line="360" w:lineRule="auto"/>
              <w:jc w:val="center"/>
              <w:rPr>
                <w:rFonts w:ascii="Times New Roman" w:hAnsi="Times New Roman" w:cs="Times New Roman"/>
              </w:rPr>
            </w:pPr>
          </w:p>
          <w:p w14:paraId="4B2CAF5F" w14:textId="77777777" w:rsidR="00623CD4" w:rsidRPr="00082A41" w:rsidRDefault="00623CD4">
            <w:pPr>
              <w:spacing w:after="0" w:line="360" w:lineRule="auto"/>
              <w:jc w:val="center"/>
              <w:rPr>
                <w:rFonts w:ascii="Times New Roman" w:hAnsi="Times New Roman" w:cs="Times New Roman"/>
                <w:b/>
              </w:rPr>
            </w:pPr>
            <w:r w:rsidRPr="00082A41">
              <w:rPr>
                <w:rFonts w:ascii="Times New Roman" w:hAnsi="Times New Roman" w:cs="Times New Roman"/>
              </w:rPr>
              <w:t>.479</w:t>
            </w:r>
          </w:p>
        </w:tc>
        <w:tc>
          <w:tcPr>
            <w:tcW w:w="1136" w:type="dxa"/>
            <w:tcBorders>
              <w:top w:val="nil"/>
              <w:left w:val="nil"/>
              <w:bottom w:val="single" w:sz="4" w:space="0" w:color="auto"/>
              <w:right w:val="nil"/>
            </w:tcBorders>
          </w:tcPr>
          <w:p w14:paraId="0C50B558" w14:textId="77777777" w:rsidR="00623CD4" w:rsidRPr="00082A41" w:rsidRDefault="00623CD4">
            <w:pPr>
              <w:spacing w:after="0" w:line="360" w:lineRule="auto"/>
              <w:jc w:val="center"/>
            </w:pPr>
          </w:p>
          <w:p w14:paraId="0F499EAE" w14:textId="77777777" w:rsidR="00623CD4" w:rsidRPr="00082A41" w:rsidRDefault="00623CD4">
            <w:pPr>
              <w:spacing w:after="0" w:line="360" w:lineRule="auto"/>
              <w:jc w:val="center"/>
              <w:rPr>
                <w:rFonts w:ascii="Times New Roman" w:hAnsi="Times New Roman" w:cs="Times New Roman"/>
                <w:bCs/>
                <w:sz w:val="20"/>
                <w:szCs w:val="20"/>
              </w:rPr>
            </w:pPr>
            <w:r w:rsidRPr="00082A41">
              <w:t>1.54</w:t>
            </w:r>
          </w:p>
        </w:tc>
        <w:tc>
          <w:tcPr>
            <w:tcW w:w="962" w:type="dxa"/>
            <w:tcBorders>
              <w:top w:val="nil"/>
              <w:left w:val="nil"/>
              <w:bottom w:val="single" w:sz="4" w:space="0" w:color="auto"/>
              <w:right w:val="nil"/>
            </w:tcBorders>
          </w:tcPr>
          <w:p w14:paraId="1659250C" w14:textId="77777777" w:rsidR="00623CD4" w:rsidRPr="00082A41" w:rsidRDefault="00623CD4">
            <w:pPr>
              <w:spacing w:after="0" w:line="360" w:lineRule="auto"/>
              <w:jc w:val="center"/>
              <w:rPr>
                <w:rFonts w:ascii="Times New Roman" w:hAnsi="Times New Roman" w:cs="Times New Roman"/>
                <w:sz w:val="20"/>
                <w:szCs w:val="20"/>
              </w:rPr>
            </w:pPr>
          </w:p>
          <w:p w14:paraId="74EEFACC" w14:textId="77777777" w:rsidR="00623CD4" w:rsidRPr="00082A41" w:rsidRDefault="00623CD4">
            <w:pPr>
              <w:spacing w:after="0" w:line="360" w:lineRule="auto"/>
              <w:jc w:val="center"/>
              <w:rPr>
                <w:rFonts w:ascii="Times New Roman" w:hAnsi="Times New Roman" w:cs="Times New Roman"/>
                <w:sz w:val="20"/>
                <w:szCs w:val="20"/>
              </w:rPr>
            </w:pPr>
            <w:r w:rsidRPr="00082A41">
              <w:rPr>
                <w:rFonts w:ascii="Times New Roman" w:hAnsi="Times New Roman" w:cs="Times New Roman"/>
                <w:sz w:val="20"/>
                <w:szCs w:val="20"/>
              </w:rPr>
              <w:t>Disagree</w:t>
            </w:r>
          </w:p>
        </w:tc>
      </w:tr>
      <w:tr w:rsidR="00082A41" w:rsidRPr="00082A41" w14:paraId="4E9A6FF4" w14:textId="77777777">
        <w:trPr>
          <w:trHeight w:val="337"/>
        </w:trPr>
        <w:tc>
          <w:tcPr>
            <w:tcW w:w="3844" w:type="dxa"/>
            <w:gridSpan w:val="2"/>
            <w:tcBorders>
              <w:top w:val="single" w:sz="4" w:space="0" w:color="auto"/>
              <w:left w:val="nil"/>
              <w:bottom w:val="single" w:sz="4" w:space="0" w:color="auto"/>
              <w:right w:val="nil"/>
            </w:tcBorders>
            <w:hideMark/>
          </w:tcPr>
          <w:p w14:paraId="357CA66E" w14:textId="77777777" w:rsidR="00623CD4" w:rsidRPr="00082A41" w:rsidRDefault="00623CD4">
            <w:pPr>
              <w:spacing w:after="0" w:line="480" w:lineRule="auto"/>
              <w:jc w:val="both"/>
              <w:rPr>
                <w:rFonts w:ascii="Times New Roman" w:hAnsi="Times New Roman" w:cs="Times New Roman"/>
                <w:b/>
                <w:sz w:val="20"/>
                <w:szCs w:val="20"/>
              </w:rPr>
            </w:pPr>
            <w:r w:rsidRPr="00082A41">
              <w:rPr>
                <w:rFonts w:ascii="Times New Roman" w:hAnsi="Times New Roman" w:cs="Times New Roman"/>
                <w:b/>
                <w:sz w:val="20"/>
                <w:szCs w:val="20"/>
              </w:rPr>
              <w:t>Grand Mean (</w:t>
            </w:r>
            <m:oMath>
              <m:acc>
                <m:accPr>
                  <m:chr m:val="̅"/>
                  <m:ctrlPr>
                    <w:rPr>
                      <w:rFonts w:ascii="Cambria Math" w:hAnsi="Cambria Math" w:cs="Times New Roman"/>
                      <w:b/>
                      <w:i/>
                      <w:kern w:val="2"/>
                      <w14:ligatures w14:val="standardContextual"/>
                    </w:rPr>
                  </m:ctrlPr>
                </m:accPr>
                <m:e>
                  <m:r>
                    <m:rPr>
                      <m:sty m:val="bi"/>
                    </m:rPr>
                    <w:rPr>
                      <w:rFonts w:ascii="Cambria Math" w:hAnsi="Cambria Math" w:cs="Times New Roman"/>
                      <w:sz w:val="20"/>
                      <w:szCs w:val="20"/>
                    </w:rPr>
                    <m:t>x</m:t>
                  </m:r>
                </m:e>
              </m:acc>
            </m:oMath>
            <w:r w:rsidRPr="00082A41">
              <w:rPr>
                <w:rFonts w:ascii="Times New Roman" w:hAnsi="Times New Roman" w:cs="Times New Roman"/>
                <w:b/>
                <w:sz w:val="20"/>
                <w:szCs w:val="20"/>
              </w:rPr>
              <w:t xml:space="preserve">) </w:t>
            </w:r>
          </w:p>
        </w:tc>
        <w:tc>
          <w:tcPr>
            <w:tcW w:w="611" w:type="dxa"/>
            <w:tcBorders>
              <w:top w:val="single" w:sz="4" w:space="0" w:color="auto"/>
              <w:left w:val="nil"/>
              <w:bottom w:val="single" w:sz="4" w:space="0" w:color="auto"/>
              <w:right w:val="nil"/>
            </w:tcBorders>
            <w:hideMark/>
          </w:tcPr>
          <w:p w14:paraId="0A09AA9F"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2.10</w:t>
            </w:r>
          </w:p>
        </w:tc>
        <w:tc>
          <w:tcPr>
            <w:tcW w:w="699" w:type="dxa"/>
            <w:tcBorders>
              <w:top w:val="single" w:sz="4" w:space="0" w:color="auto"/>
              <w:left w:val="nil"/>
              <w:bottom w:val="single" w:sz="4" w:space="0" w:color="auto"/>
              <w:right w:val="nil"/>
            </w:tcBorders>
          </w:tcPr>
          <w:p w14:paraId="2FE35561" w14:textId="77777777" w:rsidR="00623CD4" w:rsidRPr="00082A41" w:rsidRDefault="00623CD4">
            <w:pPr>
              <w:spacing w:after="0" w:line="360" w:lineRule="auto"/>
              <w:jc w:val="center"/>
              <w:rPr>
                <w:rFonts w:ascii="Times New Roman" w:hAnsi="Times New Roman" w:cs="Times New Roman"/>
                <w:b/>
                <w:sz w:val="20"/>
                <w:szCs w:val="20"/>
              </w:rPr>
            </w:pPr>
          </w:p>
        </w:tc>
        <w:tc>
          <w:tcPr>
            <w:tcW w:w="611" w:type="dxa"/>
            <w:tcBorders>
              <w:top w:val="single" w:sz="4" w:space="0" w:color="auto"/>
              <w:left w:val="nil"/>
              <w:bottom w:val="single" w:sz="4" w:space="0" w:color="auto"/>
              <w:right w:val="nil"/>
            </w:tcBorders>
            <w:hideMark/>
          </w:tcPr>
          <w:p w14:paraId="3F4F25E2"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1.66</w:t>
            </w:r>
          </w:p>
        </w:tc>
        <w:tc>
          <w:tcPr>
            <w:tcW w:w="787" w:type="dxa"/>
            <w:tcBorders>
              <w:top w:val="single" w:sz="4" w:space="0" w:color="auto"/>
              <w:left w:val="nil"/>
              <w:bottom w:val="single" w:sz="4" w:space="0" w:color="auto"/>
              <w:right w:val="nil"/>
            </w:tcBorders>
          </w:tcPr>
          <w:p w14:paraId="5A6D190E" w14:textId="77777777" w:rsidR="00623CD4" w:rsidRPr="00082A41" w:rsidRDefault="00623CD4">
            <w:pPr>
              <w:spacing w:after="0" w:line="360" w:lineRule="auto"/>
              <w:jc w:val="center"/>
              <w:rPr>
                <w:rFonts w:ascii="Times New Roman" w:hAnsi="Times New Roman" w:cs="Times New Roman"/>
                <w:b/>
                <w:sz w:val="20"/>
                <w:szCs w:val="20"/>
              </w:rPr>
            </w:pPr>
          </w:p>
        </w:tc>
        <w:tc>
          <w:tcPr>
            <w:tcW w:w="611" w:type="dxa"/>
            <w:tcBorders>
              <w:top w:val="single" w:sz="4" w:space="0" w:color="auto"/>
              <w:left w:val="nil"/>
              <w:bottom w:val="single" w:sz="4" w:space="0" w:color="auto"/>
              <w:right w:val="nil"/>
            </w:tcBorders>
            <w:hideMark/>
          </w:tcPr>
          <w:p w14:paraId="266712A4"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1.42</w:t>
            </w:r>
          </w:p>
        </w:tc>
        <w:tc>
          <w:tcPr>
            <w:tcW w:w="787" w:type="dxa"/>
            <w:tcBorders>
              <w:top w:val="single" w:sz="4" w:space="0" w:color="auto"/>
              <w:left w:val="nil"/>
              <w:bottom w:val="single" w:sz="4" w:space="0" w:color="auto"/>
              <w:right w:val="nil"/>
            </w:tcBorders>
          </w:tcPr>
          <w:p w14:paraId="5B42EE46" w14:textId="77777777" w:rsidR="00623CD4" w:rsidRPr="00082A41" w:rsidRDefault="00623CD4">
            <w:pPr>
              <w:spacing w:after="0" w:line="360" w:lineRule="auto"/>
              <w:jc w:val="center"/>
              <w:rPr>
                <w:rFonts w:ascii="Times New Roman" w:hAnsi="Times New Roman" w:cs="Times New Roman"/>
                <w:b/>
                <w:sz w:val="20"/>
                <w:szCs w:val="20"/>
              </w:rPr>
            </w:pPr>
          </w:p>
        </w:tc>
        <w:tc>
          <w:tcPr>
            <w:tcW w:w="1136" w:type="dxa"/>
            <w:tcBorders>
              <w:top w:val="single" w:sz="4" w:space="0" w:color="auto"/>
              <w:left w:val="nil"/>
              <w:bottom w:val="single" w:sz="4" w:space="0" w:color="auto"/>
              <w:right w:val="nil"/>
            </w:tcBorders>
            <w:hideMark/>
          </w:tcPr>
          <w:p w14:paraId="31BBE552"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1.73</w:t>
            </w:r>
          </w:p>
        </w:tc>
        <w:tc>
          <w:tcPr>
            <w:tcW w:w="962" w:type="dxa"/>
            <w:tcBorders>
              <w:top w:val="single" w:sz="4" w:space="0" w:color="auto"/>
              <w:left w:val="nil"/>
              <w:bottom w:val="single" w:sz="4" w:space="0" w:color="auto"/>
              <w:right w:val="nil"/>
            </w:tcBorders>
            <w:hideMark/>
          </w:tcPr>
          <w:p w14:paraId="1059583A" w14:textId="77777777" w:rsidR="00623CD4" w:rsidRPr="00082A41" w:rsidRDefault="00623CD4">
            <w:pPr>
              <w:spacing w:after="0" w:line="360" w:lineRule="auto"/>
              <w:jc w:val="center"/>
              <w:rPr>
                <w:rFonts w:ascii="Times New Roman" w:hAnsi="Times New Roman" w:cs="Times New Roman"/>
                <w:b/>
                <w:sz w:val="20"/>
                <w:szCs w:val="20"/>
              </w:rPr>
            </w:pPr>
            <w:r w:rsidRPr="00082A41">
              <w:rPr>
                <w:rFonts w:ascii="Times New Roman" w:hAnsi="Times New Roman" w:cs="Times New Roman"/>
                <w:b/>
                <w:sz w:val="20"/>
                <w:szCs w:val="20"/>
              </w:rPr>
              <w:t>Disagree</w:t>
            </w:r>
          </w:p>
        </w:tc>
      </w:tr>
    </w:tbl>
    <w:p w14:paraId="5D0BB47A" w14:textId="429B7004" w:rsidR="00623CD4" w:rsidRPr="00082A41" w:rsidRDefault="00623CD4" w:rsidP="00616EF5">
      <w:pPr>
        <w:spacing w:line="36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b/>
          <w:sz w:val="24"/>
          <w:szCs w:val="24"/>
        </w:rPr>
        <w:t>Source:</w:t>
      </w:r>
      <w:r w:rsidRPr="00082A41">
        <w:rPr>
          <w:rFonts w:ascii="Times New Roman" w:eastAsia="Times New Roman" w:hAnsi="Times New Roman" w:cs="Times New Roman"/>
          <w:sz w:val="24"/>
          <w:szCs w:val="24"/>
        </w:rPr>
        <w:t xml:space="preserve"> Researchers’ Fieldwork, 2026</w:t>
      </w:r>
    </w:p>
    <w:p w14:paraId="2FCA3BB8" w14:textId="77A1CF26" w:rsidR="005E1134" w:rsidRPr="00082A41" w:rsidRDefault="005E1134" w:rsidP="005E1134">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Table 5 illustrates the mean and standard deviations of the respondents’ views on the decarbonization outcomes in Akwa Ibom State within the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LGAs. The mean scores of items 1 to 5 were found to be 1.65, 2.08, 1.82, 1.55, and 1.54</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respectively.</w:t>
      </w:r>
    </w:p>
    <w:p w14:paraId="61B046DD" w14:textId="0CB20903" w:rsidR="00616EF5" w:rsidRPr="00082A41" w:rsidRDefault="005E1134" w:rsidP="005E1134">
      <w:pPr>
        <w:spacing w:after="0" w:line="360" w:lineRule="auto"/>
        <w:jc w:val="both"/>
        <w:rPr>
          <w:rFonts w:ascii="Times New Roman" w:hAnsi="Times New Roman" w:cs="Times New Roman"/>
          <w:sz w:val="24"/>
          <w:szCs w:val="24"/>
        </w:rPr>
      </w:pPr>
      <w:r w:rsidRPr="00082A41">
        <w:rPr>
          <w:rFonts w:ascii="Times New Roman" w:hAnsi="Times New Roman" w:cs="Times New Roman"/>
          <w:sz w:val="24"/>
          <w:szCs w:val="24"/>
        </w:rPr>
        <w:lastRenderedPageBreak/>
        <w:t xml:space="preserve">It can be observed from the findings that there is a general disagreement on whether there has been a significant decrease in carbon emissions (x̅ = 1.65), an increase in the adoption of renewable energy (x̅ = 2.08), and a significant decrease in the occurrence of gas flaring (x̅ = 1.82). Respondents are also of the opinion that air quality has not improved significantly due to the implementation of environmental policies (x̅ = 1.55) and that the decarbonization activities have not yielded positive results (x̅ = 1.54).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scored a mean score of 2.10,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had a mean score of 1.66, while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had a mean score of 1.42. </w:t>
      </w:r>
      <w:r w:rsidR="00CC3834" w:rsidRPr="00082A41">
        <w:rPr>
          <w:rFonts w:ascii="Times New Roman" w:hAnsi="Times New Roman" w:cs="Times New Roman"/>
          <w:sz w:val="24"/>
          <w:szCs w:val="24"/>
        </w:rPr>
        <w:t>A g</w:t>
      </w:r>
      <w:r w:rsidRPr="00082A41">
        <w:rPr>
          <w:rFonts w:ascii="Times New Roman" w:hAnsi="Times New Roman" w:cs="Times New Roman"/>
          <w:sz w:val="24"/>
          <w:szCs w:val="24"/>
        </w:rPr>
        <w:t>rand mean score = 1.73 indicates a generally negative view that there have been no significant decarbonization outcomes.</w:t>
      </w:r>
    </w:p>
    <w:p w14:paraId="446BC942" w14:textId="77777777" w:rsidR="005E1134" w:rsidRPr="00082A41" w:rsidRDefault="005E1134" w:rsidP="005E1134">
      <w:pPr>
        <w:spacing w:after="0" w:line="360" w:lineRule="auto"/>
        <w:jc w:val="both"/>
        <w:rPr>
          <w:rFonts w:ascii="Times New Roman" w:eastAsia="Calibri" w:hAnsi="Times New Roman" w:cs="Times New Roman"/>
          <w:b/>
          <w:sz w:val="24"/>
          <w:szCs w:val="24"/>
        </w:rPr>
      </w:pPr>
    </w:p>
    <w:p w14:paraId="1204EBFA" w14:textId="6B1D64C8" w:rsidR="00623CD4" w:rsidRPr="00082A41" w:rsidRDefault="00623CD4" w:rsidP="00623CD4">
      <w:pPr>
        <w:spacing w:after="0" w:line="360" w:lineRule="auto"/>
        <w:jc w:val="both"/>
        <w:rPr>
          <w:rFonts w:ascii="Times New Roman" w:eastAsia="Calibri" w:hAnsi="Times New Roman" w:cs="Times New Roman"/>
          <w:b/>
          <w:bCs/>
          <w:sz w:val="24"/>
          <w:szCs w:val="24"/>
        </w:rPr>
      </w:pPr>
      <w:r w:rsidRPr="00082A41">
        <w:rPr>
          <w:rFonts w:ascii="Times New Roman" w:eastAsia="Calibri" w:hAnsi="Times New Roman" w:cs="Times New Roman"/>
          <w:b/>
          <w:sz w:val="24"/>
          <w:szCs w:val="24"/>
        </w:rPr>
        <w:t>Results of Tested Hypotheses</w:t>
      </w:r>
    </w:p>
    <w:p w14:paraId="61DD962F" w14:textId="77777777" w:rsidR="00623CD4" w:rsidRPr="00082A41" w:rsidRDefault="00623CD4" w:rsidP="00623CD4">
      <w:pPr>
        <w:spacing w:line="360" w:lineRule="auto"/>
        <w:jc w:val="both"/>
        <w:rPr>
          <w:rFonts w:ascii="Times New Roman" w:hAnsi="Times New Roman" w:cs="Times New Roman"/>
        </w:rPr>
      </w:pPr>
      <w:r w:rsidRPr="00082A41">
        <w:rPr>
          <w:rFonts w:ascii="Times New Roman" w:hAnsi="Times New Roman" w:cs="Times New Roman"/>
          <w:b/>
          <w:bCs/>
        </w:rPr>
        <w:t>Hypothesis 1:</w:t>
      </w:r>
      <w:r w:rsidRPr="00082A41">
        <w:rPr>
          <w:rFonts w:ascii="Times New Roman" w:hAnsi="Times New Roman" w:cs="Times New Roman"/>
        </w:rPr>
        <w:t xml:space="preserve"> There is no significant relationship between </w:t>
      </w:r>
      <w:bookmarkStart w:id="7" w:name="_Hlk227931466"/>
      <w:r w:rsidRPr="00082A41">
        <w:rPr>
          <w:rFonts w:ascii="Times New Roman" w:hAnsi="Times New Roman" w:cs="Times New Roman"/>
        </w:rPr>
        <w:t>socio-political factors and the implementation of decarbonization policies in Akwa Ibom State, Nigeria.</w:t>
      </w:r>
      <w:bookmarkEnd w:id="7"/>
    </w:p>
    <w:p w14:paraId="0CD7640A" w14:textId="00D358AC" w:rsidR="00623CD4" w:rsidRPr="00082A41" w:rsidRDefault="00623CD4" w:rsidP="00623CD4">
      <w:pPr>
        <w:pStyle w:val="ListParagraph"/>
        <w:tabs>
          <w:tab w:val="num" w:pos="720"/>
        </w:tabs>
        <w:spacing w:line="360" w:lineRule="auto"/>
        <w:ind w:left="0"/>
        <w:jc w:val="both"/>
        <w:rPr>
          <w:rFonts w:ascii="Times New Roman" w:eastAsia="Calibri" w:hAnsi="Times New Roman" w:cs="Times New Roman"/>
          <w:bCs/>
          <w:lang w:val="en-GB"/>
        </w:rPr>
      </w:pPr>
      <w:bookmarkStart w:id="8" w:name="_Hlk227867469"/>
      <w:r w:rsidRPr="00082A41">
        <w:rPr>
          <w:rFonts w:ascii="Times New Roman" w:eastAsia="Calibri" w:hAnsi="Times New Roman" w:cs="Times New Roman"/>
          <w:bCs/>
        </w:rPr>
        <w:t xml:space="preserve">Table </w:t>
      </w:r>
      <w:r w:rsidR="000A659B" w:rsidRPr="00082A41">
        <w:rPr>
          <w:rFonts w:ascii="Times New Roman" w:eastAsia="Calibri" w:hAnsi="Times New Roman" w:cs="Times New Roman"/>
          <w:bCs/>
        </w:rPr>
        <w:t>6</w:t>
      </w:r>
      <w:r w:rsidRPr="00082A41">
        <w:rPr>
          <w:rFonts w:ascii="Times New Roman" w:eastAsia="Calibri" w:hAnsi="Times New Roman" w:cs="Times New Roman"/>
          <w:bCs/>
        </w:rPr>
        <w:t>:</w:t>
      </w:r>
      <w:r w:rsidRPr="00082A41">
        <w:rPr>
          <w:rFonts w:ascii="Times New Roman" w:eastAsia="Calibri" w:hAnsi="Times New Roman" w:cs="Times New Roman"/>
          <w:b/>
        </w:rPr>
        <w:t xml:space="preserve"> </w:t>
      </w:r>
      <w:r w:rsidRPr="00082A41">
        <w:rPr>
          <w:rFonts w:ascii="Times New Roman" w:eastAsia="Calibri" w:hAnsi="Times New Roman" w:cs="Times New Roman"/>
          <w:bCs/>
        </w:rPr>
        <w:t>Summary of Pearson Product</w:t>
      </w:r>
      <w:r w:rsidR="00CC3834" w:rsidRPr="00082A41">
        <w:rPr>
          <w:rFonts w:ascii="Times New Roman" w:eastAsia="Calibri" w:hAnsi="Times New Roman" w:cs="Times New Roman"/>
          <w:bCs/>
        </w:rPr>
        <w:t>-</w:t>
      </w:r>
      <w:r w:rsidRPr="00082A41">
        <w:rPr>
          <w:rFonts w:ascii="Times New Roman" w:eastAsia="Calibri" w:hAnsi="Times New Roman" w:cs="Times New Roman"/>
          <w:bCs/>
        </w:rPr>
        <w:t xml:space="preserve">Moment Correlation (PPMC) on the relationship between </w:t>
      </w:r>
      <w:r w:rsidRPr="00082A41">
        <w:rPr>
          <w:rFonts w:ascii="Times New Roman" w:eastAsia="Calibri" w:hAnsi="Times New Roman" w:cs="Times New Roman"/>
          <w:bCs/>
          <w:lang w:val="en-GB"/>
        </w:rPr>
        <w:t>socio-political factors and the implementation of decarbonization policies in Akwa Ibom State.</w:t>
      </w:r>
    </w:p>
    <w:tbl>
      <w:tblPr>
        <w:tblStyle w:val="TableGrid0"/>
        <w:tblW w:w="9891" w:type="dxa"/>
        <w:tblInd w:w="0" w:type="dxa"/>
        <w:tblCellMar>
          <w:top w:w="16" w:type="dxa"/>
          <w:bottom w:w="16" w:type="dxa"/>
          <w:right w:w="115" w:type="dxa"/>
        </w:tblCellMar>
        <w:tblLook w:val="04A0" w:firstRow="1" w:lastRow="0" w:firstColumn="1" w:lastColumn="0" w:noHBand="0" w:noVBand="1"/>
      </w:tblPr>
      <w:tblGrid>
        <w:gridCol w:w="3330"/>
        <w:gridCol w:w="1980"/>
        <w:gridCol w:w="2193"/>
        <w:gridCol w:w="2388"/>
      </w:tblGrid>
      <w:tr w:rsidR="00082A41" w:rsidRPr="00082A41" w14:paraId="50704B3C" w14:textId="77777777" w:rsidTr="00064433">
        <w:trPr>
          <w:trHeight w:val="397"/>
        </w:trPr>
        <w:tc>
          <w:tcPr>
            <w:tcW w:w="3330" w:type="dxa"/>
            <w:tcBorders>
              <w:top w:val="single" w:sz="4" w:space="0" w:color="000000"/>
              <w:left w:val="nil"/>
              <w:bottom w:val="single" w:sz="4" w:space="0" w:color="000000"/>
              <w:right w:val="nil"/>
            </w:tcBorders>
            <w:vAlign w:val="center"/>
            <w:hideMark/>
          </w:tcPr>
          <w:p w14:paraId="3E259ABD" w14:textId="77777777" w:rsidR="00623CD4" w:rsidRPr="00082A41" w:rsidRDefault="00623CD4">
            <w:pPr>
              <w:spacing w:after="0" w:line="240" w:lineRule="auto"/>
              <w:ind w:left="108"/>
              <w:rPr>
                <w:rFonts w:ascii="Times New Roman" w:hAnsi="Times New Roman" w:cs="Times New Roman"/>
              </w:rPr>
            </w:pPr>
            <w:r w:rsidRPr="00082A41">
              <w:rPr>
                <w:rFonts w:ascii="Times New Roman" w:hAnsi="Times New Roman" w:cs="Times New Roman"/>
                <w:lang w:val="en-GB"/>
              </w:rPr>
              <w:t xml:space="preserve">  </w:t>
            </w:r>
          </w:p>
        </w:tc>
        <w:tc>
          <w:tcPr>
            <w:tcW w:w="1980" w:type="dxa"/>
            <w:tcBorders>
              <w:top w:val="single" w:sz="4" w:space="0" w:color="000000"/>
              <w:left w:val="nil"/>
              <w:bottom w:val="single" w:sz="4" w:space="0" w:color="000000"/>
              <w:right w:val="nil"/>
            </w:tcBorders>
            <w:vAlign w:val="center"/>
            <w:hideMark/>
          </w:tcPr>
          <w:p w14:paraId="43AE2CF6"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  </w:t>
            </w:r>
          </w:p>
        </w:tc>
        <w:tc>
          <w:tcPr>
            <w:tcW w:w="2193" w:type="dxa"/>
            <w:tcBorders>
              <w:top w:val="single" w:sz="4" w:space="0" w:color="000000"/>
              <w:left w:val="nil"/>
              <w:bottom w:val="single" w:sz="4" w:space="0" w:color="000000"/>
              <w:right w:val="nil"/>
            </w:tcBorders>
            <w:vAlign w:val="center"/>
            <w:hideMark/>
          </w:tcPr>
          <w:p w14:paraId="0BFFAD37" w14:textId="3EFAD0CF" w:rsidR="00623CD4" w:rsidRPr="00082A41" w:rsidRDefault="00623CD4" w:rsidP="00064433">
            <w:pPr>
              <w:spacing w:after="0" w:line="240" w:lineRule="auto"/>
              <w:jc w:val="both"/>
              <w:rPr>
                <w:rFonts w:ascii="Times New Roman" w:hAnsi="Times New Roman" w:cs="Times New Roman"/>
              </w:rPr>
            </w:pPr>
            <w:r w:rsidRPr="00082A41">
              <w:rPr>
                <w:rFonts w:ascii="Times New Roman" w:hAnsi="Times New Roman" w:cs="Times New Roman"/>
              </w:rPr>
              <w:t>Socio-Political</w:t>
            </w:r>
            <w:r w:rsidR="00064433" w:rsidRPr="00082A41">
              <w:rPr>
                <w:rFonts w:ascii="Times New Roman" w:hAnsi="Times New Roman" w:cs="Times New Roman"/>
              </w:rPr>
              <w:t xml:space="preserve"> </w:t>
            </w:r>
            <w:r w:rsidRPr="00082A41">
              <w:rPr>
                <w:rFonts w:ascii="Times New Roman" w:hAnsi="Times New Roman" w:cs="Times New Roman"/>
              </w:rPr>
              <w:t>Factors</w:t>
            </w:r>
          </w:p>
        </w:tc>
        <w:tc>
          <w:tcPr>
            <w:tcW w:w="2388" w:type="dxa"/>
            <w:tcBorders>
              <w:top w:val="single" w:sz="4" w:space="0" w:color="000000"/>
              <w:left w:val="nil"/>
              <w:bottom w:val="single" w:sz="4" w:space="0" w:color="000000"/>
              <w:right w:val="nil"/>
            </w:tcBorders>
            <w:vAlign w:val="center"/>
            <w:hideMark/>
          </w:tcPr>
          <w:p w14:paraId="6AA4D445" w14:textId="77777777" w:rsidR="00623CD4" w:rsidRPr="00082A41" w:rsidRDefault="00623CD4">
            <w:pPr>
              <w:spacing w:after="0" w:line="240" w:lineRule="auto"/>
              <w:ind w:left="334" w:hanging="334"/>
              <w:jc w:val="center"/>
              <w:rPr>
                <w:rFonts w:ascii="Times New Roman" w:hAnsi="Times New Roman" w:cs="Times New Roman"/>
              </w:rPr>
            </w:pPr>
            <w:r w:rsidRPr="00082A41">
              <w:rPr>
                <w:rFonts w:ascii="Times New Roman" w:hAnsi="Times New Roman" w:cs="Times New Roman"/>
              </w:rPr>
              <w:t>Decarbonization Policies</w:t>
            </w:r>
          </w:p>
        </w:tc>
      </w:tr>
      <w:tr w:rsidR="00082A41" w:rsidRPr="00082A41" w14:paraId="57C0B135" w14:textId="77777777" w:rsidTr="00064433">
        <w:trPr>
          <w:trHeight w:val="708"/>
        </w:trPr>
        <w:tc>
          <w:tcPr>
            <w:tcW w:w="3330" w:type="dxa"/>
            <w:tcBorders>
              <w:top w:val="single" w:sz="4" w:space="0" w:color="000000"/>
              <w:left w:val="nil"/>
              <w:bottom w:val="nil"/>
              <w:right w:val="nil"/>
            </w:tcBorders>
            <w:vAlign w:val="bottom"/>
            <w:hideMark/>
          </w:tcPr>
          <w:p w14:paraId="7F031369" w14:textId="77777777" w:rsidR="00623CD4" w:rsidRPr="00082A41" w:rsidRDefault="00623CD4">
            <w:pPr>
              <w:spacing w:after="0" w:line="240" w:lineRule="auto"/>
              <w:ind w:left="108"/>
              <w:rPr>
                <w:rFonts w:ascii="Times New Roman" w:hAnsi="Times New Roman" w:cs="Times New Roman"/>
              </w:rPr>
            </w:pPr>
            <w:r w:rsidRPr="00082A41">
              <w:rPr>
                <w:rFonts w:ascii="Times New Roman" w:hAnsi="Times New Roman" w:cs="Times New Roman"/>
              </w:rPr>
              <w:t xml:space="preserve">Socio-Political Factors </w:t>
            </w:r>
          </w:p>
        </w:tc>
        <w:tc>
          <w:tcPr>
            <w:tcW w:w="1980" w:type="dxa"/>
            <w:tcBorders>
              <w:top w:val="single" w:sz="4" w:space="0" w:color="000000"/>
              <w:left w:val="nil"/>
              <w:bottom w:val="nil"/>
              <w:right w:val="nil"/>
            </w:tcBorders>
            <w:hideMark/>
          </w:tcPr>
          <w:p w14:paraId="340CA273"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Pearson </w:t>
            </w:r>
          </w:p>
          <w:p w14:paraId="63C0E0A1"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Correlation Sig. (1tailed) </w:t>
            </w:r>
          </w:p>
        </w:tc>
        <w:tc>
          <w:tcPr>
            <w:tcW w:w="2193" w:type="dxa"/>
            <w:tcBorders>
              <w:top w:val="single" w:sz="4" w:space="0" w:color="000000"/>
              <w:left w:val="nil"/>
              <w:bottom w:val="nil"/>
              <w:right w:val="nil"/>
            </w:tcBorders>
            <w:hideMark/>
          </w:tcPr>
          <w:p w14:paraId="79766BEF" w14:textId="77777777" w:rsidR="00623CD4" w:rsidRPr="00082A41" w:rsidRDefault="00623CD4">
            <w:pPr>
              <w:spacing w:after="0" w:line="240" w:lineRule="auto"/>
              <w:ind w:left="600"/>
              <w:jc w:val="center"/>
              <w:rPr>
                <w:rFonts w:ascii="Times New Roman" w:hAnsi="Times New Roman" w:cs="Times New Roman"/>
              </w:rPr>
            </w:pPr>
            <w:r w:rsidRPr="00082A41">
              <w:rPr>
                <w:rFonts w:ascii="Times New Roman" w:hAnsi="Times New Roman" w:cs="Times New Roman"/>
              </w:rPr>
              <w:t>1</w:t>
            </w:r>
          </w:p>
        </w:tc>
        <w:tc>
          <w:tcPr>
            <w:tcW w:w="2388" w:type="dxa"/>
            <w:tcBorders>
              <w:top w:val="single" w:sz="4" w:space="0" w:color="000000"/>
              <w:left w:val="nil"/>
              <w:bottom w:val="nil"/>
              <w:right w:val="nil"/>
            </w:tcBorders>
            <w:hideMark/>
          </w:tcPr>
          <w:p w14:paraId="4F179BCC" w14:textId="77777777" w:rsidR="00623CD4" w:rsidRPr="00082A41" w:rsidRDefault="00623CD4">
            <w:pPr>
              <w:spacing w:after="0" w:line="240" w:lineRule="auto"/>
              <w:ind w:right="123"/>
              <w:jc w:val="center"/>
              <w:rPr>
                <w:rFonts w:ascii="Times New Roman" w:hAnsi="Times New Roman" w:cs="Times New Roman"/>
              </w:rPr>
            </w:pPr>
            <w:r w:rsidRPr="00082A41">
              <w:rPr>
                <w:rFonts w:ascii="Times New Roman" w:hAnsi="Times New Roman" w:cs="Times New Roman"/>
              </w:rPr>
              <w:t>.808</w:t>
            </w:r>
          </w:p>
        </w:tc>
      </w:tr>
      <w:tr w:rsidR="00082A41" w:rsidRPr="00082A41" w14:paraId="244F8236" w14:textId="77777777" w:rsidTr="00064433">
        <w:trPr>
          <w:trHeight w:val="74"/>
        </w:trPr>
        <w:tc>
          <w:tcPr>
            <w:tcW w:w="3330" w:type="dxa"/>
            <w:tcBorders>
              <w:top w:val="nil"/>
              <w:left w:val="nil"/>
              <w:bottom w:val="single" w:sz="4" w:space="0" w:color="000000"/>
              <w:right w:val="nil"/>
            </w:tcBorders>
          </w:tcPr>
          <w:p w14:paraId="165B1EC4" w14:textId="77777777" w:rsidR="00623CD4" w:rsidRPr="00082A41" w:rsidRDefault="00623CD4">
            <w:pPr>
              <w:spacing w:after="0" w:line="240" w:lineRule="auto"/>
              <w:rPr>
                <w:rFonts w:ascii="Times New Roman" w:hAnsi="Times New Roman" w:cs="Times New Roman"/>
              </w:rPr>
            </w:pPr>
          </w:p>
        </w:tc>
        <w:tc>
          <w:tcPr>
            <w:tcW w:w="1980" w:type="dxa"/>
            <w:tcBorders>
              <w:top w:val="nil"/>
              <w:left w:val="nil"/>
              <w:bottom w:val="single" w:sz="4" w:space="0" w:color="000000"/>
              <w:right w:val="nil"/>
            </w:tcBorders>
            <w:hideMark/>
          </w:tcPr>
          <w:p w14:paraId="40B7F6E2"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N </w:t>
            </w:r>
          </w:p>
        </w:tc>
        <w:tc>
          <w:tcPr>
            <w:tcW w:w="2193" w:type="dxa"/>
            <w:tcBorders>
              <w:top w:val="nil"/>
              <w:left w:val="nil"/>
              <w:bottom w:val="single" w:sz="4" w:space="0" w:color="000000"/>
              <w:right w:val="nil"/>
            </w:tcBorders>
          </w:tcPr>
          <w:p w14:paraId="6C86FFFC" w14:textId="77777777" w:rsidR="00623CD4" w:rsidRPr="00082A41" w:rsidRDefault="00623CD4">
            <w:pPr>
              <w:spacing w:after="0" w:line="240" w:lineRule="auto"/>
              <w:ind w:left="480"/>
              <w:jc w:val="center"/>
              <w:rPr>
                <w:rFonts w:ascii="Times New Roman" w:hAnsi="Times New Roman" w:cs="Times New Roman"/>
              </w:rPr>
            </w:pPr>
          </w:p>
        </w:tc>
        <w:tc>
          <w:tcPr>
            <w:tcW w:w="2388" w:type="dxa"/>
            <w:tcBorders>
              <w:top w:val="nil"/>
              <w:left w:val="nil"/>
              <w:bottom w:val="single" w:sz="4" w:space="0" w:color="000000"/>
              <w:right w:val="nil"/>
            </w:tcBorders>
            <w:hideMark/>
          </w:tcPr>
          <w:p w14:paraId="1217561E" w14:textId="77777777" w:rsidR="00623CD4" w:rsidRPr="00082A41" w:rsidRDefault="00623CD4">
            <w:pPr>
              <w:spacing w:after="0" w:line="240" w:lineRule="auto"/>
              <w:ind w:right="124"/>
              <w:jc w:val="center"/>
              <w:rPr>
                <w:rFonts w:ascii="Times New Roman" w:hAnsi="Times New Roman" w:cs="Times New Roman"/>
              </w:rPr>
            </w:pPr>
            <w:r w:rsidRPr="00082A41">
              <w:rPr>
                <w:rFonts w:ascii="Times New Roman" w:hAnsi="Times New Roman" w:cs="Times New Roman"/>
              </w:rPr>
              <w:t>.000</w:t>
            </w:r>
          </w:p>
        </w:tc>
      </w:tr>
      <w:tr w:rsidR="00082A41" w:rsidRPr="00082A41" w14:paraId="120DA662" w14:textId="77777777" w:rsidTr="00064433">
        <w:trPr>
          <w:trHeight w:val="321"/>
        </w:trPr>
        <w:tc>
          <w:tcPr>
            <w:tcW w:w="3330" w:type="dxa"/>
            <w:tcBorders>
              <w:top w:val="single" w:sz="4" w:space="0" w:color="000000"/>
              <w:left w:val="nil"/>
              <w:bottom w:val="nil"/>
              <w:right w:val="nil"/>
            </w:tcBorders>
            <w:vAlign w:val="bottom"/>
            <w:hideMark/>
          </w:tcPr>
          <w:p w14:paraId="194305C5" w14:textId="77777777" w:rsidR="00623CD4" w:rsidRPr="00082A41" w:rsidRDefault="00623CD4">
            <w:pPr>
              <w:spacing w:after="0" w:line="240" w:lineRule="auto"/>
              <w:ind w:left="108" w:right="111"/>
              <w:rPr>
                <w:rFonts w:ascii="Times New Roman" w:hAnsi="Times New Roman" w:cs="Times New Roman"/>
              </w:rPr>
            </w:pPr>
            <w:r w:rsidRPr="00082A41">
              <w:rPr>
                <w:rFonts w:ascii="Times New Roman" w:hAnsi="Times New Roman" w:cs="Times New Roman"/>
              </w:rPr>
              <w:t xml:space="preserve">Decarbonization Policies </w:t>
            </w:r>
          </w:p>
        </w:tc>
        <w:tc>
          <w:tcPr>
            <w:tcW w:w="1980" w:type="dxa"/>
            <w:tcBorders>
              <w:top w:val="single" w:sz="4" w:space="0" w:color="000000"/>
              <w:left w:val="nil"/>
              <w:bottom w:val="nil"/>
              <w:right w:val="nil"/>
            </w:tcBorders>
            <w:hideMark/>
          </w:tcPr>
          <w:p w14:paraId="3B411A3A"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Pearson </w:t>
            </w:r>
          </w:p>
          <w:p w14:paraId="4B97FDBC"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Correlation Sig. (1tailed) </w:t>
            </w:r>
          </w:p>
        </w:tc>
        <w:tc>
          <w:tcPr>
            <w:tcW w:w="2193" w:type="dxa"/>
            <w:tcBorders>
              <w:top w:val="single" w:sz="4" w:space="0" w:color="000000"/>
              <w:left w:val="nil"/>
              <w:bottom w:val="nil"/>
              <w:right w:val="nil"/>
            </w:tcBorders>
            <w:hideMark/>
          </w:tcPr>
          <w:p w14:paraId="20EDE6E5" w14:textId="77777777" w:rsidR="00623CD4" w:rsidRPr="00082A41" w:rsidRDefault="00623CD4">
            <w:pPr>
              <w:spacing w:after="0" w:line="240" w:lineRule="auto"/>
              <w:ind w:left="329"/>
              <w:jc w:val="center"/>
              <w:rPr>
                <w:rFonts w:ascii="Times New Roman" w:hAnsi="Times New Roman" w:cs="Times New Roman"/>
              </w:rPr>
            </w:pPr>
            <w:r w:rsidRPr="00082A41">
              <w:rPr>
                <w:rFonts w:ascii="Times New Roman" w:hAnsi="Times New Roman" w:cs="Times New Roman"/>
              </w:rPr>
              <w:t>150</w:t>
            </w:r>
          </w:p>
        </w:tc>
        <w:tc>
          <w:tcPr>
            <w:tcW w:w="2388" w:type="dxa"/>
            <w:tcBorders>
              <w:top w:val="single" w:sz="4" w:space="0" w:color="000000"/>
              <w:left w:val="nil"/>
              <w:bottom w:val="nil"/>
              <w:right w:val="nil"/>
            </w:tcBorders>
            <w:hideMark/>
          </w:tcPr>
          <w:p w14:paraId="61BFB19C" w14:textId="77777777" w:rsidR="00623CD4" w:rsidRPr="00082A41" w:rsidRDefault="00623CD4">
            <w:pPr>
              <w:spacing w:after="0" w:line="240" w:lineRule="auto"/>
              <w:ind w:right="64"/>
              <w:jc w:val="center"/>
              <w:rPr>
                <w:rFonts w:ascii="Times New Roman" w:hAnsi="Times New Roman" w:cs="Times New Roman"/>
              </w:rPr>
            </w:pPr>
            <w:r w:rsidRPr="00082A41">
              <w:rPr>
                <w:rFonts w:ascii="Times New Roman" w:hAnsi="Times New Roman" w:cs="Times New Roman"/>
              </w:rPr>
              <w:t>150</w:t>
            </w:r>
          </w:p>
        </w:tc>
      </w:tr>
      <w:tr w:rsidR="00082A41" w:rsidRPr="00082A41" w14:paraId="66044ABC" w14:textId="77777777" w:rsidTr="00064433">
        <w:trPr>
          <w:trHeight w:val="361"/>
        </w:trPr>
        <w:tc>
          <w:tcPr>
            <w:tcW w:w="3330" w:type="dxa"/>
            <w:tcBorders>
              <w:top w:val="nil"/>
              <w:left w:val="nil"/>
              <w:bottom w:val="single" w:sz="4" w:space="0" w:color="000000"/>
              <w:right w:val="nil"/>
            </w:tcBorders>
          </w:tcPr>
          <w:p w14:paraId="30B4C8FB" w14:textId="77777777" w:rsidR="00623CD4" w:rsidRPr="00082A41" w:rsidRDefault="00623CD4">
            <w:pPr>
              <w:spacing w:after="0" w:line="240" w:lineRule="auto"/>
              <w:rPr>
                <w:rFonts w:ascii="Times New Roman" w:hAnsi="Times New Roman" w:cs="Times New Roman"/>
              </w:rPr>
            </w:pPr>
          </w:p>
        </w:tc>
        <w:tc>
          <w:tcPr>
            <w:tcW w:w="1980" w:type="dxa"/>
            <w:tcBorders>
              <w:top w:val="nil"/>
              <w:left w:val="nil"/>
              <w:bottom w:val="single" w:sz="4" w:space="0" w:color="000000"/>
              <w:right w:val="nil"/>
            </w:tcBorders>
            <w:hideMark/>
          </w:tcPr>
          <w:p w14:paraId="228F14AF"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N </w:t>
            </w:r>
          </w:p>
        </w:tc>
        <w:tc>
          <w:tcPr>
            <w:tcW w:w="2193" w:type="dxa"/>
            <w:tcBorders>
              <w:top w:val="nil"/>
              <w:left w:val="nil"/>
              <w:bottom w:val="single" w:sz="4" w:space="0" w:color="000000"/>
              <w:right w:val="nil"/>
            </w:tcBorders>
            <w:hideMark/>
          </w:tcPr>
          <w:p w14:paraId="66194CB2" w14:textId="77777777" w:rsidR="00623CD4" w:rsidRPr="00082A41" w:rsidRDefault="00623CD4">
            <w:pPr>
              <w:spacing w:after="0" w:line="240" w:lineRule="auto"/>
              <w:ind w:left="480"/>
              <w:jc w:val="center"/>
              <w:rPr>
                <w:rFonts w:ascii="Times New Roman" w:hAnsi="Times New Roman" w:cs="Times New Roman"/>
              </w:rPr>
            </w:pPr>
            <w:r w:rsidRPr="00082A41">
              <w:rPr>
                <w:rFonts w:ascii="Times New Roman" w:hAnsi="Times New Roman" w:cs="Times New Roman"/>
              </w:rPr>
              <w:t>.808</w:t>
            </w:r>
          </w:p>
        </w:tc>
        <w:tc>
          <w:tcPr>
            <w:tcW w:w="2388" w:type="dxa"/>
            <w:tcBorders>
              <w:top w:val="nil"/>
              <w:left w:val="nil"/>
              <w:bottom w:val="single" w:sz="4" w:space="0" w:color="000000"/>
              <w:right w:val="nil"/>
            </w:tcBorders>
            <w:hideMark/>
          </w:tcPr>
          <w:p w14:paraId="73A041AC" w14:textId="77777777" w:rsidR="00623CD4" w:rsidRPr="00082A41" w:rsidRDefault="00623CD4">
            <w:pPr>
              <w:spacing w:after="0" w:line="240" w:lineRule="auto"/>
              <w:ind w:right="124"/>
              <w:jc w:val="center"/>
              <w:rPr>
                <w:rFonts w:ascii="Times New Roman" w:hAnsi="Times New Roman" w:cs="Times New Roman"/>
              </w:rPr>
            </w:pPr>
            <w:r w:rsidRPr="00082A41">
              <w:rPr>
                <w:rFonts w:ascii="Times New Roman" w:hAnsi="Times New Roman" w:cs="Times New Roman"/>
              </w:rPr>
              <w:t>1</w:t>
            </w:r>
          </w:p>
        </w:tc>
      </w:tr>
    </w:tbl>
    <w:p w14:paraId="4DB3F3D3" w14:textId="77777777" w:rsidR="00623CD4" w:rsidRPr="00082A41" w:rsidRDefault="00623CD4" w:rsidP="00623CD4">
      <w:pPr>
        <w:rPr>
          <w:rFonts w:ascii="Times New Roman" w:hAnsi="Times New Roman" w:cs="Times New Roman"/>
        </w:rPr>
      </w:pPr>
      <w:r w:rsidRPr="00082A41">
        <w:rPr>
          <w:rFonts w:ascii="Times New Roman" w:hAnsi="Times New Roman" w:cs="Times New Roman"/>
        </w:rPr>
        <w:t>Correlation is significant at the 0.01 level (2-tailed).</w:t>
      </w:r>
      <w:r w:rsidRPr="00082A41">
        <w:rPr>
          <w:rFonts w:ascii="Times New Roman" w:hAnsi="Times New Roman" w:cs="Times New Roman"/>
        </w:rPr>
        <w:tab/>
      </w:r>
      <w:r w:rsidRPr="00082A41">
        <w:rPr>
          <w:rFonts w:ascii="Times New Roman" w:hAnsi="Times New Roman" w:cs="Times New Roman"/>
        </w:rPr>
        <w:tab/>
      </w:r>
      <w:r w:rsidRPr="00082A41">
        <w:rPr>
          <w:rFonts w:ascii="Times New Roman" w:hAnsi="Times New Roman" w:cs="Times New Roman"/>
        </w:rPr>
        <w:tab/>
      </w:r>
    </w:p>
    <w:p w14:paraId="0B9DC437" w14:textId="77777777" w:rsidR="00623CD4" w:rsidRPr="00082A41" w:rsidRDefault="00623CD4" w:rsidP="00623CD4">
      <w:pPr>
        <w:tabs>
          <w:tab w:val="num" w:pos="720"/>
        </w:tabs>
        <w:spacing w:before="240" w:line="360" w:lineRule="auto"/>
        <w:jc w:val="both"/>
        <w:rPr>
          <w:rFonts w:ascii="Times New Roman" w:eastAsia="Calibri" w:hAnsi="Times New Roman" w:cs="Times New Roman"/>
          <w:sz w:val="24"/>
          <w:szCs w:val="24"/>
        </w:rPr>
      </w:pPr>
    </w:p>
    <w:bookmarkEnd w:id="8"/>
    <w:p w14:paraId="16AD7DC6" w14:textId="0AAEE719" w:rsidR="00273869" w:rsidRPr="00082A41" w:rsidRDefault="00273869" w:rsidP="00623CD4">
      <w:pPr>
        <w:tabs>
          <w:tab w:val="num" w:pos="720"/>
        </w:tabs>
        <w:spacing w:line="360" w:lineRule="auto"/>
        <w:jc w:val="both"/>
        <w:rPr>
          <w:rFonts w:ascii="Times New Roman" w:eastAsia="Calibri" w:hAnsi="Times New Roman" w:cs="Times New Roman"/>
          <w:sz w:val="24"/>
          <w:szCs w:val="24"/>
        </w:rPr>
      </w:pPr>
      <w:r w:rsidRPr="00082A41">
        <w:rPr>
          <w:rFonts w:ascii="Times New Roman" w:eastAsia="Calibri" w:hAnsi="Times New Roman" w:cs="Times New Roman"/>
          <w:sz w:val="24"/>
          <w:szCs w:val="24"/>
        </w:rPr>
        <w:t>Table 6 present</w:t>
      </w:r>
      <w:r w:rsidR="00CC3834" w:rsidRPr="00082A41">
        <w:rPr>
          <w:rFonts w:ascii="Times New Roman" w:eastAsia="Calibri" w:hAnsi="Times New Roman" w:cs="Times New Roman"/>
          <w:sz w:val="24"/>
          <w:szCs w:val="24"/>
        </w:rPr>
        <w:t>s</w:t>
      </w:r>
      <w:r w:rsidRPr="00082A41">
        <w:rPr>
          <w:rFonts w:ascii="Times New Roman" w:eastAsia="Calibri" w:hAnsi="Times New Roman" w:cs="Times New Roman"/>
          <w:sz w:val="24"/>
          <w:szCs w:val="24"/>
        </w:rPr>
        <w:t xml:space="preserve"> the Pearson Product Moment Correlation (PPMC) on the relationship between socio-political factors and the implementation of decarbonization policies in Akwa Ibom State. From the result, there is a strong positive and statistically significant relationship between socio-political factors and decarbonization policy implementation, where the relationship has a correlation coefficient of r = .808. The relationship is significant at p = .000 (p &lt; 0.05) with </w:t>
      </w:r>
      <w:r w:rsidR="00CC3834" w:rsidRPr="00082A41">
        <w:rPr>
          <w:rFonts w:ascii="Times New Roman" w:eastAsia="Calibri" w:hAnsi="Times New Roman" w:cs="Times New Roman"/>
          <w:sz w:val="24"/>
          <w:szCs w:val="24"/>
        </w:rPr>
        <w:t xml:space="preserve">a </w:t>
      </w:r>
      <w:r w:rsidRPr="00082A41">
        <w:rPr>
          <w:rFonts w:ascii="Times New Roman" w:eastAsia="Calibri" w:hAnsi="Times New Roman" w:cs="Times New Roman"/>
          <w:sz w:val="24"/>
          <w:szCs w:val="24"/>
        </w:rPr>
        <w:t xml:space="preserve">sample size of 150 respondents. Based on this finding, the null hypothesis was therefore rejected while the alternative hypothesis was accepted, suggesting that there is a significant relationship </w:t>
      </w:r>
      <w:r w:rsidRPr="00082A41">
        <w:rPr>
          <w:rFonts w:ascii="Times New Roman" w:eastAsia="Calibri" w:hAnsi="Times New Roman" w:cs="Times New Roman"/>
          <w:sz w:val="24"/>
          <w:szCs w:val="24"/>
        </w:rPr>
        <w:lastRenderedPageBreak/>
        <w:t xml:space="preserve">between socio-political factors and the implementation of decarbonization policies in Akwa Ibom State. Socio-political factors explain approximately 65.29% of </w:t>
      </w:r>
      <w:r w:rsidR="00CC3834" w:rsidRPr="00082A41">
        <w:rPr>
          <w:rFonts w:ascii="Times New Roman" w:eastAsia="Calibri" w:hAnsi="Times New Roman" w:cs="Times New Roman"/>
          <w:sz w:val="24"/>
          <w:szCs w:val="24"/>
        </w:rPr>
        <w:t>the variation</w:t>
      </w:r>
      <w:r w:rsidRPr="00082A41">
        <w:rPr>
          <w:rFonts w:ascii="Times New Roman" w:eastAsia="Calibri" w:hAnsi="Times New Roman" w:cs="Times New Roman"/>
          <w:sz w:val="24"/>
          <w:szCs w:val="24"/>
        </w:rPr>
        <w:t xml:space="preserve"> in the implementation of decarbonization policies based on the coefficient of determination (r² = 0.6529). In this regard, changes in socio-political factors are significantly related to changes in levels of policy implementation, which is in agreement with the views held by respondents regarding their perceptions on decarbonization policies.</w:t>
      </w:r>
    </w:p>
    <w:p w14:paraId="6365FBEA" w14:textId="77777777" w:rsidR="00623CD4" w:rsidRPr="00082A41" w:rsidRDefault="00623CD4" w:rsidP="00F25460">
      <w:pPr>
        <w:spacing w:line="360" w:lineRule="auto"/>
        <w:jc w:val="both"/>
        <w:rPr>
          <w:rFonts w:ascii="Times New Roman" w:hAnsi="Times New Roman" w:cs="Times New Roman"/>
        </w:rPr>
      </w:pPr>
      <w:r w:rsidRPr="00082A41">
        <w:rPr>
          <w:rFonts w:ascii="Times New Roman" w:hAnsi="Times New Roman" w:cs="Times New Roman"/>
          <w:b/>
          <w:bCs/>
        </w:rPr>
        <w:t xml:space="preserve">Hypothesis 2: </w:t>
      </w:r>
      <w:r w:rsidRPr="00082A41">
        <w:rPr>
          <w:rFonts w:ascii="Times New Roman" w:hAnsi="Times New Roman" w:cs="Times New Roman"/>
        </w:rPr>
        <w:t>There is no significant relationship between governance structures, political interests, institutional frameworks, and decarbonization efforts in Akwa Ibom State, Nigeria.</w:t>
      </w:r>
    </w:p>
    <w:p w14:paraId="5A7E25D6" w14:textId="1275539B" w:rsidR="00623CD4" w:rsidRPr="00082A41" w:rsidRDefault="00623CD4" w:rsidP="00F25460">
      <w:pPr>
        <w:spacing w:line="360" w:lineRule="auto"/>
        <w:jc w:val="both"/>
        <w:rPr>
          <w:rFonts w:ascii="Times New Roman" w:eastAsia="Times New Roman" w:hAnsi="Times New Roman" w:cs="Times New Roman"/>
          <w:sz w:val="24"/>
          <w:szCs w:val="21"/>
          <w:lang w:val="en-GB"/>
        </w:rPr>
      </w:pPr>
      <w:r w:rsidRPr="00082A41">
        <w:rPr>
          <w:rFonts w:ascii="Times New Roman" w:eastAsia="Times New Roman" w:hAnsi="Times New Roman" w:cs="Times New Roman"/>
          <w:sz w:val="24"/>
          <w:szCs w:val="24"/>
        </w:rPr>
        <w:t xml:space="preserve">Table </w:t>
      </w:r>
      <w:r w:rsidR="000A659B" w:rsidRPr="00082A41">
        <w:rPr>
          <w:rFonts w:ascii="Times New Roman" w:eastAsia="Times New Roman" w:hAnsi="Times New Roman" w:cs="Times New Roman"/>
          <w:sz w:val="24"/>
          <w:szCs w:val="24"/>
        </w:rPr>
        <w:t>7</w:t>
      </w:r>
      <w:r w:rsidRPr="00082A41">
        <w:rPr>
          <w:rFonts w:ascii="Times New Roman" w:eastAsia="Times New Roman" w:hAnsi="Times New Roman" w:cs="Times New Roman"/>
          <w:sz w:val="24"/>
          <w:szCs w:val="24"/>
        </w:rPr>
        <w:t>: Model Summary of the</w:t>
      </w:r>
      <w:r w:rsidRPr="00082A41">
        <w:rPr>
          <w:rFonts w:ascii="Times New Roman" w:eastAsia="Times New Roman" w:hAnsi="Times New Roman" w:cs="Times New Roman"/>
          <w:sz w:val="24"/>
          <w:szCs w:val="24"/>
          <w:lang w:val="en-GB"/>
        </w:rPr>
        <w:t xml:space="preserve"> governance structures, political interests, institutional frameworks, and decarbonization efforts in Akwa Ibom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82A41" w:rsidRPr="00082A41" w14:paraId="3DD8F727" w14:textId="77777777">
        <w:trPr>
          <w:trHeight w:val="233"/>
        </w:trPr>
        <w:tc>
          <w:tcPr>
            <w:tcW w:w="1870" w:type="dxa"/>
            <w:tcBorders>
              <w:top w:val="single" w:sz="4" w:space="0" w:color="auto"/>
              <w:left w:val="nil"/>
              <w:bottom w:val="single" w:sz="4" w:space="0" w:color="auto"/>
              <w:right w:val="nil"/>
            </w:tcBorders>
            <w:hideMark/>
          </w:tcPr>
          <w:p w14:paraId="347E56D0" w14:textId="77777777" w:rsidR="00623CD4" w:rsidRPr="00082A41" w:rsidRDefault="00623CD4">
            <w:pPr>
              <w:spacing w:after="0" w:line="480" w:lineRule="auto"/>
              <w:jc w:val="both"/>
              <w:rPr>
                <w:rFonts w:ascii="Times New Roman" w:eastAsia="Times New Roman" w:hAnsi="Times New Roman" w:cs="Times New Roman"/>
                <w:sz w:val="24"/>
                <w:szCs w:val="24"/>
              </w:rPr>
            </w:pPr>
            <w:r w:rsidRPr="00082A41">
              <w:rPr>
                <w:rFonts w:ascii="Times New Roman" w:eastAsia="Calibri" w:hAnsi="Times New Roman" w:cs="Times New Roman"/>
                <w:sz w:val="24"/>
                <w:szCs w:val="24"/>
              </w:rPr>
              <w:t>Model</w:t>
            </w:r>
          </w:p>
        </w:tc>
        <w:tc>
          <w:tcPr>
            <w:tcW w:w="1870" w:type="dxa"/>
            <w:tcBorders>
              <w:top w:val="single" w:sz="4" w:space="0" w:color="auto"/>
              <w:left w:val="nil"/>
              <w:bottom w:val="single" w:sz="4" w:space="0" w:color="auto"/>
              <w:right w:val="nil"/>
            </w:tcBorders>
            <w:hideMark/>
          </w:tcPr>
          <w:p w14:paraId="6DD53BC2" w14:textId="77777777" w:rsidR="00623CD4" w:rsidRPr="00082A41" w:rsidRDefault="00623CD4">
            <w:pPr>
              <w:spacing w:after="0" w:line="48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R</w:t>
            </w:r>
          </w:p>
        </w:tc>
        <w:tc>
          <w:tcPr>
            <w:tcW w:w="1870" w:type="dxa"/>
            <w:tcBorders>
              <w:top w:val="single" w:sz="4" w:space="0" w:color="auto"/>
              <w:left w:val="nil"/>
              <w:bottom w:val="single" w:sz="4" w:space="0" w:color="auto"/>
              <w:right w:val="nil"/>
            </w:tcBorders>
            <w:hideMark/>
          </w:tcPr>
          <w:p w14:paraId="28626548" w14:textId="77777777" w:rsidR="00623CD4" w:rsidRPr="00082A41" w:rsidRDefault="00623CD4">
            <w:pPr>
              <w:spacing w:after="0" w:line="48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R Square</w:t>
            </w:r>
          </w:p>
        </w:tc>
        <w:tc>
          <w:tcPr>
            <w:tcW w:w="1870" w:type="dxa"/>
            <w:tcBorders>
              <w:top w:val="single" w:sz="4" w:space="0" w:color="auto"/>
              <w:left w:val="nil"/>
              <w:bottom w:val="single" w:sz="4" w:space="0" w:color="auto"/>
              <w:right w:val="nil"/>
            </w:tcBorders>
            <w:hideMark/>
          </w:tcPr>
          <w:p w14:paraId="61D452E5" w14:textId="77777777" w:rsidR="00623CD4" w:rsidRPr="00082A41" w:rsidRDefault="00623CD4">
            <w:pPr>
              <w:spacing w:after="0"/>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Adjusted R Square</w:t>
            </w:r>
          </w:p>
        </w:tc>
        <w:tc>
          <w:tcPr>
            <w:tcW w:w="1870" w:type="dxa"/>
            <w:tcBorders>
              <w:top w:val="single" w:sz="4" w:space="0" w:color="auto"/>
              <w:left w:val="nil"/>
              <w:bottom w:val="single" w:sz="4" w:space="0" w:color="auto"/>
              <w:right w:val="nil"/>
            </w:tcBorders>
            <w:hideMark/>
          </w:tcPr>
          <w:p w14:paraId="297D0FEE" w14:textId="77777777" w:rsidR="00623CD4" w:rsidRPr="00082A41" w:rsidRDefault="00623CD4">
            <w:pPr>
              <w:spacing w:after="0"/>
              <w:jc w:val="both"/>
              <w:rPr>
                <w:rFonts w:ascii="Times New Roman" w:eastAsia="Times New Roman" w:hAnsi="Times New Roman" w:cs="Times New Roman"/>
                <w:sz w:val="24"/>
                <w:szCs w:val="24"/>
              </w:rPr>
            </w:pPr>
            <w:r w:rsidRPr="00082A41">
              <w:rPr>
                <w:rFonts w:ascii="Times New Roman" w:eastAsia="Calibri" w:hAnsi="Times New Roman" w:cs="Times New Roman"/>
                <w:sz w:val="24"/>
                <w:szCs w:val="24"/>
              </w:rPr>
              <w:t>Std. Error of the Estimate</w:t>
            </w:r>
          </w:p>
        </w:tc>
      </w:tr>
      <w:tr w:rsidR="00082A41" w:rsidRPr="00082A41" w14:paraId="5FCC1E53" w14:textId="77777777">
        <w:tc>
          <w:tcPr>
            <w:tcW w:w="1870" w:type="dxa"/>
            <w:tcBorders>
              <w:top w:val="single" w:sz="4" w:space="0" w:color="auto"/>
              <w:left w:val="nil"/>
              <w:bottom w:val="single" w:sz="4" w:space="0" w:color="auto"/>
              <w:right w:val="nil"/>
            </w:tcBorders>
            <w:hideMark/>
          </w:tcPr>
          <w:p w14:paraId="478E56E7" w14:textId="77777777" w:rsidR="00623CD4" w:rsidRPr="00082A41" w:rsidRDefault="00623CD4">
            <w:pPr>
              <w:spacing w:after="0" w:line="48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1</w:t>
            </w:r>
          </w:p>
        </w:tc>
        <w:tc>
          <w:tcPr>
            <w:tcW w:w="1870" w:type="dxa"/>
            <w:tcBorders>
              <w:top w:val="single" w:sz="4" w:space="0" w:color="auto"/>
              <w:left w:val="nil"/>
              <w:bottom w:val="single" w:sz="4" w:space="0" w:color="auto"/>
              <w:right w:val="nil"/>
            </w:tcBorders>
            <w:hideMark/>
          </w:tcPr>
          <w:p w14:paraId="3AA8BD8D" w14:textId="77777777" w:rsidR="00623CD4" w:rsidRPr="00082A41" w:rsidRDefault="00623CD4">
            <w:pPr>
              <w:spacing w:after="0"/>
              <w:rPr>
                <w:rFonts w:ascii="Times New Roman" w:hAnsi="Times New Roman" w:cs="Times New Roman"/>
                <w:sz w:val="24"/>
                <w:szCs w:val="24"/>
              </w:rPr>
            </w:pPr>
            <w:r w:rsidRPr="00082A41">
              <w:rPr>
                <w:rFonts w:ascii="Times New Roman" w:hAnsi="Times New Roman" w:cs="Times New Roman"/>
                <w:sz w:val="24"/>
                <w:szCs w:val="24"/>
              </w:rPr>
              <w:t>.630</w:t>
            </w:r>
          </w:p>
        </w:tc>
        <w:tc>
          <w:tcPr>
            <w:tcW w:w="1870" w:type="dxa"/>
            <w:tcBorders>
              <w:top w:val="single" w:sz="4" w:space="0" w:color="auto"/>
              <w:left w:val="nil"/>
              <w:bottom w:val="single" w:sz="4" w:space="0" w:color="auto"/>
              <w:right w:val="nil"/>
            </w:tcBorders>
            <w:hideMark/>
          </w:tcPr>
          <w:p w14:paraId="767C97B2" w14:textId="77777777" w:rsidR="00623CD4" w:rsidRPr="00082A41" w:rsidRDefault="00623CD4">
            <w:pPr>
              <w:spacing w:after="0"/>
              <w:rPr>
                <w:rFonts w:ascii="Times New Roman" w:hAnsi="Times New Roman" w:cs="Times New Roman"/>
                <w:sz w:val="24"/>
                <w:szCs w:val="24"/>
              </w:rPr>
            </w:pPr>
            <w:r w:rsidRPr="00082A41">
              <w:rPr>
                <w:rFonts w:ascii="Times New Roman" w:hAnsi="Times New Roman" w:cs="Times New Roman"/>
                <w:sz w:val="24"/>
                <w:szCs w:val="24"/>
              </w:rPr>
              <w:t>.397</w:t>
            </w:r>
          </w:p>
        </w:tc>
        <w:tc>
          <w:tcPr>
            <w:tcW w:w="1870" w:type="dxa"/>
            <w:tcBorders>
              <w:top w:val="single" w:sz="4" w:space="0" w:color="auto"/>
              <w:left w:val="nil"/>
              <w:bottom w:val="single" w:sz="4" w:space="0" w:color="auto"/>
              <w:right w:val="nil"/>
            </w:tcBorders>
            <w:hideMark/>
          </w:tcPr>
          <w:p w14:paraId="24D480D3" w14:textId="77777777" w:rsidR="00623CD4" w:rsidRPr="00082A41" w:rsidRDefault="00623CD4">
            <w:pPr>
              <w:spacing w:after="0"/>
              <w:rPr>
                <w:rFonts w:ascii="Times New Roman" w:hAnsi="Times New Roman" w:cs="Times New Roman"/>
                <w:sz w:val="24"/>
                <w:szCs w:val="24"/>
              </w:rPr>
            </w:pPr>
            <w:r w:rsidRPr="00082A41">
              <w:rPr>
                <w:rFonts w:ascii="Times New Roman" w:hAnsi="Times New Roman" w:cs="Times New Roman"/>
                <w:sz w:val="24"/>
                <w:szCs w:val="24"/>
              </w:rPr>
              <w:t>.393</w:t>
            </w:r>
          </w:p>
        </w:tc>
        <w:tc>
          <w:tcPr>
            <w:tcW w:w="1870" w:type="dxa"/>
            <w:tcBorders>
              <w:top w:val="single" w:sz="4" w:space="0" w:color="auto"/>
              <w:left w:val="nil"/>
              <w:bottom w:val="single" w:sz="4" w:space="0" w:color="auto"/>
              <w:right w:val="nil"/>
            </w:tcBorders>
            <w:hideMark/>
          </w:tcPr>
          <w:p w14:paraId="075EED8E" w14:textId="77777777" w:rsidR="00623CD4" w:rsidRPr="00082A41" w:rsidRDefault="00623CD4">
            <w:pPr>
              <w:spacing w:after="0"/>
              <w:rPr>
                <w:rFonts w:ascii="Times New Roman" w:hAnsi="Times New Roman" w:cs="Times New Roman"/>
                <w:sz w:val="24"/>
                <w:szCs w:val="24"/>
              </w:rPr>
            </w:pPr>
            <w:r w:rsidRPr="00082A41">
              <w:rPr>
                <w:rFonts w:ascii="Times New Roman" w:hAnsi="Times New Roman" w:cs="Times New Roman"/>
                <w:sz w:val="24"/>
                <w:szCs w:val="24"/>
              </w:rPr>
              <w:t>.47696</w:t>
            </w:r>
          </w:p>
        </w:tc>
      </w:tr>
    </w:tbl>
    <w:p w14:paraId="34B449C5" w14:textId="77777777" w:rsidR="00623CD4" w:rsidRPr="00082A41" w:rsidRDefault="00623CD4" w:rsidP="00623CD4">
      <w:pPr>
        <w:pStyle w:val="ListParagraph"/>
        <w:numPr>
          <w:ilvl w:val="0"/>
          <w:numId w:val="7"/>
        </w:numPr>
        <w:spacing w:after="0"/>
        <w:jc w:val="both"/>
        <w:rPr>
          <w:rFonts w:ascii="Times New Roman" w:eastAsia="Times New Roman" w:hAnsi="Times New Roman" w:cs="Times New Roman"/>
          <w:sz w:val="24"/>
          <w:szCs w:val="24"/>
        </w:rPr>
      </w:pPr>
      <w:r w:rsidRPr="00082A41">
        <w:rPr>
          <w:rFonts w:ascii="Times New Roman" w:eastAsia="Calibri" w:hAnsi="Times New Roman" w:cs="Times New Roman"/>
          <w:i/>
        </w:rPr>
        <w:t>Predictors: (Constant), Stakeholder perceptions/roles</w:t>
      </w:r>
    </w:p>
    <w:p w14:paraId="037EC876" w14:textId="77777777" w:rsidR="00623CD4" w:rsidRPr="00082A41" w:rsidRDefault="00623CD4" w:rsidP="00623CD4">
      <w:pPr>
        <w:spacing w:line="480" w:lineRule="auto"/>
        <w:jc w:val="both"/>
        <w:rPr>
          <w:rFonts w:ascii="Times New Roman" w:eastAsia="Times New Roman" w:hAnsi="Times New Roman" w:cs="Times New Roman"/>
          <w:sz w:val="24"/>
          <w:szCs w:val="24"/>
        </w:rPr>
      </w:pPr>
    </w:p>
    <w:p w14:paraId="1B620CC8" w14:textId="73B069EF" w:rsidR="000A659B" w:rsidRPr="00082A41" w:rsidRDefault="00273869" w:rsidP="00273869">
      <w:pPr>
        <w:spacing w:line="36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 xml:space="preserve">Coefficient of Determination (R²): 0.397. This means that 39.7% of the variation in the decarbonization measures taken in Akwa Ibom </w:t>
      </w:r>
      <w:r w:rsidR="00CC3834" w:rsidRPr="00082A41">
        <w:rPr>
          <w:rFonts w:ascii="Times New Roman" w:eastAsia="Times New Roman" w:hAnsi="Times New Roman" w:cs="Times New Roman"/>
          <w:sz w:val="24"/>
          <w:szCs w:val="24"/>
        </w:rPr>
        <w:t>S</w:t>
      </w:r>
      <w:r w:rsidRPr="00082A41">
        <w:rPr>
          <w:rFonts w:ascii="Times New Roman" w:eastAsia="Times New Roman" w:hAnsi="Times New Roman" w:cs="Times New Roman"/>
          <w:sz w:val="24"/>
          <w:szCs w:val="24"/>
        </w:rPr>
        <w:t xml:space="preserve">tate can be attributed to the variations in the predictor variable (Stakeholders’ roles/perceptions, consisting of the government, the communities, and the business entities). Consequently, 39.7% of the variation in the decarbonization measures in Akwa Ibom </w:t>
      </w:r>
      <w:r w:rsidR="00CC3834" w:rsidRPr="00082A41">
        <w:rPr>
          <w:rFonts w:ascii="Times New Roman" w:eastAsia="Times New Roman" w:hAnsi="Times New Roman" w:cs="Times New Roman"/>
          <w:sz w:val="24"/>
          <w:szCs w:val="24"/>
        </w:rPr>
        <w:t>S</w:t>
      </w:r>
      <w:r w:rsidRPr="00082A41">
        <w:rPr>
          <w:rFonts w:ascii="Times New Roman" w:eastAsia="Times New Roman" w:hAnsi="Times New Roman" w:cs="Times New Roman"/>
          <w:sz w:val="24"/>
          <w:szCs w:val="24"/>
        </w:rPr>
        <w:t>tate can be attributed to stakeholders’ roles/perceptions.</w:t>
      </w:r>
    </w:p>
    <w:p w14:paraId="2944ABBF" w14:textId="77777777" w:rsidR="000A659B" w:rsidRPr="00082A41" w:rsidRDefault="000A659B" w:rsidP="001934E1">
      <w:pPr>
        <w:spacing w:line="360" w:lineRule="auto"/>
        <w:jc w:val="both"/>
        <w:rPr>
          <w:rFonts w:ascii="Times New Roman" w:eastAsia="Times New Roman" w:hAnsi="Times New Roman" w:cs="Times New Roman"/>
          <w:b/>
          <w:bCs/>
          <w:sz w:val="24"/>
          <w:szCs w:val="24"/>
        </w:rPr>
      </w:pPr>
    </w:p>
    <w:p w14:paraId="73424D2E" w14:textId="51DCE817" w:rsidR="00623CD4" w:rsidRPr="00082A41" w:rsidRDefault="00623CD4" w:rsidP="001934E1">
      <w:pPr>
        <w:spacing w:line="360" w:lineRule="auto"/>
        <w:jc w:val="both"/>
        <w:rPr>
          <w:rFonts w:ascii="Times New Roman" w:eastAsia="Times New Roman" w:hAnsi="Times New Roman" w:cs="Times New Roman"/>
          <w:sz w:val="24"/>
          <w:szCs w:val="21"/>
          <w:lang w:val="en-GB"/>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8</w:t>
      </w:r>
      <w:r w:rsidR="00CC3834" w:rsidRPr="00082A41">
        <w:rPr>
          <w:rFonts w:ascii="Times New Roman" w:eastAsia="Times New Roman" w:hAnsi="Times New Roman" w:cs="Times New Roman"/>
          <w:b/>
          <w:bCs/>
          <w:sz w:val="24"/>
          <w:szCs w:val="24"/>
        </w:rPr>
        <w:t>:</w:t>
      </w:r>
      <w:r w:rsidRPr="00082A41">
        <w:rPr>
          <w:rFonts w:ascii="Times New Roman" w:eastAsia="Times New Roman" w:hAnsi="Times New Roman" w:cs="Times New Roman"/>
          <w:sz w:val="24"/>
          <w:szCs w:val="24"/>
        </w:rPr>
        <w:t xml:space="preserve"> Analysis of variance of regression of the</w:t>
      </w:r>
      <w:r w:rsidRPr="00082A41">
        <w:rPr>
          <w:rFonts w:ascii="Times New Roman" w:eastAsia="Times New Roman" w:hAnsi="Times New Roman" w:cs="Times New Roman"/>
          <w:sz w:val="24"/>
          <w:szCs w:val="24"/>
          <w:lang w:val="en-GB"/>
        </w:rPr>
        <w:t xml:space="preserve"> governance structures, political interests, institutional frameworks, and decarbonization efforts in Akwa Ibom State, Nigeria.</w:t>
      </w:r>
    </w:p>
    <w:tbl>
      <w:tblPr>
        <w:tblStyle w:val="TableGrid3"/>
        <w:tblW w:w="9742" w:type="dxa"/>
        <w:tblInd w:w="-108" w:type="dxa"/>
        <w:tblLook w:val="04A0" w:firstRow="1" w:lastRow="0" w:firstColumn="1" w:lastColumn="0" w:noHBand="0" w:noVBand="1"/>
      </w:tblPr>
      <w:tblGrid>
        <w:gridCol w:w="888"/>
        <w:gridCol w:w="1358"/>
        <w:gridCol w:w="1853"/>
        <w:gridCol w:w="1258"/>
        <w:gridCol w:w="1863"/>
        <w:gridCol w:w="1410"/>
        <w:gridCol w:w="1112"/>
      </w:tblGrid>
      <w:tr w:rsidR="00082A41" w:rsidRPr="00082A41" w14:paraId="3B8C96D2" w14:textId="77777777">
        <w:trPr>
          <w:trHeight w:val="458"/>
        </w:trPr>
        <w:tc>
          <w:tcPr>
            <w:tcW w:w="888" w:type="dxa"/>
            <w:tcBorders>
              <w:top w:val="single" w:sz="4" w:space="0" w:color="000000"/>
              <w:left w:val="nil"/>
              <w:bottom w:val="single" w:sz="4" w:space="0" w:color="000000"/>
              <w:right w:val="nil"/>
            </w:tcBorders>
          </w:tcPr>
          <w:p w14:paraId="5197DCCA" w14:textId="77777777" w:rsidR="00623CD4" w:rsidRPr="00082A41" w:rsidRDefault="00623CD4">
            <w:pPr>
              <w:spacing w:after="0" w:line="240" w:lineRule="auto"/>
              <w:jc w:val="center"/>
              <w:rPr>
                <w:rFonts w:ascii="Times New Roman" w:hAnsi="Times New Roman" w:cs="Times New Roman"/>
                <w:sz w:val="24"/>
                <w:szCs w:val="24"/>
              </w:rPr>
            </w:pPr>
          </w:p>
          <w:p w14:paraId="49FE0D9F"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Model</w:t>
            </w:r>
          </w:p>
        </w:tc>
        <w:tc>
          <w:tcPr>
            <w:tcW w:w="1358" w:type="dxa"/>
            <w:tcBorders>
              <w:top w:val="single" w:sz="4" w:space="0" w:color="000000"/>
              <w:left w:val="nil"/>
              <w:bottom w:val="single" w:sz="4" w:space="0" w:color="000000"/>
              <w:right w:val="nil"/>
            </w:tcBorders>
          </w:tcPr>
          <w:p w14:paraId="325D573E" w14:textId="77777777" w:rsidR="00623CD4" w:rsidRPr="00082A41" w:rsidRDefault="00623CD4">
            <w:pPr>
              <w:spacing w:after="0" w:line="240" w:lineRule="auto"/>
              <w:jc w:val="center"/>
              <w:rPr>
                <w:rFonts w:ascii="Times New Roman" w:hAnsi="Times New Roman" w:cs="Times New Roman"/>
                <w:sz w:val="24"/>
                <w:szCs w:val="24"/>
              </w:rPr>
            </w:pPr>
          </w:p>
        </w:tc>
        <w:tc>
          <w:tcPr>
            <w:tcW w:w="1853" w:type="dxa"/>
            <w:tcBorders>
              <w:top w:val="single" w:sz="4" w:space="0" w:color="000000"/>
              <w:left w:val="nil"/>
              <w:bottom w:val="single" w:sz="4" w:space="0" w:color="000000"/>
              <w:right w:val="nil"/>
            </w:tcBorders>
          </w:tcPr>
          <w:p w14:paraId="41E8AE21" w14:textId="77777777" w:rsidR="00623CD4" w:rsidRPr="00082A41" w:rsidRDefault="00623CD4">
            <w:pPr>
              <w:spacing w:after="0" w:line="240" w:lineRule="auto"/>
              <w:jc w:val="center"/>
              <w:rPr>
                <w:rFonts w:ascii="Times New Roman" w:hAnsi="Times New Roman" w:cs="Times New Roman"/>
                <w:sz w:val="24"/>
                <w:szCs w:val="24"/>
              </w:rPr>
            </w:pPr>
          </w:p>
          <w:p w14:paraId="166D0234"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Sum of Squares</w:t>
            </w:r>
          </w:p>
        </w:tc>
        <w:tc>
          <w:tcPr>
            <w:tcW w:w="1258" w:type="dxa"/>
            <w:tcBorders>
              <w:top w:val="single" w:sz="4" w:space="0" w:color="000000"/>
              <w:left w:val="nil"/>
              <w:bottom w:val="single" w:sz="4" w:space="0" w:color="000000"/>
              <w:right w:val="nil"/>
            </w:tcBorders>
          </w:tcPr>
          <w:p w14:paraId="6EFA530A" w14:textId="77777777" w:rsidR="00623CD4" w:rsidRPr="00082A41" w:rsidRDefault="00623CD4">
            <w:pPr>
              <w:spacing w:after="0" w:line="240" w:lineRule="auto"/>
              <w:jc w:val="center"/>
              <w:rPr>
                <w:rFonts w:ascii="Times New Roman" w:hAnsi="Times New Roman" w:cs="Times New Roman"/>
                <w:sz w:val="24"/>
                <w:szCs w:val="24"/>
              </w:rPr>
            </w:pPr>
          </w:p>
          <w:p w14:paraId="145091C9" w14:textId="77777777" w:rsidR="00623CD4" w:rsidRPr="00082A41" w:rsidRDefault="00623CD4">
            <w:pPr>
              <w:spacing w:after="0" w:line="240" w:lineRule="auto"/>
              <w:jc w:val="center"/>
              <w:rPr>
                <w:rFonts w:ascii="Times New Roman" w:hAnsi="Times New Roman" w:cs="Times New Roman"/>
                <w:sz w:val="24"/>
                <w:szCs w:val="24"/>
              </w:rPr>
            </w:pPr>
            <w:proofErr w:type="spellStart"/>
            <w:r w:rsidRPr="00082A41">
              <w:rPr>
                <w:rFonts w:ascii="Times New Roman" w:hAnsi="Times New Roman" w:cs="Times New Roman"/>
                <w:sz w:val="24"/>
                <w:szCs w:val="24"/>
              </w:rPr>
              <w:t>df</w:t>
            </w:r>
            <w:proofErr w:type="spellEnd"/>
          </w:p>
        </w:tc>
        <w:tc>
          <w:tcPr>
            <w:tcW w:w="1863" w:type="dxa"/>
            <w:tcBorders>
              <w:top w:val="single" w:sz="4" w:space="0" w:color="000000"/>
              <w:left w:val="nil"/>
              <w:bottom w:val="single" w:sz="4" w:space="0" w:color="000000"/>
              <w:right w:val="nil"/>
            </w:tcBorders>
          </w:tcPr>
          <w:p w14:paraId="71F575E7" w14:textId="77777777" w:rsidR="00623CD4" w:rsidRPr="00082A41" w:rsidRDefault="00623CD4">
            <w:pPr>
              <w:spacing w:after="0" w:line="240" w:lineRule="auto"/>
              <w:jc w:val="center"/>
              <w:rPr>
                <w:rFonts w:ascii="Times New Roman" w:hAnsi="Times New Roman" w:cs="Times New Roman"/>
                <w:sz w:val="24"/>
                <w:szCs w:val="24"/>
              </w:rPr>
            </w:pPr>
          </w:p>
          <w:p w14:paraId="70B90D5C"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Mean Square</w:t>
            </w:r>
          </w:p>
        </w:tc>
        <w:tc>
          <w:tcPr>
            <w:tcW w:w="1410" w:type="dxa"/>
            <w:tcBorders>
              <w:top w:val="single" w:sz="4" w:space="0" w:color="000000"/>
              <w:left w:val="nil"/>
              <w:bottom w:val="single" w:sz="4" w:space="0" w:color="000000"/>
              <w:right w:val="nil"/>
            </w:tcBorders>
          </w:tcPr>
          <w:p w14:paraId="064278BD" w14:textId="77777777" w:rsidR="00623CD4" w:rsidRPr="00082A41" w:rsidRDefault="00623CD4">
            <w:pPr>
              <w:spacing w:after="0" w:line="240" w:lineRule="auto"/>
              <w:jc w:val="center"/>
              <w:rPr>
                <w:rFonts w:ascii="Times New Roman" w:hAnsi="Times New Roman" w:cs="Times New Roman"/>
                <w:sz w:val="24"/>
                <w:szCs w:val="24"/>
              </w:rPr>
            </w:pPr>
          </w:p>
          <w:p w14:paraId="3F1E96F1"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F</w:t>
            </w:r>
          </w:p>
        </w:tc>
        <w:tc>
          <w:tcPr>
            <w:tcW w:w="1112" w:type="dxa"/>
            <w:tcBorders>
              <w:top w:val="single" w:sz="4" w:space="0" w:color="000000"/>
              <w:left w:val="nil"/>
              <w:bottom w:val="single" w:sz="4" w:space="0" w:color="000000"/>
              <w:right w:val="nil"/>
            </w:tcBorders>
          </w:tcPr>
          <w:p w14:paraId="139182CE" w14:textId="77777777" w:rsidR="00623CD4" w:rsidRPr="00082A41" w:rsidRDefault="00623CD4">
            <w:pPr>
              <w:spacing w:after="0" w:line="240" w:lineRule="auto"/>
              <w:jc w:val="center"/>
              <w:rPr>
                <w:rFonts w:ascii="Times New Roman" w:hAnsi="Times New Roman" w:cs="Times New Roman"/>
                <w:sz w:val="24"/>
                <w:szCs w:val="24"/>
              </w:rPr>
            </w:pPr>
          </w:p>
          <w:p w14:paraId="5053D7DA"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Sig.</w:t>
            </w:r>
          </w:p>
        </w:tc>
      </w:tr>
      <w:tr w:rsidR="00082A41" w:rsidRPr="00082A41" w14:paraId="49FCEC39" w14:textId="77777777">
        <w:trPr>
          <w:trHeight w:val="412"/>
        </w:trPr>
        <w:tc>
          <w:tcPr>
            <w:tcW w:w="888" w:type="dxa"/>
            <w:tcBorders>
              <w:top w:val="single" w:sz="4" w:space="0" w:color="000000"/>
              <w:left w:val="nil"/>
              <w:bottom w:val="nil"/>
              <w:right w:val="nil"/>
            </w:tcBorders>
          </w:tcPr>
          <w:p w14:paraId="1B82BADA" w14:textId="77777777" w:rsidR="00623CD4" w:rsidRPr="00082A41" w:rsidRDefault="00623CD4">
            <w:pPr>
              <w:spacing w:after="0" w:line="240" w:lineRule="auto"/>
              <w:rPr>
                <w:rFonts w:ascii="Times New Roman" w:hAnsi="Times New Roman" w:cs="Times New Roman"/>
                <w:sz w:val="24"/>
                <w:szCs w:val="24"/>
              </w:rPr>
            </w:pPr>
          </w:p>
        </w:tc>
        <w:tc>
          <w:tcPr>
            <w:tcW w:w="1358" w:type="dxa"/>
            <w:tcBorders>
              <w:top w:val="single" w:sz="4" w:space="0" w:color="000000"/>
              <w:left w:val="nil"/>
              <w:bottom w:val="nil"/>
              <w:right w:val="nil"/>
            </w:tcBorders>
            <w:hideMark/>
          </w:tcPr>
          <w:p w14:paraId="0146F865" w14:textId="77777777" w:rsidR="00623CD4" w:rsidRPr="00082A41" w:rsidRDefault="00623CD4">
            <w:pPr>
              <w:spacing w:after="0" w:line="240" w:lineRule="auto"/>
              <w:jc w:val="both"/>
              <w:rPr>
                <w:rFonts w:ascii="Times New Roman" w:hAnsi="Times New Roman" w:cs="Times New Roman"/>
                <w:sz w:val="24"/>
                <w:szCs w:val="24"/>
              </w:rPr>
            </w:pPr>
            <w:r w:rsidRPr="00082A41">
              <w:rPr>
                <w:rFonts w:ascii="Times New Roman" w:hAnsi="Times New Roman" w:cs="Times New Roman"/>
                <w:sz w:val="24"/>
                <w:szCs w:val="24"/>
              </w:rPr>
              <w:t>Regression</w:t>
            </w:r>
          </w:p>
        </w:tc>
        <w:tc>
          <w:tcPr>
            <w:tcW w:w="1853" w:type="dxa"/>
            <w:tcBorders>
              <w:top w:val="single" w:sz="4" w:space="0" w:color="000000"/>
              <w:left w:val="nil"/>
              <w:bottom w:val="nil"/>
              <w:right w:val="nil"/>
            </w:tcBorders>
            <w:hideMark/>
          </w:tcPr>
          <w:p w14:paraId="1AB3DAD7"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22.205</w:t>
            </w:r>
          </w:p>
        </w:tc>
        <w:tc>
          <w:tcPr>
            <w:tcW w:w="1258" w:type="dxa"/>
            <w:tcBorders>
              <w:top w:val="single" w:sz="4" w:space="0" w:color="000000"/>
              <w:left w:val="nil"/>
              <w:bottom w:val="nil"/>
              <w:right w:val="nil"/>
            </w:tcBorders>
            <w:hideMark/>
          </w:tcPr>
          <w:p w14:paraId="00DF1AAA"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1</w:t>
            </w:r>
          </w:p>
        </w:tc>
        <w:tc>
          <w:tcPr>
            <w:tcW w:w="1863" w:type="dxa"/>
            <w:tcBorders>
              <w:top w:val="single" w:sz="4" w:space="0" w:color="000000"/>
              <w:left w:val="nil"/>
              <w:bottom w:val="nil"/>
              <w:right w:val="nil"/>
            </w:tcBorders>
            <w:hideMark/>
          </w:tcPr>
          <w:p w14:paraId="0A0E9F59"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22.205</w:t>
            </w:r>
          </w:p>
        </w:tc>
        <w:tc>
          <w:tcPr>
            <w:tcW w:w="1410" w:type="dxa"/>
            <w:tcBorders>
              <w:top w:val="single" w:sz="4" w:space="0" w:color="000000"/>
              <w:left w:val="nil"/>
              <w:bottom w:val="nil"/>
              <w:right w:val="nil"/>
            </w:tcBorders>
            <w:hideMark/>
          </w:tcPr>
          <w:p w14:paraId="6E03E246"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97.609</w:t>
            </w:r>
          </w:p>
        </w:tc>
        <w:tc>
          <w:tcPr>
            <w:tcW w:w="1112" w:type="dxa"/>
            <w:tcBorders>
              <w:top w:val="single" w:sz="4" w:space="0" w:color="000000"/>
              <w:left w:val="nil"/>
              <w:bottom w:val="nil"/>
              <w:right w:val="nil"/>
            </w:tcBorders>
            <w:hideMark/>
          </w:tcPr>
          <w:p w14:paraId="260C8953"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.000</w:t>
            </w:r>
          </w:p>
        </w:tc>
      </w:tr>
      <w:tr w:rsidR="00082A41" w:rsidRPr="00082A41" w14:paraId="4AC4FFF9" w14:textId="77777777">
        <w:trPr>
          <w:trHeight w:val="360"/>
        </w:trPr>
        <w:tc>
          <w:tcPr>
            <w:tcW w:w="888" w:type="dxa"/>
            <w:tcBorders>
              <w:top w:val="nil"/>
              <w:left w:val="nil"/>
              <w:bottom w:val="nil"/>
              <w:right w:val="nil"/>
            </w:tcBorders>
          </w:tcPr>
          <w:p w14:paraId="06FF33F5" w14:textId="77777777" w:rsidR="00623CD4" w:rsidRPr="00082A41" w:rsidRDefault="00623CD4">
            <w:pPr>
              <w:spacing w:after="0" w:line="240" w:lineRule="auto"/>
              <w:jc w:val="center"/>
              <w:rPr>
                <w:rFonts w:ascii="Times New Roman" w:hAnsi="Times New Roman" w:cs="Times New Roman"/>
                <w:sz w:val="24"/>
                <w:szCs w:val="24"/>
              </w:rPr>
            </w:pPr>
          </w:p>
        </w:tc>
        <w:tc>
          <w:tcPr>
            <w:tcW w:w="1358" w:type="dxa"/>
            <w:tcBorders>
              <w:top w:val="nil"/>
              <w:left w:val="nil"/>
              <w:bottom w:val="nil"/>
              <w:right w:val="nil"/>
            </w:tcBorders>
            <w:hideMark/>
          </w:tcPr>
          <w:p w14:paraId="0778EB0A" w14:textId="77777777" w:rsidR="00623CD4" w:rsidRPr="00082A41" w:rsidRDefault="00623CD4">
            <w:pPr>
              <w:spacing w:after="0" w:line="240" w:lineRule="auto"/>
              <w:jc w:val="both"/>
              <w:rPr>
                <w:rFonts w:ascii="Times New Roman" w:hAnsi="Times New Roman" w:cs="Times New Roman"/>
                <w:sz w:val="24"/>
                <w:szCs w:val="24"/>
              </w:rPr>
            </w:pPr>
            <w:r w:rsidRPr="00082A41">
              <w:rPr>
                <w:rFonts w:ascii="Times New Roman" w:hAnsi="Times New Roman" w:cs="Times New Roman"/>
                <w:sz w:val="24"/>
                <w:szCs w:val="24"/>
              </w:rPr>
              <w:t>Residual</w:t>
            </w:r>
          </w:p>
        </w:tc>
        <w:tc>
          <w:tcPr>
            <w:tcW w:w="1853" w:type="dxa"/>
            <w:tcBorders>
              <w:top w:val="nil"/>
              <w:left w:val="nil"/>
              <w:bottom w:val="nil"/>
              <w:right w:val="nil"/>
            </w:tcBorders>
            <w:hideMark/>
          </w:tcPr>
          <w:p w14:paraId="44DD987A"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33.668</w:t>
            </w:r>
          </w:p>
        </w:tc>
        <w:tc>
          <w:tcPr>
            <w:tcW w:w="1258" w:type="dxa"/>
            <w:tcBorders>
              <w:top w:val="nil"/>
              <w:left w:val="nil"/>
              <w:bottom w:val="nil"/>
              <w:right w:val="nil"/>
            </w:tcBorders>
            <w:hideMark/>
          </w:tcPr>
          <w:p w14:paraId="042F62DB"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148</w:t>
            </w:r>
          </w:p>
        </w:tc>
        <w:tc>
          <w:tcPr>
            <w:tcW w:w="1863" w:type="dxa"/>
            <w:tcBorders>
              <w:top w:val="nil"/>
              <w:left w:val="nil"/>
              <w:bottom w:val="nil"/>
              <w:right w:val="nil"/>
            </w:tcBorders>
            <w:hideMark/>
          </w:tcPr>
          <w:p w14:paraId="28F01991"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.227</w:t>
            </w:r>
          </w:p>
        </w:tc>
        <w:tc>
          <w:tcPr>
            <w:tcW w:w="1410" w:type="dxa"/>
            <w:tcBorders>
              <w:top w:val="nil"/>
              <w:left w:val="nil"/>
              <w:bottom w:val="nil"/>
              <w:right w:val="nil"/>
            </w:tcBorders>
          </w:tcPr>
          <w:p w14:paraId="1E119762" w14:textId="77777777" w:rsidR="00623CD4" w:rsidRPr="00082A41" w:rsidRDefault="00623CD4">
            <w:pPr>
              <w:spacing w:after="0" w:line="240" w:lineRule="auto"/>
              <w:jc w:val="center"/>
              <w:rPr>
                <w:rFonts w:ascii="Times New Roman" w:hAnsi="Times New Roman" w:cs="Times New Roman"/>
                <w:sz w:val="24"/>
                <w:szCs w:val="24"/>
              </w:rPr>
            </w:pPr>
          </w:p>
        </w:tc>
        <w:tc>
          <w:tcPr>
            <w:tcW w:w="1112" w:type="dxa"/>
            <w:tcBorders>
              <w:top w:val="nil"/>
              <w:left w:val="nil"/>
              <w:bottom w:val="nil"/>
              <w:right w:val="nil"/>
            </w:tcBorders>
          </w:tcPr>
          <w:p w14:paraId="23E95DED" w14:textId="77777777" w:rsidR="00623CD4" w:rsidRPr="00082A41" w:rsidRDefault="00623CD4">
            <w:pPr>
              <w:spacing w:after="0" w:line="240" w:lineRule="auto"/>
              <w:jc w:val="center"/>
              <w:rPr>
                <w:rFonts w:ascii="Times New Roman" w:hAnsi="Times New Roman" w:cs="Times New Roman"/>
                <w:sz w:val="24"/>
                <w:szCs w:val="24"/>
              </w:rPr>
            </w:pPr>
          </w:p>
        </w:tc>
      </w:tr>
      <w:tr w:rsidR="00082A41" w:rsidRPr="00082A41" w14:paraId="631AE12D" w14:textId="77777777">
        <w:trPr>
          <w:trHeight w:val="428"/>
        </w:trPr>
        <w:tc>
          <w:tcPr>
            <w:tcW w:w="888" w:type="dxa"/>
            <w:tcBorders>
              <w:top w:val="nil"/>
              <w:left w:val="nil"/>
              <w:bottom w:val="single" w:sz="4" w:space="0" w:color="000000"/>
              <w:right w:val="nil"/>
            </w:tcBorders>
          </w:tcPr>
          <w:p w14:paraId="029CDA1D" w14:textId="77777777" w:rsidR="00623CD4" w:rsidRPr="00082A41" w:rsidRDefault="00623CD4">
            <w:pPr>
              <w:spacing w:after="0" w:line="240" w:lineRule="auto"/>
              <w:jc w:val="center"/>
              <w:rPr>
                <w:rFonts w:ascii="Times New Roman" w:hAnsi="Times New Roman" w:cs="Times New Roman"/>
                <w:sz w:val="24"/>
                <w:szCs w:val="24"/>
              </w:rPr>
            </w:pPr>
          </w:p>
        </w:tc>
        <w:tc>
          <w:tcPr>
            <w:tcW w:w="1358" w:type="dxa"/>
            <w:tcBorders>
              <w:top w:val="nil"/>
              <w:left w:val="nil"/>
              <w:bottom w:val="single" w:sz="4" w:space="0" w:color="000000"/>
              <w:right w:val="nil"/>
            </w:tcBorders>
            <w:hideMark/>
          </w:tcPr>
          <w:p w14:paraId="5668382A" w14:textId="77777777" w:rsidR="00623CD4" w:rsidRPr="00082A41" w:rsidRDefault="00623CD4">
            <w:pPr>
              <w:spacing w:after="0" w:line="240" w:lineRule="auto"/>
              <w:jc w:val="both"/>
              <w:rPr>
                <w:rFonts w:ascii="Times New Roman" w:hAnsi="Times New Roman" w:cs="Times New Roman"/>
                <w:sz w:val="24"/>
                <w:szCs w:val="24"/>
              </w:rPr>
            </w:pPr>
            <w:r w:rsidRPr="00082A41">
              <w:rPr>
                <w:rFonts w:ascii="Times New Roman" w:hAnsi="Times New Roman" w:cs="Times New Roman"/>
                <w:sz w:val="24"/>
                <w:szCs w:val="24"/>
              </w:rPr>
              <w:t>Total</w:t>
            </w:r>
          </w:p>
        </w:tc>
        <w:tc>
          <w:tcPr>
            <w:tcW w:w="1853" w:type="dxa"/>
            <w:tcBorders>
              <w:top w:val="nil"/>
              <w:left w:val="nil"/>
              <w:bottom w:val="single" w:sz="4" w:space="0" w:color="000000"/>
              <w:right w:val="nil"/>
            </w:tcBorders>
            <w:hideMark/>
          </w:tcPr>
          <w:p w14:paraId="773F94D9"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55.873</w:t>
            </w:r>
          </w:p>
        </w:tc>
        <w:tc>
          <w:tcPr>
            <w:tcW w:w="1258" w:type="dxa"/>
            <w:tcBorders>
              <w:top w:val="nil"/>
              <w:left w:val="nil"/>
              <w:bottom w:val="single" w:sz="4" w:space="0" w:color="000000"/>
              <w:right w:val="nil"/>
            </w:tcBorders>
            <w:hideMark/>
          </w:tcPr>
          <w:p w14:paraId="5D3E47C2" w14:textId="77777777" w:rsidR="00623CD4" w:rsidRPr="00082A41" w:rsidRDefault="00623CD4">
            <w:pPr>
              <w:spacing w:after="0" w:line="240" w:lineRule="auto"/>
              <w:jc w:val="center"/>
              <w:rPr>
                <w:rFonts w:ascii="Times New Roman" w:hAnsi="Times New Roman" w:cs="Times New Roman"/>
                <w:sz w:val="24"/>
                <w:szCs w:val="24"/>
              </w:rPr>
            </w:pPr>
            <w:r w:rsidRPr="00082A41">
              <w:rPr>
                <w:rFonts w:ascii="Times New Roman" w:hAnsi="Times New Roman" w:cs="Times New Roman"/>
                <w:sz w:val="24"/>
                <w:szCs w:val="24"/>
              </w:rPr>
              <w:t>149</w:t>
            </w:r>
          </w:p>
        </w:tc>
        <w:tc>
          <w:tcPr>
            <w:tcW w:w="1863" w:type="dxa"/>
            <w:tcBorders>
              <w:top w:val="nil"/>
              <w:left w:val="nil"/>
              <w:bottom w:val="single" w:sz="4" w:space="0" w:color="000000"/>
              <w:right w:val="nil"/>
            </w:tcBorders>
          </w:tcPr>
          <w:p w14:paraId="3953D24A" w14:textId="77777777" w:rsidR="00623CD4" w:rsidRPr="00082A41" w:rsidRDefault="00623CD4">
            <w:pPr>
              <w:spacing w:after="0" w:line="240" w:lineRule="auto"/>
              <w:jc w:val="center"/>
              <w:rPr>
                <w:rFonts w:ascii="Times New Roman" w:hAnsi="Times New Roman" w:cs="Times New Roman"/>
                <w:sz w:val="24"/>
                <w:szCs w:val="24"/>
              </w:rPr>
            </w:pPr>
          </w:p>
        </w:tc>
        <w:tc>
          <w:tcPr>
            <w:tcW w:w="1410" w:type="dxa"/>
            <w:tcBorders>
              <w:top w:val="nil"/>
              <w:left w:val="nil"/>
              <w:bottom w:val="single" w:sz="4" w:space="0" w:color="000000"/>
              <w:right w:val="nil"/>
            </w:tcBorders>
          </w:tcPr>
          <w:p w14:paraId="5FB7418A" w14:textId="77777777" w:rsidR="00623CD4" w:rsidRPr="00082A41" w:rsidRDefault="00623CD4">
            <w:pPr>
              <w:spacing w:after="0" w:line="240" w:lineRule="auto"/>
              <w:jc w:val="center"/>
              <w:rPr>
                <w:rFonts w:ascii="Times New Roman" w:hAnsi="Times New Roman" w:cs="Times New Roman"/>
                <w:sz w:val="24"/>
                <w:szCs w:val="24"/>
              </w:rPr>
            </w:pPr>
          </w:p>
        </w:tc>
        <w:tc>
          <w:tcPr>
            <w:tcW w:w="1112" w:type="dxa"/>
            <w:tcBorders>
              <w:top w:val="nil"/>
              <w:left w:val="nil"/>
              <w:bottom w:val="single" w:sz="4" w:space="0" w:color="000000"/>
              <w:right w:val="nil"/>
            </w:tcBorders>
          </w:tcPr>
          <w:p w14:paraId="145A311D" w14:textId="77777777" w:rsidR="00623CD4" w:rsidRPr="00082A41" w:rsidRDefault="00623CD4">
            <w:pPr>
              <w:spacing w:after="0" w:line="240" w:lineRule="auto"/>
              <w:jc w:val="center"/>
              <w:rPr>
                <w:rFonts w:ascii="Times New Roman" w:hAnsi="Times New Roman" w:cs="Times New Roman"/>
                <w:sz w:val="24"/>
                <w:szCs w:val="24"/>
              </w:rPr>
            </w:pPr>
          </w:p>
        </w:tc>
      </w:tr>
    </w:tbl>
    <w:p w14:paraId="193D6BAB" w14:textId="77777777" w:rsidR="00623CD4" w:rsidRPr="00082A41" w:rsidRDefault="00623CD4" w:rsidP="00623CD4">
      <w:pPr>
        <w:jc w:val="both"/>
        <w:rPr>
          <w:rFonts w:ascii="Times New Roman" w:eastAsia="Calibri" w:hAnsi="Times New Roman" w:cs="Times New Roman"/>
          <w:i/>
        </w:rPr>
      </w:pPr>
      <w:r w:rsidRPr="00082A41">
        <w:rPr>
          <w:rFonts w:ascii="Times New Roman" w:hAnsi="Times New Roman" w:cs="Times New Roman"/>
          <w:i/>
        </w:rPr>
        <w:t>a. Dependent Variable: Decarbonization outcomes</w:t>
      </w:r>
    </w:p>
    <w:p w14:paraId="64583D4F" w14:textId="77777777" w:rsidR="00623CD4" w:rsidRPr="00082A41" w:rsidRDefault="00623CD4" w:rsidP="00623CD4">
      <w:pPr>
        <w:tabs>
          <w:tab w:val="left" w:pos="360"/>
        </w:tabs>
        <w:contextualSpacing/>
        <w:jc w:val="both"/>
        <w:rPr>
          <w:rFonts w:ascii="Times New Roman" w:hAnsi="Times New Roman" w:cs="Times New Roman"/>
          <w:i/>
        </w:rPr>
      </w:pPr>
      <w:r w:rsidRPr="00082A41">
        <w:rPr>
          <w:rFonts w:ascii="Times New Roman" w:hAnsi="Times New Roman" w:cs="Times New Roman"/>
          <w:i/>
        </w:rPr>
        <w:lastRenderedPageBreak/>
        <w:t>b. Predictors: (Constant), Stakeholder perceptions/roles</w:t>
      </w:r>
    </w:p>
    <w:p w14:paraId="2834F6C3" w14:textId="77777777" w:rsidR="00623CD4" w:rsidRPr="00082A41" w:rsidRDefault="00623CD4" w:rsidP="00623CD4">
      <w:pPr>
        <w:spacing w:line="480" w:lineRule="auto"/>
        <w:jc w:val="both"/>
        <w:rPr>
          <w:rFonts w:ascii="Times New Roman" w:eastAsia="Times New Roman" w:hAnsi="Times New Roman" w:cs="Times New Roman"/>
          <w:sz w:val="24"/>
          <w:szCs w:val="24"/>
        </w:rPr>
      </w:pPr>
    </w:p>
    <w:p w14:paraId="716F260A" w14:textId="7A0CFEA9" w:rsidR="00273869" w:rsidRPr="00082A41" w:rsidRDefault="00273869" w:rsidP="00273869">
      <w:pPr>
        <w:spacing w:line="360" w:lineRule="auto"/>
        <w:jc w:val="both"/>
        <w:rPr>
          <w:rFonts w:ascii="Times New Roman" w:eastAsia="Times New Roman" w:hAnsi="Times New Roman" w:cs="Times New Roman"/>
          <w:sz w:val="24"/>
          <w:szCs w:val="24"/>
        </w:rPr>
      </w:pPr>
      <w:r w:rsidRPr="00082A41">
        <w:rPr>
          <w:rFonts w:ascii="Times New Roman" w:eastAsia="Times New Roman" w:hAnsi="Times New Roman" w:cs="Times New Roman"/>
          <w:sz w:val="24"/>
          <w:szCs w:val="24"/>
        </w:rPr>
        <w:t>From Table 8, the value of the F-statistic at 97.609 is statistically significant at the level of 0.000 (p &lt; 0.05). This implies that there is a significant relationship between the results of decarbonization and stakeholders' perception/roles within the study location of Akwa Ibom State. Consequently, the null hypothesis is rejected.</w:t>
      </w:r>
    </w:p>
    <w:p w14:paraId="6B298D95" w14:textId="602E75EE" w:rsidR="00623CD4" w:rsidRPr="00082A41" w:rsidRDefault="00623CD4" w:rsidP="00623CD4">
      <w:pPr>
        <w:spacing w:line="480" w:lineRule="auto"/>
        <w:jc w:val="both"/>
        <w:rPr>
          <w:rFonts w:ascii="Times New Roman" w:hAnsi="Times New Roman" w:cs="Times New Roman"/>
          <w:sz w:val="24"/>
          <w:szCs w:val="24"/>
        </w:rPr>
      </w:pPr>
      <w:r w:rsidRPr="00082A41">
        <w:rPr>
          <w:rFonts w:ascii="Times New Roman" w:eastAsia="Times New Roman" w:hAnsi="Times New Roman" w:cs="Times New Roman"/>
          <w:b/>
          <w:bCs/>
          <w:sz w:val="24"/>
          <w:szCs w:val="24"/>
        </w:rPr>
        <w:t xml:space="preserve">Table </w:t>
      </w:r>
      <w:r w:rsidR="000A659B" w:rsidRPr="00082A41">
        <w:rPr>
          <w:rFonts w:ascii="Times New Roman" w:eastAsia="Times New Roman" w:hAnsi="Times New Roman" w:cs="Times New Roman"/>
          <w:b/>
          <w:bCs/>
          <w:sz w:val="24"/>
          <w:szCs w:val="24"/>
        </w:rPr>
        <w:t>9</w:t>
      </w:r>
      <w:r w:rsidRPr="00082A41">
        <w:rPr>
          <w:rFonts w:ascii="Times New Roman" w:eastAsia="Times New Roman" w:hAnsi="Times New Roman" w:cs="Times New Roman"/>
          <w:b/>
          <w:bCs/>
          <w:sz w:val="24"/>
          <w:szCs w:val="24"/>
        </w:rPr>
        <w:t>:</w:t>
      </w:r>
      <w:r w:rsidRPr="00082A41">
        <w:rPr>
          <w:rFonts w:ascii="Times New Roman" w:eastAsia="Times New Roman" w:hAnsi="Times New Roman" w:cs="Times New Roman"/>
          <w:sz w:val="24"/>
          <w:szCs w:val="24"/>
        </w:rPr>
        <w:t xml:space="preserve"> t-values of regression of the</w:t>
      </w:r>
      <w:r w:rsidRPr="00082A41">
        <w:rPr>
          <w:rFonts w:ascii="Times New Roman" w:eastAsia="Times New Roman" w:hAnsi="Times New Roman" w:cs="Times New Roman"/>
          <w:sz w:val="24"/>
          <w:szCs w:val="24"/>
          <w:lang w:val="en-GB"/>
        </w:rPr>
        <w:t xml:space="preserve"> governance structures, political interests, institutional frameworks, and decarbonization efforts in Akwa Ibom State, Nigeria.</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4"/>
        <w:gridCol w:w="1710"/>
        <w:gridCol w:w="1450"/>
        <w:gridCol w:w="1629"/>
        <w:gridCol w:w="1797"/>
        <w:gridCol w:w="1254"/>
        <w:gridCol w:w="1256"/>
      </w:tblGrid>
      <w:tr w:rsidR="00082A41" w:rsidRPr="00082A41" w14:paraId="3648886C" w14:textId="77777777">
        <w:trPr>
          <w:cantSplit/>
          <w:trHeight w:val="364"/>
        </w:trPr>
        <w:tc>
          <w:tcPr>
            <w:tcW w:w="9896" w:type="dxa"/>
            <w:gridSpan w:val="7"/>
            <w:tcBorders>
              <w:top w:val="single" w:sz="4" w:space="0" w:color="auto"/>
              <w:left w:val="single" w:sz="4" w:space="0" w:color="auto"/>
              <w:bottom w:val="single" w:sz="4" w:space="0" w:color="auto"/>
              <w:right w:val="single" w:sz="4" w:space="0" w:color="auto"/>
            </w:tcBorders>
            <w:vAlign w:val="center"/>
            <w:hideMark/>
          </w:tcPr>
          <w:p w14:paraId="34297A60"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b/>
                <w:bCs/>
                <w:kern w:val="2"/>
                <w14:ligatures w14:val="standardContextual"/>
              </w:rPr>
              <w:t>Coefficients</w:t>
            </w:r>
          </w:p>
        </w:tc>
      </w:tr>
      <w:tr w:rsidR="00082A41" w:rsidRPr="00082A41" w14:paraId="03219B25" w14:textId="77777777" w:rsidTr="00C20422">
        <w:trPr>
          <w:cantSplit/>
          <w:trHeight w:val="242"/>
        </w:trPr>
        <w:tc>
          <w:tcPr>
            <w:tcW w:w="2515"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7A65F05" w14:textId="77777777" w:rsidR="00623CD4" w:rsidRPr="00082A41" w:rsidRDefault="00623CD4">
            <w:pPr>
              <w:autoSpaceDE w:val="0"/>
              <w:autoSpaceDN w:val="0"/>
              <w:adjustRightInd w:val="0"/>
              <w:spacing w:after="0" w:line="320" w:lineRule="atLeast"/>
              <w:ind w:left="60" w:right="60"/>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Model</w:t>
            </w:r>
          </w:p>
        </w:tc>
        <w:tc>
          <w:tcPr>
            <w:tcW w:w="3077" w:type="dxa"/>
            <w:gridSpan w:val="2"/>
            <w:tcBorders>
              <w:top w:val="single" w:sz="4" w:space="0" w:color="auto"/>
              <w:left w:val="single" w:sz="4" w:space="0" w:color="auto"/>
              <w:bottom w:val="single" w:sz="4" w:space="0" w:color="auto"/>
              <w:right w:val="single" w:sz="4" w:space="0" w:color="auto"/>
            </w:tcBorders>
            <w:vAlign w:val="bottom"/>
            <w:hideMark/>
          </w:tcPr>
          <w:p w14:paraId="6497F6BD"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Unstandardized Coefficients</w:t>
            </w:r>
          </w:p>
        </w:tc>
        <w:tc>
          <w:tcPr>
            <w:tcW w:w="1796" w:type="dxa"/>
            <w:tcBorders>
              <w:top w:val="single" w:sz="4" w:space="0" w:color="auto"/>
              <w:left w:val="single" w:sz="4" w:space="0" w:color="auto"/>
              <w:bottom w:val="single" w:sz="4" w:space="0" w:color="auto"/>
              <w:right w:val="single" w:sz="4" w:space="0" w:color="auto"/>
            </w:tcBorders>
            <w:vAlign w:val="bottom"/>
            <w:hideMark/>
          </w:tcPr>
          <w:p w14:paraId="34E1AC25"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Standardized Coefficients</w:t>
            </w:r>
          </w:p>
        </w:tc>
        <w:tc>
          <w:tcPr>
            <w:tcW w:w="1253" w:type="dxa"/>
            <w:vMerge w:val="restart"/>
            <w:tcBorders>
              <w:top w:val="single" w:sz="4" w:space="0" w:color="auto"/>
              <w:left w:val="single" w:sz="4" w:space="0" w:color="auto"/>
              <w:bottom w:val="single" w:sz="4" w:space="0" w:color="auto"/>
              <w:right w:val="single" w:sz="4" w:space="0" w:color="auto"/>
            </w:tcBorders>
            <w:vAlign w:val="bottom"/>
            <w:hideMark/>
          </w:tcPr>
          <w:p w14:paraId="5095C81B"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t</w:t>
            </w:r>
          </w:p>
        </w:tc>
        <w:tc>
          <w:tcPr>
            <w:tcW w:w="1255" w:type="dxa"/>
            <w:vMerge w:val="restart"/>
            <w:tcBorders>
              <w:top w:val="single" w:sz="4" w:space="0" w:color="auto"/>
              <w:left w:val="single" w:sz="4" w:space="0" w:color="auto"/>
              <w:bottom w:val="single" w:sz="4" w:space="0" w:color="auto"/>
              <w:right w:val="single" w:sz="4" w:space="0" w:color="auto"/>
            </w:tcBorders>
            <w:vAlign w:val="bottom"/>
            <w:hideMark/>
          </w:tcPr>
          <w:p w14:paraId="1D2A8449"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Sig.</w:t>
            </w:r>
          </w:p>
        </w:tc>
      </w:tr>
      <w:tr w:rsidR="00082A41" w:rsidRPr="00082A41" w14:paraId="138DFB61" w14:textId="77777777">
        <w:trPr>
          <w:cantSplit/>
          <w:trHeight w:val="166"/>
        </w:trPr>
        <w:tc>
          <w:tcPr>
            <w:tcW w:w="11606" w:type="dxa"/>
            <w:gridSpan w:val="2"/>
            <w:vMerge/>
            <w:tcBorders>
              <w:top w:val="single" w:sz="4" w:space="0" w:color="auto"/>
              <w:left w:val="single" w:sz="4" w:space="0" w:color="auto"/>
              <w:bottom w:val="single" w:sz="4" w:space="0" w:color="auto"/>
              <w:right w:val="single" w:sz="4" w:space="0" w:color="auto"/>
            </w:tcBorders>
            <w:vAlign w:val="center"/>
            <w:hideMark/>
          </w:tcPr>
          <w:p w14:paraId="3B499DE1" w14:textId="77777777" w:rsidR="00623CD4" w:rsidRPr="00082A41" w:rsidRDefault="00623CD4">
            <w:pPr>
              <w:spacing w:after="0"/>
              <w:rPr>
                <w:rFonts w:ascii="Times New Roman" w:hAnsi="Times New Roman" w:cs="Times New Roman"/>
                <w:kern w:val="2"/>
                <w14:ligatures w14:val="standardContextual"/>
              </w:rPr>
            </w:pPr>
          </w:p>
        </w:tc>
        <w:tc>
          <w:tcPr>
            <w:tcW w:w="1449" w:type="dxa"/>
            <w:tcBorders>
              <w:top w:val="single" w:sz="4" w:space="0" w:color="auto"/>
              <w:left w:val="single" w:sz="4" w:space="0" w:color="auto"/>
              <w:bottom w:val="single" w:sz="4" w:space="0" w:color="auto"/>
              <w:right w:val="single" w:sz="4" w:space="0" w:color="auto"/>
            </w:tcBorders>
            <w:vAlign w:val="bottom"/>
            <w:hideMark/>
          </w:tcPr>
          <w:p w14:paraId="123A8681"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B</w:t>
            </w:r>
          </w:p>
        </w:tc>
        <w:tc>
          <w:tcPr>
            <w:tcW w:w="1628" w:type="dxa"/>
            <w:tcBorders>
              <w:top w:val="single" w:sz="4" w:space="0" w:color="auto"/>
              <w:left w:val="single" w:sz="4" w:space="0" w:color="auto"/>
              <w:bottom w:val="single" w:sz="4" w:space="0" w:color="auto"/>
              <w:right w:val="single" w:sz="4" w:space="0" w:color="auto"/>
            </w:tcBorders>
            <w:vAlign w:val="bottom"/>
            <w:hideMark/>
          </w:tcPr>
          <w:p w14:paraId="6A46AB19"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Std. Error</w:t>
            </w:r>
          </w:p>
        </w:tc>
        <w:tc>
          <w:tcPr>
            <w:tcW w:w="1796" w:type="dxa"/>
            <w:tcBorders>
              <w:top w:val="single" w:sz="4" w:space="0" w:color="auto"/>
              <w:left w:val="single" w:sz="4" w:space="0" w:color="auto"/>
              <w:bottom w:val="single" w:sz="4" w:space="0" w:color="auto"/>
              <w:right w:val="single" w:sz="4" w:space="0" w:color="auto"/>
            </w:tcBorders>
            <w:vAlign w:val="bottom"/>
            <w:hideMark/>
          </w:tcPr>
          <w:p w14:paraId="341ECCAD"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Beta</w:t>
            </w: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1C9EE696" w14:textId="77777777" w:rsidR="00623CD4" w:rsidRPr="00082A41" w:rsidRDefault="00623CD4">
            <w:pPr>
              <w:spacing w:after="0"/>
              <w:rPr>
                <w:rFonts w:ascii="Times New Roman" w:hAnsi="Times New Roman" w:cs="Times New Roman"/>
                <w:kern w:val="2"/>
                <w14:ligatures w14:val="standardContextual"/>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700C4E3" w14:textId="77777777" w:rsidR="00623CD4" w:rsidRPr="00082A41" w:rsidRDefault="00623CD4">
            <w:pPr>
              <w:spacing w:after="0"/>
              <w:rPr>
                <w:rFonts w:ascii="Times New Roman" w:hAnsi="Times New Roman" w:cs="Times New Roman"/>
                <w:kern w:val="2"/>
                <w14:ligatures w14:val="standardContextual"/>
              </w:rPr>
            </w:pPr>
          </w:p>
        </w:tc>
      </w:tr>
      <w:tr w:rsidR="00082A41" w:rsidRPr="00082A41" w14:paraId="159C2B85" w14:textId="77777777" w:rsidTr="00C20422">
        <w:trPr>
          <w:cantSplit/>
          <w:trHeight w:val="70"/>
        </w:trPr>
        <w:tc>
          <w:tcPr>
            <w:tcW w:w="805" w:type="dxa"/>
            <w:vMerge w:val="restart"/>
            <w:tcBorders>
              <w:top w:val="single" w:sz="4" w:space="0" w:color="auto"/>
              <w:left w:val="single" w:sz="4" w:space="0" w:color="auto"/>
              <w:bottom w:val="single" w:sz="4" w:space="0" w:color="auto"/>
              <w:right w:val="single" w:sz="4" w:space="0" w:color="auto"/>
            </w:tcBorders>
            <w:hideMark/>
          </w:tcPr>
          <w:p w14:paraId="48F17395" w14:textId="77777777" w:rsidR="00623CD4" w:rsidRPr="00082A41" w:rsidRDefault="00623CD4">
            <w:pPr>
              <w:autoSpaceDE w:val="0"/>
              <w:autoSpaceDN w:val="0"/>
              <w:adjustRightInd w:val="0"/>
              <w:spacing w:after="0" w:line="320" w:lineRule="atLeast"/>
              <w:ind w:left="60" w:right="60"/>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1</w:t>
            </w:r>
          </w:p>
        </w:tc>
        <w:tc>
          <w:tcPr>
            <w:tcW w:w="1710" w:type="dxa"/>
            <w:tcBorders>
              <w:top w:val="single" w:sz="4" w:space="0" w:color="auto"/>
              <w:left w:val="single" w:sz="4" w:space="0" w:color="auto"/>
              <w:bottom w:val="single" w:sz="4" w:space="0" w:color="auto"/>
              <w:right w:val="single" w:sz="4" w:space="0" w:color="auto"/>
            </w:tcBorders>
            <w:hideMark/>
          </w:tcPr>
          <w:p w14:paraId="71EBEF92" w14:textId="77777777" w:rsidR="00623CD4" w:rsidRPr="00082A41" w:rsidRDefault="00623CD4">
            <w:pPr>
              <w:autoSpaceDE w:val="0"/>
              <w:autoSpaceDN w:val="0"/>
              <w:adjustRightInd w:val="0"/>
              <w:spacing w:after="0" w:line="320" w:lineRule="atLeast"/>
              <w:ind w:left="60" w:right="60"/>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(Constant)</w:t>
            </w:r>
          </w:p>
        </w:tc>
        <w:tc>
          <w:tcPr>
            <w:tcW w:w="1449" w:type="dxa"/>
            <w:tcBorders>
              <w:top w:val="single" w:sz="4" w:space="0" w:color="auto"/>
              <w:left w:val="single" w:sz="4" w:space="0" w:color="auto"/>
              <w:bottom w:val="single" w:sz="4" w:space="0" w:color="auto"/>
              <w:right w:val="single" w:sz="4" w:space="0" w:color="auto"/>
            </w:tcBorders>
            <w:hideMark/>
          </w:tcPr>
          <w:p w14:paraId="0352A915"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-1.842</w:t>
            </w:r>
          </w:p>
        </w:tc>
        <w:tc>
          <w:tcPr>
            <w:tcW w:w="1628" w:type="dxa"/>
            <w:tcBorders>
              <w:top w:val="single" w:sz="4" w:space="0" w:color="auto"/>
              <w:left w:val="single" w:sz="4" w:space="0" w:color="auto"/>
              <w:bottom w:val="single" w:sz="4" w:space="0" w:color="auto"/>
              <w:right w:val="single" w:sz="4" w:space="0" w:color="auto"/>
            </w:tcBorders>
            <w:hideMark/>
          </w:tcPr>
          <w:p w14:paraId="152D339E"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.363</w:t>
            </w:r>
          </w:p>
        </w:tc>
        <w:tc>
          <w:tcPr>
            <w:tcW w:w="1796" w:type="dxa"/>
            <w:tcBorders>
              <w:top w:val="single" w:sz="4" w:space="0" w:color="auto"/>
              <w:left w:val="single" w:sz="4" w:space="0" w:color="auto"/>
              <w:bottom w:val="single" w:sz="4" w:space="0" w:color="auto"/>
              <w:right w:val="single" w:sz="4" w:space="0" w:color="auto"/>
            </w:tcBorders>
            <w:vAlign w:val="center"/>
          </w:tcPr>
          <w:p w14:paraId="0221F598" w14:textId="77777777" w:rsidR="00623CD4" w:rsidRPr="00082A41" w:rsidRDefault="00623CD4">
            <w:pPr>
              <w:autoSpaceDE w:val="0"/>
              <w:autoSpaceDN w:val="0"/>
              <w:adjustRightInd w:val="0"/>
              <w:spacing w:after="0" w:line="240" w:lineRule="auto"/>
              <w:jc w:val="center"/>
              <w:rPr>
                <w:rFonts w:ascii="Times New Roman" w:hAnsi="Times New Roman" w:cs="Times New Roman"/>
                <w:kern w:val="2"/>
                <w14:ligatures w14:val="standardContextual"/>
              </w:rPr>
            </w:pPr>
          </w:p>
        </w:tc>
        <w:tc>
          <w:tcPr>
            <w:tcW w:w="1253" w:type="dxa"/>
            <w:tcBorders>
              <w:top w:val="single" w:sz="4" w:space="0" w:color="auto"/>
              <w:left w:val="single" w:sz="4" w:space="0" w:color="auto"/>
              <w:bottom w:val="single" w:sz="4" w:space="0" w:color="auto"/>
              <w:right w:val="single" w:sz="4" w:space="0" w:color="auto"/>
            </w:tcBorders>
            <w:hideMark/>
          </w:tcPr>
          <w:p w14:paraId="6BD76D61"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-5.070</w:t>
            </w:r>
          </w:p>
        </w:tc>
        <w:tc>
          <w:tcPr>
            <w:tcW w:w="1255" w:type="dxa"/>
            <w:tcBorders>
              <w:top w:val="single" w:sz="4" w:space="0" w:color="auto"/>
              <w:left w:val="single" w:sz="4" w:space="0" w:color="auto"/>
              <w:bottom w:val="single" w:sz="4" w:space="0" w:color="auto"/>
              <w:right w:val="single" w:sz="4" w:space="0" w:color="auto"/>
            </w:tcBorders>
            <w:hideMark/>
          </w:tcPr>
          <w:p w14:paraId="428C260A"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.000</w:t>
            </w:r>
          </w:p>
        </w:tc>
      </w:tr>
      <w:tr w:rsidR="00082A41" w:rsidRPr="00082A41" w14:paraId="4DA9A0E7" w14:textId="77777777" w:rsidTr="00C20422">
        <w:trPr>
          <w:cantSplit/>
          <w:trHeight w:val="458"/>
        </w:trPr>
        <w:tc>
          <w:tcPr>
            <w:tcW w:w="9896" w:type="dxa"/>
            <w:vMerge/>
            <w:tcBorders>
              <w:top w:val="single" w:sz="4" w:space="0" w:color="auto"/>
              <w:left w:val="single" w:sz="4" w:space="0" w:color="auto"/>
              <w:bottom w:val="single" w:sz="4" w:space="0" w:color="auto"/>
              <w:right w:val="single" w:sz="4" w:space="0" w:color="auto"/>
            </w:tcBorders>
            <w:vAlign w:val="center"/>
            <w:hideMark/>
          </w:tcPr>
          <w:p w14:paraId="233E57A6" w14:textId="77777777" w:rsidR="00623CD4" w:rsidRPr="00082A41" w:rsidRDefault="00623CD4">
            <w:pPr>
              <w:spacing w:after="0"/>
              <w:rPr>
                <w:rFonts w:ascii="Times New Roman" w:hAnsi="Times New Roman" w:cs="Times New Roman"/>
                <w:kern w:val="2"/>
                <w14:ligatures w14:val="standardContextual"/>
              </w:rPr>
            </w:pPr>
          </w:p>
        </w:tc>
        <w:tc>
          <w:tcPr>
            <w:tcW w:w="1710" w:type="dxa"/>
            <w:tcBorders>
              <w:top w:val="single" w:sz="4" w:space="0" w:color="auto"/>
              <w:left w:val="single" w:sz="4" w:space="0" w:color="auto"/>
              <w:bottom w:val="single" w:sz="4" w:space="0" w:color="auto"/>
              <w:right w:val="single" w:sz="4" w:space="0" w:color="auto"/>
            </w:tcBorders>
            <w:hideMark/>
          </w:tcPr>
          <w:p w14:paraId="29B535FA" w14:textId="77777777" w:rsidR="00623CD4" w:rsidRPr="00082A41" w:rsidRDefault="00623CD4">
            <w:pPr>
              <w:autoSpaceDE w:val="0"/>
              <w:autoSpaceDN w:val="0"/>
              <w:adjustRightInd w:val="0"/>
              <w:spacing w:after="0" w:line="320" w:lineRule="atLeast"/>
              <w:ind w:left="60" w:right="60"/>
              <w:rPr>
                <w:rFonts w:ascii="Times New Roman" w:hAnsi="Times New Roman" w:cs="Times New Roman"/>
                <w:kern w:val="2"/>
                <w14:ligatures w14:val="standardContextual"/>
              </w:rPr>
            </w:pPr>
            <w:bookmarkStart w:id="9" w:name="_Hlk227871364"/>
            <w:r w:rsidRPr="00082A41">
              <w:rPr>
                <w:rFonts w:ascii="Times New Roman" w:hAnsi="Times New Roman" w:cs="Times New Roman"/>
                <w:kern w:val="2"/>
                <w14:ligatures w14:val="standardContextual"/>
              </w:rPr>
              <w:t>Stakeholder perceptions/roles</w:t>
            </w:r>
            <w:bookmarkEnd w:id="9"/>
          </w:p>
        </w:tc>
        <w:tc>
          <w:tcPr>
            <w:tcW w:w="1449" w:type="dxa"/>
            <w:tcBorders>
              <w:top w:val="single" w:sz="4" w:space="0" w:color="auto"/>
              <w:left w:val="single" w:sz="4" w:space="0" w:color="auto"/>
              <w:bottom w:val="single" w:sz="4" w:space="0" w:color="auto"/>
              <w:right w:val="single" w:sz="4" w:space="0" w:color="auto"/>
            </w:tcBorders>
            <w:hideMark/>
          </w:tcPr>
          <w:p w14:paraId="27E473EA"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.960</w:t>
            </w:r>
          </w:p>
        </w:tc>
        <w:tc>
          <w:tcPr>
            <w:tcW w:w="1628" w:type="dxa"/>
            <w:tcBorders>
              <w:top w:val="single" w:sz="4" w:space="0" w:color="auto"/>
              <w:left w:val="single" w:sz="4" w:space="0" w:color="auto"/>
              <w:bottom w:val="single" w:sz="4" w:space="0" w:color="auto"/>
              <w:right w:val="single" w:sz="4" w:space="0" w:color="auto"/>
            </w:tcBorders>
            <w:hideMark/>
          </w:tcPr>
          <w:p w14:paraId="023FA56A"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.097</w:t>
            </w:r>
          </w:p>
        </w:tc>
        <w:tc>
          <w:tcPr>
            <w:tcW w:w="1796" w:type="dxa"/>
            <w:tcBorders>
              <w:top w:val="single" w:sz="4" w:space="0" w:color="auto"/>
              <w:left w:val="single" w:sz="4" w:space="0" w:color="auto"/>
              <w:bottom w:val="single" w:sz="4" w:space="0" w:color="auto"/>
              <w:right w:val="single" w:sz="4" w:space="0" w:color="auto"/>
            </w:tcBorders>
            <w:hideMark/>
          </w:tcPr>
          <w:p w14:paraId="5EB978F8"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.630</w:t>
            </w:r>
          </w:p>
        </w:tc>
        <w:tc>
          <w:tcPr>
            <w:tcW w:w="1253" w:type="dxa"/>
            <w:tcBorders>
              <w:top w:val="single" w:sz="4" w:space="0" w:color="auto"/>
              <w:left w:val="single" w:sz="4" w:space="0" w:color="auto"/>
              <w:bottom w:val="single" w:sz="4" w:space="0" w:color="auto"/>
              <w:right w:val="single" w:sz="4" w:space="0" w:color="auto"/>
            </w:tcBorders>
            <w:hideMark/>
          </w:tcPr>
          <w:p w14:paraId="0C62BB69"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9.880</w:t>
            </w:r>
          </w:p>
        </w:tc>
        <w:tc>
          <w:tcPr>
            <w:tcW w:w="1255" w:type="dxa"/>
            <w:tcBorders>
              <w:top w:val="single" w:sz="4" w:space="0" w:color="auto"/>
              <w:left w:val="single" w:sz="4" w:space="0" w:color="auto"/>
              <w:bottom w:val="single" w:sz="4" w:space="0" w:color="auto"/>
              <w:right w:val="single" w:sz="4" w:space="0" w:color="auto"/>
            </w:tcBorders>
            <w:hideMark/>
          </w:tcPr>
          <w:p w14:paraId="42BC522F" w14:textId="77777777" w:rsidR="00623CD4" w:rsidRPr="00082A41" w:rsidRDefault="00623CD4">
            <w:pPr>
              <w:autoSpaceDE w:val="0"/>
              <w:autoSpaceDN w:val="0"/>
              <w:adjustRightInd w:val="0"/>
              <w:spacing w:after="0" w:line="320" w:lineRule="atLeast"/>
              <w:ind w:left="60" w:right="60"/>
              <w:jc w:val="center"/>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.000</w:t>
            </w:r>
          </w:p>
        </w:tc>
      </w:tr>
      <w:tr w:rsidR="00623CD4" w:rsidRPr="00082A41" w14:paraId="1B584B0D" w14:textId="77777777">
        <w:trPr>
          <w:cantSplit/>
          <w:trHeight w:val="364"/>
        </w:trPr>
        <w:tc>
          <w:tcPr>
            <w:tcW w:w="9896" w:type="dxa"/>
            <w:gridSpan w:val="7"/>
            <w:tcBorders>
              <w:top w:val="single" w:sz="4" w:space="0" w:color="auto"/>
              <w:left w:val="single" w:sz="4" w:space="0" w:color="auto"/>
              <w:bottom w:val="single" w:sz="4" w:space="0" w:color="auto"/>
              <w:right w:val="single" w:sz="4" w:space="0" w:color="auto"/>
            </w:tcBorders>
            <w:hideMark/>
          </w:tcPr>
          <w:p w14:paraId="7F8E90DC" w14:textId="77777777" w:rsidR="00623CD4" w:rsidRPr="00082A41" w:rsidRDefault="00623CD4">
            <w:pPr>
              <w:autoSpaceDE w:val="0"/>
              <w:autoSpaceDN w:val="0"/>
              <w:adjustRightInd w:val="0"/>
              <w:spacing w:after="0" w:line="320" w:lineRule="atLeast"/>
              <w:ind w:left="60" w:right="60"/>
              <w:rPr>
                <w:rFonts w:ascii="Times New Roman" w:hAnsi="Times New Roman" w:cs="Times New Roman"/>
                <w:kern w:val="2"/>
                <w14:ligatures w14:val="standardContextual"/>
              </w:rPr>
            </w:pPr>
            <w:r w:rsidRPr="00082A41">
              <w:rPr>
                <w:rFonts w:ascii="Times New Roman" w:hAnsi="Times New Roman" w:cs="Times New Roman"/>
                <w:kern w:val="2"/>
                <w14:ligatures w14:val="standardContextual"/>
              </w:rPr>
              <w:t xml:space="preserve">a. Dependent Variable: </w:t>
            </w:r>
            <w:bookmarkStart w:id="10" w:name="_Hlk227871338"/>
            <w:r w:rsidRPr="00082A41">
              <w:rPr>
                <w:rFonts w:ascii="Times New Roman" w:hAnsi="Times New Roman" w:cs="Times New Roman"/>
                <w:kern w:val="2"/>
                <w14:ligatures w14:val="standardContextual"/>
              </w:rPr>
              <w:t>Decarbonization outcomes</w:t>
            </w:r>
            <w:bookmarkEnd w:id="10"/>
          </w:p>
        </w:tc>
      </w:tr>
    </w:tbl>
    <w:p w14:paraId="2543E068" w14:textId="77777777" w:rsidR="00623CD4" w:rsidRPr="00082A41" w:rsidRDefault="00623CD4" w:rsidP="00623CD4">
      <w:pPr>
        <w:autoSpaceDE w:val="0"/>
        <w:autoSpaceDN w:val="0"/>
        <w:adjustRightInd w:val="0"/>
        <w:spacing w:after="0" w:line="400" w:lineRule="atLeast"/>
        <w:rPr>
          <w:rFonts w:ascii="Times New Roman" w:eastAsia="Calibri" w:hAnsi="Times New Roman" w:cs="Times New Roman"/>
          <w:sz w:val="24"/>
          <w:szCs w:val="24"/>
        </w:rPr>
      </w:pPr>
    </w:p>
    <w:p w14:paraId="13A2F0C9" w14:textId="77777777" w:rsidR="00273869" w:rsidRPr="00082A41" w:rsidRDefault="00273869" w:rsidP="00623CD4">
      <w:pPr>
        <w:spacing w:line="360" w:lineRule="auto"/>
        <w:jc w:val="both"/>
        <w:rPr>
          <w:rFonts w:ascii="Times New Roman" w:eastAsia="Calibri" w:hAnsi="Times New Roman" w:cs="Times New Roman"/>
          <w:sz w:val="24"/>
          <w:szCs w:val="24"/>
        </w:rPr>
      </w:pPr>
    </w:p>
    <w:p w14:paraId="29420691" w14:textId="22C09459" w:rsidR="00273869" w:rsidRPr="00082A41" w:rsidRDefault="00273869" w:rsidP="00623CD4">
      <w:pPr>
        <w:spacing w:line="360" w:lineRule="auto"/>
        <w:jc w:val="both"/>
        <w:rPr>
          <w:rFonts w:ascii="Times New Roman" w:eastAsia="Calibri" w:hAnsi="Times New Roman" w:cs="Times New Roman"/>
          <w:sz w:val="24"/>
          <w:szCs w:val="24"/>
        </w:rPr>
      </w:pPr>
      <w:r w:rsidRPr="00082A41">
        <w:rPr>
          <w:rFonts w:ascii="Times New Roman" w:eastAsia="Calibri" w:hAnsi="Times New Roman" w:cs="Times New Roman"/>
          <w:sz w:val="24"/>
          <w:szCs w:val="24"/>
        </w:rPr>
        <w:t>Table 9 presents the contribution of the predictor variable (stakeholder perceptions/roles) towards decarbonization outcomes. From the result, a significant positive correlation was found between the two variables</w:t>
      </w:r>
      <w:r w:rsidR="00CC3834" w:rsidRPr="00082A41">
        <w:rPr>
          <w:rFonts w:ascii="Times New Roman" w:eastAsia="Calibri" w:hAnsi="Times New Roman" w:cs="Times New Roman"/>
          <w:sz w:val="24"/>
          <w:szCs w:val="24"/>
        </w:rPr>
        <w:t>,</w:t>
      </w:r>
      <w:r w:rsidRPr="00082A41">
        <w:rPr>
          <w:rFonts w:ascii="Times New Roman" w:eastAsia="Calibri" w:hAnsi="Times New Roman" w:cs="Times New Roman"/>
          <w:sz w:val="24"/>
          <w:szCs w:val="24"/>
        </w:rPr>
        <w:t xml:space="preserve"> where stakeholder perceptions/roles positively predict decarbonization outcomes (Beta = 0.630, t = 9.880, p &lt; .001). This means that stakeholder perceptions/roles have a significant impact on decarbonization outcomes in Akwa Ibom State. This is because stakeholder perceptions/roles contribute positively and significantly to decarbonization outcomes (B = 0.960, t = 9.880, p = .000); this means that any improvement in the role and perception of stakeholders leads to low decarbonization outcomes in the study area.</w:t>
      </w:r>
    </w:p>
    <w:p w14:paraId="34AB221C" w14:textId="77777777" w:rsidR="00273869" w:rsidRPr="00082A41" w:rsidRDefault="00273869" w:rsidP="00623CD4">
      <w:pPr>
        <w:spacing w:line="360" w:lineRule="auto"/>
        <w:jc w:val="both"/>
        <w:rPr>
          <w:rFonts w:ascii="Times New Roman" w:eastAsia="Calibri" w:hAnsi="Times New Roman" w:cs="Times New Roman"/>
          <w:sz w:val="24"/>
          <w:szCs w:val="24"/>
        </w:rPr>
      </w:pPr>
    </w:p>
    <w:p w14:paraId="3DA41AB8" w14:textId="6502BA1F" w:rsidR="00623CD4" w:rsidRPr="00082A41" w:rsidRDefault="00623CD4" w:rsidP="00623CD4">
      <w:pPr>
        <w:spacing w:line="360" w:lineRule="auto"/>
        <w:jc w:val="both"/>
        <w:rPr>
          <w:rFonts w:ascii="Times New Roman" w:hAnsi="Times New Roman" w:cs="Times New Roman"/>
        </w:rPr>
      </w:pPr>
      <w:r w:rsidRPr="00082A41">
        <w:rPr>
          <w:rFonts w:ascii="Times New Roman" w:hAnsi="Times New Roman" w:cs="Times New Roman"/>
          <w:b/>
          <w:bCs/>
        </w:rPr>
        <w:t>Hypothesis 3:</w:t>
      </w:r>
      <w:r w:rsidRPr="00082A41">
        <w:rPr>
          <w:rFonts w:ascii="Times New Roman" w:hAnsi="Times New Roman" w:cs="Times New Roman"/>
        </w:rPr>
        <w:t xml:space="preserve"> There is no significant relationship between stakeholder perceptions/roles (government, communities, and industry actors) and decarbonization outcomes in Akwa Ibom State.</w:t>
      </w:r>
    </w:p>
    <w:p w14:paraId="5BA1DF35" w14:textId="58A87F56" w:rsidR="00623CD4" w:rsidRPr="00082A41" w:rsidRDefault="00623CD4" w:rsidP="00623CD4">
      <w:pPr>
        <w:tabs>
          <w:tab w:val="num" w:pos="720"/>
        </w:tabs>
        <w:spacing w:line="360" w:lineRule="auto"/>
        <w:jc w:val="both"/>
        <w:rPr>
          <w:rFonts w:ascii="Times New Roman" w:eastAsia="Calibri" w:hAnsi="Times New Roman" w:cs="Times New Roman"/>
          <w:bCs/>
          <w:sz w:val="24"/>
          <w:szCs w:val="24"/>
          <w:lang w:val="en-GB"/>
        </w:rPr>
      </w:pPr>
      <w:r w:rsidRPr="00082A41">
        <w:rPr>
          <w:rFonts w:ascii="Times New Roman" w:eastAsia="Calibri" w:hAnsi="Times New Roman" w:cs="Times New Roman"/>
          <w:bCs/>
          <w:sz w:val="24"/>
          <w:szCs w:val="24"/>
        </w:rPr>
        <w:lastRenderedPageBreak/>
        <w:t xml:space="preserve">Table </w:t>
      </w:r>
      <w:r w:rsidR="000A659B" w:rsidRPr="00082A41">
        <w:rPr>
          <w:rFonts w:ascii="Times New Roman" w:eastAsia="Calibri" w:hAnsi="Times New Roman" w:cs="Times New Roman"/>
          <w:bCs/>
          <w:sz w:val="24"/>
          <w:szCs w:val="24"/>
        </w:rPr>
        <w:t>10</w:t>
      </w:r>
      <w:r w:rsidRPr="00082A41">
        <w:rPr>
          <w:rFonts w:ascii="Times New Roman" w:eastAsia="Calibri" w:hAnsi="Times New Roman" w:cs="Times New Roman"/>
          <w:bCs/>
          <w:sz w:val="24"/>
          <w:szCs w:val="24"/>
        </w:rPr>
        <w:t>:</w:t>
      </w:r>
      <w:r w:rsidRPr="00082A41">
        <w:rPr>
          <w:rFonts w:ascii="Times New Roman" w:eastAsia="Calibri" w:hAnsi="Times New Roman" w:cs="Times New Roman"/>
          <w:b/>
          <w:sz w:val="24"/>
          <w:szCs w:val="24"/>
        </w:rPr>
        <w:t xml:space="preserve"> </w:t>
      </w:r>
      <w:r w:rsidRPr="00082A41">
        <w:rPr>
          <w:rFonts w:ascii="Times New Roman" w:eastAsia="Calibri" w:hAnsi="Times New Roman" w:cs="Times New Roman"/>
          <w:bCs/>
          <w:sz w:val="24"/>
          <w:szCs w:val="24"/>
        </w:rPr>
        <w:t xml:space="preserve">Summary of Pearson Product Moment Correlation (PPMC) on the relationship between </w:t>
      </w:r>
      <w:r w:rsidRPr="00082A41">
        <w:rPr>
          <w:rFonts w:ascii="Times New Roman" w:eastAsia="Calibri" w:hAnsi="Times New Roman" w:cs="Times New Roman"/>
          <w:bCs/>
          <w:sz w:val="24"/>
          <w:szCs w:val="24"/>
          <w:lang w:val="en-GB"/>
        </w:rPr>
        <w:t>stakeholder perceptions/roles (government, communities, and industry actors) and decarbonization outcomes in Akwa Ibom State</w:t>
      </w:r>
    </w:p>
    <w:tbl>
      <w:tblPr>
        <w:tblStyle w:val="TableGrid0"/>
        <w:tblW w:w="9562" w:type="dxa"/>
        <w:tblInd w:w="0" w:type="dxa"/>
        <w:tblCellMar>
          <w:top w:w="16" w:type="dxa"/>
          <w:bottom w:w="16" w:type="dxa"/>
          <w:right w:w="115" w:type="dxa"/>
        </w:tblCellMar>
        <w:tblLook w:val="04A0" w:firstRow="1" w:lastRow="0" w:firstColumn="1" w:lastColumn="0" w:noHBand="0" w:noVBand="1"/>
      </w:tblPr>
      <w:tblGrid>
        <w:gridCol w:w="3240"/>
        <w:gridCol w:w="1530"/>
        <w:gridCol w:w="2488"/>
        <w:gridCol w:w="2304"/>
      </w:tblGrid>
      <w:tr w:rsidR="00082A41" w:rsidRPr="00082A41" w14:paraId="567D7583" w14:textId="77777777" w:rsidTr="00064433">
        <w:trPr>
          <w:trHeight w:val="262"/>
        </w:trPr>
        <w:tc>
          <w:tcPr>
            <w:tcW w:w="3240" w:type="dxa"/>
            <w:tcBorders>
              <w:top w:val="single" w:sz="4" w:space="0" w:color="000000"/>
              <w:left w:val="nil"/>
              <w:bottom w:val="single" w:sz="4" w:space="0" w:color="000000"/>
              <w:right w:val="nil"/>
            </w:tcBorders>
            <w:vAlign w:val="center"/>
            <w:hideMark/>
          </w:tcPr>
          <w:p w14:paraId="6BFCD057" w14:textId="77777777" w:rsidR="00623CD4" w:rsidRPr="00082A41" w:rsidRDefault="00623CD4">
            <w:pPr>
              <w:spacing w:after="0" w:line="240" w:lineRule="auto"/>
              <w:ind w:left="108"/>
              <w:rPr>
                <w:rFonts w:ascii="Times New Roman" w:hAnsi="Times New Roman" w:cs="Times New Roman"/>
              </w:rPr>
            </w:pPr>
            <w:r w:rsidRPr="00082A41">
              <w:rPr>
                <w:rFonts w:ascii="Times New Roman" w:hAnsi="Times New Roman" w:cs="Times New Roman"/>
              </w:rPr>
              <w:t xml:space="preserve">  </w:t>
            </w:r>
          </w:p>
        </w:tc>
        <w:tc>
          <w:tcPr>
            <w:tcW w:w="1530" w:type="dxa"/>
            <w:tcBorders>
              <w:top w:val="single" w:sz="4" w:space="0" w:color="000000"/>
              <w:left w:val="nil"/>
              <w:bottom w:val="single" w:sz="4" w:space="0" w:color="000000"/>
              <w:right w:val="nil"/>
            </w:tcBorders>
            <w:vAlign w:val="center"/>
            <w:hideMark/>
          </w:tcPr>
          <w:p w14:paraId="5CD17C82"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  </w:t>
            </w:r>
          </w:p>
        </w:tc>
        <w:tc>
          <w:tcPr>
            <w:tcW w:w="2488" w:type="dxa"/>
            <w:tcBorders>
              <w:top w:val="single" w:sz="4" w:space="0" w:color="000000"/>
              <w:left w:val="nil"/>
              <w:bottom w:val="single" w:sz="4" w:space="0" w:color="000000"/>
              <w:right w:val="nil"/>
            </w:tcBorders>
            <w:vAlign w:val="center"/>
            <w:hideMark/>
          </w:tcPr>
          <w:p w14:paraId="6BA27E6F" w14:textId="77777777" w:rsidR="00623CD4" w:rsidRPr="00082A41" w:rsidRDefault="00623CD4">
            <w:pPr>
              <w:spacing w:after="0" w:line="240" w:lineRule="auto"/>
              <w:jc w:val="center"/>
              <w:rPr>
                <w:rFonts w:ascii="Times New Roman" w:hAnsi="Times New Roman" w:cs="Times New Roman"/>
              </w:rPr>
            </w:pPr>
            <w:r w:rsidRPr="00082A41">
              <w:rPr>
                <w:rFonts w:ascii="Times New Roman" w:hAnsi="Times New Roman" w:cs="Times New Roman"/>
              </w:rPr>
              <w:t xml:space="preserve">Stakeholder Perceptions/Roles </w:t>
            </w:r>
          </w:p>
        </w:tc>
        <w:tc>
          <w:tcPr>
            <w:tcW w:w="2304" w:type="dxa"/>
            <w:tcBorders>
              <w:top w:val="single" w:sz="4" w:space="0" w:color="000000"/>
              <w:left w:val="nil"/>
              <w:bottom w:val="single" w:sz="4" w:space="0" w:color="000000"/>
              <w:right w:val="nil"/>
            </w:tcBorders>
            <w:vAlign w:val="center"/>
            <w:hideMark/>
          </w:tcPr>
          <w:p w14:paraId="53D96827" w14:textId="77777777" w:rsidR="00623CD4" w:rsidRPr="00082A41" w:rsidRDefault="00623CD4">
            <w:pPr>
              <w:spacing w:after="0" w:line="240" w:lineRule="auto"/>
              <w:ind w:left="334" w:hanging="334"/>
              <w:jc w:val="center"/>
              <w:rPr>
                <w:rFonts w:ascii="Times New Roman" w:hAnsi="Times New Roman" w:cs="Times New Roman"/>
              </w:rPr>
            </w:pPr>
            <w:r w:rsidRPr="00082A41">
              <w:rPr>
                <w:rFonts w:ascii="Times New Roman" w:hAnsi="Times New Roman" w:cs="Times New Roman"/>
              </w:rPr>
              <w:t xml:space="preserve">Decarbonization Outcomes </w:t>
            </w:r>
          </w:p>
        </w:tc>
      </w:tr>
      <w:tr w:rsidR="00082A41" w:rsidRPr="00082A41" w14:paraId="3365690C" w14:textId="77777777" w:rsidTr="00064433">
        <w:trPr>
          <w:trHeight w:val="559"/>
        </w:trPr>
        <w:tc>
          <w:tcPr>
            <w:tcW w:w="3240" w:type="dxa"/>
            <w:tcBorders>
              <w:top w:val="single" w:sz="4" w:space="0" w:color="000000"/>
              <w:left w:val="nil"/>
              <w:bottom w:val="nil"/>
              <w:right w:val="nil"/>
            </w:tcBorders>
            <w:vAlign w:val="bottom"/>
            <w:hideMark/>
          </w:tcPr>
          <w:p w14:paraId="2611F829" w14:textId="77777777" w:rsidR="00623CD4" w:rsidRPr="00082A41" w:rsidRDefault="00623CD4">
            <w:pPr>
              <w:spacing w:after="0" w:line="240" w:lineRule="auto"/>
              <w:ind w:left="108"/>
              <w:rPr>
                <w:rFonts w:ascii="Times New Roman" w:hAnsi="Times New Roman" w:cs="Times New Roman"/>
              </w:rPr>
            </w:pPr>
            <w:r w:rsidRPr="00082A41">
              <w:rPr>
                <w:rFonts w:ascii="Times New Roman" w:hAnsi="Times New Roman" w:cs="Times New Roman"/>
              </w:rPr>
              <w:t xml:space="preserve">Stakeholder Perceptions/Roles </w:t>
            </w:r>
          </w:p>
        </w:tc>
        <w:tc>
          <w:tcPr>
            <w:tcW w:w="1530" w:type="dxa"/>
            <w:tcBorders>
              <w:top w:val="single" w:sz="4" w:space="0" w:color="000000"/>
              <w:left w:val="nil"/>
              <w:bottom w:val="nil"/>
              <w:right w:val="nil"/>
            </w:tcBorders>
            <w:hideMark/>
          </w:tcPr>
          <w:p w14:paraId="1A6A0102"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Pearson </w:t>
            </w:r>
          </w:p>
          <w:p w14:paraId="6FB56178"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Correlation Sig. (1tailed) </w:t>
            </w:r>
          </w:p>
        </w:tc>
        <w:tc>
          <w:tcPr>
            <w:tcW w:w="2488" w:type="dxa"/>
            <w:tcBorders>
              <w:top w:val="single" w:sz="4" w:space="0" w:color="000000"/>
              <w:left w:val="nil"/>
              <w:bottom w:val="nil"/>
              <w:right w:val="nil"/>
            </w:tcBorders>
            <w:hideMark/>
          </w:tcPr>
          <w:p w14:paraId="1C693E32" w14:textId="77777777" w:rsidR="00623CD4" w:rsidRPr="00082A41" w:rsidRDefault="00623CD4">
            <w:pPr>
              <w:spacing w:after="0" w:line="240" w:lineRule="auto"/>
              <w:ind w:left="600"/>
              <w:jc w:val="center"/>
              <w:rPr>
                <w:rFonts w:ascii="Times New Roman" w:hAnsi="Times New Roman" w:cs="Times New Roman"/>
              </w:rPr>
            </w:pPr>
            <w:r w:rsidRPr="00082A41">
              <w:rPr>
                <w:rFonts w:ascii="Times New Roman" w:hAnsi="Times New Roman" w:cs="Times New Roman"/>
              </w:rPr>
              <w:t>1</w:t>
            </w:r>
          </w:p>
        </w:tc>
        <w:tc>
          <w:tcPr>
            <w:tcW w:w="2304" w:type="dxa"/>
            <w:tcBorders>
              <w:top w:val="single" w:sz="4" w:space="0" w:color="000000"/>
              <w:left w:val="nil"/>
              <w:bottom w:val="nil"/>
              <w:right w:val="nil"/>
            </w:tcBorders>
            <w:hideMark/>
          </w:tcPr>
          <w:p w14:paraId="0C83B28C" w14:textId="77777777" w:rsidR="00623CD4" w:rsidRPr="00082A41" w:rsidRDefault="00623CD4">
            <w:pPr>
              <w:spacing w:after="0" w:line="240" w:lineRule="auto"/>
              <w:ind w:right="123"/>
              <w:jc w:val="center"/>
              <w:rPr>
                <w:rFonts w:ascii="Times New Roman" w:hAnsi="Times New Roman" w:cs="Times New Roman"/>
              </w:rPr>
            </w:pPr>
            <w:r w:rsidRPr="00082A41">
              <w:rPr>
                <w:rFonts w:ascii="Times New Roman" w:hAnsi="Times New Roman" w:cs="Times New Roman"/>
              </w:rPr>
              <w:t>.833</w:t>
            </w:r>
          </w:p>
        </w:tc>
      </w:tr>
      <w:tr w:rsidR="00082A41" w:rsidRPr="00082A41" w14:paraId="50962CC2" w14:textId="77777777" w:rsidTr="00064433">
        <w:trPr>
          <w:trHeight w:val="64"/>
        </w:trPr>
        <w:tc>
          <w:tcPr>
            <w:tcW w:w="3240" w:type="dxa"/>
            <w:tcBorders>
              <w:top w:val="nil"/>
              <w:left w:val="nil"/>
              <w:bottom w:val="single" w:sz="4" w:space="0" w:color="000000"/>
              <w:right w:val="nil"/>
            </w:tcBorders>
          </w:tcPr>
          <w:p w14:paraId="547BB013" w14:textId="77777777" w:rsidR="00623CD4" w:rsidRPr="00082A41" w:rsidRDefault="00623CD4">
            <w:pPr>
              <w:spacing w:after="0" w:line="240" w:lineRule="auto"/>
              <w:rPr>
                <w:rFonts w:ascii="Times New Roman" w:hAnsi="Times New Roman" w:cs="Times New Roman"/>
              </w:rPr>
            </w:pPr>
          </w:p>
        </w:tc>
        <w:tc>
          <w:tcPr>
            <w:tcW w:w="1530" w:type="dxa"/>
            <w:tcBorders>
              <w:top w:val="nil"/>
              <w:left w:val="nil"/>
              <w:bottom w:val="single" w:sz="4" w:space="0" w:color="000000"/>
              <w:right w:val="nil"/>
            </w:tcBorders>
            <w:hideMark/>
          </w:tcPr>
          <w:p w14:paraId="281EA404"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N </w:t>
            </w:r>
          </w:p>
        </w:tc>
        <w:tc>
          <w:tcPr>
            <w:tcW w:w="2488" w:type="dxa"/>
            <w:tcBorders>
              <w:top w:val="nil"/>
              <w:left w:val="nil"/>
              <w:bottom w:val="single" w:sz="4" w:space="0" w:color="000000"/>
              <w:right w:val="nil"/>
            </w:tcBorders>
          </w:tcPr>
          <w:p w14:paraId="3A87027F" w14:textId="77777777" w:rsidR="00623CD4" w:rsidRPr="00082A41" w:rsidRDefault="00623CD4">
            <w:pPr>
              <w:spacing w:after="0" w:line="240" w:lineRule="auto"/>
              <w:ind w:left="480"/>
              <w:jc w:val="center"/>
              <w:rPr>
                <w:rFonts w:ascii="Times New Roman" w:hAnsi="Times New Roman" w:cs="Times New Roman"/>
              </w:rPr>
            </w:pPr>
          </w:p>
        </w:tc>
        <w:tc>
          <w:tcPr>
            <w:tcW w:w="2304" w:type="dxa"/>
            <w:tcBorders>
              <w:top w:val="nil"/>
              <w:left w:val="nil"/>
              <w:bottom w:val="single" w:sz="4" w:space="0" w:color="000000"/>
              <w:right w:val="nil"/>
            </w:tcBorders>
            <w:hideMark/>
          </w:tcPr>
          <w:p w14:paraId="6877A231" w14:textId="77777777" w:rsidR="00623CD4" w:rsidRPr="00082A41" w:rsidRDefault="00623CD4">
            <w:pPr>
              <w:spacing w:after="0" w:line="240" w:lineRule="auto"/>
              <w:ind w:right="124"/>
              <w:jc w:val="center"/>
              <w:rPr>
                <w:rFonts w:ascii="Times New Roman" w:hAnsi="Times New Roman" w:cs="Times New Roman"/>
              </w:rPr>
            </w:pPr>
            <w:r w:rsidRPr="00082A41">
              <w:rPr>
                <w:rFonts w:ascii="Times New Roman" w:hAnsi="Times New Roman" w:cs="Times New Roman"/>
              </w:rPr>
              <w:t>.000</w:t>
            </w:r>
          </w:p>
        </w:tc>
      </w:tr>
      <w:tr w:rsidR="00082A41" w:rsidRPr="00082A41" w14:paraId="31F72F88" w14:textId="77777777" w:rsidTr="00064433">
        <w:trPr>
          <w:trHeight w:val="766"/>
        </w:trPr>
        <w:tc>
          <w:tcPr>
            <w:tcW w:w="3240" w:type="dxa"/>
            <w:tcBorders>
              <w:top w:val="single" w:sz="4" w:space="0" w:color="000000"/>
              <w:left w:val="nil"/>
              <w:bottom w:val="nil"/>
              <w:right w:val="nil"/>
            </w:tcBorders>
            <w:vAlign w:val="bottom"/>
            <w:hideMark/>
          </w:tcPr>
          <w:p w14:paraId="2C3FEB17" w14:textId="77777777" w:rsidR="00623CD4" w:rsidRPr="00082A41" w:rsidRDefault="00623CD4">
            <w:pPr>
              <w:spacing w:after="0" w:line="240" w:lineRule="auto"/>
              <w:ind w:left="108" w:right="111"/>
              <w:rPr>
                <w:rFonts w:ascii="Times New Roman" w:hAnsi="Times New Roman" w:cs="Times New Roman"/>
              </w:rPr>
            </w:pPr>
            <w:r w:rsidRPr="00082A41">
              <w:rPr>
                <w:rFonts w:ascii="Times New Roman" w:hAnsi="Times New Roman" w:cs="Times New Roman"/>
              </w:rPr>
              <w:t xml:space="preserve">Decarbonization Outcomes </w:t>
            </w:r>
          </w:p>
        </w:tc>
        <w:tc>
          <w:tcPr>
            <w:tcW w:w="1530" w:type="dxa"/>
            <w:tcBorders>
              <w:top w:val="single" w:sz="4" w:space="0" w:color="000000"/>
              <w:left w:val="nil"/>
              <w:bottom w:val="nil"/>
              <w:right w:val="nil"/>
            </w:tcBorders>
            <w:hideMark/>
          </w:tcPr>
          <w:p w14:paraId="2B2A9850"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Pearson </w:t>
            </w:r>
          </w:p>
          <w:p w14:paraId="1C220F6E"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Correlation Sig. (1tailed) </w:t>
            </w:r>
          </w:p>
        </w:tc>
        <w:tc>
          <w:tcPr>
            <w:tcW w:w="2488" w:type="dxa"/>
            <w:tcBorders>
              <w:top w:val="single" w:sz="4" w:space="0" w:color="000000"/>
              <w:left w:val="nil"/>
              <w:bottom w:val="nil"/>
              <w:right w:val="nil"/>
            </w:tcBorders>
            <w:hideMark/>
          </w:tcPr>
          <w:p w14:paraId="61B6A4AF" w14:textId="77777777" w:rsidR="00623CD4" w:rsidRPr="00082A41" w:rsidRDefault="00623CD4">
            <w:pPr>
              <w:spacing w:after="0" w:line="240" w:lineRule="auto"/>
              <w:ind w:left="329"/>
              <w:jc w:val="center"/>
              <w:rPr>
                <w:rFonts w:ascii="Times New Roman" w:hAnsi="Times New Roman" w:cs="Times New Roman"/>
              </w:rPr>
            </w:pPr>
            <w:r w:rsidRPr="00082A41">
              <w:rPr>
                <w:rFonts w:ascii="Times New Roman" w:hAnsi="Times New Roman" w:cs="Times New Roman"/>
              </w:rPr>
              <w:t>150</w:t>
            </w:r>
          </w:p>
        </w:tc>
        <w:tc>
          <w:tcPr>
            <w:tcW w:w="2304" w:type="dxa"/>
            <w:tcBorders>
              <w:top w:val="single" w:sz="4" w:space="0" w:color="000000"/>
              <w:left w:val="nil"/>
              <w:bottom w:val="nil"/>
              <w:right w:val="nil"/>
            </w:tcBorders>
            <w:hideMark/>
          </w:tcPr>
          <w:p w14:paraId="36D8B07B" w14:textId="77777777" w:rsidR="00623CD4" w:rsidRPr="00082A41" w:rsidRDefault="00623CD4">
            <w:pPr>
              <w:spacing w:after="0" w:line="240" w:lineRule="auto"/>
              <w:ind w:right="64"/>
              <w:jc w:val="center"/>
              <w:rPr>
                <w:rFonts w:ascii="Times New Roman" w:hAnsi="Times New Roman" w:cs="Times New Roman"/>
              </w:rPr>
            </w:pPr>
            <w:r w:rsidRPr="00082A41">
              <w:rPr>
                <w:rFonts w:ascii="Times New Roman" w:hAnsi="Times New Roman" w:cs="Times New Roman"/>
              </w:rPr>
              <w:t>150</w:t>
            </w:r>
          </w:p>
        </w:tc>
      </w:tr>
      <w:tr w:rsidR="00082A41" w:rsidRPr="00082A41" w14:paraId="1C28BE2E" w14:textId="77777777" w:rsidTr="00064433">
        <w:trPr>
          <w:trHeight w:val="64"/>
        </w:trPr>
        <w:tc>
          <w:tcPr>
            <w:tcW w:w="3240" w:type="dxa"/>
            <w:tcBorders>
              <w:top w:val="nil"/>
              <w:left w:val="nil"/>
              <w:bottom w:val="single" w:sz="4" w:space="0" w:color="000000"/>
              <w:right w:val="nil"/>
            </w:tcBorders>
          </w:tcPr>
          <w:p w14:paraId="72E74DDE" w14:textId="77777777" w:rsidR="00623CD4" w:rsidRPr="00082A41" w:rsidRDefault="00623CD4">
            <w:pPr>
              <w:spacing w:after="0" w:line="240" w:lineRule="auto"/>
              <w:rPr>
                <w:rFonts w:ascii="Times New Roman" w:hAnsi="Times New Roman" w:cs="Times New Roman"/>
              </w:rPr>
            </w:pPr>
          </w:p>
        </w:tc>
        <w:tc>
          <w:tcPr>
            <w:tcW w:w="1530" w:type="dxa"/>
            <w:tcBorders>
              <w:top w:val="nil"/>
              <w:left w:val="nil"/>
              <w:bottom w:val="single" w:sz="4" w:space="0" w:color="000000"/>
              <w:right w:val="nil"/>
            </w:tcBorders>
            <w:hideMark/>
          </w:tcPr>
          <w:p w14:paraId="2EA33935" w14:textId="77777777" w:rsidR="00623CD4" w:rsidRPr="00082A41" w:rsidRDefault="00623CD4">
            <w:pPr>
              <w:spacing w:after="0" w:line="240" w:lineRule="auto"/>
              <w:rPr>
                <w:rFonts w:ascii="Times New Roman" w:hAnsi="Times New Roman" w:cs="Times New Roman"/>
              </w:rPr>
            </w:pPr>
            <w:r w:rsidRPr="00082A41">
              <w:rPr>
                <w:rFonts w:ascii="Times New Roman" w:hAnsi="Times New Roman" w:cs="Times New Roman"/>
              </w:rPr>
              <w:t xml:space="preserve">N </w:t>
            </w:r>
          </w:p>
        </w:tc>
        <w:tc>
          <w:tcPr>
            <w:tcW w:w="2488" w:type="dxa"/>
            <w:tcBorders>
              <w:top w:val="nil"/>
              <w:left w:val="nil"/>
              <w:bottom w:val="single" w:sz="4" w:space="0" w:color="000000"/>
              <w:right w:val="nil"/>
            </w:tcBorders>
            <w:hideMark/>
          </w:tcPr>
          <w:p w14:paraId="46D66DF6" w14:textId="77777777" w:rsidR="00623CD4" w:rsidRPr="00082A41" w:rsidRDefault="00623CD4">
            <w:pPr>
              <w:spacing w:after="0" w:line="240" w:lineRule="auto"/>
              <w:ind w:left="480"/>
              <w:jc w:val="center"/>
              <w:rPr>
                <w:rFonts w:ascii="Times New Roman" w:hAnsi="Times New Roman" w:cs="Times New Roman"/>
              </w:rPr>
            </w:pPr>
            <w:r w:rsidRPr="00082A41">
              <w:rPr>
                <w:rFonts w:ascii="Times New Roman" w:hAnsi="Times New Roman" w:cs="Times New Roman"/>
              </w:rPr>
              <w:t>.833</w:t>
            </w:r>
          </w:p>
        </w:tc>
        <w:tc>
          <w:tcPr>
            <w:tcW w:w="2304" w:type="dxa"/>
            <w:tcBorders>
              <w:top w:val="nil"/>
              <w:left w:val="nil"/>
              <w:bottom w:val="single" w:sz="4" w:space="0" w:color="000000"/>
              <w:right w:val="nil"/>
            </w:tcBorders>
            <w:hideMark/>
          </w:tcPr>
          <w:p w14:paraId="2B4549B0" w14:textId="77777777" w:rsidR="00623CD4" w:rsidRPr="00082A41" w:rsidRDefault="00623CD4">
            <w:pPr>
              <w:spacing w:after="0" w:line="240" w:lineRule="auto"/>
              <w:ind w:right="124"/>
              <w:jc w:val="center"/>
              <w:rPr>
                <w:rFonts w:ascii="Times New Roman" w:hAnsi="Times New Roman" w:cs="Times New Roman"/>
              </w:rPr>
            </w:pPr>
            <w:r w:rsidRPr="00082A41">
              <w:rPr>
                <w:rFonts w:ascii="Times New Roman" w:hAnsi="Times New Roman" w:cs="Times New Roman"/>
              </w:rPr>
              <w:t>1</w:t>
            </w:r>
          </w:p>
        </w:tc>
      </w:tr>
    </w:tbl>
    <w:p w14:paraId="6214AAFF" w14:textId="77777777" w:rsidR="00623CD4" w:rsidRPr="00082A41" w:rsidRDefault="00623CD4" w:rsidP="00623CD4">
      <w:pPr>
        <w:rPr>
          <w:rFonts w:ascii="Times New Roman" w:hAnsi="Times New Roman" w:cs="Times New Roman"/>
        </w:rPr>
      </w:pPr>
      <w:r w:rsidRPr="00082A41">
        <w:rPr>
          <w:rFonts w:ascii="Times New Roman" w:hAnsi="Times New Roman" w:cs="Times New Roman"/>
        </w:rPr>
        <w:t>Correlation is significant at the 0.01 level (2-tailed).</w:t>
      </w:r>
      <w:r w:rsidRPr="00082A41">
        <w:rPr>
          <w:rFonts w:ascii="Times New Roman" w:hAnsi="Times New Roman" w:cs="Times New Roman"/>
        </w:rPr>
        <w:tab/>
      </w:r>
      <w:r w:rsidRPr="00082A41">
        <w:rPr>
          <w:rFonts w:ascii="Times New Roman" w:hAnsi="Times New Roman" w:cs="Times New Roman"/>
        </w:rPr>
        <w:tab/>
      </w:r>
      <w:r w:rsidRPr="00082A41">
        <w:rPr>
          <w:rFonts w:ascii="Times New Roman" w:hAnsi="Times New Roman" w:cs="Times New Roman"/>
        </w:rPr>
        <w:tab/>
      </w:r>
    </w:p>
    <w:p w14:paraId="4DF0F2FE" w14:textId="77777777" w:rsidR="00623CD4" w:rsidRPr="00082A41" w:rsidRDefault="00623CD4" w:rsidP="00623CD4">
      <w:pPr>
        <w:spacing w:line="360" w:lineRule="auto"/>
        <w:jc w:val="both"/>
        <w:rPr>
          <w:rFonts w:ascii="Times New Roman" w:hAnsi="Times New Roman" w:cs="Times New Roman"/>
          <w:sz w:val="24"/>
          <w:szCs w:val="24"/>
        </w:rPr>
      </w:pPr>
    </w:p>
    <w:p w14:paraId="03F17A56" w14:textId="5107D394" w:rsidR="007376FF" w:rsidRPr="00082A41" w:rsidRDefault="007376FF"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The results for Table 10, which shows the Pearson Product Moment Correlation (PPMC) for the relationship between stakeholder perceptions/roles and decarbonization outcomes in Akwa Ibom State, suggest that there exists a highly significant and positive correlation between the two variables. Specifically, a correlation coefficient of r = .833 shows that there is a highly significant and positive relationship between stakeholder perceptions/roles and decarbonization outcomes. In other words, the relationship between stakeholder perceptions/roles and decarbonization outcomes is significant at p = .000 (p &lt; 0.05), considering a sample size of 150 respondents. Based on this finding, the null hypothesis was rejected while the alternative hypothesis was accepted, suggesting that there is a highly significant relationship between stakeholder perceptions/roles and decarbonization outcomes in Akwa Ibom State. This can be seen from the coefficient of determination (r² = 0.6939)</w:t>
      </w:r>
      <w:r w:rsidR="00CC3834" w:rsidRPr="00082A41">
        <w:rPr>
          <w:rFonts w:ascii="Times New Roman" w:hAnsi="Times New Roman" w:cs="Times New Roman"/>
          <w:sz w:val="24"/>
          <w:szCs w:val="24"/>
        </w:rPr>
        <w:t>,</w:t>
      </w:r>
      <w:r w:rsidRPr="00082A41">
        <w:rPr>
          <w:rFonts w:ascii="Times New Roman" w:hAnsi="Times New Roman" w:cs="Times New Roman"/>
          <w:sz w:val="24"/>
          <w:szCs w:val="24"/>
        </w:rPr>
        <w:t xml:space="preserve"> implying that about 69.39% of variations in decarbonization outcomes are accounted for by stakeholder perceptions/roles.</w:t>
      </w:r>
    </w:p>
    <w:p w14:paraId="45F3B96B" w14:textId="0B457DA3" w:rsidR="00852DB4" w:rsidRPr="00082A41" w:rsidRDefault="00852DB4" w:rsidP="00852DB4">
      <w:pPr>
        <w:spacing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Discussion</w:t>
      </w:r>
    </w:p>
    <w:p w14:paraId="26DC4956" w14:textId="3CC87E43" w:rsidR="00426E98" w:rsidRPr="00082A41" w:rsidRDefault="00503443"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 xml:space="preserve">According to the results obtained in the study, the influence of socio-political aspects is crucial for determining the process of decarbonization in Akwa Ibom. The respondents stated that socio-political instability, political interests in oil money, and fossil fuel dependency were significant barriers to efficient decarbonization. It corresponds to previous research, which indicates the </w:t>
      </w:r>
      <w:r w:rsidRPr="00082A41">
        <w:rPr>
          <w:rFonts w:ascii="Times New Roman" w:hAnsi="Times New Roman" w:cs="Times New Roman"/>
          <w:sz w:val="24"/>
          <w:szCs w:val="24"/>
        </w:rPr>
        <w:lastRenderedPageBreak/>
        <w:t xml:space="preserve">policy inertia caused by the resource-dependent character of an economy and </w:t>
      </w:r>
      <w:r w:rsidR="00CC3834" w:rsidRPr="00082A41">
        <w:rPr>
          <w:rFonts w:ascii="Times New Roman" w:hAnsi="Times New Roman" w:cs="Times New Roman"/>
          <w:sz w:val="24"/>
          <w:szCs w:val="24"/>
        </w:rPr>
        <w:t xml:space="preserve">the </w:t>
      </w:r>
      <w:r w:rsidRPr="00082A41">
        <w:rPr>
          <w:rFonts w:ascii="Times New Roman" w:hAnsi="Times New Roman" w:cs="Times New Roman"/>
          <w:sz w:val="24"/>
          <w:szCs w:val="24"/>
        </w:rPr>
        <w:t>interests of politicians in oil extraction (</w:t>
      </w:r>
      <w:proofErr w:type="spellStart"/>
      <w:r w:rsidRPr="00082A41">
        <w:rPr>
          <w:rFonts w:ascii="Times New Roman" w:hAnsi="Times New Roman" w:cs="Times New Roman"/>
          <w:sz w:val="24"/>
          <w:szCs w:val="24"/>
        </w:rPr>
        <w:t>Roshсhina</w:t>
      </w:r>
      <w:proofErr w:type="spellEnd"/>
      <w:r w:rsidRPr="00082A41">
        <w:rPr>
          <w:rFonts w:ascii="Times New Roman" w:hAnsi="Times New Roman" w:cs="Times New Roman"/>
          <w:sz w:val="24"/>
          <w:szCs w:val="24"/>
        </w:rPr>
        <w:t xml:space="preserve"> et al., 2020; Heras, 2024). Analogous to oil-producing areas like the Niger Delta, oil dependency makes policymakers less likely to implement decarbonization programs. Yet, contrary to assumptions, community resistance was not considered a significant obstacle to decarbonization initiatives. </w:t>
      </w:r>
      <w:r w:rsidR="00426E98" w:rsidRPr="00082A41">
        <w:rPr>
          <w:rFonts w:ascii="Times New Roman" w:hAnsi="Times New Roman" w:cs="Times New Roman"/>
          <w:sz w:val="24"/>
          <w:szCs w:val="24"/>
        </w:rPr>
        <w:t xml:space="preserve">In addition, the current study highlights that governance and institutional systems greatly limit decarbonization efforts. Lack of enforcement, low coordination, and policy inconsistencies are among factors mentioned by participants, and these results support the previous findings (for example, see </w:t>
      </w:r>
      <w:proofErr w:type="spellStart"/>
      <w:r w:rsidR="00426E98" w:rsidRPr="00082A41">
        <w:rPr>
          <w:rFonts w:ascii="Times New Roman" w:hAnsi="Times New Roman" w:cs="Times New Roman"/>
          <w:sz w:val="24"/>
          <w:szCs w:val="24"/>
        </w:rPr>
        <w:t>Mdleleni</w:t>
      </w:r>
      <w:proofErr w:type="spellEnd"/>
      <w:r w:rsidR="00426E98" w:rsidRPr="00082A41">
        <w:rPr>
          <w:rFonts w:ascii="Times New Roman" w:hAnsi="Times New Roman" w:cs="Times New Roman"/>
          <w:sz w:val="24"/>
          <w:szCs w:val="24"/>
        </w:rPr>
        <w:t xml:space="preserve"> et al., 2025), who argued that weak governance systems hinder implementation of policies related to environmental protection in developing countries. The belief that institutions support dependency on fossil fuels supports the statement about misalignment of policy environments in fossil fuel-rich countries with global decarbonization targets. Furthermore, stakeholder actions were seen as quite ineffective, in particular, in terms of governmental actions, community engagement, and corporate responsibility. Such findings support earlier research focusing on multistakeholder approaches for climate policies (see Bulkeley &amp; Newell, 2015). Whereas respondents </w:t>
      </w:r>
      <w:proofErr w:type="spellStart"/>
      <w:r w:rsidR="00426E98" w:rsidRPr="00082A41">
        <w:rPr>
          <w:rFonts w:ascii="Times New Roman" w:hAnsi="Times New Roman" w:cs="Times New Roman"/>
          <w:sz w:val="24"/>
          <w:szCs w:val="24"/>
        </w:rPr>
        <w:t>recogni</w:t>
      </w:r>
      <w:r w:rsidR="00CC3834" w:rsidRPr="00082A41">
        <w:rPr>
          <w:rFonts w:ascii="Times New Roman" w:hAnsi="Times New Roman" w:cs="Times New Roman"/>
          <w:sz w:val="24"/>
          <w:szCs w:val="24"/>
        </w:rPr>
        <w:t>s</w:t>
      </w:r>
      <w:r w:rsidR="00426E98" w:rsidRPr="00082A41">
        <w:rPr>
          <w:rFonts w:ascii="Times New Roman" w:hAnsi="Times New Roman" w:cs="Times New Roman"/>
          <w:sz w:val="24"/>
          <w:szCs w:val="24"/>
        </w:rPr>
        <w:t>ed</w:t>
      </w:r>
      <w:proofErr w:type="spellEnd"/>
      <w:r w:rsidR="00426E98" w:rsidRPr="00082A41">
        <w:rPr>
          <w:rFonts w:ascii="Times New Roman" w:hAnsi="Times New Roman" w:cs="Times New Roman"/>
          <w:sz w:val="24"/>
          <w:szCs w:val="24"/>
        </w:rPr>
        <w:t xml:space="preserve"> the significance of collaboration and awareness, the poor rating implies there is a lack of implementation and coordination among the stakeholders. Besides, the results show that there are no concrete achievements towards reducing carbon emissions, increas</w:t>
      </w:r>
      <w:r w:rsidR="00CC3834" w:rsidRPr="00082A41">
        <w:rPr>
          <w:rFonts w:ascii="Times New Roman" w:hAnsi="Times New Roman" w:cs="Times New Roman"/>
          <w:sz w:val="24"/>
          <w:szCs w:val="24"/>
        </w:rPr>
        <w:t>ing</w:t>
      </w:r>
      <w:r w:rsidR="00426E98" w:rsidRPr="00082A41">
        <w:rPr>
          <w:rFonts w:ascii="Times New Roman" w:hAnsi="Times New Roman" w:cs="Times New Roman"/>
          <w:sz w:val="24"/>
          <w:szCs w:val="24"/>
        </w:rPr>
        <w:t xml:space="preserve"> renewables, and improvements in environmental conditions. This has been shown by other research in sub-Saharan Africa, whereby energy transition is slow due to infrastructure, economic, and governance-related issues (IEA, 2022; Agoundedemba et al., 2023). The poor rating for environmental outcomes suggests a disparity between the objectives of environmental policies and actual environmental outcomes. The high positive correlation between socio-political indicators and policies’ implementation (r = .808), and between stakeholder perspectives and decarbonization success (r = .833), clearly points to the importance of these variables for the process of decarbonization. The regression analysis proves this idea once again, since stakeholders' views significantly impact the variance in decarbonization success. All these facts provide evidence for the assumption that good governance, specific poli</w:t>
      </w:r>
      <w:r w:rsidR="00CC3834" w:rsidRPr="00082A41">
        <w:rPr>
          <w:rFonts w:ascii="Times New Roman" w:hAnsi="Times New Roman" w:cs="Times New Roman"/>
          <w:sz w:val="24"/>
          <w:szCs w:val="24"/>
        </w:rPr>
        <w:t>cie</w:t>
      </w:r>
      <w:r w:rsidR="00426E98" w:rsidRPr="00082A41">
        <w:rPr>
          <w:rFonts w:ascii="Times New Roman" w:hAnsi="Times New Roman" w:cs="Times New Roman"/>
          <w:sz w:val="24"/>
          <w:szCs w:val="24"/>
        </w:rPr>
        <w:t>s, and the role of various stakeholders are the key determinants of effective environmental policy-making. In general, the results of the analyses prove that the issues of decarbonization in Akwa Ibom State are strongly related to the socio-political and institutional sphere, and not to natural and technical aspects.</w:t>
      </w:r>
    </w:p>
    <w:p w14:paraId="23BE884E" w14:textId="10D3C293" w:rsidR="00852DB4" w:rsidRPr="00082A41" w:rsidRDefault="00852DB4" w:rsidP="00852DB4">
      <w:pPr>
        <w:spacing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lastRenderedPageBreak/>
        <w:t>Conclusion</w:t>
      </w:r>
    </w:p>
    <w:p w14:paraId="1253430E" w14:textId="71D8A4F9" w:rsidR="00426E98" w:rsidRPr="00082A41" w:rsidRDefault="00426E98"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This research has found that social and political considerations, institutions and governance mechanisms have greatly influenced the situation regarding decarbonization in Akwa Ibom State. From the findings derived from the three selected LGAs (</w:t>
      </w:r>
      <w:proofErr w:type="spellStart"/>
      <w:r w:rsidRPr="00082A41">
        <w:rPr>
          <w:rFonts w:ascii="Times New Roman" w:hAnsi="Times New Roman" w:cs="Times New Roman"/>
          <w:sz w:val="24"/>
          <w:szCs w:val="24"/>
        </w:rPr>
        <w:t>Eket</w:t>
      </w:r>
      <w:proofErr w:type="spellEnd"/>
      <w:r w:rsidRPr="00082A41">
        <w:rPr>
          <w:rFonts w:ascii="Times New Roman" w:hAnsi="Times New Roman" w:cs="Times New Roman"/>
          <w:sz w:val="24"/>
          <w:szCs w:val="24"/>
        </w:rPr>
        <w:t xml:space="preserve">, </w:t>
      </w:r>
      <w:proofErr w:type="spellStart"/>
      <w:r w:rsidRPr="00082A41">
        <w:rPr>
          <w:rFonts w:ascii="Times New Roman" w:hAnsi="Times New Roman" w:cs="Times New Roman"/>
          <w:sz w:val="24"/>
          <w:szCs w:val="24"/>
        </w:rPr>
        <w:t>Ibeno</w:t>
      </w:r>
      <w:proofErr w:type="spellEnd"/>
      <w:r w:rsidRPr="00082A41">
        <w:rPr>
          <w:rFonts w:ascii="Times New Roman" w:hAnsi="Times New Roman" w:cs="Times New Roman"/>
          <w:sz w:val="24"/>
          <w:szCs w:val="24"/>
        </w:rPr>
        <w:t xml:space="preserve">, and Eastern </w:t>
      </w:r>
      <w:proofErr w:type="spellStart"/>
      <w:r w:rsidRPr="00082A41">
        <w:rPr>
          <w:rFonts w:ascii="Times New Roman" w:hAnsi="Times New Roman" w:cs="Times New Roman"/>
          <w:sz w:val="24"/>
          <w:szCs w:val="24"/>
        </w:rPr>
        <w:t>Obolo</w:t>
      </w:r>
      <w:proofErr w:type="spellEnd"/>
      <w:r w:rsidRPr="00082A41">
        <w:rPr>
          <w:rFonts w:ascii="Times New Roman" w:hAnsi="Times New Roman" w:cs="Times New Roman"/>
          <w:sz w:val="24"/>
          <w:szCs w:val="24"/>
        </w:rPr>
        <w:t xml:space="preserve">), it is clear that political considerations about the earnings from oil, institutions, inconsistencies in policies, and fragmented governance are some of the major barriers to the successful implementation of decarbonization strategies. It is, however, noteworthy that despite the strong connection between socio-political and governance considerations and decarbonization processes and strategies, the current status promotes fossil fuels. Moreover, it was found that the level of stakeholder participation is still weak, since government departments, oil and gas companies, and local communities were reported to have been performing poorly in terms of their contribution towards decarbonization goals. On the other hand, the lack of adequate awareness and low coordination between stakeholders emerged as some of the challenges, despite a consensus about the need for collaboration in efforts to address climate change. It is even more crucial to mention that decarbonization achievements in this region were reported to be weak, with the respondents reporting little success in achieving results on reducing greenhouse emissions, promoting renewable sources of energy, reducing gas flaring, and improving environmental quality. Thus, it can be stated that there are considerable limitations </w:t>
      </w:r>
      <w:r w:rsidR="00CC3834" w:rsidRPr="00082A41">
        <w:rPr>
          <w:rFonts w:ascii="Times New Roman" w:hAnsi="Times New Roman" w:cs="Times New Roman"/>
          <w:sz w:val="24"/>
          <w:szCs w:val="24"/>
        </w:rPr>
        <w:t>to</w:t>
      </w:r>
      <w:r w:rsidRPr="00082A41">
        <w:rPr>
          <w:rFonts w:ascii="Times New Roman" w:hAnsi="Times New Roman" w:cs="Times New Roman"/>
          <w:sz w:val="24"/>
          <w:szCs w:val="24"/>
        </w:rPr>
        <w:t xml:space="preserve"> decarbonization efforts in Akwa Ibom State because of socio-political factors, poor capacity, and ineffective stakeholder participation.</w:t>
      </w:r>
    </w:p>
    <w:p w14:paraId="79E4A0DA" w14:textId="08391E7C" w:rsidR="00852DB4" w:rsidRPr="00082A41" w:rsidRDefault="00852DB4" w:rsidP="00852DB4">
      <w:pPr>
        <w:spacing w:line="360" w:lineRule="auto"/>
        <w:jc w:val="both"/>
        <w:rPr>
          <w:rFonts w:ascii="Times New Roman" w:hAnsi="Times New Roman" w:cs="Times New Roman"/>
          <w:b/>
          <w:bCs/>
          <w:sz w:val="24"/>
          <w:szCs w:val="24"/>
        </w:rPr>
      </w:pPr>
      <w:r w:rsidRPr="00082A41">
        <w:rPr>
          <w:rFonts w:ascii="Times New Roman" w:hAnsi="Times New Roman" w:cs="Times New Roman"/>
          <w:b/>
          <w:bCs/>
          <w:sz w:val="24"/>
          <w:szCs w:val="24"/>
        </w:rPr>
        <w:t>Recommendations</w:t>
      </w:r>
    </w:p>
    <w:p w14:paraId="52FBD67C" w14:textId="77777777" w:rsidR="00852DB4" w:rsidRPr="00082A41" w:rsidRDefault="00852DB4"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Based on the findings of the study, the following measures are suggested:</w:t>
      </w:r>
    </w:p>
    <w:p w14:paraId="226046AA" w14:textId="77777777" w:rsidR="00852DB4" w:rsidRPr="00082A41" w:rsidRDefault="00852DB4" w:rsidP="00852DB4">
      <w:pPr>
        <w:spacing w:line="360" w:lineRule="auto"/>
        <w:jc w:val="both"/>
        <w:rPr>
          <w:rFonts w:ascii="Times New Roman" w:hAnsi="Times New Roman" w:cs="Times New Roman"/>
          <w:sz w:val="24"/>
          <w:szCs w:val="24"/>
        </w:rPr>
      </w:pPr>
      <w:proofErr w:type="spellStart"/>
      <w:r w:rsidRPr="00082A41">
        <w:rPr>
          <w:rFonts w:ascii="Times New Roman" w:hAnsi="Times New Roman" w:cs="Times New Roman"/>
          <w:sz w:val="24"/>
          <w:szCs w:val="24"/>
        </w:rPr>
        <w:t>i</w:t>
      </w:r>
      <w:proofErr w:type="spellEnd"/>
      <w:r w:rsidRPr="00082A41">
        <w:rPr>
          <w:rFonts w:ascii="Times New Roman" w:hAnsi="Times New Roman" w:cs="Times New Roman"/>
          <w:sz w:val="24"/>
          <w:szCs w:val="24"/>
        </w:rPr>
        <w:t>. There is a need for comprehensive policy reforms that reduce overdependence on oil revenue and strengthen political commitment toward low-carbon and renewable energy transition pathways in Akwa Ibom State.</w:t>
      </w:r>
    </w:p>
    <w:p w14:paraId="6283A5A6" w14:textId="77777777" w:rsidR="00852DB4" w:rsidRPr="00082A41" w:rsidRDefault="00852DB4"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ii. Government should strengthen institutional coordination among environmental agencies through clear mandates, improved inter-agency collaboration, and enforcement mechanisms to ensure effective implementation of decarbonization policies.</w:t>
      </w:r>
    </w:p>
    <w:p w14:paraId="6F76AC7D" w14:textId="2534D0AA" w:rsidR="00852DB4" w:rsidRPr="00082A41" w:rsidRDefault="00852DB4"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lastRenderedPageBreak/>
        <w:t xml:space="preserve">iii. Deliberate efforts should be made to enhance stakeholder participation by integrating local communities, civil society </w:t>
      </w:r>
      <w:proofErr w:type="spellStart"/>
      <w:r w:rsidRPr="00082A41">
        <w:rPr>
          <w:rFonts w:ascii="Times New Roman" w:hAnsi="Times New Roman" w:cs="Times New Roman"/>
          <w:sz w:val="24"/>
          <w:szCs w:val="24"/>
        </w:rPr>
        <w:t>organi</w:t>
      </w:r>
      <w:r w:rsidR="00CC3834" w:rsidRPr="00082A41">
        <w:rPr>
          <w:rFonts w:ascii="Times New Roman" w:hAnsi="Times New Roman" w:cs="Times New Roman"/>
          <w:sz w:val="24"/>
          <w:szCs w:val="24"/>
        </w:rPr>
        <w:t>s</w:t>
      </w:r>
      <w:r w:rsidRPr="00082A41">
        <w:rPr>
          <w:rFonts w:ascii="Times New Roman" w:hAnsi="Times New Roman" w:cs="Times New Roman"/>
          <w:sz w:val="24"/>
          <w:szCs w:val="24"/>
        </w:rPr>
        <w:t>ations</w:t>
      </w:r>
      <w:proofErr w:type="spellEnd"/>
      <w:r w:rsidRPr="00082A41">
        <w:rPr>
          <w:rFonts w:ascii="Times New Roman" w:hAnsi="Times New Roman" w:cs="Times New Roman"/>
          <w:sz w:val="24"/>
          <w:szCs w:val="24"/>
        </w:rPr>
        <w:t>, and the oil and gas sector into environmental decision-making and climate governance frameworks.</w:t>
      </w:r>
    </w:p>
    <w:p w14:paraId="36C439C9" w14:textId="77777777" w:rsidR="00852DB4" w:rsidRPr="00082A41" w:rsidRDefault="00852DB4"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iv. Continuous public awareness and capacity-building programs should be implemented to improve stakeholder understanding of decarbonization benefits, risks of carbon-intensive practices, and opportunities within the green economy.</w:t>
      </w:r>
    </w:p>
    <w:p w14:paraId="20E9AFF5" w14:textId="77777777" w:rsidR="00852DB4" w:rsidRPr="00082A41" w:rsidRDefault="00852DB4" w:rsidP="00852DB4">
      <w:pPr>
        <w:spacing w:line="360" w:lineRule="auto"/>
        <w:jc w:val="both"/>
        <w:rPr>
          <w:rFonts w:ascii="Times New Roman" w:hAnsi="Times New Roman" w:cs="Times New Roman"/>
          <w:sz w:val="24"/>
          <w:szCs w:val="24"/>
        </w:rPr>
      </w:pPr>
      <w:r w:rsidRPr="00082A41">
        <w:rPr>
          <w:rFonts w:ascii="Times New Roman" w:hAnsi="Times New Roman" w:cs="Times New Roman"/>
          <w:sz w:val="24"/>
          <w:szCs w:val="24"/>
        </w:rPr>
        <w:t>v. Strict environmental regulations should be enforced on gas flaring and industrial emissions, while incentives should be provided to encourage investment in renewable energy infrastructure and cleaner production technologies across the state.</w:t>
      </w:r>
    </w:p>
    <w:p w14:paraId="66F6DC5D" w14:textId="77777777" w:rsidR="00852DB4" w:rsidRPr="00082A41" w:rsidRDefault="00852DB4" w:rsidP="00852DB4">
      <w:pPr>
        <w:spacing w:line="360" w:lineRule="auto"/>
        <w:jc w:val="both"/>
        <w:rPr>
          <w:rFonts w:ascii="Times New Roman" w:hAnsi="Times New Roman" w:cs="Times New Roman"/>
          <w:vanish/>
          <w:sz w:val="24"/>
          <w:szCs w:val="24"/>
        </w:rPr>
      </w:pPr>
    </w:p>
    <w:p w14:paraId="6C42E272" w14:textId="77777777" w:rsidR="002429FF" w:rsidRPr="00082A41" w:rsidRDefault="002429FF" w:rsidP="002429FF">
      <w:pPr>
        <w:spacing w:after="160" w:line="278" w:lineRule="auto"/>
        <w:rPr>
          <w:rFonts w:ascii="Times New Roman" w:hAnsi="Times New Roman" w:cs="Times New Roman"/>
          <w:b/>
          <w:bCs/>
          <w:kern w:val="2"/>
          <w:sz w:val="24"/>
          <w:szCs w:val="24"/>
          <w14:ligatures w14:val="standardContextual"/>
        </w:rPr>
      </w:pPr>
    </w:p>
    <w:p w14:paraId="2A38A990" w14:textId="4F5E35CD" w:rsidR="002429FF" w:rsidRPr="00082A41" w:rsidRDefault="002429FF" w:rsidP="002429FF">
      <w:pPr>
        <w:spacing w:after="160" w:line="278" w:lineRule="auto"/>
        <w:rPr>
          <w:rFonts w:ascii="Times New Roman" w:hAnsi="Times New Roman" w:cs="Times New Roman"/>
          <w:b/>
          <w:bCs/>
          <w:kern w:val="2"/>
          <w:sz w:val="24"/>
          <w:szCs w:val="24"/>
          <w14:ligatures w14:val="standardContextual"/>
        </w:rPr>
      </w:pPr>
      <w:r w:rsidRPr="00082A41">
        <w:rPr>
          <w:rFonts w:ascii="Times New Roman" w:hAnsi="Times New Roman" w:cs="Times New Roman"/>
          <w:b/>
          <w:bCs/>
          <w:kern w:val="2"/>
          <w:sz w:val="24"/>
          <w:szCs w:val="24"/>
          <w14:ligatures w14:val="standardContextual"/>
        </w:rPr>
        <w:t xml:space="preserve">References </w:t>
      </w:r>
    </w:p>
    <w:p w14:paraId="5ACDD540"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1" w:name="_Hlk228041238"/>
      <w:r w:rsidRPr="00082A41">
        <w:rPr>
          <w:rFonts w:ascii="Times New Roman" w:hAnsi="Times New Roman" w:cs="Times New Roman"/>
          <w:kern w:val="2"/>
          <w:sz w:val="24"/>
          <w:szCs w:val="24"/>
          <w14:ligatures w14:val="standardContextual"/>
        </w:rPr>
        <w:t>Agoundedemba</w:t>
      </w:r>
      <w:bookmarkEnd w:id="11"/>
      <w:r w:rsidRPr="00082A41">
        <w:rPr>
          <w:rFonts w:ascii="Times New Roman" w:hAnsi="Times New Roman" w:cs="Times New Roman"/>
          <w:kern w:val="2"/>
          <w:sz w:val="24"/>
          <w:szCs w:val="24"/>
          <w14:ligatures w14:val="standardContextual"/>
        </w:rPr>
        <w:t>, M., Kim, C., &amp; Kim, H. (2023). Energy Status in Africa: Challenges, Progress and Sustainable Pathways. </w:t>
      </w:r>
      <w:r w:rsidRPr="00082A41">
        <w:rPr>
          <w:rFonts w:ascii="Times New Roman" w:hAnsi="Times New Roman" w:cs="Times New Roman"/>
          <w:i/>
          <w:iCs/>
          <w:kern w:val="2"/>
          <w:sz w:val="24"/>
          <w:szCs w:val="24"/>
          <w14:ligatures w14:val="standardContextual"/>
        </w:rPr>
        <w:t>Energies</w:t>
      </w:r>
      <w:r w:rsidRPr="00082A41">
        <w:rPr>
          <w:rFonts w:ascii="Times New Roman" w:hAnsi="Times New Roman" w:cs="Times New Roman"/>
          <w:kern w:val="2"/>
          <w:sz w:val="24"/>
          <w:szCs w:val="24"/>
          <w14:ligatures w14:val="standardContextual"/>
        </w:rPr>
        <w:t xml:space="preserve">. </w:t>
      </w:r>
      <w:hyperlink r:id="rId9" w:history="1">
        <w:r w:rsidRPr="00082A41">
          <w:rPr>
            <w:rFonts w:ascii="Times New Roman" w:hAnsi="Times New Roman" w:cs="Times New Roman"/>
            <w:kern w:val="2"/>
            <w:sz w:val="24"/>
            <w:szCs w:val="24"/>
            <w:u w:val="single"/>
            <w14:ligatures w14:val="standardContextual"/>
          </w:rPr>
          <w:t>https://doi.org/10.3390/en16237708</w:t>
        </w:r>
      </w:hyperlink>
      <w:r w:rsidRPr="00082A41">
        <w:rPr>
          <w:rFonts w:ascii="Times New Roman" w:hAnsi="Times New Roman" w:cs="Times New Roman"/>
          <w:kern w:val="2"/>
          <w:sz w:val="24"/>
          <w:szCs w:val="24"/>
          <w14:ligatures w14:val="standardContextual"/>
        </w:rPr>
        <w:t>.</w:t>
      </w:r>
    </w:p>
    <w:p w14:paraId="257ACD38"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r w:rsidRPr="00082A41">
        <w:rPr>
          <w:rFonts w:ascii="Times New Roman" w:hAnsi="Times New Roman" w:cs="Times New Roman"/>
          <w:kern w:val="2"/>
          <w:sz w:val="24"/>
          <w:szCs w:val="24"/>
          <w14:ligatures w14:val="standardContextual"/>
        </w:rPr>
        <w:t xml:space="preserve">Bulkeley, H., &amp; Newell, P. (2015). Governing climate change: a brief history. , 37-61. </w:t>
      </w:r>
      <w:hyperlink r:id="rId10" w:history="1">
        <w:r w:rsidRPr="00082A41">
          <w:rPr>
            <w:rFonts w:ascii="Times New Roman" w:hAnsi="Times New Roman" w:cs="Times New Roman"/>
            <w:kern w:val="2"/>
            <w:sz w:val="24"/>
            <w:szCs w:val="24"/>
            <w:u w:val="single"/>
            <w14:ligatures w14:val="standardContextual"/>
          </w:rPr>
          <w:t>https://doi.org/10.4324/9781315758237-9</w:t>
        </w:r>
      </w:hyperlink>
      <w:r w:rsidRPr="00082A41">
        <w:rPr>
          <w:rFonts w:ascii="Times New Roman" w:hAnsi="Times New Roman" w:cs="Times New Roman"/>
          <w:kern w:val="2"/>
          <w:sz w:val="24"/>
          <w:szCs w:val="24"/>
          <w14:ligatures w14:val="standardContextual"/>
        </w:rPr>
        <w:t>.</w:t>
      </w:r>
    </w:p>
    <w:p w14:paraId="731FB66E"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2" w:name="_Hlk228040632"/>
      <w:r w:rsidRPr="00082A41">
        <w:rPr>
          <w:rFonts w:ascii="Times New Roman" w:hAnsi="Times New Roman" w:cs="Times New Roman"/>
          <w:kern w:val="2"/>
          <w:sz w:val="24"/>
          <w:szCs w:val="24"/>
          <w14:ligatures w14:val="standardContextual"/>
        </w:rPr>
        <w:t>Heras,</w:t>
      </w:r>
      <w:bookmarkEnd w:id="12"/>
      <w:r w:rsidRPr="00082A41">
        <w:rPr>
          <w:rFonts w:ascii="Times New Roman" w:hAnsi="Times New Roman" w:cs="Times New Roman"/>
          <w:kern w:val="2"/>
          <w:sz w:val="24"/>
          <w:szCs w:val="24"/>
          <w14:ligatures w14:val="standardContextual"/>
        </w:rPr>
        <w:t xml:space="preserve"> A. (2024). Supply-side climate policy and fossil fuels in developing countries: a neo-Gramscian perspective. </w:t>
      </w:r>
      <w:r w:rsidRPr="00082A41">
        <w:rPr>
          <w:rFonts w:ascii="Times New Roman" w:hAnsi="Times New Roman" w:cs="Times New Roman"/>
          <w:i/>
          <w:iCs/>
          <w:kern w:val="2"/>
          <w:sz w:val="24"/>
          <w:szCs w:val="24"/>
          <w14:ligatures w14:val="standardContextual"/>
        </w:rPr>
        <w:t>International Environmental Agreements: Politics, Law and Economics, 24</w:t>
      </w:r>
      <w:r w:rsidRPr="00082A41">
        <w:rPr>
          <w:rFonts w:ascii="Times New Roman" w:hAnsi="Times New Roman" w:cs="Times New Roman"/>
          <w:kern w:val="2"/>
          <w:sz w:val="24"/>
          <w:szCs w:val="24"/>
          <w14:ligatures w14:val="standardContextual"/>
        </w:rPr>
        <w:t xml:space="preserve">, 49 - 74. </w:t>
      </w:r>
      <w:hyperlink r:id="rId11" w:history="1">
        <w:r w:rsidRPr="00082A41">
          <w:rPr>
            <w:rFonts w:ascii="Times New Roman" w:hAnsi="Times New Roman" w:cs="Times New Roman"/>
            <w:kern w:val="2"/>
            <w:sz w:val="24"/>
            <w:szCs w:val="24"/>
            <w:u w:val="single"/>
            <w14:ligatures w14:val="standardContextual"/>
          </w:rPr>
          <w:t>https://doi.org/10.1007/s10784-024-09627-z</w:t>
        </w:r>
      </w:hyperlink>
      <w:r w:rsidRPr="00082A41">
        <w:rPr>
          <w:rFonts w:ascii="Times New Roman" w:hAnsi="Times New Roman" w:cs="Times New Roman"/>
          <w:kern w:val="2"/>
          <w:sz w:val="24"/>
          <w:szCs w:val="24"/>
          <w14:ligatures w14:val="standardContextual"/>
        </w:rPr>
        <w:t>.</w:t>
      </w:r>
    </w:p>
    <w:p w14:paraId="22A6990B"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3" w:name="_Hlk228040211"/>
      <w:proofErr w:type="spellStart"/>
      <w:r w:rsidRPr="00082A41">
        <w:rPr>
          <w:rFonts w:ascii="Times New Roman" w:hAnsi="Times New Roman" w:cs="Times New Roman"/>
          <w:kern w:val="2"/>
          <w:sz w:val="24"/>
          <w:szCs w:val="24"/>
          <w14:ligatures w14:val="standardContextual"/>
        </w:rPr>
        <w:t>Idu</w:t>
      </w:r>
      <w:proofErr w:type="spellEnd"/>
      <w:r w:rsidRPr="00082A41">
        <w:rPr>
          <w:rFonts w:ascii="Times New Roman" w:hAnsi="Times New Roman" w:cs="Times New Roman"/>
          <w:kern w:val="2"/>
          <w:sz w:val="24"/>
          <w:szCs w:val="24"/>
          <w14:ligatures w14:val="standardContextual"/>
        </w:rPr>
        <w:t xml:space="preserve">, </w:t>
      </w:r>
      <w:bookmarkEnd w:id="13"/>
      <w:r w:rsidRPr="00082A41">
        <w:rPr>
          <w:rFonts w:ascii="Times New Roman" w:hAnsi="Times New Roman" w:cs="Times New Roman"/>
          <w:kern w:val="2"/>
          <w:sz w:val="24"/>
          <w:szCs w:val="24"/>
          <w14:ligatures w14:val="standardContextual"/>
        </w:rPr>
        <w:t xml:space="preserve">J., Abioye, R., </w:t>
      </w:r>
      <w:proofErr w:type="spellStart"/>
      <w:r w:rsidRPr="00082A41">
        <w:rPr>
          <w:rFonts w:ascii="Times New Roman" w:hAnsi="Times New Roman" w:cs="Times New Roman"/>
          <w:kern w:val="2"/>
          <w:sz w:val="24"/>
          <w:szCs w:val="24"/>
          <w14:ligatures w14:val="standardContextual"/>
        </w:rPr>
        <w:t>Ihwughwavwe</w:t>
      </w:r>
      <w:proofErr w:type="spellEnd"/>
      <w:r w:rsidRPr="00082A41">
        <w:rPr>
          <w:rFonts w:ascii="Times New Roman" w:hAnsi="Times New Roman" w:cs="Times New Roman"/>
          <w:kern w:val="2"/>
          <w:sz w:val="24"/>
          <w:szCs w:val="24"/>
          <w14:ligatures w14:val="standardContextual"/>
        </w:rPr>
        <w:t xml:space="preserve">, S., Enow, O., Okereke, M., Filani, O., Okojie, J., &amp; </w:t>
      </w:r>
      <w:proofErr w:type="spellStart"/>
      <w:r w:rsidRPr="00082A41">
        <w:rPr>
          <w:rFonts w:ascii="Times New Roman" w:hAnsi="Times New Roman" w:cs="Times New Roman"/>
          <w:kern w:val="2"/>
          <w:sz w:val="24"/>
          <w:szCs w:val="24"/>
          <w14:ligatures w14:val="standardContextual"/>
        </w:rPr>
        <w:t>Nnabueze</w:t>
      </w:r>
      <w:proofErr w:type="spellEnd"/>
      <w:r w:rsidRPr="00082A41">
        <w:rPr>
          <w:rFonts w:ascii="Times New Roman" w:hAnsi="Times New Roman" w:cs="Times New Roman"/>
          <w:kern w:val="2"/>
          <w:sz w:val="24"/>
          <w:szCs w:val="24"/>
          <w14:ligatures w14:val="standardContextual"/>
        </w:rPr>
        <w:t>, S. (2025). Balancing Fossil Fuels and Renewables: Pathways for a Just and Sustainable Energy Transition in Africa. </w:t>
      </w:r>
      <w:r w:rsidRPr="00082A41">
        <w:rPr>
          <w:rFonts w:ascii="Times New Roman" w:hAnsi="Times New Roman" w:cs="Times New Roman"/>
          <w:i/>
          <w:iCs/>
          <w:kern w:val="2"/>
          <w:sz w:val="24"/>
          <w:szCs w:val="24"/>
          <w14:ligatures w14:val="standardContextual"/>
        </w:rPr>
        <w:t>International Journal of Multidisciplinary Research and Growth Evaluation</w:t>
      </w:r>
      <w:r w:rsidRPr="00082A41">
        <w:rPr>
          <w:rFonts w:ascii="Times New Roman" w:hAnsi="Times New Roman" w:cs="Times New Roman"/>
          <w:kern w:val="2"/>
          <w:sz w:val="24"/>
          <w:szCs w:val="24"/>
          <w14:ligatures w14:val="standardContextual"/>
        </w:rPr>
        <w:t xml:space="preserve">. </w:t>
      </w:r>
      <w:hyperlink r:id="rId12" w:history="1">
        <w:r w:rsidRPr="00082A41">
          <w:rPr>
            <w:rFonts w:ascii="Times New Roman" w:hAnsi="Times New Roman" w:cs="Times New Roman"/>
            <w:kern w:val="2"/>
            <w:sz w:val="24"/>
            <w:szCs w:val="24"/>
            <w:u w:val="single"/>
            <w14:ligatures w14:val="standardContextual"/>
          </w:rPr>
          <w:t>https://doi.org/10.54660/.ijmrge.2025.6.5.409-423</w:t>
        </w:r>
      </w:hyperlink>
      <w:r w:rsidRPr="00082A41">
        <w:rPr>
          <w:rFonts w:ascii="Times New Roman" w:hAnsi="Times New Roman" w:cs="Times New Roman"/>
          <w:kern w:val="2"/>
          <w:sz w:val="24"/>
          <w:szCs w:val="24"/>
          <w14:ligatures w14:val="standardContextual"/>
        </w:rPr>
        <w:t>.</w:t>
      </w:r>
    </w:p>
    <w:p w14:paraId="6C49F0DE" w14:textId="77777777" w:rsidR="002429FF" w:rsidRPr="00082A41" w:rsidRDefault="002429FF" w:rsidP="002429FF">
      <w:pPr>
        <w:spacing w:after="160" w:line="240" w:lineRule="auto"/>
        <w:ind w:left="720" w:hanging="720"/>
        <w:jc w:val="both"/>
        <w:rPr>
          <w:rFonts w:ascii="Times New Roman" w:hAnsi="Times New Roman" w:cs="Times New Roman"/>
          <w:kern w:val="2"/>
          <w:sz w:val="24"/>
          <w:szCs w:val="24"/>
          <w14:ligatures w14:val="standardContextual"/>
        </w:rPr>
      </w:pPr>
      <w:r w:rsidRPr="00082A41">
        <w:rPr>
          <w:rFonts w:ascii="Times New Roman" w:hAnsi="Times New Roman" w:cs="Times New Roman"/>
          <w:kern w:val="2"/>
          <w:sz w:val="24"/>
          <w:szCs w:val="24"/>
          <w14:ligatures w14:val="standardContextual"/>
        </w:rPr>
        <w:t xml:space="preserve">Intergovernmental Panel on Climate Change. (2021). </w:t>
      </w:r>
      <w:r w:rsidRPr="00082A41">
        <w:rPr>
          <w:rFonts w:ascii="Times New Roman" w:hAnsi="Times New Roman" w:cs="Times New Roman"/>
          <w:i/>
          <w:iCs/>
          <w:kern w:val="2"/>
          <w:sz w:val="24"/>
          <w:szCs w:val="24"/>
          <w14:ligatures w14:val="standardContextual"/>
        </w:rPr>
        <w:t>Sixth assessment report: The physical science basis</w:t>
      </w:r>
      <w:r w:rsidRPr="00082A41">
        <w:rPr>
          <w:rFonts w:ascii="Times New Roman" w:hAnsi="Times New Roman" w:cs="Times New Roman"/>
          <w:kern w:val="2"/>
          <w:sz w:val="24"/>
          <w:szCs w:val="24"/>
          <w14:ligatures w14:val="standardContextual"/>
        </w:rPr>
        <w:t>. IPCC.</w:t>
      </w:r>
    </w:p>
    <w:p w14:paraId="6BAA657D"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4" w:name="_Hlk228040930"/>
      <w:r w:rsidRPr="00082A41">
        <w:rPr>
          <w:rFonts w:ascii="Times New Roman" w:hAnsi="Times New Roman" w:cs="Times New Roman"/>
          <w:kern w:val="2"/>
          <w:sz w:val="24"/>
          <w:szCs w:val="24"/>
          <w14:ligatures w14:val="standardContextual"/>
        </w:rPr>
        <w:t>Mdleleni</w:t>
      </w:r>
      <w:bookmarkEnd w:id="14"/>
      <w:r w:rsidRPr="00082A41">
        <w:rPr>
          <w:rFonts w:ascii="Times New Roman" w:hAnsi="Times New Roman" w:cs="Times New Roman"/>
          <w:kern w:val="2"/>
          <w:sz w:val="24"/>
          <w:szCs w:val="24"/>
          <w14:ligatures w14:val="standardContextual"/>
        </w:rPr>
        <w:t xml:space="preserve">, L., </w:t>
      </w:r>
      <w:proofErr w:type="spellStart"/>
      <w:r w:rsidRPr="00082A41">
        <w:rPr>
          <w:rFonts w:ascii="Times New Roman" w:hAnsi="Times New Roman" w:cs="Times New Roman"/>
          <w:kern w:val="2"/>
          <w:sz w:val="24"/>
          <w:szCs w:val="24"/>
          <w14:ligatures w14:val="standardContextual"/>
        </w:rPr>
        <w:t>Qonono</w:t>
      </w:r>
      <w:proofErr w:type="spellEnd"/>
      <w:r w:rsidRPr="00082A41">
        <w:rPr>
          <w:rFonts w:ascii="Times New Roman" w:hAnsi="Times New Roman" w:cs="Times New Roman"/>
          <w:kern w:val="2"/>
          <w:sz w:val="24"/>
          <w:szCs w:val="24"/>
          <w14:ligatures w14:val="standardContextual"/>
        </w:rPr>
        <w:t xml:space="preserve">, K., </w:t>
      </w:r>
      <w:proofErr w:type="spellStart"/>
      <w:r w:rsidRPr="00082A41">
        <w:rPr>
          <w:rFonts w:ascii="Times New Roman" w:hAnsi="Times New Roman" w:cs="Times New Roman"/>
          <w:kern w:val="2"/>
          <w:sz w:val="24"/>
          <w:szCs w:val="24"/>
          <w14:ligatures w14:val="standardContextual"/>
        </w:rPr>
        <w:t>Sobane</w:t>
      </w:r>
      <w:proofErr w:type="spellEnd"/>
      <w:r w:rsidRPr="00082A41">
        <w:rPr>
          <w:rFonts w:ascii="Times New Roman" w:hAnsi="Times New Roman" w:cs="Times New Roman"/>
          <w:kern w:val="2"/>
          <w:sz w:val="24"/>
          <w:szCs w:val="24"/>
          <w14:ligatures w14:val="standardContextual"/>
        </w:rPr>
        <w:t xml:space="preserve">, K., Lunga, W., </w:t>
      </w:r>
      <w:proofErr w:type="spellStart"/>
      <w:r w:rsidRPr="00082A41">
        <w:rPr>
          <w:rFonts w:ascii="Times New Roman" w:hAnsi="Times New Roman" w:cs="Times New Roman"/>
          <w:kern w:val="2"/>
          <w:sz w:val="24"/>
          <w:szCs w:val="24"/>
          <w14:ligatures w14:val="standardContextual"/>
        </w:rPr>
        <w:t>Magampa</w:t>
      </w:r>
      <w:proofErr w:type="spellEnd"/>
      <w:r w:rsidRPr="00082A41">
        <w:rPr>
          <w:rFonts w:ascii="Times New Roman" w:hAnsi="Times New Roman" w:cs="Times New Roman"/>
          <w:kern w:val="2"/>
          <w:sz w:val="24"/>
          <w:szCs w:val="24"/>
          <w14:ligatures w14:val="standardContextual"/>
        </w:rPr>
        <w:t xml:space="preserve">, M., </w:t>
      </w:r>
      <w:proofErr w:type="spellStart"/>
      <w:r w:rsidRPr="00082A41">
        <w:rPr>
          <w:rFonts w:ascii="Times New Roman" w:hAnsi="Times New Roman" w:cs="Times New Roman"/>
          <w:kern w:val="2"/>
          <w:sz w:val="24"/>
          <w:szCs w:val="24"/>
          <w14:ligatures w14:val="standardContextual"/>
        </w:rPr>
        <w:t>Pindo</w:t>
      </w:r>
      <w:proofErr w:type="spellEnd"/>
      <w:r w:rsidRPr="00082A41">
        <w:rPr>
          <w:rFonts w:ascii="Times New Roman" w:hAnsi="Times New Roman" w:cs="Times New Roman"/>
          <w:kern w:val="2"/>
          <w:sz w:val="24"/>
          <w:szCs w:val="24"/>
          <w14:ligatures w14:val="standardContextual"/>
        </w:rPr>
        <w:t>, A., Baloyi, C., Koko, I., &amp; Noe, C. (2025). A Synthesis of Environmental Policies and Identification of Critical Gaps in Critical Zones of South and East Africa. </w:t>
      </w:r>
      <w:r w:rsidRPr="00082A41">
        <w:rPr>
          <w:rFonts w:ascii="Times New Roman" w:hAnsi="Times New Roman" w:cs="Times New Roman"/>
          <w:i/>
          <w:iCs/>
          <w:kern w:val="2"/>
          <w:sz w:val="24"/>
          <w:szCs w:val="24"/>
          <w14:ligatures w14:val="standardContextual"/>
        </w:rPr>
        <w:t>Environments</w:t>
      </w:r>
      <w:r w:rsidRPr="00082A41">
        <w:rPr>
          <w:rFonts w:ascii="Times New Roman" w:hAnsi="Times New Roman" w:cs="Times New Roman"/>
          <w:kern w:val="2"/>
          <w:sz w:val="24"/>
          <w:szCs w:val="24"/>
          <w14:ligatures w14:val="standardContextual"/>
        </w:rPr>
        <w:t xml:space="preserve">. </w:t>
      </w:r>
      <w:hyperlink r:id="rId13" w:history="1">
        <w:r w:rsidRPr="00082A41">
          <w:rPr>
            <w:rFonts w:ascii="Times New Roman" w:hAnsi="Times New Roman" w:cs="Times New Roman"/>
            <w:kern w:val="2"/>
            <w:sz w:val="24"/>
            <w:szCs w:val="24"/>
            <w:u w:val="single"/>
            <w14:ligatures w14:val="standardContextual"/>
          </w:rPr>
          <w:t>https://doi.org/10.3390/environments12090326</w:t>
        </w:r>
      </w:hyperlink>
      <w:r w:rsidRPr="00082A41">
        <w:rPr>
          <w:rFonts w:ascii="Times New Roman" w:hAnsi="Times New Roman" w:cs="Times New Roman"/>
          <w:kern w:val="2"/>
          <w:sz w:val="24"/>
          <w:szCs w:val="24"/>
          <w14:ligatures w14:val="standardContextual"/>
        </w:rPr>
        <w:t>.</w:t>
      </w:r>
    </w:p>
    <w:p w14:paraId="03045B88"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5" w:name="_Hlk228040293"/>
      <w:r w:rsidRPr="00082A41">
        <w:rPr>
          <w:rFonts w:ascii="Times New Roman" w:hAnsi="Times New Roman" w:cs="Times New Roman"/>
          <w:kern w:val="2"/>
          <w:sz w:val="24"/>
          <w:szCs w:val="24"/>
          <w14:ligatures w14:val="standardContextual"/>
        </w:rPr>
        <w:t>Ogbonna</w:t>
      </w:r>
      <w:bookmarkEnd w:id="15"/>
      <w:r w:rsidRPr="00082A41">
        <w:rPr>
          <w:rFonts w:ascii="Times New Roman" w:hAnsi="Times New Roman" w:cs="Times New Roman"/>
          <w:kern w:val="2"/>
          <w:sz w:val="24"/>
          <w:szCs w:val="24"/>
          <w14:ligatures w14:val="standardContextual"/>
        </w:rPr>
        <w:t xml:space="preserve">, C., </w:t>
      </w:r>
      <w:proofErr w:type="spellStart"/>
      <w:r w:rsidRPr="00082A41">
        <w:rPr>
          <w:rFonts w:ascii="Times New Roman" w:hAnsi="Times New Roman" w:cs="Times New Roman"/>
          <w:kern w:val="2"/>
          <w:sz w:val="24"/>
          <w:szCs w:val="24"/>
          <w14:ligatures w14:val="standardContextual"/>
        </w:rPr>
        <w:t>Nwachi</w:t>
      </w:r>
      <w:proofErr w:type="spellEnd"/>
      <w:r w:rsidRPr="00082A41">
        <w:rPr>
          <w:rFonts w:ascii="Times New Roman" w:hAnsi="Times New Roman" w:cs="Times New Roman"/>
          <w:kern w:val="2"/>
          <w:sz w:val="24"/>
          <w:szCs w:val="24"/>
          <w14:ligatures w14:val="standardContextual"/>
        </w:rPr>
        <w:t xml:space="preserve">, C., </w:t>
      </w:r>
      <w:proofErr w:type="spellStart"/>
      <w:r w:rsidRPr="00082A41">
        <w:rPr>
          <w:rFonts w:ascii="Times New Roman" w:hAnsi="Times New Roman" w:cs="Times New Roman"/>
          <w:kern w:val="2"/>
          <w:sz w:val="24"/>
          <w:szCs w:val="24"/>
          <w14:ligatures w14:val="standardContextual"/>
        </w:rPr>
        <w:t>Okeoma</w:t>
      </w:r>
      <w:proofErr w:type="spellEnd"/>
      <w:r w:rsidRPr="00082A41">
        <w:rPr>
          <w:rFonts w:ascii="Times New Roman" w:hAnsi="Times New Roman" w:cs="Times New Roman"/>
          <w:kern w:val="2"/>
          <w:sz w:val="24"/>
          <w:szCs w:val="24"/>
          <w14:ligatures w14:val="standardContextual"/>
        </w:rPr>
        <w:t xml:space="preserve">, I., &amp; </w:t>
      </w:r>
      <w:proofErr w:type="spellStart"/>
      <w:r w:rsidRPr="00082A41">
        <w:rPr>
          <w:rFonts w:ascii="Times New Roman" w:hAnsi="Times New Roman" w:cs="Times New Roman"/>
          <w:kern w:val="2"/>
          <w:sz w:val="24"/>
          <w:szCs w:val="24"/>
          <w14:ligatures w14:val="standardContextual"/>
        </w:rPr>
        <w:t>Fagbami</w:t>
      </w:r>
      <w:proofErr w:type="spellEnd"/>
      <w:r w:rsidRPr="00082A41">
        <w:rPr>
          <w:rFonts w:ascii="Times New Roman" w:hAnsi="Times New Roman" w:cs="Times New Roman"/>
          <w:kern w:val="2"/>
          <w:sz w:val="24"/>
          <w:szCs w:val="24"/>
          <w14:ligatures w14:val="standardContextual"/>
        </w:rPr>
        <w:t>, O. (2023). Understanding Nigeria’s transition pathway to carbon neutrality using the Multilevel Perspective. </w:t>
      </w:r>
      <w:r w:rsidRPr="00082A41">
        <w:rPr>
          <w:rFonts w:ascii="Times New Roman" w:hAnsi="Times New Roman" w:cs="Times New Roman"/>
          <w:i/>
          <w:iCs/>
          <w:kern w:val="2"/>
          <w:sz w:val="24"/>
          <w:szCs w:val="24"/>
          <w14:ligatures w14:val="standardContextual"/>
        </w:rPr>
        <w:t>Carbon Neutrality, 2</w:t>
      </w:r>
      <w:r w:rsidRPr="00082A41">
        <w:rPr>
          <w:rFonts w:ascii="Times New Roman" w:hAnsi="Times New Roman" w:cs="Times New Roman"/>
          <w:kern w:val="2"/>
          <w:sz w:val="24"/>
          <w:szCs w:val="24"/>
          <w14:ligatures w14:val="standardContextual"/>
        </w:rPr>
        <w:t xml:space="preserve">. </w:t>
      </w:r>
      <w:hyperlink r:id="rId14" w:history="1">
        <w:r w:rsidRPr="00082A41">
          <w:rPr>
            <w:rFonts w:ascii="Times New Roman" w:hAnsi="Times New Roman" w:cs="Times New Roman"/>
            <w:kern w:val="2"/>
            <w:sz w:val="24"/>
            <w:szCs w:val="24"/>
            <w:u w:val="single"/>
            <w14:ligatures w14:val="standardContextual"/>
          </w:rPr>
          <w:t>https://doi.org/10.1007/s43979-023-00065-5</w:t>
        </w:r>
      </w:hyperlink>
      <w:r w:rsidRPr="00082A41">
        <w:rPr>
          <w:rFonts w:ascii="Times New Roman" w:hAnsi="Times New Roman" w:cs="Times New Roman"/>
          <w:kern w:val="2"/>
          <w:sz w:val="24"/>
          <w:szCs w:val="24"/>
          <w14:ligatures w14:val="standardContextual"/>
        </w:rPr>
        <w:t>.</w:t>
      </w:r>
    </w:p>
    <w:p w14:paraId="59383244" w14:textId="77777777" w:rsidR="002429FF" w:rsidRPr="00082A41" w:rsidRDefault="002429FF" w:rsidP="002429FF">
      <w:pPr>
        <w:spacing w:after="160" w:line="240" w:lineRule="auto"/>
        <w:ind w:left="720" w:hanging="720"/>
        <w:jc w:val="both"/>
        <w:rPr>
          <w:rFonts w:ascii="Times New Roman" w:hAnsi="Times New Roman" w:cs="Times New Roman"/>
          <w:kern w:val="2"/>
          <w:sz w:val="24"/>
          <w:szCs w:val="24"/>
          <w14:ligatures w14:val="standardContextual"/>
        </w:rPr>
      </w:pPr>
      <w:bookmarkStart w:id="16" w:name="_Hlk228039920"/>
      <w:proofErr w:type="spellStart"/>
      <w:r w:rsidRPr="00082A41">
        <w:rPr>
          <w:rFonts w:ascii="Times New Roman" w:hAnsi="Times New Roman" w:cs="Times New Roman"/>
          <w:kern w:val="2"/>
          <w:sz w:val="24"/>
          <w:szCs w:val="24"/>
          <w14:ligatures w14:val="standardContextual"/>
        </w:rPr>
        <w:lastRenderedPageBreak/>
        <w:t>Okedere</w:t>
      </w:r>
      <w:bookmarkEnd w:id="16"/>
      <w:proofErr w:type="spellEnd"/>
      <w:r w:rsidRPr="00082A41">
        <w:rPr>
          <w:rFonts w:ascii="Times New Roman" w:hAnsi="Times New Roman" w:cs="Times New Roman"/>
          <w:kern w:val="2"/>
          <w:sz w:val="24"/>
          <w:szCs w:val="24"/>
          <w14:ligatures w14:val="standardContextual"/>
        </w:rPr>
        <w:t xml:space="preserve">, O., </w:t>
      </w:r>
      <w:proofErr w:type="spellStart"/>
      <w:r w:rsidRPr="00082A41">
        <w:rPr>
          <w:rFonts w:ascii="Times New Roman" w:hAnsi="Times New Roman" w:cs="Times New Roman"/>
          <w:kern w:val="2"/>
          <w:sz w:val="24"/>
          <w:szCs w:val="24"/>
          <w14:ligatures w14:val="standardContextual"/>
        </w:rPr>
        <w:t>Elehinafe</w:t>
      </w:r>
      <w:proofErr w:type="spellEnd"/>
      <w:r w:rsidRPr="00082A41">
        <w:rPr>
          <w:rFonts w:ascii="Times New Roman" w:hAnsi="Times New Roman" w:cs="Times New Roman"/>
          <w:kern w:val="2"/>
          <w:sz w:val="24"/>
          <w:szCs w:val="24"/>
          <w14:ligatures w14:val="standardContextual"/>
        </w:rPr>
        <w:t xml:space="preserve">, F., </w:t>
      </w:r>
      <w:proofErr w:type="spellStart"/>
      <w:r w:rsidRPr="00082A41">
        <w:rPr>
          <w:rFonts w:ascii="Times New Roman" w:hAnsi="Times New Roman" w:cs="Times New Roman"/>
          <w:kern w:val="2"/>
          <w:sz w:val="24"/>
          <w:szCs w:val="24"/>
          <w14:ligatures w14:val="standardContextual"/>
        </w:rPr>
        <w:t>Oyelami</w:t>
      </w:r>
      <w:proofErr w:type="spellEnd"/>
      <w:r w:rsidRPr="00082A41">
        <w:rPr>
          <w:rFonts w:ascii="Times New Roman" w:hAnsi="Times New Roman" w:cs="Times New Roman"/>
          <w:kern w:val="2"/>
          <w:sz w:val="24"/>
          <w:szCs w:val="24"/>
          <w14:ligatures w14:val="standardContextual"/>
        </w:rPr>
        <w:t>, S., &amp; Ayeni, A. (2021). Drivers of anthropogenic air emissions in Nigeria - A review. </w:t>
      </w:r>
      <w:proofErr w:type="spellStart"/>
      <w:r w:rsidRPr="00082A41">
        <w:rPr>
          <w:rFonts w:ascii="Times New Roman" w:hAnsi="Times New Roman" w:cs="Times New Roman"/>
          <w:i/>
          <w:iCs/>
          <w:kern w:val="2"/>
          <w:sz w:val="24"/>
          <w:szCs w:val="24"/>
          <w14:ligatures w14:val="standardContextual"/>
        </w:rPr>
        <w:t>Heliyon</w:t>
      </w:r>
      <w:proofErr w:type="spellEnd"/>
      <w:r w:rsidRPr="00082A41">
        <w:rPr>
          <w:rFonts w:ascii="Times New Roman" w:hAnsi="Times New Roman" w:cs="Times New Roman"/>
          <w:i/>
          <w:iCs/>
          <w:kern w:val="2"/>
          <w:sz w:val="24"/>
          <w:szCs w:val="24"/>
          <w14:ligatures w14:val="standardContextual"/>
        </w:rPr>
        <w:t>, 7</w:t>
      </w:r>
      <w:r w:rsidRPr="00082A41">
        <w:rPr>
          <w:rFonts w:ascii="Times New Roman" w:hAnsi="Times New Roman" w:cs="Times New Roman"/>
          <w:kern w:val="2"/>
          <w:sz w:val="24"/>
          <w:szCs w:val="24"/>
          <w14:ligatures w14:val="standardContextual"/>
        </w:rPr>
        <w:t xml:space="preserve">. </w:t>
      </w:r>
      <w:hyperlink r:id="rId15" w:history="1">
        <w:r w:rsidRPr="00082A41">
          <w:rPr>
            <w:rFonts w:ascii="Times New Roman" w:hAnsi="Times New Roman" w:cs="Times New Roman"/>
            <w:kern w:val="2"/>
            <w:sz w:val="24"/>
            <w:szCs w:val="24"/>
            <w:u w:val="single"/>
            <w14:ligatures w14:val="standardContextual"/>
          </w:rPr>
          <w:t>https://doi.org/10.1016/j.heliyon.2021.e06398</w:t>
        </w:r>
      </w:hyperlink>
      <w:r w:rsidRPr="00082A41">
        <w:rPr>
          <w:rFonts w:ascii="Times New Roman" w:hAnsi="Times New Roman" w:cs="Times New Roman"/>
          <w:kern w:val="2"/>
          <w:sz w:val="24"/>
          <w:szCs w:val="24"/>
          <w14:ligatures w14:val="standardContextual"/>
        </w:rPr>
        <w:t>.</w:t>
      </w:r>
    </w:p>
    <w:p w14:paraId="5BED4DF2"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proofErr w:type="spellStart"/>
      <w:r w:rsidRPr="00082A41">
        <w:rPr>
          <w:rFonts w:ascii="Times New Roman" w:hAnsi="Times New Roman" w:cs="Times New Roman"/>
          <w:kern w:val="2"/>
          <w:sz w:val="24"/>
          <w:szCs w:val="24"/>
          <w14:ligatures w14:val="standardContextual"/>
        </w:rPr>
        <w:t>Owebor</w:t>
      </w:r>
      <w:proofErr w:type="spellEnd"/>
      <w:r w:rsidRPr="00082A41">
        <w:rPr>
          <w:rFonts w:ascii="Times New Roman" w:hAnsi="Times New Roman" w:cs="Times New Roman"/>
          <w:kern w:val="2"/>
          <w:sz w:val="24"/>
          <w:szCs w:val="24"/>
          <w14:ligatures w14:val="standardContextual"/>
        </w:rPr>
        <w:t xml:space="preserve">, K., Okereke, C., </w:t>
      </w:r>
      <w:proofErr w:type="spellStart"/>
      <w:r w:rsidRPr="00082A41">
        <w:rPr>
          <w:rFonts w:ascii="Times New Roman" w:hAnsi="Times New Roman" w:cs="Times New Roman"/>
          <w:kern w:val="2"/>
          <w:sz w:val="24"/>
          <w:szCs w:val="24"/>
          <w14:ligatures w14:val="standardContextual"/>
        </w:rPr>
        <w:t>Diemuodeke</w:t>
      </w:r>
      <w:proofErr w:type="spellEnd"/>
      <w:r w:rsidRPr="00082A41">
        <w:rPr>
          <w:rFonts w:ascii="Times New Roman" w:hAnsi="Times New Roman" w:cs="Times New Roman"/>
          <w:kern w:val="2"/>
          <w:sz w:val="24"/>
          <w:szCs w:val="24"/>
          <w14:ligatures w14:val="standardContextual"/>
        </w:rPr>
        <w:t>, O., Owolabi, A., &amp; Nwachukwu, C. (2025). A systematic review of literature on the decarbonization of the Nigerian power sector. </w:t>
      </w:r>
      <w:r w:rsidRPr="00082A41">
        <w:rPr>
          <w:rFonts w:ascii="Times New Roman" w:hAnsi="Times New Roman" w:cs="Times New Roman"/>
          <w:i/>
          <w:iCs/>
          <w:kern w:val="2"/>
          <w:sz w:val="24"/>
          <w:szCs w:val="24"/>
          <w14:ligatures w14:val="standardContextual"/>
        </w:rPr>
        <w:t>Energy, Sustainability and Society, 15</w:t>
      </w:r>
      <w:r w:rsidRPr="00082A41">
        <w:rPr>
          <w:rFonts w:ascii="Times New Roman" w:hAnsi="Times New Roman" w:cs="Times New Roman"/>
          <w:kern w:val="2"/>
          <w:sz w:val="24"/>
          <w:szCs w:val="24"/>
          <w14:ligatures w14:val="standardContextual"/>
        </w:rPr>
        <w:t xml:space="preserve">. </w:t>
      </w:r>
      <w:hyperlink r:id="rId16" w:history="1">
        <w:r w:rsidRPr="00082A41">
          <w:rPr>
            <w:rFonts w:ascii="Times New Roman" w:hAnsi="Times New Roman" w:cs="Times New Roman"/>
            <w:kern w:val="2"/>
            <w:sz w:val="24"/>
            <w:szCs w:val="24"/>
            <w:u w:val="single"/>
            <w14:ligatures w14:val="standardContextual"/>
          </w:rPr>
          <w:t>https://doi.org/10.1186/s13705-025-00527-x</w:t>
        </w:r>
      </w:hyperlink>
      <w:r w:rsidRPr="00082A41">
        <w:rPr>
          <w:rFonts w:ascii="Times New Roman" w:hAnsi="Times New Roman" w:cs="Times New Roman"/>
          <w:kern w:val="2"/>
          <w:sz w:val="24"/>
          <w:szCs w:val="24"/>
          <w14:ligatures w14:val="standardContextual"/>
        </w:rPr>
        <w:t>.</w:t>
      </w:r>
    </w:p>
    <w:p w14:paraId="39D41555" w14:textId="77777777"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7" w:name="_Hlk228041379"/>
      <w:r w:rsidRPr="00082A41">
        <w:rPr>
          <w:rFonts w:ascii="Times New Roman" w:hAnsi="Times New Roman" w:cs="Times New Roman"/>
          <w:kern w:val="2"/>
          <w:sz w:val="24"/>
          <w:szCs w:val="24"/>
          <w14:ligatures w14:val="standardContextual"/>
        </w:rPr>
        <w:t>Perri</w:t>
      </w:r>
      <w:bookmarkEnd w:id="17"/>
      <w:r w:rsidRPr="00082A41">
        <w:rPr>
          <w:rFonts w:ascii="Times New Roman" w:hAnsi="Times New Roman" w:cs="Times New Roman"/>
          <w:kern w:val="2"/>
          <w:sz w:val="24"/>
          <w:szCs w:val="24"/>
          <w14:ligatures w14:val="standardContextual"/>
        </w:rPr>
        <w:t xml:space="preserve">, S., Levin, S., Cerasoli, S., &amp; </w:t>
      </w:r>
      <w:proofErr w:type="spellStart"/>
      <w:r w:rsidRPr="00082A41">
        <w:rPr>
          <w:rFonts w:ascii="Times New Roman" w:hAnsi="Times New Roman" w:cs="Times New Roman"/>
          <w:kern w:val="2"/>
          <w:sz w:val="24"/>
          <w:szCs w:val="24"/>
          <w14:ligatures w14:val="standardContextual"/>
        </w:rPr>
        <w:t>Porporato</w:t>
      </w:r>
      <w:proofErr w:type="spellEnd"/>
      <w:r w:rsidRPr="00082A41">
        <w:rPr>
          <w:rFonts w:ascii="Times New Roman" w:hAnsi="Times New Roman" w:cs="Times New Roman"/>
          <w:kern w:val="2"/>
          <w:sz w:val="24"/>
          <w:szCs w:val="24"/>
          <w14:ligatures w14:val="standardContextual"/>
        </w:rPr>
        <w:t>, A. (2024). Socio-political dynamics in clean energy transition. </w:t>
      </w:r>
      <w:r w:rsidRPr="00082A41">
        <w:rPr>
          <w:rFonts w:ascii="Times New Roman" w:hAnsi="Times New Roman" w:cs="Times New Roman"/>
          <w:i/>
          <w:iCs/>
          <w:kern w:val="2"/>
          <w:sz w:val="24"/>
          <w:szCs w:val="24"/>
          <w14:ligatures w14:val="standardContextual"/>
        </w:rPr>
        <w:t>Environmental Research Letters, 19</w:t>
      </w:r>
      <w:r w:rsidRPr="00082A41">
        <w:rPr>
          <w:rFonts w:ascii="Times New Roman" w:hAnsi="Times New Roman" w:cs="Times New Roman"/>
          <w:kern w:val="2"/>
          <w:sz w:val="24"/>
          <w:szCs w:val="24"/>
          <w14:ligatures w14:val="standardContextual"/>
        </w:rPr>
        <w:t xml:space="preserve">. </w:t>
      </w:r>
      <w:hyperlink r:id="rId17" w:history="1">
        <w:r w:rsidRPr="00082A41">
          <w:rPr>
            <w:rFonts w:ascii="Times New Roman" w:hAnsi="Times New Roman" w:cs="Times New Roman"/>
            <w:kern w:val="2"/>
            <w:sz w:val="24"/>
            <w:szCs w:val="24"/>
            <w:u w:val="single"/>
            <w14:ligatures w14:val="standardContextual"/>
          </w:rPr>
          <w:t>https://doi.org/10.1088/1748-9326/ad5031</w:t>
        </w:r>
      </w:hyperlink>
      <w:r w:rsidRPr="00082A41">
        <w:rPr>
          <w:rFonts w:ascii="Times New Roman" w:hAnsi="Times New Roman" w:cs="Times New Roman"/>
          <w:kern w:val="2"/>
          <w:sz w:val="24"/>
          <w:szCs w:val="24"/>
          <w14:ligatures w14:val="standardContextual"/>
        </w:rPr>
        <w:t>.</w:t>
      </w:r>
    </w:p>
    <w:p w14:paraId="18431E3F" w14:textId="736C9E40" w:rsidR="002429FF" w:rsidRPr="00082A41" w:rsidRDefault="002429FF" w:rsidP="002429FF">
      <w:pPr>
        <w:spacing w:after="160" w:line="278" w:lineRule="auto"/>
        <w:ind w:left="720" w:hanging="720"/>
        <w:jc w:val="both"/>
        <w:rPr>
          <w:rFonts w:ascii="Times New Roman" w:hAnsi="Times New Roman" w:cs="Times New Roman"/>
          <w:kern w:val="2"/>
          <w:sz w:val="24"/>
          <w:szCs w:val="24"/>
          <w14:ligatures w14:val="standardContextual"/>
        </w:rPr>
      </w:pPr>
      <w:bookmarkStart w:id="18" w:name="_Hlk228040574"/>
      <w:proofErr w:type="spellStart"/>
      <w:r w:rsidRPr="00082A41">
        <w:rPr>
          <w:rFonts w:ascii="Times New Roman" w:hAnsi="Times New Roman" w:cs="Times New Roman"/>
          <w:kern w:val="2"/>
          <w:sz w:val="24"/>
          <w:szCs w:val="24"/>
          <w14:ligatures w14:val="standardContextual"/>
        </w:rPr>
        <w:t>Roshсhina</w:t>
      </w:r>
      <w:bookmarkEnd w:id="18"/>
      <w:proofErr w:type="spellEnd"/>
      <w:r w:rsidRPr="00082A41">
        <w:rPr>
          <w:rFonts w:ascii="Times New Roman" w:hAnsi="Times New Roman" w:cs="Times New Roman"/>
          <w:kern w:val="2"/>
          <w:sz w:val="24"/>
          <w:szCs w:val="24"/>
          <w14:ligatures w14:val="standardContextual"/>
        </w:rPr>
        <w:t xml:space="preserve">, I., Lisovskaya, E., </w:t>
      </w:r>
      <w:proofErr w:type="spellStart"/>
      <w:r w:rsidRPr="00082A41">
        <w:rPr>
          <w:rFonts w:ascii="Times New Roman" w:hAnsi="Times New Roman" w:cs="Times New Roman"/>
          <w:kern w:val="2"/>
          <w:sz w:val="24"/>
          <w:szCs w:val="24"/>
          <w14:ligatures w14:val="standardContextual"/>
        </w:rPr>
        <w:t>Krishtal</w:t>
      </w:r>
      <w:proofErr w:type="spellEnd"/>
      <w:r w:rsidRPr="00082A41">
        <w:rPr>
          <w:rFonts w:ascii="Times New Roman" w:hAnsi="Times New Roman" w:cs="Times New Roman"/>
          <w:kern w:val="2"/>
          <w:sz w:val="24"/>
          <w:szCs w:val="24"/>
          <w14:ligatures w14:val="standardContextual"/>
        </w:rPr>
        <w:t xml:space="preserve">, I., &amp; </w:t>
      </w:r>
      <w:proofErr w:type="spellStart"/>
      <w:r w:rsidRPr="00082A41">
        <w:rPr>
          <w:rFonts w:ascii="Times New Roman" w:hAnsi="Times New Roman" w:cs="Times New Roman"/>
          <w:kern w:val="2"/>
          <w:sz w:val="24"/>
          <w:szCs w:val="24"/>
          <w14:ligatures w14:val="standardContextual"/>
        </w:rPr>
        <w:t>Levshina</w:t>
      </w:r>
      <w:proofErr w:type="spellEnd"/>
      <w:r w:rsidRPr="00082A41">
        <w:rPr>
          <w:rFonts w:ascii="Times New Roman" w:hAnsi="Times New Roman" w:cs="Times New Roman"/>
          <w:kern w:val="2"/>
          <w:sz w:val="24"/>
          <w:szCs w:val="24"/>
          <w14:ligatures w14:val="standardContextual"/>
        </w:rPr>
        <w:t>, O. (2020). Sustainable Development: Bonding Inertia of a Resource</w:t>
      </w:r>
      <w:r w:rsidR="00CC3834" w:rsidRPr="00082A41">
        <w:rPr>
          <w:rFonts w:ascii="Times New Roman" w:hAnsi="Times New Roman" w:cs="Times New Roman"/>
          <w:kern w:val="2"/>
          <w:sz w:val="24"/>
          <w:szCs w:val="24"/>
          <w14:ligatures w14:val="standardContextual"/>
        </w:rPr>
        <w:t>-</w:t>
      </w:r>
      <w:r w:rsidRPr="00082A41">
        <w:rPr>
          <w:rFonts w:ascii="Times New Roman" w:hAnsi="Times New Roman" w:cs="Times New Roman"/>
          <w:kern w:val="2"/>
          <w:sz w:val="24"/>
          <w:szCs w:val="24"/>
          <w14:ligatures w14:val="standardContextual"/>
        </w:rPr>
        <w:t xml:space="preserve">Based Economic </w:t>
      </w:r>
      <w:proofErr w:type="spellStart"/>
      <w:r w:rsidRPr="00082A41">
        <w:rPr>
          <w:rFonts w:ascii="Times New Roman" w:hAnsi="Times New Roman" w:cs="Times New Roman"/>
          <w:kern w:val="2"/>
          <w:sz w:val="24"/>
          <w:szCs w:val="24"/>
          <w14:ligatures w14:val="standardContextual"/>
        </w:rPr>
        <w:t>Speciali</w:t>
      </w:r>
      <w:r w:rsidR="00CC3834" w:rsidRPr="00082A41">
        <w:rPr>
          <w:rFonts w:ascii="Times New Roman" w:hAnsi="Times New Roman" w:cs="Times New Roman"/>
          <w:kern w:val="2"/>
          <w:sz w:val="24"/>
          <w:szCs w:val="24"/>
          <w14:ligatures w14:val="standardContextual"/>
        </w:rPr>
        <w:t>s</w:t>
      </w:r>
      <w:r w:rsidRPr="00082A41">
        <w:rPr>
          <w:rFonts w:ascii="Times New Roman" w:hAnsi="Times New Roman" w:cs="Times New Roman"/>
          <w:kern w:val="2"/>
          <w:sz w:val="24"/>
          <w:szCs w:val="24"/>
          <w14:ligatures w14:val="standardContextual"/>
        </w:rPr>
        <w:t>ation</w:t>
      </w:r>
      <w:proofErr w:type="spellEnd"/>
      <w:r w:rsidRPr="00082A41">
        <w:rPr>
          <w:rFonts w:ascii="Times New Roman" w:hAnsi="Times New Roman" w:cs="Times New Roman"/>
          <w:kern w:val="2"/>
          <w:sz w:val="24"/>
          <w:szCs w:val="24"/>
          <w14:ligatures w14:val="standardContextual"/>
        </w:rPr>
        <w:t>. </w:t>
      </w:r>
      <w:r w:rsidRPr="00082A41">
        <w:rPr>
          <w:rFonts w:ascii="Times New Roman" w:hAnsi="Times New Roman" w:cs="Times New Roman"/>
          <w:i/>
          <w:iCs/>
          <w:kern w:val="2"/>
          <w:sz w:val="24"/>
          <w:szCs w:val="24"/>
          <w14:ligatures w14:val="standardContextual"/>
        </w:rPr>
        <w:t>E3S Web of Conferences</w:t>
      </w:r>
      <w:r w:rsidRPr="00082A41">
        <w:rPr>
          <w:rFonts w:ascii="Times New Roman" w:hAnsi="Times New Roman" w:cs="Times New Roman"/>
          <w:kern w:val="2"/>
          <w:sz w:val="24"/>
          <w:szCs w:val="24"/>
          <w14:ligatures w14:val="standardContextual"/>
        </w:rPr>
        <w:t xml:space="preserve">. </w:t>
      </w:r>
      <w:hyperlink r:id="rId18" w:history="1">
        <w:r w:rsidRPr="00082A41">
          <w:rPr>
            <w:rFonts w:ascii="Times New Roman" w:hAnsi="Times New Roman" w:cs="Times New Roman"/>
            <w:kern w:val="2"/>
            <w:sz w:val="24"/>
            <w:szCs w:val="24"/>
            <w:u w:val="single"/>
            <w14:ligatures w14:val="standardContextual"/>
          </w:rPr>
          <w:t>https://doi.org/10.1051/e3sconf/202017404006</w:t>
        </w:r>
      </w:hyperlink>
      <w:r w:rsidRPr="00082A41">
        <w:rPr>
          <w:rFonts w:ascii="Times New Roman" w:hAnsi="Times New Roman" w:cs="Times New Roman"/>
          <w:kern w:val="2"/>
          <w:sz w:val="24"/>
          <w:szCs w:val="24"/>
          <w14:ligatures w14:val="standardContextual"/>
        </w:rPr>
        <w:t>.</w:t>
      </w:r>
    </w:p>
    <w:p w14:paraId="61EC0B7C" w14:textId="77777777" w:rsidR="002429FF" w:rsidRPr="00082A41" w:rsidRDefault="002429FF" w:rsidP="002429FF">
      <w:pPr>
        <w:spacing w:after="160" w:line="240" w:lineRule="auto"/>
        <w:ind w:left="720" w:hanging="720"/>
        <w:jc w:val="both"/>
        <w:rPr>
          <w:rFonts w:ascii="Times New Roman" w:hAnsi="Times New Roman" w:cs="Times New Roman"/>
          <w:kern w:val="2"/>
          <w:sz w:val="24"/>
          <w:szCs w:val="24"/>
          <w14:ligatures w14:val="standardContextual"/>
        </w:rPr>
      </w:pPr>
      <w:r w:rsidRPr="00082A41">
        <w:rPr>
          <w:rFonts w:ascii="Times New Roman" w:hAnsi="Times New Roman" w:cs="Times New Roman"/>
          <w:kern w:val="2"/>
          <w:sz w:val="24"/>
          <w:szCs w:val="24"/>
          <w14:ligatures w14:val="standardContextual"/>
        </w:rPr>
        <w:t xml:space="preserve">United Nations Environment </w:t>
      </w:r>
      <w:proofErr w:type="spellStart"/>
      <w:r w:rsidRPr="00082A41">
        <w:rPr>
          <w:rFonts w:ascii="Times New Roman" w:hAnsi="Times New Roman" w:cs="Times New Roman"/>
          <w:kern w:val="2"/>
          <w:sz w:val="24"/>
          <w:szCs w:val="24"/>
          <w14:ligatures w14:val="standardContextual"/>
        </w:rPr>
        <w:t>Programme</w:t>
      </w:r>
      <w:proofErr w:type="spellEnd"/>
      <w:r w:rsidRPr="00082A41">
        <w:rPr>
          <w:rFonts w:ascii="Times New Roman" w:hAnsi="Times New Roman" w:cs="Times New Roman"/>
          <w:kern w:val="2"/>
          <w:sz w:val="24"/>
          <w:szCs w:val="24"/>
          <w14:ligatures w14:val="standardContextual"/>
        </w:rPr>
        <w:t xml:space="preserve">. (2011). Environmental assessment of </w:t>
      </w:r>
      <w:proofErr w:type="spellStart"/>
      <w:r w:rsidRPr="00082A41">
        <w:rPr>
          <w:rFonts w:ascii="Times New Roman" w:hAnsi="Times New Roman" w:cs="Times New Roman"/>
          <w:kern w:val="2"/>
          <w:sz w:val="24"/>
          <w:szCs w:val="24"/>
          <w14:ligatures w14:val="standardContextual"/>
        </w:rPr>
        <w:t>Ogoniland</w:t>
      </w:r>
      <w:proofErr w:type="spellEnd"/>
      <w:r w:rsidRPr="00082A41">
        <w:rPr>
          <w:rFonts w:ascii="Times New Roman" w:hAnsi="Times New Roman" w:cs="Times New Roman"/>
          <w:kern w:val="2"/>
          <w:sz w:val="24"/>
          <w:szCs w:val="24"/>
          <w14:ligatures w14:val="standardContextual"/>
        </w:rPr>
        <w:t>. UNEP.</w:t>
      </w:r>
    </w:p>
    <w:p w14:paraId="5AEB8901" w14:textId="5CF61B9C" w:rsidR="0053461A" w:rsidRPr="00082A41" w:rsidRDefault="002429FF" w:rsidP="002429FF">
      <w:pPr>
        <w:spacing w:after="160" w:line="240" w:lineRule="auto"/>
        <w:ind w:left="720" w:hanging="720"/>
        <w:jc w:val="both"/>
        <w:rPr>
          <w:rFonts w:ascii="Times New Roman" w:hAnsi="Times New Roman" w:cs="Times New Roman"/>
          <w:kern w:val="2"/>
          <w:sz w:val="24"/>
          <w:szCs w:val="24"/>
          <w14:ligatures w14:val="standardContextual"/>
        </w:rPr>
      </w:pPr>
      <w:r w:rsidRPr="00082A41">
        <w:rPr>
          <w:rFonts w:ascii="Times New Roman" w:hAnsi="Times New Roman" w:cs="Times New Roman"/>
          <w:kern w:val="2"/>
          <w:sz w:val="24"/>
          <w:szCs w:val="24"/>
          <w14:ligatures w14:val="standardContextual"/>
        </w:rPr>
        <w:t xml:space="preserve">World Bank. (2023). </w:t>
      </w:r>
      <w:r w:rsidRPr="00082A41">
        <w:rPr>
          <w:rFonts w:ascii="Times New Roman" w:hAnsi="Times New Roman" w:cs="Times New Roman"/>
          <w:i/>
          <w:iCs/>
          <w:kern w:val="2"/>
          <w:sz w:val="24"/>
          <w:szCs w:val="24"/>
          <w14:ligatures w14:val="standardContextual"/>
        </w:rPr>
        <w:t>Nigeria country climate and development report</w:t>
      </w:r>
      <w:r w:rsidRPr="00082A41">
        <w:rPr>
          <w:rFonts w:ascii="Times New Roman" w:hAnsi="Times New Roman" w:cs="Times New Roman"/>
          <w:kern w:val="2"/>
          <w:sz w:val="24"/>
          <w:szCs w:val="24"/>
          <w14:ligatures w14:val="standardContextual"/>
        </w:rPr>
        <w:t>. World Bank.</w:t>
      </w:r>
    </w:p>
    <w:sectPr w:rsidR="0053461A" w:rsidRPr="00082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1D3"/>
    <w:multiLevelType w:val="hybridMultilevel"/>
    <w:tmpl w:val="13F4FB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C7B4504"/>
    <w:multiLevelType w:val="hybridMultilevel"/>
    <w:tmpl w:val="CE926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A203E5"/>
    <w:multiLevelType w:val="multilevel"/>
    <w:tmpl w:val="200A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E4F76"/>
    <w:multiLevelType w:val="hybridMultilevel"/>
    <w:tmpl w:val="6D36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F82886"/>
    <w:multiLevelType w:val="multilevel"/>
    <w:tmpl w:val="BCA0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F30D3"/>
    <w:multiLevelType w:val="multilevel"/>
    <w:tmpl w:val="8A08CD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Q2NjEwMbEwNza3sDRT0lEKTi0uzszPAykwNKgFAG9VggEtAAAA"/>
  </w:docVars>
  <w:rsids>
    <w:rsidRoot w:val="00420F0E"/>
    <w:rsid w:val="000070A8"/>
    <w:rsid w:val="000518AC"/>
    <w:rsid w:val="00064433"/>
    <w:rsid w:val="00070820"/>
    <w:rsid w:val="00082A41"/>
    <w:rsid w:val="000A659B"/>
    <w:rsid w:val="00136913"/>
    <w:rsid w:val="001934E1"/>
    <w:rsid w:val="001B4112"/>
    <w:rsid w:val="001D383D"/>
    <w:rsid w:val="001D54DF"/>
    <w:rsid w:val="002429FF"/>
    <w:rsid w:val="002676A1"/>
    <w:rsid w:val="00273869"/>
    <w:rsid w:val="00334A2F"/>
    <w:rsid w:val="003454AD"/>
    <w:rsid w:val="00377036"/>
    <w:rsid w:val="003A607E"/>
    <w:rsid w:val="003A7BE8"/>
    <w:rsid w:val="003E1270"/>
    <w:rsid w:val="00420F0E"/>
    <w:rsid w:val="00426E98"/>
    <w:rsid w:val="0044385E"/>
    <w:rsid w:val="004B7691"/>
    <w:rsid w:val="004C7A86"/>
    <w:rsid w:val="00503443"/>
    <w:rsid w:val="0053461A"/>
    <w:rsid w:val="005470D4"/>
    <w:rsid w:val="005B1A20"/>
    <w:rsid w:val="005E1134"/>
    <w:rsid w:val="00616EF5"/>
    <w:rsid w:val="00623CD4"/>
    <w:rsid w:val="006646C6"/>
    <w:rsid w:val="00684824"/>
    <w:rsid w:val="006A4095"/>
    <w:rsid w:val="006C0EB0"/>
    <w:rsid w:val="006C5485"/>
    <w:rsid w:val="007146BF"/>
    <w:rsid w:val="00736C82"/>
    <w:rsid w:val="007376FF"/>
    <w:rsid w:val="00764744"/>
    <w:rsid w:val="007D234D"/>
    <w:rsid w:val="007F44A0"/>
    <w:rsid w:val="00852DB4"/>
    <w:rsid w:val="008E7D91"/>
    <w:rsid w:val="008F11BD"/>
    <w:rsid w:val="008F6418"/>
    <w:rsid w:val="00925B4C"/>
    <w:rsid w:val="00964BF2"/>
    <w:rsid w:val="00A209D4"/>
    <w:rsid w:val="00A62CCE"/>
    <w:rsid w:val="00A9344B"/>
    <w:rsid w:val="00AA1C68"/>
    <w:rsid w:val="00AC3799"/>
    <w:rsid w:val="00AC3ECF"/>
    <w:rsid w:val="00B75999"/>
    <w:rsid w:val="00BF4A84"/>
    <w:rsid w:val="00C20422"/>
    <w:rsid w:val="00C231CE"/>
    <w:rsid w:val="00C654CB"/>
    <w:rsid w:val="00C73207"/>
    <w:rsid w:val="00C75995"/>
    <w:rsid w:val="00CC3834"/>
    <w:rsid w:val="00CD27FF"/>
    <w:rsid w:val="00CE2532"/>
    <w:rsid w:val="00D0127A"/>
    <w:rsid w:val="00D155B4"/>
    <w:rsid w:val="00D3014E"/>
    <w:rsid w:val="00D72921"/>
    <w:rsid w:val="00D7394A"/>
    <w:rsid w:val="00DA4539"/>
    <w:rsid w:val="00DA6017"/>
    <w:rsid w:val="00DE009D"/>
    <w:rsid w:val="00DF231F"/>
    <w:rsid w:val="00E54226"/>
    <w:rsid w:val="00E620ED"/>
    <w:rsid w:val="00E77220"/>
    <w:rsid w:val="00EA1BAC"/>
    <w:rsid w:val="00EB68BD"/>
    <w:rsid w:val="00EC5187"/>
    <w:rsid w:val="00F021CD"/>
    <w:rsid w:val="00F25460"/>
    <w:rsid w:val="00F35C87"/>
    <w:rsid w:val="00F42F2B"/>
    <w:rsid w:val="00F86B4F"/>
    <w:rsid w:val="00FD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F1EE"/>
  <w15:chartTrackingRefBased/>
  <w15:docId w15:val="{113A7BCC-B1D5-4B91-8656-278E70DC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F0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20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F0E"/>
    <w:rPr>
      <w:rFonts w:eastAsiaTheme="majorEastAsia" w:cstheme="majorBidi"/>
      <w:color w:val="272727" w:themeColor="text1" w:themeTint="D8"/>
    </w:rPr>
  </w:style>
  <w:style w:type="paragraph" w:styleId="Title">
    <w:name w:val="Title"/>
    <w:basedOn w:val="Normal"/>
    <w:next w:val="Normal"/>
    <w:link w:val="TitleChar"/>
    <w:uiPriority w:val="10"/>
    <w:qFormat/>
    <w:rsid w:val="0042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F0E"/>
    <w:pPr>
      <w:spacing w:before="160"/>
      <w:jc w:val="center"/>
    </w:pPr>
    <w:rPr>
      <w:i/>
      <w:iCs/>
      <w:color w:val="404040" w:themeColor="text1" w:themeTint="BF"/>
    </w:rPr>
  </w:style>
  <w:style w:type="character" w:customStyle="1" w:styleId="QuoteChar">
    <w:name w:val="Quote Char"/>
    <w:basedOn w:val="DefaultParagraphFont"/>
    <w:link w:val="Quote"/>
    <w:uiPriority w:val="29"/>
    <w:rsid w:val="00420F0E"/>
    <w:rPr>
      <w:i/>
      <w:iCs/>
      <w:color w:val="404040" w:themeColor="text1" w:themeTint="BF"/>
    </w:rPr>
  </w:style>
  <w:style w:type="paragraph" w:styleId="ListParagraph">
    <w:name w:val="List Paragraph"/>
    <w:basedOn w:val="Normal"/>
    <w:uiPriority w:val="34"/>
    <w:qFormat/>
    <w:rsid w:val="00420F0E"/>
    <w:pPr>
      <w:ind w:left="720"/>
      <w:contextualSpacing/>
    </w:pPr>
  </w:style>
  <w:style w:type="character" w:styleId="IntenseEmphasis">
    <w:name w:val="Intense Emphasis"/>
    <w:basedOn w:val="DefaultParagraphFont"/>
    <w:uiPriority w:val="21"/>
    <w:qFormat/>
    <w:rsid w:val="00420F0E"/>
    <w:rPr>
      <w:i/>
      <w:iCs/>
      <w:color w:val="2F5496" w:themeColor="accent1" w:themeShade="BF"/>
    </w:rPr>
  </w:style>
  <w:style w:type="paragraph" w:styleId="IntenseQuote">
    <w:name w:val="Intense Quote"/>
    <w:basedOn w:val="Normal"/>
    <w:next w:val="Normal"/>
    <w:link w:val="IntenseQuoteChar"/>
    <w:uiPriority w:val="30"/>
    <w:qFormat/>
    <w:rsid w:val="00420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F0E"/>
    <w:rPr>
      <w:i/>
      <w:iCs/>
      <w:color w:val="2F5496" w:themeColor="accent1" w:themeShade="BF"/>
    </w:rPr>
  </w:style>
  <w:style w:type="character" w:styleId="IntenseReference">
    <w:name w:val="Intense Reference"/>
    <w:basedOn w:val="DefaultParagraphFont"/>
    <w:uiPriority w:val="32"/>
    <w:qFormat/>
    <w:rsid w:val="00420F0E"/>
    <w:rPr>
      <w:b/>
      <w:bCs/>
      <w:smallCaps/>
      <w:color w:val="2F5496" w:themeColor="accent1" w:themeShade="BF"/>
      <w:spacing w:val="5"/>
    </w:rPr>
  </w:style>
  <w:style w:type="paragraph" w:customStyle="1" w:styleId="msonormal0">
    <w:name w:val="msonormal"/>
    <w:basedOn w:val="Normal"/>
    <w:rsid w:val="00623CD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23CD4"/>
    <w:rPr>
      <w:color w:val="666666"/>
    </w:rPr>
  </w:style>
  <w:style w:type="table" w:styleId="TableGrid">
    <w:name w:val="Table Grid"/>
    <w:basedOn w:val="TableNormal"/>
    <w:uiPriority w:val="39"/>
    <w:rsid w:val="00623CD4"/>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23CD4"/>
    <w:pPr>
      <w:spacing w:after="0" w:line="240" w:lineRule="auto"/>
    </w:pPr>
    <w:rPr>
      <w:rFonts w:eastAsiaTheme="minorEastAsia"/>
      <w:kern w:val="0"/>
      <w:sz w:val="22"/>
      <w:szCs w:val="22"/>
      <w:lang w:val="en-GB" w:eastAsia="en-GB"/>
      <w14:ligatures w14:val="none"/>
    </w:rPr>
    <w:tblPr>
      <w:tblCellMar>
        <w:top w:w="0" w:type="dxa"/>
        <w:left w:w="0" w:type="dxa"/>
        <w:bottom w:w="0" w:type="dxa"/>
        <w:right w:w="0" w:type="dxa"/>
      </w:tblCellMar>
    </w:tblPr>
  </w:style>
  <w:style w:type="table" w:customStyle="1" w:styleId="TableGrid0">
    <w:name w:val="TableGrid"/>
    <w:rsid w:val="00623CD4"/>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59"/>
    <w:rsid w:val="00623CD4"/>
    <w:pPr>
      <w:spacing w:after="0" w:line="240" w:lineRule="auto"/>
    </w:pPr>
    <w:rPr>
      <w:rFonts w:eastAsia="Times New Roman"/>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semiHidden/>
    <w:unhideWhenUsed/>
    <w:rsid w:val="00D72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environments12090326" TargetMode="External"/><Relationship Id="rId18" Type="http://schemas.openxmlformats.org/officeDocument/2006/relationships/hyperlink" Target="https://doi.org/10.1051/e3sconf/202017404006" TargetMode="External"/><Relationship Id="rId3" Type="http://schemas.openxmlformats.org/officeDocument/2006/relationships/settings" Target="settings.xml"/><Relationship Id="rId7" Type="http://schemas.openxmlformats.org/officeDocument/2006/relationships/hyperlink" Target="mailto:sunny.okocha@uniport.edu.ng" TargetMode="External"/><Relationship Id="rId12" Type="http://schemas.openxmlformats.org/officeDocument/2006/relationships/hyperlink" Target="https://doi.org/10.54660/.ijmrge.2025.6.5.409-423" TargetMode="External"/><Relationship Id="rId17" Type="http://schemas.openxmlformats.org/officeDocument/2006/relationships/hyperlink" Target="https://doi.org/10.1088/1748-9326/ad5031" TargetMode="External"/><Relationship Id="rId2" Type="http://schemas.openxmlformats.org/officeDocument/2006/relationships/styles" Target="styles.xml"/><Relationship Id="rId16" Type="http://schemas.openxmlformats.org/officeDocument/2006/relationships/hyperlink" Target="https://doi.org/10.1186/s13705-025-00527-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nny_okocha2000@yahoo.com" TargetMode="External"/><Relationship Id="rId11" Type="http://schemas.openxmlformats.org/officeDocument/2006/relationships/hyperlink" Target="https://doi.org/10.1007/s10784-024-09627-z" TargetMode="External"/><Relationship Id="rId5" Type="http://schemas.openxmlformats.org/officeDocument/2006/relationships/hyperlink" Target="mailto:gospeledward115@gmail.com" TargetMode="External"/><Relationship Id="rId15" Type="http://schemas.openxmlformats.org/officeDocument/2006/relationships/hyperlink" Target="https://doi.org/10.1016/j.heliyon.2021.e06398" TargetMode="External"/><Relationship Id="rId10" Type="http://schemas.openxmlformats.org/officeDocument/2006/relationships/hyperlink" Target="https://doi.org/10.4324/9781315758237-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en16237708" TargetMode="External"/><Relationship Id="rId14" Type="http://schemas.openxmlformats.org/officeDocument/2006/relationships/hyperlink" Target="https://doi.org/10.1007/s43979-023-000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20</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SUNNY OKOCHA</cp:lastModifiedBy>
  <cp:revision>70</cp:revision>
  <dcterms:created xsi:type="dcterms:W3CDTF">2026-04-22T12:20:00Z</dcterms:created>
  <dcterms:modified xsi:type="dcterms:W3CDTF">2026-06-17T17:43:00Z</dcterms:modified>
</cp:coreProperties>
</file>