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436D" w14:textId="77777777" w:rsidR="0065613B" w:rsidRPr="007D3FD2" w:rsidRDefault="0065613B" w:rsidP="0065613B">
      <w:pPr>
        <w:spacing w:line="360" w:lineRule="auto"/>
        <w:jc w:val="center"/>
        <w:rPr>
          <w:rFonts w:ascii="Times New Roman" w:hAnsi="Times New Roman" w:cs="Times New Roman"/>
        </w:rPr>
      </w:pPr>
    </w:p>
    <w:p w14:paraId="03E09880" w14:textId="77777777" w:rsidR="0065613B" w:rsidRPr="007D3FD2" w:rsidRDefault="0065613B" w:rsidP="0065613B">
      <w:pPr>
        <w:spacing w:line="360" w:lineRule="auto"/>
        <w:jc w:val="center"/>
        <w:rPr>
          <w:rFonts w:ascii="Times New Roman" w:hAnsi="Times New Roman" w:cs="Times New Roman"/>
        </w:rPr>
      </w:pPr>
      <w:r w:rsidRPr="007D3FD2">
        <w:rPr>
          <w:rFonts w:ascii="Times New Roman" w:hAnsi="Times New Roman" w:cs="Times New Roman"/>
        </w:rPr>
        <w:t>From Hashtags to Ballots: The Persuasive Power of Twitter Influencers in Kenya's 2022 Presidential Election</w:t>
      </w:r>
    </w:p>
    <w:p w14:paraId="5A470931" w14:textId="77777777" w:rsidR="0065613B" w:rsidRPr="007D3FD2" w:rsidRDefault="0065613B" w:rsidP="0065613B">
      <w:pPr>
        <w:spacing w:line="360" w:lineRule="auto"/>
        <w:jc w:val="center"/>
        <w:rPr>
          <w:rFonts w:ascii="Times New Roman" w:hAnsi="Times New Roman" w:cs="Times New Roman"/>
        </w:rPr>
      </w:pPr>
      <w:r w:rsidRPr="007D3FD2">
        <w:rPr>
          <w:rFonts w:ascii="Times New Roman" w:hAnsi="Times New Roman" w:cs="Times New Roman"/>
        </w:rPr>
        <w:t>Mrs. Nancy Amaye Adagala</w:t>
      </w:r>
    </w:p>
    <w:p w14:paraId="72387A75" w14:textId="77777777" w:rsidR="0065613B" w:rsidRPr="007D3FD2" w:rsidRDefault="0065613B" w:rsidP="0065613B">
      <w:pPr>
        <w:spacing w:line="360" w:lineRule="auto"/>
        <w:jc w:val="center"/>
        <w:rPr>
          <w:rFonts w:ascii="Times New Roman" w:hAnsi="Times New Roman" w:cs="Times New Roman"/>
        </w:rPr>
      </w:pPr>
      <w:r w:rsidRPr="007D3FD2">
        <w:rPr>
          <w:rFonts w:ascii="Times New Roman" w:hAnsi="Times New Roman" w:cs="Times New Roman"/>
        </w:rPr>
        <w:t>Prof. John Mugubi</w:t>
      </w:r>
    </w:p>
    <w:p w14:paraId="4F5A8717" w14:textId="77777777" w:rsidR="0065613B" w:rsidRPr="007D3FD2" w:rsidRDefault="0065613B" w:rsidP="0065613B">
      <w:pPr>
        <w:spacing w:line="360" w:lineRule="auto"/>
        <w:jc w:val="center"/>
        <w:rPr>
          <w:rFonts w:ascii="Times New Roman" w:hAnsi="Times New Roman" w:cs="Times New Roman"/>
        </w:rPr>
      </w:pPr>
      <w:r w:rsidRPr="007D3FD2">
        <w:rPr>
          <w:rFonts w:ascii="Times New Roman" w:hAnsi="Times New Roman" w:cs="Times New Roman"/>
        </w:rPr>
        <w:t>Dr. Tommy Kiilu</w:t>
      </w:r>
    </w:p>
    <w:p w14:paraId="2108FC91" w14:textId="6423E023" w:rsidR="00FA786E" w:rsidRPr="007D3FD2" w:rsidRDefault="008807AE" w:rsidP="00650C9B">
      <w:pPr>
        <w:spacing w:line="360" w:lineRule="auto"/>
        <w:jc w:val="both"/>
        <w:rPr>
          <w:rFonts w:ascii="Times New Roman" w:hAnsi="Times New Roman" w:cs="Times New Roman"/>
          <w:b/>
          <w:bCs/>
        </w:rPr>
      </w:pPr>
      <w:r w:rsidRPr="007D3FD2">
        <w:rPr>
          <w:rFonts w:ascii="Times New Roman" w:hAnsi="Times New Roman" w:cs="Times New Roman"/>
          <w:b/>
          <w:bCs/>
        </w:rPr>
        <w:t xml:space="preserve">ABSTRACT </w:t>
      </w:r>
    </w:p>
    <w:p w14:paraId="3D0A47B9" w14:textId="1A7C80F7" w:rsidR="00860982" w:rsidRPr="007D3FD2" w:rsidRDefault="00860982" w:rsidP="00650C9B">
      <w:pPr>
        <w:spacing w:line="360" w:lineRule="auto"/>
        <w:jc w:val="both"/>
        <w:rPr>
          <w:rFonts w:ascii="Times New Roman" w:hAnsi="Times New Roman" w:cs="Times New Roman"/>
        </w:rPr>
      </w:pPr>
      <w:r w:rsidRPr="007D3FD2">
        <w:rPr>
          <w:rFonts w:ascii="Times New Roman" w:hAnsi="Times New Roman" w:cs="Times New Roman"/>
        </w:rPr>
        <w:t xml:space="preserve">This study investigates the persuasive influence of </w:t>
      </w:r>
      <w:r w:rsidR="0046312B" w:rsidRPr="007D3FD2">
        <w:rPr>
          <w:rFonts w:ascii="Times New Roman" w:hAnsi="Times New Roman" w:cs="Times New Roman"/>
        </w:rPr>
        <w:t xml:space="preserve">X (formerly </w:t>
      </w:r>
      <w:r w:rsidRPr="007D3FD2">
        <w:rPr>
          <w:rFonts w:ascii="Times New Roman" w:hAnsi="Times New Roman" w:cs="Times New Roman"/>
        </w:rPr>
        <w:t>Twitter</w:t>
      </w:r>
      <w:r w:rsidR="0046312B" w:rsidRPr="007D3FD2">
        <w:rPr>
          <w:rFonts w:ascii="Times New Roman" w:hAnsi="Times New Roman" w:cs="Times New Roman"/>
        </w:rPr>
        <w:t>)</w:t>
      </w:r>
      <w:r w:rsidRPr="007D3FD2">
        <w:rPr>
          <w:rFonts w:ascii="Times New Roman" w:hAnsi="Times New Roman" w:cs="Times New Roman"/>
        </w:rPr>
        <w:t xml:space="preserve"> influencers on audience attitudes toward political candidates during Kenya’s 2022 presidential election, addressing a gap in understanding their role in African electoral contexts. </w:t>
      </w:r>
      <w:r w:rsidR="00844779" w:rsidRPr="007D3FD2">
        <w:rPr>
          <w:rFonts w:ascii="Times New Roman" w:hAnsi="Times New Roman" w:cs="Times New Roman"/>
        </w:rPr>
        <w:t xml:space="preserve">The quantitative data collected </w:t>
      </w:r>
      <w:r w:rsidR="007D3FD2" w:rsidRPr="007D3FD2">
        <w:rPr>
          <w:rFonts w:ascii="Times New Roman" w:hAnsi="Times New Roman" w:cs="Times New Roman"/>
        </w:rPr>
        <w:t>were</w:t>
      </w:r>
      <w:r w:rsidR="00844779" w:rsidRPr="007D3FD2">
        <w:rPr>
          <w:rFonts w:ascii="Times New Roman" w:hAnsi="Times New Roman" w:cs="Times New Roman"/>
        </w:rPr>
        <w:t xml:space="preserve"> </w:t>
      </w:r>
      <w:proofErr w:type="spellStart"/>
      <w:r w:rsidR="00844779" w:rsidRPr="007D3FD2">
        <w:rPr>
          <w:rFonts w:ascii="Times New Roman" w:hAnsi="Times New Roman" w:cs="Times New Roman"/>
        </w:rPr>
        <w:t>analysed</w:t>
      </w:r>
      <w:proofErr w:type="spellEnd"/>
      <w:r w:rsidR="00844779" w:rsidRPr="007D3FD2">
        <w:rPr>
          <w:rFonts w:ascii="Times New Roman" w:hAnsi="Times New Roman" w:cs="Times New Roman"/>
        </w:rPr>
        <w:t xml:space="preserve"> using descriptive and inferential </w:t>
      </w:r>
      <w:r w:rsidR="007D3FD2" w:rsidRPr="007D3FD2">
        <w:rPr>
          <w:rFonts w:ascii="Times New Roman" w:hAnsi="Times New Roman" w:cs="Times New Roman"/>
        </w:rPr>
        <w:t>statistical methods,</w:t>
      </w:r>
      <w:r w:rsidR="00844779" w:rsidRPr="007D3FD2">
        <w:rPr>
          <w:rFonts w:ascii="Times New Roman" w:hAnsi="Times New Roman" w:cs="Times New Roman"/>
        </w:rPr>
        <w:t xml:space="preserve"> whereas the qualitative data </w:t>
      </w:r>
      <w:r w:rsidR="007D3FD2" w:rsidRPr="007D3FD2">
        <w:rPr>
          <w:rFonts w:ascii="Times New Roman" w:hAnsi="Times New Roman" w:cs="Times New Roman"/>
        </w:rPr>
        <w:t xml:space="preserve">were </w:t>
      </w:r>
      <w:proofErr w:type="spellStart"/>
      <w:r w:rsidR="007D3FD2" w:rsidRPr="007D3FD2">
        <w:rPr>
          <w:rFonts w:ascii="Times New Roman" w:hAnsi="Times New Roman" w:cs="Times New Roman"/>
        </w:rPr>
        <w:t>analysed</w:t>
      </w:r>
      <w:proofErr w:type="spellEnd"/>
      <w:r w:rsidR="00844779" w:rsidRPr="007D3FD2">
        <w:rPr>
          <w:rFonts w:ascii="Times New Roman" w:hAnsi="Times New Roman" w:cs="Times New Roman"/>
        </w:rPr>
        <w:t xml:space="preserve"> using the thematic analysis steps. The findings revealed that all three independent variables</w:t>
      </w:r>
      <w:r w:rsidR="007D3FD2" w:rsidRPr="007D3FD2">
        <w:rPr>
          <w:rFonts w:ascii="Times New Roman" w:hAnsi="Times New Roman" w:cs="Times New Roman"/>
        </w:rPr>
        <w:t>,</w:t>
      </w:r>
      <w:r w:rsidR="00844779" w:rsidRPr="007D3FD2">
        <w:rPr>
          <w:rFonts w:ascii="Times New Roman" w:hAnsi="Times New Roman" w:cs="Times New Roman"/>
        </w:rPr>
        <w:t xml:space="preserve"> thematic frames of information, frequency of campaign rallies</w:t>
      </w:r>
      <w:r w:rsidR="007D3FD2" w:rsidRPr="007D3FD2">
        <w:rPr>
          <w:rFonts w:ascii="Times New Roman" w:hAnsi="Times New Roman" w:cs="Times New Roman"/>
        </w:rPr>
        <w:t>,</w:t>
      </w:r>
      <w:r w:rsidR="00844779" w:rsidRPr="007D3FD2">
        <w:rPr>
          <w:rFonts w:ascii="Times New Roman" w:hAnsi="Times New Roman" w:cs="Times New Roman"/>
        </w:rPr>
        <w:t xml:space="preserve"> and frequency of campaign debates had positive and statistically significant relationships with audience attitudes. Among these, the frequency of campaign debates emerged as the most influential factor, followed by campaign rallies, while thematic frames of information had a moderate yet significant impact. The qualitative insights confirmed that influencers effectively used relatable narratives, frequent updates, and engagement tactics to shape public discourse and counter misinformation. </w:t>
      </w:r>
      <w:r w:rsidRPr="007D3FD2">
        <w:rPr>
          <w:rFonts w:ascii="Times New Roman" w:hAnsi="Times New Roman" w:cs="Times New Roman"/>
        </w:rPr>
        <w:t>This study is a contribution to political communication scholarship by providing empirical evidence regarding the influence of digital communication in the African democracy context. In particular, the study provides practical implications for ethical campaign strategies and voter education. Future research should explore longitudinal effects and multi-platform dynamics to further elaborate on digital influence in elections in the continent.</w:t>
      </w:r>
    </w:p>
    <w:p w14:paraId="7ED5DF2F" w14:textId="77777777" w:rsidR="00983EEA" w:rsidRDefault="00983EEA">
      <w:pPr>
        <w:rPr>
          <w:rFonts w:ascii="Times New Roman" w:hAnsi="Times New Roman" w:cs="Times New Roman"/>
          <w:b/>
          <w:bCs/>
        </w:rPr>
      </w:pPr>
      <w:r>
        <w:rPr>
          <w:rFonts w:ascii="Times New Roman" w:hAnsi="Times New Roman" w:cs="Times New Roman"/>
          <w:b/>
          <w:bCs/>
        </w:rPr>
        <w:br w:type="page"/>
      </w:r>
    </w:p>
    <w:p w14:paraId="28DFFD65" w14:textId="3D5EF47B" w:rsidR="008807AE" w:rsidRPr="007D3FD2" w:rsidRDefault="008807AE" w:rsidP="00650C9B">
      <w:pPr>
        <w:spacing w:line="360" w:lineRule="auto"/>
        <w:jc w:val="both"/>
        <w:rPr>
          <w:rFonts w:ascii="Times New Roman" w:hAnsi="Times New Roman" w:cs="Times New Roman"/>
          <w:b/>
          <w:bCs/>
        </w:rPr>
      </w:pPr>
      <w:r w:rsidRPr="007D3FD2">
        <w:rPr>
          <w:rFonts w:ascii="Times New Roman" w:hAnsi="Times New Roman" w:cs="Times New Roman"/>
          <w:b/>
          <w:bCs/>
        </w:rPr>
        <w:lastRenderedPageBreak/>
        <w:t xml:space="preserve">INTRODUCTION </w:t>
      </w:r>
    </w:p>
    <w:p w14:paraId="3408C9F5" w14:textId="6A55DE9B" w:rsidR="00E8695A" w:rsidRPr="007D3FD2" w:rsidRDefault="00765FB6" w:rsidP="00650C9B">
      <w:pPr>
        <w:spacing w:line="360" w:lineRule="auto"/>
        <w:jc w:val="both"/>
        <w:rPr>
          <w:rFonts w:ascii="Times New Roman" w:hAnsi="Times New Roman" w:cs="Times New Roman"/>
        </w:rPr>
      </w:pPr>
      <w:r w:rsidRPr="007D3FD2">
        <w:rPr>
          <w:rFonts w:ascii="Times New Roman" w:hAnsi="Times New Roman" w:cs="Times New Roman"/>
        </w:rPr>
        <w:t xml:space="preserve">The advent of social media has </w:t>
      </w:r>
      <w:proofErr w:type="spellStart"/>
      <w:r w:rsidRPr="007D3FD2">
        <w:rPr>
          <w:rFonts w:ascii="Times New Roman" w:hAnsi="Times New Roman" w:cs="Times New Roman"/>
        </w:rPr>
        <w:t>revolutionised</w:t>
      </w:r>
      <w:proofErr w:type="spellEnd"/>
      <w:r w:rsidRPr="007D3FD2">
        <w:rPr>
          <w:rFonts w:ascii="Times New Roman" w:hAnsi="Times New Roman" w:cs="Times New Roman"/>
        </w:rPr>
        <w:t xml:space="preserve"> political communication, creating dynamic platforms for political actors to engage directly with voters and for citizens to participate actively in democratic processes. In Africa, where traditional media often grapples with limitations in reach, credibility, and accessibility, social media has emerged as a powerful tool for political </w:t>
      </w:r>
      <w:proofErr w:type="spellStart"/>
      <w:r w:rsidRPr="007D3FD2">
        <w:rPr>
          <w:rFonts w:ascii="Times New Roman" w:hAnsi="Times New Roman" w:cs="Times New Roman"/>
        </w:rPr>
        <w:t>mobilisation</w:t>
      </w:r>
      <w:proofErr w:type="spellEnd"/>
      <w:r w:rsidRPr="007D3FD2">
        <w:rPr>
          <w:rFonts w:ascii="Times New Roman" w:hAnsi="Times New Roman" w:cs="Times New Roman"/>
        </w:rPr>
        <w:t xml:space="preserve">. Kenya, with its vibrant digital culture, stands at the forefront of this transformation, particularly during the 2022 presidential election, where platforms like </w:t>
      </w:r>
      <w:r w:rsidR="0046312B" w:rsidRPr="007D3FD2">
        <w:rPr>
          <w:rFonts w:ascii="Times New Roman" w:hAnsi="Times New Roman" w:cs="Times New Roman"/>
        </w:rPr>
        <w:t>X</w:t>
      </w:r>
      <w:r w:rsidRPr="007D3FD2">
        <w:rPr>
          <w:rFonts w:ascii="Times New Roman" w:hAnsi="Times New Roman" w:cs="Times New Roman"/>
        </w:rPr>
        <w:t xml:space="preserve"> played a pivotal role in shaping political discourse. This paper examine</w:t>
      </w:r>
      <w:r w:rsidR="0046312B" w:rsidRPr="007D3FD2">
        <w:rPr>
          <w:rFonts w:ascii="Times New Roman" w:hAnsi="Times New Roman" w:cs="Times New Roman"/>
        </w:rPr>
        <w:t>d</w:t>
      </w:r>
      <w:r w:rsidRPr="007D3FD2">
        <w:rPr>
          <w:rFonts w:ascii="Times New Roman" w:hAnsi="Times New Roman" w:cs="Times New Roman"/>
        </w:rPr>
        <w:t xml:space="preserve"> the influence of </w:t>
      </w:r>
      <w:r w:rsidR="0046312B" w:rsidRPr="007D3FD2">
        <w:rPr>
          <w:rFonts w:ascii="Times New Roman" w:hAnsi="Times New Roman" w:cs="Times New Roman"/>
        </w:rPr>
        <w:t>X</w:t>
      </w:r>
      <w:r w:rsidRPr="007D3FD2">
        <w:rPr>
          <w:rFonts w:ascii="Times New Roman" w:hAnsi="Times New Roman" w:cs="Times New Roman"/>
        </w:rPr>
        <w:t xml:space="preserve"> influencers</w:t>
      </w:r>
      <w:r w:rsidR="0046312B" w:rsidRPr="007D3FD2">
        <w:rPr>
          <w:rFonts w:ascii="Times New Roman" w:hAnsi="Times New Roman" w:cs="Times New Roman"/>
        </w:rPr>
        <w:t xml:space="preserve"> </w:t>
      </w:r>
      <w:r w:rsidRPr="007D3FD2">
        <w:rPr>
          <w:rFonts w:ascii="Times New Roman" w:hAnsi="Times New Roman" w:cs="Times New Roman"/>
        </w:rPr>
        <w:t xml:space="preserve">on voter attitudes during this election, </w:t>
      </w:r>
      <w:r w:rsidR="0046312B" w:rsidRPr="007D3FD2">
        <w:rPr>
          <w:rFonts w:ascii="Times New Roman" w:hAnsi="Times New Roman" w:cs="Times New Roman"/>
        </w:rPr>
        <w:t xml:space="preserve">thereby </w:t>
      </w:r>
      <w:r w:rsidRPr="007D3FD2">
        <w:rPr>
          <w:rFonts w:ascii="Times New Roman" w:hAnsi="Times New Roman" w:cs="Times New Roman"/>
        </w:rPr>
        <w:t xml:space="preserve">addressing a critical gap in understanding their role </w:t>
      </w:r>
      <w:r w:rsidR="0046312B" w:rsidRPr="007D3FD2">
        <w:rPr>
          <w:rFonts w:ascii="Times New Roman" w:hAnsi="Times New Roman" w:cs="Times New Roman"/>
        </w:rPr>
        <w:t>on the platform in the</w:t>
      </w:r>
      <w:r w:rsidRPr="007D3FD2">
        <w:rPr>
          <w:rFonts w:ascii="Times New Roman" w:hAnsi="Times New Roman" w:cs="Times New Roman"/>
        </w:rPr>
        <w:t xml:space="preserve"> evolving democratic landscape</w:t>
      </w:r>
      <w:r w:rsidR="0046312B" w:rsidRPr="007D3FD2">
        <w:rPr>
          <w:rFonts w:ascii="Times New Roman" w:hAnsi="Times New Roman" w:cs="Times New Roman"/>
        </w:rPr>
        <w:t xml:space="preserve"> in Kenya</w:t>
      </w:r>
      <w:r w:rsidRPr="007D3FD2">
        <w:rPr>
          <w:rFonts w:ascii="Times New Roman" w:hAnsi="Times New Roman" w:cs="Times New Roman"/>
        </w:rPr>
        <w:t>.</w:t>
      </w:r>
    </w:p>
    <w:p w14:paraId="51A5AF48" w14:textId="71C03DEA" w:rsidR="007D3FD2" w:rsidRPr="007D3FD2" w:rsidRDefault="007D3FD2" w:rsidP="007D3FD2">
      <w:pPr>
        <w:spacing w:line="360" w:lineRule="auto"/>
        <w:jc w:val="both"/>
        <w:rPr>
          <w:rFonts w:ascii="Times New Roman" w:hAnsi="Times New Roman" w:cs="Times New Roman"/>
        </w:rPr>
      </w:pPr>
      <w:r w:rsidRPr="007D3FD2">
        <w:rPr>
          <w:rFonts w:ascii="Times New Roman" w:hAnsi="Times New Roman" w:cs="Times New Roman"/>
        </w:rPr>
        <w:t>This investigation was premised on three key objectives that included: identifying the thematic frames of information used during presidential political campaigns and elections in 2022 to relay key political issues and how they influenced audience perceptions. The study also assessed the frequency of campaign rallies promoted by X influencers on the audience perception of the political candidates during the 2022 presidential elections. Furthermore, the study examined the frequency of campaign events promoted by X influencers and their impact on the engagement and participation of voters during presidential political campaigns and elections in 2022.</w:t>
      </w:r>
    </w:p>
    <w:p w14:paraId="503893AB" w14:textId="00F8FD12" w:rsidR="008807AE" w:rsidRPr="007D3FD2" w:rsidRDefault="008807AE" w:rsidP="008807AE">
      <w:pPr>
        <w:spacing w:line="360" w:lineRule="auto"/>
        <w:jc w:val="both"/>
        <w:rPr>
          <w:rFonts w:ascii="Times New Roman" w:hAnsi="Times New Roman" w:cs="Times New Roman"/>
          <w:b/>
          <w:bCs/>
        </w:rPr>
      </w:pPr>
      <w:r w:rsidRPr="007D3FD2">
        <w:rPr>
          <w:rFonts w:ascii="Times New Roman" w:hAnsi="Times New Roman" w:cs="Times New Roman"/>
          <w:b/>
          <w:bCs/>
        </w:rPr>
        <w:t>LIT</w:t>
      </w:r>
      <w:r w:rsidR="00C91421" w:rsidRPr="007D3FD2">
        <w:rPr>
          <w:rFonts w:ascii="Times New Roman" w:hAnsi="Times New Roman" w:cs="Times New Roman"/>
          <w:b/>
          <w:bCs/>
        </w:rPr>
        <w:t>ERATURE</w:t>
      </w:r>
      <w:r w:rsidRPr="007D3FD2">
        <w:rPr>
          <w:rFonts w:ascii="Times New Roman" w:hAnsi="Times New Roman" w:cs="Times New Roman"/>
          <w:b/>
          <w:bCs/>
        </w:rPr>
        <w:t xml:space="preserve"> REVIEW </w:t>
      </w:r>
    </w:p>
    <w:p w14:paraId="5299B43D" w14:textId="49704105" w:rsidR="00650C9B" w:rsidRPr="007D3FD2" w:rsidRDefault="00650C9B"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transformative impact of social media on political communication has garnered significant scholarly attention, particularly in the context of electoral processes worldwide. In this review, we explore the use of digital platforms in political communication and their effects on audience attitudes, especially during election campaigns.</w:t>
      </w:r>
      <w:r w:rsidR="00D32077" w:rsidRPr="007D3FD2">
        <w:rPr>
          <w:rFonts w:ascii="Times New Roman" w:eastAsia="Times New Roman" w:hAnsi="Times New Roman" w:cs="Times New Roman"/>
          <w:kern w:val="0"/>
          <w14:ligatures w14:val="none"/>
        </w:rPr>
        <w:t xml:space="preserve"> Globally, social media influencers have redefined political communication by leveraging their large, engaged followings to shape public opinion and </w:t>
      </w:r>
      <w:proofErr w:type="spellStart"/>
      <w:r w:rsidR="00D32077" w:rsidRPr="007D3FD2">
        <w:rPr>
          <w:rFonts w:ascii="Times New Roman" w:eastAsia="Times New Roman" w:hAnsi="Times New Roman" w:cs="Times New Roman"/>
          <w:kern w:val="0"/>
          <w14:ligatures w14:val="none"/>
        </w:rPr>
        <w:t>mobilise</w:t>
      </w:r>
      <w:proofErr w:type="spellEnd"/>
      <w:r w:rsidR="00D32077" w:rsidRPr="007D3FD2">
        <w:rPr>
          <w:rFonts w:ascii="Times New Roman" w:eastAsia="Times New Roman" w:hAnsi="Times New Roman" w:cs="Times New Roman"/>
          <w:kern w:val="0"/>
          <w14:ligatures w14:val="none"/>
        </w:rPr>
        <w:t xml:space="preserve"> voters. In the United States, the 2016 presidential election marked a turning point, with influencers playing a pivotal role in amplifying campaign messages. Social media influencers acted as intermediaries, translating complex political narratives into relatable content for diverse audiences, particularly younger voters (Gershon and Simon, 2017). This trend continued in the 2024 U.S. election, where President Biden’s campaign employed influencers to reach demographics less responsive to traditional advertising (PBS News, 2024). Similarly, in India, Prime Minister Narendra Modi’s 2019 campaign extensively </w:t>
      </w:r>
      <w:r w:rsidR="00D32077" w:rsidRPr="007D3FD2">
        <w:rPr>
          <w:rFonts w:ascii="Times New Roman" w:eastAsia="Times New Roman" w:hAnsi="Times New Roman" w:cs="Times New Roman"/>
          <w:kern w:val="0"/>
          <w14:ligatures w14:val="none"/>
        </w:rPr>
        <w:lastRenderedPageBreak/>
        <w:t>used influencers to appeal to urban and youth voters, demonstrating the global applicability of digital influence strategies (</w:t>
      </w:r>
      <w:proofErr w:type="spellStart"/>
      <w:r w:rsidR="00D32077" w:rsidRPr="007D3FD2">
        <w:rPr>
          <w:rFonts w:ascii="Times New Roman" w:eastAsia="Times New Roman" w:hAnsi="Times New Roman" w:cs="Times New Roman"/>
          <w:kern w:val="0"/>
          <w14:ligatures w14:val="none"/>
        </w:rPr>
        <w:t>Chakravartty</w:t>
      </w:r>
      <w:proofErr w:type="spellEnd"/>
      <w:r w:rsidR="00D32077" w:rsidRPr="007D3FD2">
        <w:rPr>
          <w:rFonts w:ascii="Times New Roman" w:eastAsia="Times New Roman" w:hAnsi="Times New Roman" w:cs="Times New Roman"/>
          <w:kern w:val="0"/>
          <w14:ligatures w14:val="none"/>
        </w:rPr>
        <w:t xml:space="preserve"> &amp; Roy, 2015).</w:t>
      </w:r>
    </w:p>
    <w:p w14:paraId="1FE79DE5" w14:textId="45AA4FAE" w:rsidR="00D32077" w:rsidRPr="007D3FD2" w:rsidRDefault="00EA6A40"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In Europe, influencers have been instrumental in shaping political discourse, often polarizing audiences. Riedl et al. (2023) argue that political influencers on social media act as opinion leaders, leveraging their authenticity and relatability to influence voter perceptions. Their study emphasizes the dual role of influencers in both mobilizing support and exacerbating political divides, a dynamic also observed in Southeast Asia. Tapsell (2021) notes that social media in countries like Indonesia facilitated “subversive, underground campaigning,” where influencers spread targeted messages, sometimes including misinformation, to sway undecided voters.</w:t>
      </w:r>
    </w:p>
    <w:p w14:paraId="211DF0DE" w14:textId="3F5E6024" w:rsidR="00EA6A40" w:rsidRPr="007D3FD2" w:rsidRDefault="001F51A8"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In Africa, social media’s role in elections is increasingly significant, driven by growing internet penetration and smartphone adoption. The International Telecommunication Union (2023) reports that sub-Saharan Africa’s internet penetration stands at approximately 25%, yet its impact on political campaigns is profound, with politicians investing heavily in digital strategies (International IDEA, 2023). In South Africa, where 88% of young people (15–34 years) have access to digital communication, social media has been identified as a key tool for voter </w:t>
      </w:r>
      <w:proofErr w:type="spellStart"/>
      <w:r w:rsidRPr="007D3FD2">
        <w:rPr>
          <w:rFonts w:ascii="Times New Roman" w:eastAsia="Times New Roman" w:hAnsi="Times New Roman" w:cs="Times New Roman"/>
          <w:kern w:val="0"/>
          <w14:ligatures w14:val="none"/>
        </w:rPr>
        <w:t>mobilisation</w:t>
      </w:r>
      <w:proofErr w:type="spellEnd"/>
      <w:r w:rsidRPr="007D3FD2">
        <w:rPr>
          <w:rFonts w:ascii="Times New Roman" w:eastAsia="Times New Roman" w:hAnsi="Times New Roman" w:cs="Times New Roman"/>
          <w:kern w:val="0"/>
          <w14:ligatures w14:val="none"/>
        </w:rPr>
        <w:t>, though it also amplifies misinformation (Institute for Security Studies, 2023). Nigeria’s 2023 elections further illustrate this duality, with influencers paid to spread disinformation, highlighting ethical challenges in digital campaigning (BBC News, 2023).</w:t>
      </w:r>
    </w:p>
    <w:p w14:paraId="316BACA9" w14:textId="590B4C7A" w:rsidR="001F51A8" w:rsidRPr="007D3FD2" w:rsidRDefault="00B51940" w:rsidP="00650C9B">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In Kenya, social media’s influence has grown steadily since the 2013 election, which marked a shift toward digital political communication (Wasswa, 2013). The 2022 presidential election, saw unprecedented Twitter use, with influencers playing a central role in shaping voter attitudes. Cheeseman et al. (2024) argue that the election demonstrated institutional strengthening, with social media enhancing voter engagement but also posing risks of misinformation. This paper notes that influencers like Dennis Itumbi and Pauline Njoroge leveraged hashtags such as #HustlerNation and #Inawezekana to </w:t>
      </w:r>
      <w:proofErr w:type="spellStart"/>
      <w:r w:rsidRPr="007D3FD2">
        <w:rPr>
          <w:rFonts w:ascii="Times New Roman" w:eastAsia="Times New Roman" w:hAnsi="Times New Roman" w:cs="Times New Roman"/>
          <w:kern w:val="0"/>
          <w14:ligatures w14:val="none"/>
        </w:rPr>
        <w:t>mobilise</w:t>
      </w:r>
      <w:proofErr w:type="spellEnd"/>
      <w:r w:rsidRPr="007D3FD2">
        <w:rPr>
          <w:rFonts w:ascii="Times New Roman" w:eastAsia="Times New Roman" w:hAnsi="Times New Roman" w:cs="Times New Roman"/>
          <w:kern w:val="0"/>
          <w14:ligatures w14:val="none"/>
        </w:rPr>
        <w:t xml:space="preserve"> grassroots support, reflecting Kenya’s unique socio-political dynamics, including ethnic affiliations and economic challenges.</w:t>
      </w:r>
    </w:p>
    <w:p w14:paraId="1F10ACA4" w14:textId="4F1E90E6" w:rsidR="00A65EC0" w:rsidRPr="007D3FD2" w:rsidRDefault="00971BE5" w:rsidP="00971BE5">
      <w:pPr>
        <w:spacing w:after="0" w:line="360" w:lineRule="auto"/>
        <w:jc w:val="both"/>
      </w:pPr>
      <w:r w:rsidRPr="007D3FD2">
        <w:rPr>
          <w:rFonts w:ascii="Times New Roman" w:eastAsia="Times New Roman" w:hAnsi="Times New Roman" w:cs="Times New Roman"/>
          <w:kern w:val="0"/>
          <w14:ligatures w14:val="none"/>
        </w:rPr>
        <w:t xml:space="preserve">Kimutai and Mutunga (2024) found that the impact of Twitter in the 2022 general election was attributed to segmentation strategies, where influencers handled negative messaging to shield candidates’ main accounts, preserving their appeal to undecided voters. Interviews with influencers hired by William Ruto’s campaign reveal a structured approach, including smear campaigns and financial incentives, with payments ranging from KES 1,000 per campaign to KES 50,000 monthly (Global Voices, 2023).  </w:t>
      </w:r>
    </w:p>
    <w:p w14:paraId="5DBBD2F0" w14:textId="51DEAFBD" w:rsidR="00AE38D9" w:rsidRPr="007D3FD2" w:rsidRDefault="00AE38D9" w:rsidP="008807AE">
      <w:pPr>
        <w:spacing w:line="360" w:lineRule="auto"/>
        <w:jc w:val="both"/>
        <w:rPr>
          <w:rFonts w:ascii="Times New Roman" w:hAnsi="Times New Roman" w:cs="Times New Roman"/>
          <w:b/>
          <w:bCs/>
        </w:rPr>
      </w:pPr>
      <w:r w:rsidRPr="007D3FD2">
        <w:rPr>
          <w:rFonts w:ascii="Times New Roman" w:hAnsi="Times New Roman" w:cs="Times New Roman"/>
          <w:b/>
          <w:bCs/>
        </w:rPr>
        <w:t>METHOD</w:t>
      </w:r>
      <w:r w:rsidR="00C94BC3" w:rsidRPr="007D3FD2">
        <w:rPr>
          <w:rFonts w:ascii="Times New Roman" w:hAnsi="Times New Roman" w:cs="Times New Roman"/>
          <w:b/>
          <w:bCs/>
        </w:rPr>
        <w:t>S</w:t>
      </w:r>
      <w:r w:rsidRPr="007D3FD2">
        <w:rPr>
          <w:rFonts w:ascii="Times New Roman" w:hAnsi="Times New Roman" w:cs="Times New Roman"/>
          <w:b/>
          <w:bCs/>
        </w:rPr>
        <w:t xml:space="preserve"> </w:t>
      </w:r>
    </w:p>
    <w:p w14:paraId="005FF403" w14:textId="77777777"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lastRenderedPageBreak/>
        <w:t xml:space="preserve">Research Philosophy and Design </w:t>
      </w:r>
    </w:p>
    <w:p w14:paraId="53175203" w14:textId="131DFC2D"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t>The study adopted a pragmatic research philosophy, which used a descriptive cross-sectional, convergent parallel mixed-methods design. This involved integrating quantitative rigor with qualitative depth to understand how X (formerly Twitter) influencers shaped voter attitudes during the 2022 Kenyan presidential campaigns. The data collection of both data sets occurred concurrently within the same time window to capture real-time voter sentiments.</w:t>
      </w:r>
    </w:p>
    <w:p w14:paraId="178C1ECB" w14:textId="0602E20D" w:rsidR="00C94BC3" w:rsidRPr="007D3FD2" w:rsidRDefault="00C94BC3" w:rsidP="008807AE">
      <w:pPr>
        <w:spacing w:line="360" w:lineRule="auto"/>
        <w:jc w:val="both"/>
        <w:rPr>
          <w:rFonts w:ascii="Times New Roman" w:hAnsi="Times New Roman" w:cs="Times New Roman"/>
        </w:rPr>
      </w:pPr>
      <w:r w:rsidRPr="007D3FD2">
        <w:rPr>
          <w:rFonts w:ascii="Times New Roman" w:hAnsi="Times New Roman" w:cs="Times New Roman"/>
        </w:rPr>
        <w:t xml:space="preserve">Participants and Sampling </w:t>
      </w:r>
    </w:p>
    <w:p w14:paraId="09982658" w14:textId="0B772DA8" w:rsidR="00AE38D9" w:rsidRPr="007D3FD2" w:rsidRDefault="00C94BC3" w:rsidP="008807AE">
      <w:pPr>
        <w:spacing w:after="0" w:line="360" w:lineRule="auto"/>
        <w:jc w:val="both"/>
        <w:rPr>
          <w:rFonts w:ascii="Times New Roman" w:hAnsi="Times New Roman" w:cs="Times New Roman"/>
        </w:rPr>
      </w:pPr>
      <w:r w:rsidRPr="007D3FD2">
        <w:rPr>
          <w:rFonts w:ascii="Times New Roman" w:hAnsi="Times New Roman" w:cs="Times New Roman"/>
        </w:rPr>
        <w:t xml:space="preserve"> The study targeted active Kenyan X followers (aged 18+) who engaged with election-related content published by four specific political X influencers. The X followers were targeted for quantitative data</w:t>
      </w:r>
      <w:r w:rsidR="00A46623" w:rsidRPr="007D3FD2">
        <w:rPr>
          <w:rFonts w:ascii="Times New Roman" w:hAnsi="Times New Roman" w:cs="Times New Roman"/>
        </w:rPr>
        <w:t>,</w:t>
      </w:r>
      <w:r w:rsidRPr="007D3FD2">
        <w:rPr>
          <w:rFonts w:ascii="Times New Roman" w:hAnsi="Times New Roman" w:cs="Times New Roman"/>
        </w:rPr>
        <w:t xml:space="preserve"> whereas the X influencers were engaged through in-depth interviews. </w:t>
      </w:r>
      <w:r w:rsidR="00A46623" w:rsidRPr="007D3FD2">
        <w:rPr>
          <w:rFonts w:ascii="Times New Roman" w:hAnsi="Times New Roman" w:cs="Times New Roman"/>
        </w:rPr>
        <w:t xml:space="preserve">The quantitative sample was 384 respondents and was determined using Fisher’s Formula. The X followers were subsequently selected using a stratified random sampling method with proportional allocation across each X influencer strata. The four influencers represented the four key parties that were involved in the 2022 elections and were selected using a purposive sampling method. The selection criterion was premised on the high visibility and consistent political communication activity of the influencers during the election period. </w:t>
      </w:r>
    </w:p>
    <w:p w14:paraId="63B7FF1A" w14:textId="2CBF1BC4" w:rsidR="00A46623" w:rsidRPr="007D3FD2" w:rsidRDefault="00A46623" w:rsidP="008807AE">
      <w:pPr>
        <w:spacing w:after="0" w:line="360" w:lineRule="auto"/>
        <w:jc w:val="both"/>
        <w:rPr>
          <w:rFonts w:ascii="Times New Roman" w:hAnsi="Times New Roman" w:cs="Times New Roman"/>
        </w:rPr>
      </w:pPr>
      <w:r w:rsidRPr="007D3FD2">
        <w:rPr>
          <w:rFonts w:ascii="Times New Roman" w:hAnsi="Times New Roman" w:cs="Times New Roman"/>
        </w:rPr>
        <w:t>Instrumentation</w:t>
      </w:r>
      <w:r w:rsidR="00EB5074" w:rsidRPr="007D3FD2">
        <w:rPr>
          <w:rFonts w:ascii="Times New Roman" w:hAnsi="Times New Roman" w:cs="Times New Roman"/>
        </w:rPr>
        <w:t xml:space="preserve"> and Procedures </w:t>
      </w:r>
    </w:p>
    <w:p w14:paraId="388ACB6A" w14:textId="0995D024" w:rsidR="00A46623" w:rsidRPr="007D3FD2" w:rsidRDefault="00EB5074" w:rsidP="008807AE">
      <w:pPr>
        <w:spacing w:after="0" w:line="360" w:lineRule="auto"/>
        <w:jc w:val="both"/>
        <w:rPr>
          <w:rFonts w:ascii="Times New Roman" w:hAnsi="Times New Roman" w:cs="Times New Roman"/>
        </w:rPr>
      </w:pPr>
      <w:r w:rsidRPr="007D3FD2">
        <w:rPr>
          <w:rFonts w:ascii="Times New Roman" w:hAnsi="Times New Roman" w:cs="Times New Roman"/>
        </w:rPr>
        <w:t xml:space="preserve">Structured questionnaires were used to collect the quantitative data. The tool was administered via Google Forms and featured a five-point Likert scale items, which measured thematic frames, campaign rally exposure, debate exposure, and audience attitudes. The reliability of the questionnaire was established through a pilot study (n=38), which yielded Cronbach’s alpha coefficients that ranged from 0.79 to 0.84 across all constructs. Semi-structured interviews were used to collect data from the four X influencers. The interviews lasted between 30 and 45 minutes and were conducted via video or telephone platforms, recorded, and subsequently transcribed. The data collection </w:t>
      </w:r>
      <w:r w:rsidR="00900613" w:rsidRPr="007D3FD2">
        <w:rPr>
          <w:rFonts w:ascii="Times New Roman" w:hAnsi="Times New Roman" w:cs="Times New Roman"/>
        </w:rPr>
        <w:t>process</w:t>
      </w:r>
      <w:r w:rsidRPr="007D3FD2">
        <w:rPr>
          <w:rFonts w:ascii="Times New Roman" w:hAnsi="Times New Roman" w:cs="Times New Roman"/>
        </w:rPr>
        <w:t xml:space="preserve"> was preceded by acquiring ethical approval from KUERC and NACOSTI. The</w:t>
      </w:r>
      <w:r w:rsidR="00900613" w:rsidRPr="007D3FD2">
        <w:rPr>
          <w:rFonts w:ascii="Times New Roman" w:hAnsi="Times New Roman" w:cs="Times New Roman"/>
        </w:rPr>
        <w:t xml:space="preserve"> survey</w:t>
      </w:r>
      <w:r w:rsidRPr="007D3FD2">
        <w:rPr>
          <w:rFonts w:ascii="Times New Roman" w:hAnsi="Times New Roman" w:cs="Times New Roman"/>
        </w:rPr>
        <w:t xml:space="preserve"> participants were thereafter recruited through </w:t>
      </w:r>
      <w:r w:rsidR="00900613" w:rsidRPr="007D3FD2">
        <w:rPr>
          <w:rFonts w:ascii="Times New Roman" w:hAnsi="Times New Roman" w:cs="Times New Roman"/>
        </w:rPr>
        <w:t xml:space="preserve">direct messaging, public tags, and survey link circulation on X.  </w:t>
      </w:r>
    </w:p>
    <w:p w14:paraId="551F594C" w14:textId="5F2B512F" w:rsidR="00C94BC3" w:rsidRPr="007D3FD2" w:rsidRDefault="00900613" w:rsidP="008807AE">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Data Analysis </w:t>
      </w:r>
    </w:p>
    <w:p w14:paraId="0B24EC3F" w14:textId="37647815" w:rsidR="00900613" w:rsidRPr="007D3FD2" w:rsidRDefault="0065613B" w:rsidP="008807AE">
      <w:pPr>
        <w:spacing w:after="0"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Quantitative data analysis was performed using SPSS version 27 and involved descriptive statistics, more specifically, means, and standard deviations. Quantitative analysis also involved inferential statistics, which included Pearson Product-Moment Correlation and Multiple Linear Regression that tested the predictive relationships. On the other hand, thematic </w:t>
      </w:r>
      <w:r w:rsidRPr="007D3FD2">
        <w:rPr>
          <w:rFonts w:ascii="Times New Roman" w:eastAsia="Times New Roman" w:hAnsi="Times New Roman" w:cs="Times New Roman"/>
          <w:kern w:val="0"/>
          <w14:ligatures w14:val="none"/>
        </w:rPr>
        <w:lastRenderedPageBreak/>
        <w:t>analysis was used process the qualitative data. The method entailed the Braun and Clarke’s six-phase framework for identifying the recurring narrative patterns and themes in the dataset. The qualitative and quantitative data was thereafter, integrated through triangulation during the interpretation state to point out areas of convergence and divergence between the datasets.</w:t>
      </w:r>
    </w:p>
    <w:p w14:paraId="4D19AC5C" w14:textId="77777777" w:rsidR="00AE38D9" w:rsidRPr="007D3FD2" w:rsidRDefault="00AE38D9" w:rsidP="008807AE">
      <w:pPr>
        <w:spacing w:line="360" w:lineRule="auto"/>
        <w:jc w:val="both"/>
        <w:rPr>
          <w:rFonts w:ascii="Times New Roman" w:hAnsi="Times New Roman" w:cs="Times New Roman"/>
          <w:b/>
          <w:bCs/>
        </w:rPr>
      </w:pPr>
      <w:r w:rsidRPr="007D3FD2">
        <w:rPr>
          <w:rFonts w:ascii="Times New Roman" w:hAnsi="Times New Roman" w:cs="Times New Roman"/>
          <w:b/>
          <w:bCs/>
        </w:rPr>
        <w:t xml:space="preserve">RESULTS AND FINDINGS </w:t>
      </w:r>
    </w:p>
    <w:p w14:paraId="00056B07" w14:textId="589EBA89" w:rsidR="00ED2B3E" w:rsidRPr="007D3FD2" w:rsidRDefault="00ED2B3E" w:rsidP="008807AE">
      <w:pPr>
        <w:spacing w:line="360" w:lineRule="auto"/>
        <w:jc w:val="both"/>
        <w:rPr>
          <w:rFonts w:ascii="Times New Roman" w:hAnsi="Times New Roman" w:cs="Times New Roman"/>
        </w:rPr>
      </w:pPr>
      <w:r w:rsidRPr="007D3FD2">
        <w:rPr>
          <w:rFonts w:ascii="Times New Roman" w:hAnsi="Times New Roman" w:cs="Times New Roman"/>
        </w:rPr>
        <w:t xml:space="preserve">Response Rate </w:t>
      </w:r>
    </w:p>
    <w:p w14:paraId="5F4065B2" w14:textId="03C19391" w:rsidR="008807AE" w:rsidRPr="007D3FD2" w:rsidRDefault="00017C2B" w:rsidP="00C72DB6">
      <w:pPr>
        <w:spacing w:line="360" w:lineRule="auto"/>
        <w:jc w:val="both"/>
        <w:rPr>
          <w:rFonts w:ascii="Times New Roman" w:eastAsia="Times New Roman" w:hAnsi="Times New Roman" w:cs="Times New Roman"/>
          <w:kern w:val="0"/>
          <w14:ligatures w14:val="none"/>
        </w:rPr>
      </w:pPr>
      <w:r w:rsidRPr="007D3FD2">
        <w:rPr>
          <w:rFonts w:ascii="Times New Roman" w:hAnsi="Times New Roman" w:cs="Times New Roman"/>
        </w:rPr>
        <w:t xml:space="preserve">The study distributed </w:t>
      </w:r>
      <w:r w:rsidR="00C72DB6" w:rsidRPr="007D3FD2">
        <w:rPr>
          <w:rFonts w:ascii="Times New Roman" w:hAnsi="Times New Roman" w:cs="Times New Roman"/>
        </w:rPr>
        <w:t xml:space="preserve">384 structured questionnaires through Google Forms to active X users who were following selected political influencers. Out of these distributed questionnaires, 341 were successfully completed and returned. This represented 88.8% response rate that was considered excellent for survey research since it would ensure </w:t>
      </w:r>
      <w:r w:rsidR="008807AE" w:rsidRPr="007D3FD2">
        <w:rPr>
          <w:rFonts w:ascii="Times New Roman" w:eastAsia="Times New Roman" w:hAnsi="Times New Roman" w:cs="Times New Roman"/>
          <w:kern w:val="0"/>
          <w14:ligatures w14:val="none"/>
        </w:rPr>
        <w:t>that the collected data provides a robust foundation for drawing valid conclusions.</w:t>
      </w:r>
    </w:p>
    <w:p w14:paraId="1AE7FC4D" w14:textId="65CC1B4B" w:rsidR="00C72DB6"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Instrumentation Reliability </w:t>
      </w:r>
    </w:p>
    <w:p w14:paraId="094E95B3" w14:textId="4ECEE77E" w:rsidR="008807AE"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internal consistency of the questionnaire was ensured by calculating the Cronbach’s Alpha coefficients for all the primary constructs. The results showed high reliability across all variables: Thematic Frames of Information (0.861), Frequency of Campaign Rallies (0.856), Frequency of Campaign Debates (</w:t>
      </w:r>
      <w:r w:rsidRPr="007D3FD2">
        <w:rPr>
          <w:rFonts w:ascii="Times New Roman" w:hAnsi="Times New Roman" w:cs="Times New Roman"/>
        </w:rPr>
        <w:t>0.842</w:t>
      </w:r>
      <w:r w:rsidRPr="007D3FD2">
        <w:rPr>
          <w:rFonts w:ascii="Times New Roman" w:eastAsia="Times New Roman" w:hAnsi="Times New Roman" w:cs="Times New Roman"/>
          <w:kern w:val="0"/>
          <w14:ligatures w14:val="none"/>
        </w:rPr>
        <w:t>), and Audience Attitudes (</w:t>
      </w:r>
      <w:r w:rsidRPr="007D3FD2">
        <w:rPr>
          <w:rFonts w:ascii="Times New Roman" w:hAnsi="Times New Roman" w:cs="Times New Roman"/>
        </w:rPr>
        <w:t>0.812</w:t>
      </w:r>
      <w:r w:rsidRPr="007D3FD2">
        <w:rPr>
          <w:rFonts w:ascii="Times New Roman" w:eastAsia="Times New Roman" w:hAnsi="Times New Roman" w:cs="Times New Roman"/>
          <w:kern w:val="0"/>
          <w14:ligatures w14:val="none"/>
        </w:rPr>
        <w:t xml:space="preserve">). Since all </w:t>
      </w:r>
      <w:r w:rsidR="00AF061F" w:rsidRPr="007D3FD2">
        <w:rPr>
          <w:rFonts w:ascii="Times New Roman" w:eastAsia="Times New Roman" w:hAnsi="Times New Roman" w:cs="Times New Roman"/>
          <w:kern w:val="0"/>
          <w14:ligatures w14:val="none"/>
        </w:rPr>
        <w:t>item</w:t>
      </w:r>
      <w:r w:rsidRPr="007D3FD2">
        <w:rPr>
          <w:rFonts w:ascii="Times New Roman" w:eastAsia="Times New Roman" w:hAnsi="Times New Roman" w:cs="Times New Roman"/>
          <w:kern w:val="0"/>
          <w14:ligatures w14:val="none"/>
        </w:rPr>
        <w:t xml:space="preserve"> scores exceeded the 0.7 threshold</w:t>
      </w:r>
      <w:r w:rsidR="00AF061F" w:rsidRPr="007D3FD2">
        <w:rPr>
          <w:rFonts w:ascii="Times New Roman" w:eastAsia="Times New Roman" w:hAnsi="Times New Roman" w:cs="Times New Roman"/>
          <w:kern w:val="0"/>
          <w14:ligatures w14:val="none"/>
        </w:rPr>
        <w:t>,</w:t>
      </w:r>
      <w:r w:rsidRPr="007D3FD2">
        <w:rPr>
          <w:rFonts w:ascii="Times New Roman" w:eastAsia="Times New Roman" w:hAnsi="Times New Roman" w:cs="Times New Roman"/>
          <w:kern w:val="0"/>
          <w14:ligatures w14:val="none"/>
        </w:rPr>
        <w:t xml:space="preserve"> the measurement instruments were considered </w:t>
      </w:r>
      <w:r w:rsidR="008807AE" w:rsidRPr="007D3FD2">
        <w:rPr>
          <w:rFonts w:ascii="Times New Roman" w:eastAsia="Times New Roman" w:hAnsi="Times New Roman" w:cs="Times New Roman"/>
          <w:kern w:val="0"/>
          <w14:ligatures w14:val="none"/>
        </w:rPr>
        <w:t>internally consistent and suitable for further statistical analysis.</w:t>
      </w:r>
    </w:p>
    <w:p w14:paraId="3E6C2E4A" w14:textId="39830C52" w:rsidR="00C72DB6" w:rsidRPr="007D3FD2" w:rsidRDefault="00C72DB6"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Demographic Profile of Respondents </w:t>
      </w:r>
    </w:p>
    <w:p w14:paraId="069B7ECF" w14:textId="728B4812" w:rsidR="00C72DB6" w:rsidRPr="007D3FD2" w:rsidRDefault="00AF061F"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demographic data revealed a young, digitally literate, and predominantly urban audience. The results showed the gender sample was fairly balanced, with 49% male and 44.9% female respondents. </w:t>
      </w:r>
      <w:r w:rsidR="003C7B1A" w:rsidRPr="007D3FD2">
        <w:rPr>
          <w:rFonts w:ascii="Times New Roman" w:eastAsia="Times New Roman" w:hAnsi="Times New Roman" w:cs="Times New Roman"/>
          <w:kern w:val="0"/>
          <w14:ligatures w14:val="none"/>
        </w:rPr>
        <w:t>A significant proportion of participants (46.6%) were below 25 years old; those aged 26–35 years were 32.3%, accounting for the second largest group. This highlighted a significant engagement of Kenyan youth with political content on X. Furthermore, 38.1% of the audience were white-collar workers, and 21.7% were students, who made up the majority of the audience. This suggested that digital political participation in Kenya was concentrated among those with higher education and consistent internet access. The key motivation for using X during the election was information &amp; awareness (65.4%), and social interaction &amp; Networking (25.5%). About 64.5% of respondents reported participating in the 2022 election, while 34.9% did not. This provided a mix of active voters and digitally exposed but disengaged users.</w:t>
      </w:r>
    </w:p>
    <w:p w14:paraId="4FD9B5B3" w14:textId="178DA9DE" w:rsidR="003C7B1A" w:rsidRPr="007D3FD2" w:rsidRDefault="003C7B1A"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lastRenderedPageBreak/>
        <w:t xml:space="preserve">Descriptive </w:t>
      </w:r>
      <w:r w:rsidR="00C907FC" w:rsidRPr="007D3FD2">
        <w:rPr>
          <w:rFonts w:ascii="Times New Roman" w:eastAsia="Times New Roman" w:hAnsi="Times New Roman" w:cs="Times New Roman"/>
          <w:kern w:val="0"/>
          <w14:ligatures w14:val="none"/>
        </w:rPr>
        <w:t xml:space="preserve">and Qualitative </w:t>
      </w:r>
      <w:r w:rsidRPr="007D3FD2">
        <w:rPr>
          <w:rFonts w:ascii="Times New Roman" w:eastAsia="Times New Roman" w:hAnsi="Times New Roman" w:cs="Times New Roman"/>
          <w:kern w:val="0"/>
          <w14:ligatures w14:val="none"/>
        </w:rPr>
        <w:t xml:space="preserve">Findings </w:t>
      </w:r>
      <w:r w:rsidR="00C907FC" w:rsidRPr="007D3FD2">
        <w:rPr>
          <w:rFonts w:ascii="Times New Roman" w:eastAsia="Times New Roman" w:hAnsi="Times New Roman" w:cs="Times New Roman"/>
          <w:kern w:val="0"/>
          <w14:ligatures w14:val="none"/>
        </w:rPr>
        <w:t xml:space="preserve">on </w:t>
      </w:r>
      <w:r w:rsidRPr="007D3FD2">
        <w:rPr>
          <w:rFonts w:ascii="Times New Roman" w:eastAsia="Times New Roman" w:hAnsi="Times New Roman" w:cs="Times New Roman"/>
          <w:kern w:val="0"/>
          <w14:ligatures w14:val="none"/>
        </w:rPr>
        <w:t xml:space="preserve">Thematic Framing of Political Issues </w:t>
      </w:r>
    </w:p>
    <w:p w14:paraId="54DB0B54" w14:textId="67D4F1E0" w:rsidR="003C7B1A" w:rsidRPr="007D3FD2" w:rsidRDefault="00C907FC"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respondents strongly emphasized media coverage of economic issues, with 58.65% (M= 3.57, SD = 1.29) agreeing that influencer content focused on improving economic policies. There was moderate agreement that media coverage highlighted leadership capabilities (M= 3.35) and governance strategies (M= 3.40). The results showed that the media coverage frames focused on societal inequalities (M= 3.35) and human rights inclusivity (M= 3.40), but the respondents were more varied in their perception of these issues.  </w:t>
      </w:r>
    </w:p>
    <w:p w14:paraId="3FD51C75" w14:textId="030E782D" w:rsidR="003C7B1A" w:rsidRPr="007D3FD2" w:rsidRDefault="00C907FC" w:rsidP="00C72DB6">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The interviewed X influencers admitted to using deliberate framing strategies to influence voters' perception. For instance, PRT1 noted that the #HustlerNation narrative specifically targeted grassroots groups by sharing videos that "translated policy promises into the lived experiences of voters". In the same vein, PRT2 used the #Inawezekana slogan to portray a vision of unity and progress.</w:t>
      </w:r>
    </w:p>
    <w:p w14:paraId="790FD52B" w14:textId="190B0606" w:rsidR="00C907FC" w:rsidRPr="007D3FD2" w:rsidRDefault="00C907FC"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Descriptive and Qualitative Findings on Campaign Rallies </w:t>
      </w:r>
    </w:p>
    <w:p w14:paraId="3B86F89B" w14:textId="39EDF4B2" w:rsidR="00C907FC" w:rsidRPr="007D3FD2" w:rsidRDefault="00A80BCF"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results demonstrated that the digital amplification of physical rallies significantly shaped audience perceptions. In particular, 54.54% of respondents agreed that most campaign rallies were covered via influencer X accounts (M= 3.49). The respondents considered the rallies for presenting manifestos (M=3.78) and reaching a broader audience through grassroots collaboration (M= 3.72). The qualitative findings revealed that frequent updates and live streams ensured that "even those who could not attend physically felt part of the movement". According to PRT3, real-time interaction via X Spaces during rallies increased the perceived credibility of the candidates. </w:t>
      </w:r>
    </w:p>
    <w:p w14:paraId="0C07C0A6" w14:textId="0755BEE8" w:rsidR="00A80BCF" w:rsidRPr="007D3FD2" w:rsidRDefault="00A80BCF" w:rsidP="00C907FC">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Descriptive and Qualitative Findings on Campaign Debates </w:t>
      </w:r>
    </w:p>
    <w:p w14:paraId="57EF758E" w14:textId="0FD012B1" w:rsidR="00A80BCF" w:rsidRPr="007D3FD2" w:rsidRDefault="00A80BCF" w:rsidP="00062CBF">
      <w:pPr>
        <w:spacing w:line="360" w:lineRule="auto"/>
        <w:jc w:val="both"/>
        <w:rPr>
          <w:rFonts w:ascii="Times New Roman" w:eastAsia="Times New Roman" w:hAnsi="Times New Roman" w:cs="Times New Roman"/>
          <w:kern w:val="0"/>
          <w14:ligatures w14:val="none"/>
        </w:rPr>
      </w:pPr>
      <w:r w:rsidRPr="007D3FD2">
        <w:rPr>
          <w:rFonts w:ascii="Times New Roman" w:eastAsia="Times New Roman" w:hAnsi="Times New Roman" w:cs="Times New Roman"/>
          <w:kern w:val="0"/>
          <w14:ligatures w14:val="none"/>
        </w:rPr>
        <w:t xml:space="preserve">The findings revealed that debates were a critical tool for evaluative engagement with the target audiences. The respondents agreed that debate-related content helped build trust and credibility (M= 3.61). They also agreed that debates were highly effective in helping them understand candidate positions and agendas (M= 3.74). The qualitative findings also revealed that </w:t>
      </w:r>
      <w:r w:rsidR="001B0247" w:rsidRPr="007D3FD2">
        <w:rPr>
          <w:rFonts w:ascii="Times New Roman" w:eastAsia="Times New Roman" w:hAnsi="Times New Roman" w:cs="Times New Roman"/>
          <w:kern w:val="0"/>
          <w14:ligatures w14:val="none"/>
        </w:rPr>
        <w:t>X influencers acted as gatekeepers and interpreters, whereby they clipped and contextualized debate highlights for their followers. This particular "caching" of content enabled the influencers to have sustained engagement with candidate performance beyond the live broadcast.</w:t>
      </w:r>
    </w:p>
    <w:p w14:paraId="73E9AD8C" w14:textId="2EA8AB37" w:rsidR="008807AE" w:rsidRPr="007D3FD2" w:rsidRDefault="00062CBF" w:rsidP="00062CBF">
      <w:pPr>
        <w:spacing w:after="0" w:line="360" w:lineRule="auto"/>
        <w:jc w:val="both"/>
        <w:rPr>
          <w:rFonts w:ascii="Times New Roman" w:eastAsia="Times New Roman" w:hAnsi="Times New Roman" w:cs="Times New Roman"/>
          <w:b/>
          <w:bCs/>
          <w:kern w:val="0"/>
          <w14:ligatures w14:val="none"/>
        </w:rPr>
      </w:pPr>
      <w:r w:rsidRPr="007D3FD2">
        <w:rPr>
          <w:rFonts w:ascii="Times New Roman" w:eastAsia="Times New Roman" w:hAnsi="Times New Roman" w:cs="Times New Roman"/>
          <w:b/>
          <w:bCs/>
          <w:kern w:val="0"/>
          <w14:ligatures w14:val="none"/>
        </w:rPr>
        <w:t>Inferential Statistical Analysis</w:t>
      </w:r>
    </w:p>
    <w:p w14:paraId="7D29084C" w14:textId="123D65D7" w:rsidR="00A40661" w:rsidRPr="007D3FD2" w:rsidRDefault="00A40661" w:rsidP="00A40661">
      <w:pPr>
        <w:tabs>
          <w:tab w:val="left" w:pos="3120"/>
        </w:tabs>
        <w:spacing w:line="360" w:lineRule="auto"/>
        <w:jc w:val="both"/>
        <w:rPr>
          <w:rFonts w:ascii="Times New Roman" w:hAnsi="Times New Roman" w:cs="Times New Roman"/>
        </w:rPr>
      </w:pPr>
      <w:r w:rsidRPr="007D3FD2">
        <w:rPr>
          <w:rFonts w:ascii="Times New Roman" w:hAnsi="Times New Roman" w:cs="Times New Roman"/>
        </w:rPr>
        <w:lastRenderedPageBreak/>
        <w:t xml:space="preserve">The model summary of the regression analysis examined the relationship between the predictors and audience attitudes in presidential political campaigns and elections in Kenya. The predictors included the thematic framing of information, the frequency of campaign debates, and the frequency of campaign rallies. The results are presented in Table 1 below:   </w:t>
      </w:r>
    </w:p>
    <w:p w14:paraId="2A303A35" w14:textId="6652D189" w:rsidR="00A40661" w:rsidRPr="007D3FD2" w:rsidRDefault="00A40661" w:rsidP="00A40661">
      <w:pPr>
        <w:pStyle w:val="Caption"/>
        <w:rPr>
          <w:rFonts w:ascii="Times New Roman" w:hAnsi="Times New Roman" w:cs="Times New Roman"/>
          <w:b/>
          <w:bCs/>
          <w:color w:val="auto"/>
          <w:sz w:val="24"/>
          <w:szCs w:val="24"/>
        </w:rPr>
      </w:pPr>
      <w:bookmarkStart w:id="0" w:name="_Toc195267854"/>
      <w:r w:rsidRPr="007D3FD2">
        <w:rPr>
          <w:rFonts w:ascii="Times New Roman" w:hAnsi="Times New Roman" w:cs="Times New Roman"/>
          <w:b/>
          <w:bCs/>
          <w:color w:val="auto"/>
          <w:sz w:val="24"/>
          <w:szCs w:val="24"/>
        </w:rPr>
        <w:t xml:space="preserve"> </w:t>
      </w:r>
      <w:bookmarkStart w:id="1" w:name="_Toc222071044"/>
      <w:r w:rsidRPr="007D3FD2">
        <w:rPr>
          <w:rFonts w:ascii="Times New Roman" w:hAnsi="Times New Roman" w:cs="Times New Roman"/>
          <w:b/>
          <w:bCs/>
          <w:color w:val="auto"/>
          <w:sz w:val="24"/>
          <w:szCs w:val="24"/>
        </w:rPr>
        <w:t xml:space="preserve">Table 1: </w:t>
      </w:r>
      <w:bookmarkStart w:id="2" w:name="_Hlk206940525"/>
      <w:r w:rsidRPr="007D3FD2">
        <w:rPr>
          <w:rFonts w:ascii="Times New Roman" w:hAnsi="Times New Roman" w:cs="Times New Roman"/>
          <w:b/>
          <w:bCs/>
          <w:color w:val="auto"/>
          <w:sz w:val="24"/>
          <w:szCs w:val="24"/>
        </w:rPr>
        <w:t>Model Summary</w:t>
      </w:r>
      <w:bookmarkEnd w:id="0"/>
      <w:bookmarkEnd w:id="1"/>
      <w:bookmarkEnd w:id="2"/>
    </w:p>
    <w:tbl>
      <w:tblPr>
        <w:tblStyle w:val="TableGrid1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3"/>
        <w:gridCol w:w="1954"/>
        <w:gridCol w:w="2230"/>
        <w:gridCol w:w="2889"/>
      </w:tblGrid>
      <w:tr w:rsidR="007D3FD2" w:rsidRPr="007D3FD2" w14:paraId="3EC29734" w14:textId="77777777" w:rsidTr="00731500">
        <w:trPr>
          <w:trHeight w:val="290"/>
        </w:trPr>
        <w:tc>
          <w:tcPr>
            <w:tcW w:w="1101" w:type="pct"/>
            <w:tcBorders>
              <w:top w:val="single" w:sz="4" w:space="0" w:color="auto"/>
              <w:bottom w:val="single" w:sz="4" w:space="0" w:color="auto"/>
            </w:tcBorders>
            <w:noWrap/>
            <w:hideMark/>
          </w:tcPr>
          <w:p w14:paraId="1735D1B5"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R</w:t>
            </w:r>
          </w:p>
        </w:tc>
        <w:tc>
          <w:tcPr>
            <w:tcW w:w="1101" w:type="pct"/>
            <w:tcBorders>
              <w:top w:val="single" w:sz="4" w:space="0" w:color="auto"/>
              <w:bottom w:val="single" w:sz="4" w:space="0" w:color="auto"/>
            </w:tcBorders>
            <w:noWrap/>
            <w:hideMark/>
          </w:tcPr>
          <w:p w14:paraId="06BAC70D"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R Square</w:t>
            </w:r>
          </w:p>
        </w:tc>
        <w:tc>
          <w:tcPr>
            <w:tcW w:w="1254" w:type="pct"/>
            <w:tcBorders>
              <w:top w:val="single" w:sz="4" w:space="0" w:color="auto"/>
              <w:bottom w:val="single" w:sz="4" w:space="0" w:color="auto"/>
            </w:tcBorders>
            <w:noWrap/>
            <w:hideMark/>
          </w:tcPr>
          <w:p w14:paraId="4672FD56"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Adjusted R Square</w:t>
            </w:r>
          </w:p>
        </w:tc>
        <w:tc>
          <w:tcPr>
            <w:tcW w:w="1543" w:type="pct"/>
            <w:tcBorders>
              <w:top w:val="single" w:sz="4" w:space="0" w:color="auto"/>
              <w:bottom w:val="single" w:sz="4" w:space="0" w:color="auto"/>
            </w:tcBorders>
            <w:noWrap/>
            <w:hideMark/>
          </w:tcPr>
          <w:p w14:paraId="446DAE40"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Std. Error of the Estimate</w:t>
            </w:r>
          </w:p>
        </w:tc>
      </w:tr>
      <w:tr w:rsidR="007D3FD2" w:rsidRPr="007D3FD2" w14:paraId="5E382121" w14:textId="77777777" w:rsidTr="00731500">
        <w:trPr>
          <w:trHeight w:val="290"/>
        </w:trPr>
        <w:tc>
          <w:tcPr>
            <w:tcW w:w="1101" w:type="pct"/>
            <w:tcBorders>
              <w:top w:val="single" w:sz="4" w:space="0" w:color="auto"/>
            </w:tcBorders>
            <w:noWrap/>
            <w:hideMark/>
          </w:tcPr>
          <w:p w14:paraId="4A2F8A7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.640a</w:t>
            </w:r>
          </w:p>
        </w:tc>
        <w:tc>
          <w:tcPr>
            <w:tcW w:w="1101" w:type="pct"/>
            <w:tcBorders>
              <w:top w:val="single" w:sz="4" w:space="0" w:color="auto"/>
            </w:tcBorders>
            <w:noWrap/>
            <w:hideMark/>
          </w:tcPr>
          <w:p w14:paraId="1CDF081D"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0.409</w:t>
            </w:r>
          </w:p>
        </w:tc>
        <w:tc>
          <w:tcPr>
            <w:tcW w:w="1254" w:type="pct"/>
            <w:tcBorders>
              <w:top w:val="single" w:sz="4" w:space="0" w:color="auto"/>
            </w:tcBorders>
            <w:noWrap/>
            <w:hideMark/>
          </w:tcPr>
          <w:p w14:paraId="33470C10"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0.404</w:t>
            </w:r>
          </w:p>
        </w:tc>
        <w:tc>
          <w:tcPr>
            <w:tcW w:w="1543" w:type="pct"/>
            <w:tcBorders>
              <w:top w:val="single" w:sz="4" w:space="0" w:color="auto"/>
            </w:tcBorders>
            <w:noWrap/>
            <w:hideMark/>
          </w:tcPr>
          <w:p w14:paraId="47A69F3F"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0.68142</w:t>
            </w:r>
          </w:p>
        </w:tc>
      </w:tr>
    </w:tbl>
    <w:p w14:paraId="1A9AA812" w14:textId="6C0BE8E6" w:rsidR="00A40661" w:rsidRPr="007D3FD2" w:rsidRDefault="00A40661" w:rsidP="00A40661">
      <w:pPr>
        <w:pStyle w:val="NormalWeb"/>
        <w:spacing w:line="360" w:lineRule="auto"/>
        <w:jc w:val="both"/>
      </w:pPr>
      <w:r w:rsidRPr="007D3FD2">
        <w:t xml:space="preserve"> The results revealed a multiple correlation coefficient (R) of 0.640, which indicated a strong and positive correlation between the indicators of the independent variables and the dependent variable (i.e., audience attitudes). </w:t>
      </w:r>
      <w:r w:rsidRPr="007D3FD2">
        <w:rPr>
          <w:rStyle w:val="Strong"/>
          <w:rFonts w:eastAsiaTheme="majorEastAsia"/>
          <w:b w:val="0"/>
          <w:bCs w:val="0"/>
        </w:rPr>
        <w:t xml:space="preserve">This demonstrated that the campaign strategies undertaken by X influencers presented cognitive, affective, and behavioral effects on the target audience. </w:t>
      </w:r>
      <w:r w:rsidRPr="007D3FD2">
        <w:t xml:space="preserve">The R-squared value was 0.409, which invariably suggested that 40.9% of the changes in audience attitudes were caused by the combined effects of the independent variables. Therefore, the influence of communication strategy on voters is evidently significant, though other contextual, social, and personal factors possibly contributed to audience perception and behavior.  Additionally, the </w:t>
      </w:r>
    </w:p>
    <w:p w14:paraId="11A06909" w14:textId="2FB3E4EF" w:rsidR="00511CEE" w:rsidRPr="007D3FD2" w:rsidRDefault="00511CEE" w:rsidP="00A40661">
      <w:pPr>
        <w:pStyle w:val="NormalWeb"/>
        <w:spacing w:line="360" w:lineRule="auto"/>
        <w:jc w:val="both"/>
      </w:pPr>
      <w:r w:rsidRPr="007D3FD2">
        <w:t xml:space="preserve">The ANOVA results of the regression model assessed how the frequency of campaign debates, thematic frames of information, and the frequency of campaign rallies influenced audience attitudes in presidential political campaigns and elections.  The results are shown in Table 2 below. </w:t>
      </w:r>
    </w:p>
    <w:p w14:paraId="5681F4C0" w14:textId="07489E21" w:rsidR="00A40661" w:rsidRPr="007D3FD2" w:rsidRDefault="00A40661" w:rsidP="00A40661">
      <w:pPr>
        <w:pStyle w:val="Caption"/>
        <w:rPr>
          <w:rFonts w:ascii="Times New Roman" w:hAnsi="Times New Roman" w:cs="Times New Roman"/>
          <w:b/>
          <w:bCs/>
          <w:color w:val="auto"/>
          <w:sz w:val="24"/>
          <w:szCs w:val="24"/>
        </w:rPr>
      </w:pPr>
      <w:bookmarkStart w:id="3" w:name="_Toc195267855"/>
      <w:r w:rsidRPr="007D3FD2">
        <w:rPr>
          <w:rFonts w:ascii="Times New Roman" w:hAnsi="Times New Roman" w:cs="Times New Roman"/>
          <w:b/>
          <w:bCs/>
          <w:color w:val="auto"/>
          <w:sz w:val="24"/>
          <w:szCs w:val="24"/>
        </w:rPr>
        <w:t xml:space="preserve"> </w:t>
      </w:r>
      <w:bookmarkStart w:id="4" w:name="_Toc222071045"/>
      <w:r w:rsidRPr="007D3FD2">
        <w:rPr>
          <w:rFonts w:ascii="Times New Roman" w:hAnsi="Times New Roman" w:cs="Times New Roman"/>
          <w:b/>
          <w:bCs/>
          <w:color w:val="auto"/>
          <w:sz w:val="24"/>
          <w:szCs w:val="24"/>
        </w:rPr>
        <w:t xml:space="preserve">Table </w:t>
      </w:r>
      <w:r w:rsidR="00511CEE" w:rsidRPr="007D3FD2">
        <w:rPr>
          <w:rFonts w:ascii="Times New Roman" w:hAnsi="Times New Roman" w:cs="Times New Roman"/>
          <w:b/>
          <w:bCs/>
          <w:color w:val="auto"/>
          <w:sz w:val="24"/>
          <w:szCs w:val="24"/>
        </w:rPr>
        <w:t>2</w:t>
      </w:r>
      <w:r w:rsidRPr="007D3FD2">
        <w:rPr>
          <w:rFonts w:ascii="Times New Roman" w:hAnsi="Times New Roman" w:cs="Times New Roman"/>
          <w:b/>
          <w:bCs/>
          <w:color w:val="auto"/>
          <w:sz w:val="24"/>
          <w:szCs w:val="24"/>
        </w:rPr>
        <w:t>: ANOVA Summary</w:t>
      </w:r>
      <w:bookmarkEnd w:id="3"/>
      <w:bookmarkEnd w:id="4"/>
    </w:p>
    <w:tbl>
      <w:tblPr>
        <w:tblStyle w:val="TableGrid1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830"/>
        <w:gridCol w:w="1692"/>
        <w:gridCol w:w="1596"/>
        <w:gridCol w:w="1158"/>
        <w:gridCol w:w="1159"/>
      </w:tblGrid>
      <w:tr w:rsidR="007D3FD2" w:rsidRPr="007D3FD2" w14:paraId="7C114687" w14:textId="77777777" w:rsidTr="00731500">
        <w:trPr>
          <w:trHeight w:val="290"/>
        </w:trPr>
        <w:tc>
          <w:tcPr>
            <w:tcW w:w="925" w:type="pct"/>
            <w:tcBorders>
              <w:top w:val="single" w:sz="4" w:space="0" w:color="auto"/>
              <w:bottom w:val="single" w:sz="4" w:space="0" w:color="auto"/>
            </w:tcBorders>
            <w:noWrap/>
            <w:hideMark/>
          </w:tcPr>
          <w:p w14:paraId="52973E1E" w14:textId="77777777" w:rsidR="00A40661" w:rsidRPr="007D3FD2" w:rsidRDefault="00A40661" w:rsidP="00731500">
            <w:pPr>
              <w:spacing w:line="360" w:lineRule="auto"/>
              <w:jc w:val="both"/>
              <w:rPr>
                <w:rFonts w:ascii="Times New Roman" w:hAnsi="Times New Roman" w:cs="Times New Roman"/>
                <w:b/>
                <w:bCs/>
                <w:sz w:val="24"/>
                <w:szCs w:val="24"/>
              </w:rPr>
            </w:pPr>
          </w:p>
        </w:tc>
        <w:tc>
          <w:tcPr>
            <w:tcW w:w="928" w:type="pct"/>
            <w:tcBorders>
              <w:top w:val="single" w:sz="4" w:space="0" w:color="auto"/>
              <w:bottom w:val="single" w:sz="4" w:space="0" w:color="auto"/>
            </w:tcBorders>
            <w:noWrap/>
            <w:hideMark/>
          </w:tcPr>
          <w:p w14:paraId="0F36F2F9"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Sum of Squares</w:t>
            </w:r>
          </w:p>
        </w:tc>
        <w:tc>
          <w:tcPr>
            <w:tcW w:w="981" w:type="pct"/>
            <w:tcBorders>
              <w:top w:val="single" w:sz="4" w:space="0" w:color="auto"/>
              <w:bottom w:val="single" w:sz="4" w:space="0" w:color="auto"/>
            </w:tcBorders>
            <w:noWrap/>
            <w:hideMark/>
          </w:tcPr>
          <w:p w14:paraId="4A13E76A" w14:textId="77777777" w:rsidR="00A40661" w:rsidRPr="007D3FD2" w:rsidRDefault="00A40661" w:rsidP="00731500">
            <w:pPr>
              <w:spacing w:line="360" w:lineRule="auto"/>
              <w:jc w:val="both"/>
              <w:rPr>
                <w:rFonts w:ascii="Times New Roman" w:hAnsi="Times New Roman" w:cs="Times New Roman"/>
                <w:b/>
                <w:bCs/>
                <w:sz w:val="24"/>
                <w:szCs w:val="24"/>
              </w:rPr>
            </w:pPr>
            <w:proofErr w:type="spellStart"/>
            <w:r w:rsidRPr="007D3FD2">
              <w:rPr>
                <w:rFonts w:ascii="Times New Roman" w:hAnsi="Times New Roman" w:cs="Times New Roman"/>
                <w:b/>
                <w:bCs/>
                <w:sz w:val="24"/>
                <w:szCs w:val="24"/>
              </w:rPr>
              <w:t>Df</w:t>
            </w:r>
            <w:proofErr w:type="spellEnd"/>
          </w:p>
        </w:tc>
        <w:tc>
          <w:tcPr>
            <w:tcW w:w="796" w:type="pct"/>
            <w:tcBorders>
              <w:top w:val="single" w:sz="4" w:space="0" w:color="auto"/>
              <w:bottom w:val="single" w:sz="4" w:space="0" w:color="auto"/>
            </w:tcBorders>
            <w:noWrap/>
            <w:hideMark/>
          </w:tcPr>
          <w:p w14:paraId="78A1A6BF"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Mean Square</w:t>
            </w:r>
          </w:p>
        </w:tc>
        <w:tc>
          <w:tcPr>
            <w:tcW w:w="685" w:type="pct"/>
            <w:tcBorders>
              <w:top w:val="single" w:sz="4" w:space="0" w:color="auto"/>
              <w:bottom w:val="single" w:sz="4" w:space="0" w:color="auto"/>
            </w:tcBorders>
            <w:noWrap/>
            <w:hideMark/>
          </w:tcPr>
          <w:p w14:paraId="6C86D409"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F</w:t>
            </w:r>
          </w:p>
        </w:tc>
        <w:tc>
          <w:tcPr>
            <w:tcW w:w="685" w:type="pct"/>
            <w:tcBorders>
              <w:top w:val="single" w:sz="4" w:space="0" w:color="auto"/>
              <w:bottom w:val="single" w:sz="4" w:space="0" w:color="auto"/>
            </w:tcBorders>
            <w:noWrap/>
            <w:hideMark/>
          </w:tcPr>
          <w:p w14:paraId="0B8157C8" w14:textId="77777777" w:rsidR="00A40661" w:rsidRPr="007D3FD2" w:rsidRDefault="00A40661" w:rsidP="00731500">
            <w:pPr>
              <w:spacing w:line="360" w:lineRule="auto"/>
              <w:jc w:val="both"/>
              <w:rPr>
                <w:rFonts w:ascii="Times New Roman" w:hAnsi="Times New Roman" w:cs="Times New Roman"/>
                <w:b/>
                <w:bCs/>
                <w:sz w:val="24"/>
                <w:szCs w:val="24"/>
              </w:rPr>
            </w:pPr>
            <w:r w:rsidRPr="007D3FD2">
              <w:rPr>
                <w:rFonts w:ascii="Times New Roman" w:hAnsi="Times New Roman" w:cs="Times New Roman"/>
                <w:b/>
                <w:bCs/>
                <w:sz w:val="24"/>
                <w:szCs w:val="24"/>
              </w:rPr>
              <w:t>Sig.</w:t>
            </w:r>
          </w:p>
        </w:tc>
      </w:tr>
      <w:tr w:rsidR="007D3FD2" w:rsidRPr="007D3FD2" w14:paraId="179D9FA0" w14:textId="77777777" w:rsidTr="00731500">
        <w:trPr>
          <w:trHeight w:val="290"/>
        </w:trPr>
        <w:tc>
          <w:tcPr>
            <w:tcW w:w="925" w:type="pct"/>
            <w:tcBorders>
              <w:top w:val="single" w:sz="4" w:space="0" w:color="auto"/>
            </w:tcBorders>
            <w:noWrap/>
            <w:hideMark/>
          </w:tcPr>
          <w:p w14:paraId="3DCBB60F"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Regression</w:t>
            </w:r>
          </w:p>
        </w:tc>
        <w:tc>
          <w:tcPr>
            <w:tcW w:w="928" w:type="pct"/>
            <w:tcBorders>
              <w:top w:val="single" w:sz="4" w:space="0" w:color="auto"/>
            </w:tcBorders>
            <w:noWrap/>
            <w:hideMark/>
          </w:tcPr>
          <w:p w14:paraId="4B143198"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108.438</w:t>
            </w:r>
          </w:p>
        </w:tc>
        <w:tc>
          <w:tcPr>
            <w:tcW w:w="981" w:type="pct"/>
            <w:tcBorders>
              <w:top w:val="single" w:sz="4" w:space="0" w:color="auto"/>
            </w:tcBorders>
            <w:noWrap/>
            <w:hideMark/>
          </w:tcPr>
          <w:p w14:paraId="60BF6D6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w:t>
            </w:r>
          </w:p>
        </w:tc>
        <w:tc>
          <w:tcPr>
            <w:tcW w:w="796" w:type="pct"/>
            <w:tcBorders>
              <w:top w:val="single" w:sz="4" w:space="0" w:color="auto"/>
            </w:tcBorders>
            <w:noWrap/>
            <w:hideMark/>
          </w:tcPr>
          <w:p w14:paraId="2AD42849"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36.146</w:t>
            </w:r>
          </w:p>
        </w:tc>
        <w:tc>
          <w:tcPr>
            <w:tcW w:w="685" w:type="pct"/>
            <w:tcBorders>
              <w:top w:val="single" w:sz="4" w:space="0" w:color="auto"/>
            </w:tcBorders>
            <w:noWrap/>
            <w:hideMark/>
          </w:tcPr>
          <w:p w14:paraId="281A50A3"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77.85</w:t>
            </w:r>
          </w:p>
        </w:tc>
        <w:tc>
          <w:tcPr>
            <w:tcW w:w="685" w:type="pct"/>
            <w:tcBorders>
              <w:top w:val="single" w:sz="4" w:space="0" w:color="auto"/>
            </w:tcBorders>
            <w:noWrap/>
            <w:hideMark/>
          </w:tcPr>
          <w:p w14:paraId="1494481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.000b</w:t>
            </w:r>
          </w:p>
        </w:tc>
      </w:tr>
      <w:tr w:rsidR="007D3FD2" w:rsidRPr="007D3FD2" w14:paraId="79601CF0" w14:textId="77777777" w:rsidTr="00731500">
        <w:trPr>
          <w:trHeight w:val="290"/>
        </w:trPr>
        <w:tc>
          <w:tcPr>
            <w:tcW w:w="925" w:type="pct"/>
            <w:noWrap/>
            <w:hideMark/>
          </w:tcPr>
          <w:p w14:paraId="150182BD"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Residual</w:t>
            </w:r>
          </w:p>
        </w:tc>
        <w:tc>
          <w:tcPr>
            <w:tcW w:w="928" w:type="pct"/>
            <w:noWrap/>
            <w:hideMark/>
          </w:tcPr>
          <w:p w14:paraId="76013651"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156.48</w:t>
            </w:r>
          </w:p>
        </w:tc>
        <w:tc>
          <w:tcPr>
            <w:tcW w:w="981" w:type="pct"/>
            <w:noWrap/>
            <w:hideMark/>
          </w:tcPr>
          <w:p w14:paraId="278DC155"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337</w:t>
            </w:r>
          </w:p>
        </w:tc>
        <w:tc>
          <w:tcPr>
            <w:tcW w:w="796" w:type="pct"/>
            <w:noWrap/>
            <w:hideMark/>
          </w:tcPr>
          <w:p w14:paraId="043E8FC2"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0.464</w:t>
            </w:r>
          </w:p>
        </w:tc>
        <w:tc>
          <w:tcPr>
            <w:tcW w:w="685" w:type="pct"/>
            <w:noWrap/>
            <w:hideMark/>
          </w:tcPr>
          <w:p w14:paraId="6F1DA997"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5FFFF4D3" w14:textId="77777777" w:rsidR="00A40661" w:rsidRPr="007D3FD2" w:rsidRDefault="00A40661" w:rsidP="00731500">
            <w:pPr>
              <w:spacing w:line="360" w:lineRule="auto"/>
              <w:jc w:val="both"/>
              <w:rPr>
                <w:rFonts w:ascii="Times New Roman" w:hAnsi="Times New Roman" w:cs="Times New Roman"/>
                <w:sz w:val="24"/>
                <w:szCs w:val="24"/>
              </w:rPr>
            </w:pPr>
          </w:p>
        </w:tc>
      </w:tr>
      <w:tr w:rsidR="007D3FD2" w:rsidRPr="007D3FD2" w14:paraId="2D9C4AA7" w14:textId="77777777" w:rsidTr="00731500">
        <w:trPr>
          <w:trHeight w:val="290"/>
        </w:trPr>
        <w:tc>
          <w:tcPr>
            <w:tcW w:w="925" w:type="pct"/>
            <w:noWrap/>
            <w:hideMark/>
          </w:tcPr>
          <w:p w14:paraId="77431EAB"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Total</w:t>
            </w:r>
          </w:p>
        </w:tc>
        <w:tc>
          <w:tcPr>
            <w:tcW w:w="928" w:type="pct"/>
            <w:noWrap/>
            <w:hideMark/>
          </w:tcPr>
          <w:p w14:paraId="64FC6D25"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264.918</w:t>
            </w:r>
          </w:p>
        </w:tc>
        <w:tc>
          <w:tcPr>
            <w:tcW w:w="981" w:type="pct"/>
            <w:noWrap/>
            <w:hideMark/>
          </w:tcPr>
          <w:p w14:paraId="42F41B5A" w14:textId="77777777" w:rsidR="00A40661" w:rsidRPr="007D3FD2" w:rsidRDefault="00A40661" w:rsidP="00731500">
            <w:pPr>
              <w:spacing w:line="360" w:lineRule="auto"/>
              <w:jc w:val="both"/>
              <w:rPr>
                <w:rFonts w:ascii="Times New Roman" w:hAnsi="Times New Roman" w:cs="Times New Roman"/>
                <w:sz w:val="24"/>
                <w:szCs w:val="24"/>
              </w:rPr>
            </w:pPr>
            <w:r w:rsidRPr="007D3FD2">
              <w:rPr>
                <w:rFonts w:ascii="Times New Roman" w:hAnsi="Times New Roman" w:cs="Times New Roman"/>
                <w:sz w:val="24"/>
                <w:szCs w:val="24"/>
              </w:rPr>
              <w:t>340</w:t>
            </w:r>
          </w:p>
        </w:tc>
        <w:tc>
          <w:tcPr>
            <w:tcW w:w="796" w:type="pct"/>
            <w:noWrap/>
            <w:hideMark/>
          </w:tcPr>
          <w:p w14:paraId="29CA2FA7"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4C92D8FB" w14:textId="77777777" w:rsidR="00A40661" w:rsidRPr="007D3FD2" w:rsidRDefault="00A40661" w:rsidP="00731500">
            <w:pPr>
              <w:spacing w:line="360" w:lineRule="auto"/>
              <w:jc w:val="both"/>
              <w:rPr>
                <w:rFonts w:ascii="Times New Roman" w:hAnsi="Times New Roman" w:cs="Times New Roman"/>
                <w:sz w:val="24"/>
                <w:szCs w:val="24"/>
              </w:rPr>
            </w:pPr>
          </w:p>
        </w:tc>
        <w:tc>
          <w:tcPr>
            <w:tcW w:w="685" w:type="pct"/>
            <w:noWrap/>
            <w:hideMark/>
          </w:tcPr>
          <w:p w14:paraId="389B01AE" w14:textId="77777777" w:rsidR="00A40661" w:rsidRPr="007D3FD2" w:rsidRDefault="00A40661" w:rsidP="00731500">
            <w:pPr>
              <w:spacing w:line="360" w:lineRule="auto"/>
              <w:jc w:val="both"/>
              <w:rPr>
                <w:rFonts w:ascii="Times New Roman" w:hAnsi="Times New Roman" w:cs="Times New Roman"/>
                <w:sz w:val="24"/>
                <w:szCs w:val="24"/>
              </w:rPr>
            </w:pPr>
          </w:p>
        </w:tc>
      </w:tr>
    </w:tbl>
    <w:p w14:paraId="44D24FDC" w14:textId="436398B5" w:rsidR="00511CEE" w:rsidRPr="007D3FD2" w:rsidRDefault="00A40661" w:rsidP="00A40661">
      <w:pPr>
        <w:spacing w:before="120" w:after="120" w:line="360" w:lineRule="auto"/>
        <w:rPr>
          <w:rFonts w:ascii="Times New Roman" w:eastAsia="Times New Roman" w:hAnsi="Times New Roman" w:cs="Times New Roman"/>
          <w:bCs/>
          <w:kern w:val="0"/>
          <w14:ligatures w14:val="none"/>
        </w:rPr>
      </w:pPr>
      <w:r w:rsidRPr="007D3FD2">
        <w:rPr>
          <w:rFonts w:ascii="Times New Roman" w:eastAsia="Times New Roman" w:hAnsi="Times New Roman" w:cs="Times New Roman"/>
          <w:bCs/>
          <w:kern w:val="0"/>
          <w14:ligatures w14:val="none"/>
        </w:rPr>
        <w:t xml:space="preserve"> </w:t>
      </w:r>
      <w:r w:rsidR="00511CEE" w:rsidRPr="007D3FD2">
        <w:rPr>
          <w:rFonts w:ascii="Times New Roman" w:eastAsia="Times New Roman" w:hAnsi="Times New Roman" w:cs="Times New Roman"/>
          <w:bCs/>
          <w:kern w:val="0"/>
          <w14:ligatures w14:val="none"/>
        </w:rPr>
        <w:t xml:space="preserve">Based on the results, </w:t>
      </w:r>
      <w:proofErr w:type="gramStart"/>
      <w:r w:rsidR="00511CEE" w:rsidRPr="007D3FD2">
        <w:rPr>
          <w:rFonts w:ascii="Times New Roman" w:eastAsia="Times New Roman" w:hAnsi="Times New Roman" w:cs="Times New Roman"/>
          <w:bCs/>
          <w:kern w:val="0"/>
          <w14:ligatures w14:val="none"/>
        </w:rPr>
        <w:t>the  regression</w:t>
      </w:r>
      <w:proofErr w:type="gramEnd"/>
      <w:r w:rsidR="00511CEE" w:rsidRPr="007D3FD2">
        <w:rPr>
          <w:rFonts w:ascii="Times New Roman" w:eastAsia="Times New Roman" w:hAnsi="Times New Roman" w:cs="Times New Roman"/>
          <w:bCs/>
          <w:kern w:val="0"/>
          <w14:ligatures w14:val="none"/>
        </w:rPr>
        <w:t xml:space="preserve"> model was statistically significant with a p-value of 0.000 and an F-value of 77.85. This demonstrated that the model meaningfully explained a fraction of the variance in the perception of the voters instead of the observed relationships occurring by chance. Besides, the regression sums of squares (108.438, </w:t>
      </w:r>
      <w:proofErr w:type="spellStart"/>
      <w:r w:rsidR="00511CEE" w:rsidRPr="007D3FD2">
        <w:rPr>
          <w:rFonts w:ascii="Times New Roman" w:eastAsia="Times New Roman" w:hAnsi="Times New Roman" w:cs="Times New Roman"/>
          <w:bCs/>
          <w:kern w:val="0"/>
          <w14:ligatures w14:val="none"/>
        </w:rPr>
        <w:t>df</w:t>
      </w:r>
      <w:proofErr w:type="spellEnd"/>
      <w:r w:rsidR="00511CEE" w:rsidRPr="007D3FD2">
        <w:rPr>
          <w:rFonts w:ascii="Times New Roman" w:eastAsia="Times New Roman" w:hAnsi="Times New Roman" w:cs="Times New Roman"/>
          <w:bCs/>
          <w:kern w:val="0"/>
          <w14:ligatures w14:val="none"/>
        </w:rPr>
        <w:t xml:space="preserve"> = 337) represented the variability in audience attitudes, which was explained by the predictors. </w:t>
      </w:r>
    </w:p>
    <w:p w14:paraId="73DEB943" w14:textId="5767456B" w:rsidR="00A40661" w:rsidRPr="007D3FD2" w:rsidRDefault="00A40661" w:rsidP="00A40661">
      <w:pPr>
        <w:pStyle w:val="Caption"/>
        <w:rPr>
          <w:rFonts w:ascii="Times New Roman" w:hAnsi="Times New Roman" w:cs="Times New Roman"/>
          <w:b/>
          <w:bCs/>
          <w:color w:val="auto"/>
          <w:sz w:val="24"/>
          <w:szCs w:val="24"/>
        </w:rPr>
      </w:pPr>
      <w:bookmarkStart w:id="5" w:name="_Toc195267856"/>
      <w:r w:rsidRPr="007D3FD2">
        <w:rPr>
          <w:rFonts w:ascii="Times New Roman" w:hAnsi="Times New Roman" w:cs="Times New Roman"/>
          <w:b/>
          <w:bCs/>
          <w:color w:val="auto"/>
          <w:sz w:val="24"/>
          <w:szCs w:val="24"/>
        </w:rPr>
        <w:lastRenderedPageBreak/>
        <w:t xml:space="preserve"> </w:t>
      </w:r>
      <w:bookmarkStart w:id="6" w:name="_Toc222071046"/>
      <w:r w:rsidRPr="007D3FD2">
        <w:rPr>
          <w:rFonts w:ascii="Times New Roman" w:hAnsi="Times New Roman" w:cs="Times New Roman"/>
          <w:b/>
          <w:bCs/>
          <w:color w:val="auto"/>
          <w:sz w:val="24"/>
          <w:szCs w:val="24"/>
        </w:rPr>
        <w:t xml:space="preserve">Table </w:t>
      </w:r>
      <w:r w:rsidR="00511CEE" w:rsidRPr="007D3FD2">
        <w:rPr>
          <w:rFonts w:ascii="Times New Roman" w:hAnsi="Times New Roman" w:cs="Times New Roman"/>
          <w:b/>
          <w:bCs/>
          <w:color w:val="auto"/>
          <w:sz w:val="24"/>
          <w:szCs w:val="24"/>
        </w:rPr>
        <w:t>3</w:t>
      </w:r>
      <w:r w:rsidRPr="007D3FD2">
        <w:rPr>
          <w:rFonts w:ascii="Times New Roman" w:hAnsi="Times New Roman" w:cs="Times New Roman"/>
          <w:b/>
          <w:bCs/>
          <w:color w:val="auto"/>
          <w:sz w:val="24"/>
          <w:szCs w:val="24"/>
        </w:rPr>
        <w:t>: Regression Coefficients</w:t>
      </w:r>
      <w:bookmarkEnd w:id="5"/>
      <w:bookmarkEnd w:id="6"/>
      <w:r w:rsidRPr="007D3FD2">
        <w:rPr>
          <w:rFonts w:ascii="Times New Roman" w:hAnsi="Times New Roman" w:cs="Times New Roman"/>
          <w:b/>
          <w:bCs/>
          <w:color w:val="auto"/>
          <w:sz w:val="24"/>
          <w:szCs w:val="24"/>
        </w:rPr>
        <w:t xml:space="preserve"> </w:t>
      </w:r>
    </w:p>
    <w:tbl>
      <w:tblPr>
        <w:tblStyle w:val="TableGrid1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3"/>
        <w:gridCol w:w="972"/>
        <w:gridCol w:w="1608"/>
        <w:gridCol w:w="1577"/>
        <w:gridCol w:w="960"/>
        <w:gridCol w:w="960"/>
      </w:tblGrid>
      <w:tr w:rsidR="007D3FD2" w:rsidRPr="007D3FD2" w14:paraId="759C77F4" w14:textId="77777777" w:rsidTr="00731500">
        <w:trPr>
          <w:trHeight w:val="290"/>
        </w:trPr>
        <w:tc>
          <w:tcPr>
            <w:tcW w:w="2923" w:type="dxa"/>
            <w:noWrap/>
            <w:hideMark/>
          </w:tcPr>
          <w:p w14:paraId="4276264B" w14:textId="77777777" w:rsidR="00A40661" w:rsidRPr="007D3FD2" w:rsidRDefault="00A40661" w:rsidP="00731500">
            <w:pPr>
              <w:spacing w:line="360" w:lineRule="auto"/>
              <w:jc w:val="both"/>
              <w:rPr>
                <w:rFonts w:ascii="Times New Roman" w:hAnsi="Times New Roman" w:cs="Times New Roman"/>
                <w:sz w:val="24"/>
                <w:szCs w:val="24"/>
              </w:rPr>
            </w:pPr>
          </w:p>
        </w:tc>
        <w:tc>
          <w:tcPr>
            <w:tcW w:w="2580" w:type="dxa"/>
            <w:gridSpan w:val="2"/>
            <w:tcBorders>
              <w:bottom w:val="single" w:sz="4" w:space="0" w:color="auto"/>
            </w:tcBorders>
            <w:noWrap/>
            <w:vAlign w:val="center"/>
            <w:hideMark/>
          </w:tcPr>
          <w:p w14:paraId="49A7D4E6"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Unstandardized Coefficients</w:t>
            </w:r>
          </w:p>
        </w:tc>
        <w:tc>
          <w:tcPr>
            <w:tcW w:w="1577" w:type="dxa"/>
            <w:tcBorders>
              <w:bottom w:val="single" w:sz="4" w:space="0" w:color="auto"/>
            </w:tcBorders>
            <w:noWrap/>
            <w:vAlign w:val="center"/>
            <w:hideMark/>
          </w:tcPr>
          <w:p w14:paraId="469F6A99" w14:textId="77777777" w:rsidR="00A40661" w:rsidRPr="007D3FD2" w:rsidRDefault="00A40661" w:rsidP="00731500">
            <w:pPr>
              <w:spacing w:line="360" w:lineRule="auto"/>
              <w:jc w:val="center"/>
              <w:rPr>
                <w:rFonts w:ascii="Times New Roman" w:hAnsi="Times New Roman" w:cs="Times New Roman"/>
                <w:b/>
                <w:bCs/>
                <w:sz w:val="24"/>
                <w:szCs w:val="24"/>
              </w:rPr>
            </w:pPr>
            <w:proofErr w:type="spellStart"/>
            <w:r w:rsidRPr="007D3FD2">
              <w:rPr>
                <w:rFonts w:ascii="Times New Roman" w:hAnsi="Times New Roman" w:cs="Times New Roman"/>
                <w:b/>
                <w:bCs/>
                <w:sz w:val="24"/>
                <w:szCs w:val="24"/>
              </w:rPr>
              <w:t>Standardised</w:t>
            </w:r>
            <w:proofErr w:type="spellEnd"/>
            <w:r w:rsidRPr="007D3FD2">
              <w:rPr>
                <w:rFonts w:ascii="Times New Roman" w:hAnsi="Times New Roman" w:cs="Times New Roman"/>
                <w:b/>
                <w:bCs/>
                <w:sz w:val="24"/>
                <w:szCs w:val="24"/>
              </w:rPr>
              <w:t xml:space="preserve"> Coefficients</w:t>
            </w:r>
          </w:p>
        </w:tc>
        <w:tc>
          <w:tcPr>
            <w:tcW w:w="960" w:type="dxa"/>
            <w:noWrap/>
            <w:vAlign w:val="center"/>
            <w:hideMark/>
          </w:tcPr>
          <w:p w14:paraId="6CC950C3"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t</w:t>
            </w:r>
          </w:p>
        </w:tc>
        <w:tc>
          <w:tcPr>
            <w:tcW w:w="960" w:type="dxa"/>
            <w:noWrap/>
            <w:vAlign w:val="center"/>
            <w:hideMark/>
          </w:tcPr>
          <w:p w14:paraId="022C393D"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Sig.</w:t>
            </w:r>
          </w:p>
        </w:tc>
      </w:tr>
      <w:tr w:rsidR="007D3FD2" w:rsidRPr="007D3FD2" w14:paraId="58167E13" w14:textId="77777777" w:rsidTr="00731500">
        <w:trPr>
          <w:trHeight w:val="290"/>
        </w:trPr>
        <w:tc>
          <w:tcPr>
            <w:tcW w:w="2923" w:type="dxa"/>
            <w:tcBorders>
              <w:bottom w:val="single" w:sz="4" w:space="0" w:color="auto"/>
            </w:tcBorders>
            <w:noWrap/>
            <w:hideMark/>
          </w:tcPr>
          <w:p w14:paraId="0EB2BE96" w14:textId="77777777" w:rsidR="00A40661" w:rsidRPr="007D3FD2" w:rsidRDefault="00A40661" w:rsidP="00731500">
            <w:pPr>
              <w:spacing w:line="360" w:lineRule="auto"/>
              <w:jc w:val="both"/>
              <w:rPr>
                <w:rFonts w:ascii="Times New Roman" w:hAnsi="Times New Roman" w:cs="Times New Roman"/>
                <w:sz w:val="24"/>
                <w:szCs w:val="24"/>
              </w:rPr>
            </w:pPr>
          </w:p>
        </w:tc>
        <w:tc>
          <w:tcPr>
            <w:tcW w:w="972" w:type="dxa"/>
            <w:tcBorders>
              <w:top w:val="single" w:sz="4" w:space="0" w:color="auto"/>
              <w:bottom w:val="single" w:sz="4" w:space="0" w:color="auto"/>
            </w:tcBorders>
            <w:noWrap/>
            <w:vAlign w:val="center"/>
            <w:hideMark/>
          </w:tcPr>
          <w:p w14:paraId="7A463D1B"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B</w:t>
            </w:r>
          </w:p>
        </w:tc>
        <w:tc>
          <w:tcPr>
            <w:tcW w:w="1608" w:type="dxa"/>
            <w:tcBorders>
              <w:top w:val="single" w:sz="4" w:space="0" w:color="auto"/>
              <w:bottom w:val="single" w:sz="4" w:space="0" w:color="auto"/>
            </w:tcBorders>
            <w:noWrap/>
            <w:vAlign w:val="center"/>
            <w:hideMark/>
          </w:tcPr>
          <w:p w14:paraId="73A332FC"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Std. Error</w:t>
            </w:r>
          </w:p>
        </w:tc>
        <w:tc>
          <w:tcPr>
            <w:tcW w:w="1577" w:type="dxa"/>
            <w:tcBorders>
              <w:top w:val="single" w:sz="4" w:space="0" w:color="auto"/>
              <w:bottom w:val="single" w:sz="4" w:space="0" w:color="auto"/>
            </w:tcBorders>
            <w:noWrap/>
            <w:vAlign w:val="center"/>
            <w:hideMark/>
          </w:tcPr>
          <w:p w14:paraId="56E7E941" w14:textId="77777777" w:rsidR="00A40661" w:rsidRPr="007D3FD2" w:rsidRDefault="00A40661" w:rsidP="00731500">
            <w:pPr>
              <w:spacing w:line="360" w:lineRule="auto"/>
              <w:jc w:val="center"/>
              <w:rPr>
                <w:rFonts w:ascii="Times New Roman" w:hAnsi="Times New Roman" w:cs="Times New Roman"/>
                <w:b/>
                <w:bCs/>
                <w:sz w:val="24"/>
                <w:szCs w:val="24"/>
              </w:rPr>
            </w:pPr>
            <w:r w:rsidRPr="007D3FD2">
              <w:rPr>
                <w:rFonts w:ascii="Times New Roman" w:hAnsi="Times New Roman" w:cs="Times New Roman"/>
                <w:b/>
                <w:bCs/>
                <w:sz w:val="24"/>
                <w:szCs w:val="24"/>
              </w:rPr>
              <w:t>Beta</w:t>
            </w:r>
          </w:p>
        </w:tc>
        <w:tc>
          <w:tcPr>
            <w:tcW w:w="960" w:type="dxa"/>
            <w:tcBorders>
              <w:bottom w:val="single" w:sz="4" w:space="0" w:color="auto"/>
            </w:tcBorders>
            <w:noWrap/>
            <w:vAlign w:val="center"/>
            <w:hideMark/>
          </w:tcPr>
          <w:p w14:paraId="19EC3842" w14:textId="77777777" w:rsidR="00A40661" w:rsidRPr="007D3FD2" w:rsidRDefault="00A40661" w:rsidP="00731500">
            <w:pPr>
              <w:spacing w:line="360" w:lineRule="auto"/>
              <w:jc w:val="center"/>
              <w:rPr>
                <w:rFonts w:ascii="Times New Roman" w:hAnsi="Times New Roman" w:cs="Times New Roman"/>
                <w:b/>
                <w:bCs/>
                <w:sz w:val="24"/>
                <w:szCs w:val="24"/>
              </w:rPr>
            </w:pPr>
          </w:p>
        </w:tc>
        <w:tc>
          <w:tcPr>
            <w:tcW w:w="960" w:type="dxa"/>
            <w:tcBorders>
              <w:bottom w:val="single" w:sz="4" w:space="0" w:color="auto"/>
            </w:tcBorders>
            <w:noWrap/>
            <w:vAlign w:val="center"/>
            <w:hideMark/>
          </w:tcPr>
          <w:p w14:paraId="1637070F" w14:textId="77777777" w:rsidR="00A40661" w:rsidRPr="007D3FD2" w:rsidRDefault="00A40661" w:rsidP="00731500">
            <w:pPr>
              <w:spacing w:line="360" w:lineRule="auto"/>
              <w:jc w:val="center"/>
              <w:rPr>
                <w:rFonts w:ascii="Times New Roman" w:hAnsi="Times New Roman" w:cs="Times New Roman"/>
                <w:b/>
                <w:bCs/>
                <w:sz w:val="24"/>
                <w:szCs w:val="24"/>
              </w:rPr>
            </w:pPr>
          </w:p>
        </w:tc>
      </w:tr>
      <w:tr w:rsidR="007D3FD2" w:rsidRPr="007D3FD2" w14:paraId="0CE4D611" w14:textId="77777777" w:rsidTr="00731500">
        <w:trPr>
          <w:trHeight w:val="290"/>
        </w:trPr>
        <w:tc>
          <w:tcPr>
            <w:tcW w:w="2923" w:type="dxa"/>
            <w:tcBorders>
              <w:top w:val="single" w:sz="4" w:space="0" w:color="auto"/>
              <w:bottom w:val="nil"/>
            </w:tcBorders>
            <w:noWrap/>
            <w:vAlign w:val="center"/>
            <w:hideMark/>
          </w:tcPr>
          <w:p w14:paraId="71EF7E82"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(Constant)</w:t>
            </w:r>
          </w:p>
        </w:tc>
        <w:tc>
          <w:tcPr>
            <w:tcW w:w="972" w:type="dxa"/>
            <w:tcBorders>
              <w:top w:val="single" w:sz="4" w:space="0" w:color="auto"/>
              <w:bottom w:val="nil"/>
            </w:tcBorders>
            <w:noWrap/>
            <w:vAlign w:val="center"/>
            <w:hideMark/>
          </w:tcPr>
          <w:p w14:paraId="0BD538BE"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0.851</w:t>
            </w:r>
          </w:p>
        </w:tc>
        <w:tc>
          <w:tcPr>
            <w:tcW w:w="1608" w:type="dxa"/>
            <w:tcBorders>
              <w:top w:val="single" w:sz="4" w:space="0" w:color="auto"/>
              <w:bottom w:val="nil"/>
            </w:tcBorders>
            <w:noWrap/>
            <w:vAlign w:val="center"/>
            <w:hideMark/>
          </w:tcPr>
          <w:p w14:paraId="0DEE79B6"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0.168</w:t>
            </w:r>
          </w:p>
        </w:tc>
        <w:tc>
          <w:tcPr>
            <w:tcW w:w="1577" w:type="dxa"/>
            <w:tcBorders>
              <w:top w:val="single" w:sz="4" w:space="0" w:color="auto"/>
              <w:bottom w:val="nil"/>
            </w:tcBorders>
            <w:noWrap/>
            <w:vAlign w:val="center"/>
            <w:hideMark/>
          </w:tcPr>
          <w:p w14:paraId="10C006CC" w14:textId="77777777" w:rsidR="00A40661" w:rsidRPr="007D3FD2" w:rsidRDefault="00A40661" w:rsidP="00731500">
            <w:pPr>
              <w:spacing w:line="360" w:lineRule="auto"/>
              <w:jc w:val="center"/>
              <w:rPr>
                <w:rFonts w:ascii="Times New Roman" w:hAnsi="Times New Roman" w:cs="Times New Roman"/>
                <w:sz w:val="24"/>
                <w:szCs w:val="24"/>
              </w:rPr>
            </w:pPr>
          </w:p>
        </w:tc>
        <w:tc>
          <w:tcPr>
            <w:tcW w:w="960" w:type="dxa"/>
            <w:tcBorders>
              <w:top w:val="single" w:sz="4" w:space="0" w:color="auto"/>
              <w:bottom w:val="nil"/>
            </w:tcBorders>
            <w:noWrap/>
            <w:vAlign w:val="center"/>
            <w:hideMark/>
          </w:tcPr>
          <w:p w14:paraId="31D1851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5.05</w:t>
            </w:r>
          </w:p>
        </w:tc>
        <w:tc>
          <w:tcPr>
            <w:tcW w:w="960" w:type="dxa"/>
            <w:tcBorders>
              <w:top w:val="single" w:sz="4" w:space="0" w:color="auto"/>
              <w:bottom w:val="nil"/>
            </w:tcBorders>
            <w:noWrap/>
            <w:vAlign w:val="center"/>
            <w:hideMark/>
          </w:tcPr>
          <w:p w14:paraId="4DECB4E7"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0.000</w:t>
            </w:r>
          </w:p>
        </w:tc>
      </w:tr>
      <w:tr w:rsidR="007D3FD2" w:rsidRPr="007D3FD2" w14:paraId="32DFBC2B" w14:textId="77777777" w:rsidTr="00731500">
        <w:trPr>
          <w:trHeight w:val="290"/>
        </w:trPr>
        <w:tc>
          <w:tcPr>
            <w:tcW w:w="2923" w:type="dxa"/>
            <w:tcBorders>
              <w:top w:val="nil"/>
              <w:bottom w:val="nil"/>
            </w:tcBorders>
            <w:noWrap/>
            <w:vAlign w:val="center"/>
            <w:hideMark/>
          </w:tcPr>
          <w:p w14:paraId="41F4FCFA"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Thematic Frames of Information</w:t>
            </w:r>
          </w:p>
        </w:tc>
        <w:tc>
          <w:tcPr>
            <w:tcW w:w="972" w:type="dxa"/>
            <w:noWrap/>
            <w:vAlign w:val="center"/>
            <w:hideMark/>
          </w:tcPr>
          <w:p w14:paraId="6E99E280"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0.120</w:t>
            </w:r>
          </w:p>
        </w:tc>
        <w:tc>
          <w:tcPr>
            <w:tcW w:w="1608" w:type="dxa"/>
            <w:noWrap/>
            <w:vAlign w:val="center"/>
            <w:hideMark/>
          </w:tcPr>
          <w:p w14:paraId="209346FB"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0.056</w:t>
            </w:r>
          </w:p>
        </w:tc>
        <w:tc>
          <w:tcPr>
            <w:tcW w:w="1577" w:type="dxa"/>
            <w:noWrap/>
            <w:vAlign w:val="center"/>
            <w:hideMark/>
          </w:tcPr>
          <w:p w14:paraId="4D16D609"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0.134</w:t>
            </w:r>
          </w:p>
        </w:tc>
        <w:tc>
          <w:tcPr>
            <w:tcW w:w="960" w:type="dxa"/>
            <w:noWrap/>
            <w:vAlign w:val="center"/>
            <w:hideMark/>
          </w:tcPr>
          <w:p w14:paraId="001E02B9"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2.14</w:t>
            </w:r>
          </w:p>
        </w:tc>
        <w:tc>
          <w:tcPr>
            <w:tcW w:w="960" w:type="dxa"/>
            <w:noWrap/>
            <w:vAlign w:val="center"/>
            <w:hideMark/>
          </w:tcPr>
          <w:p w14:paraId="1A5B1274"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0.035</w:t>
            </w:r>
          </w:p>
        </w:tc>
      </w:tr>
      <w:tr w:rsidR="007D3FD2" w:rsidRPr="007D3FD2" w14:paraId="6234FDB2" w14:textId="77777777" w:rsidTr="00731500">
        <w:trPr>
          <w:trHeight w:val="290"/>
        </w:trPr>
        <w:tc>
          <w:tcPr>
            <w:tcW w:w="2923" w:type="dxa"/>
            <w:tcBorders>
              <w:top w:val="nil"/>
              <w:bottom w:val="nil"/>
            </w:tcBorders>
            <w:noWrap/>
            <w:vAlign w:val="center"/>
            <w:hideMark/>
          </w:tcPr>
          <w:p w14:paraId="4C427F2A"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Frequency of Campaign Rallies</w:t>
            </w:r>
          </w:p>
        </w:tc>
        <w:tc>
          <w:tcPr>
            <w:tcW w:w="972" w:type="dxa"/>
            <w:noWrap/>
            <w:vAlign w:val="center"/>
            <w:hideMark/>
          </w:tcPr>
          <w:p w14:paraId="2E154D7E"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0.199</w:t>
            </w:r>
          </w:p>
        </w:tc>
        <w:tc>
          <w:tcPr>
            <w:tcW w:w="1608" w:type="dxa"/>
            <w:noWrap/>
            <w:vAlign w:val="center"/>
            <w:hideMark/>
          </w:tcPr>
          <w:p w14:paraId="024AAF72"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0.070</w:t>
            </w:r>
          </w:p>
        </w:tc>
        <w:tc>
          <w:tcPr>
            <w:tcW w:w="1577" w:type="dxa"/>
            <w:noWrap/>
            <w:vAlign w:val="center"/>
            <w:hideMark/>
          </w:tcPr>
          <w:p w14:paraId="063965A2"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0.199</w:t>
            </w:r>
          </w:p>
        </w:tc>
        <w:tc>
          <w:tcPr>
            <w:tcW w:w="960" w:type="dxa"/>
            <w:noWrap/>
            <w:vAlign w:val="center"/>
            <w:hideMark/>
          </w:tcPr>
          <w:p w14:paraId="62FCBAB0"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2.84</w:t>
            </w:r>
          </w:p>
        </w:tc>
        <w:tc>
          <w:tcPr>
            <w:tcW w:w="960" w:type="dxa"/>
            <w:noWrap/>
            <w:vAlign w:val="center"/>
            <w:hideMark/>
          </w:tcPr>
          <w:p w14:paraId="1492E3AC"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0.005</w:t>
            </w:r>
          </w:p>
        </w:tc>
      </w:tr>
      <w:tr w:rsidR="007D3FD2" w:rsidRPr="007D3FD2" w14:paraId="66531A67" w14:textId="77777777" w:rsidTr="00731500">
        <w:trPr>
          <w:trHeight w:val="290"/>
        </w:trPr>
        <w:tc>
          <w:tcPr>
            <w:tcW w:w="2923" w:type="dxa"/>
            <w:tcBorders>
              <w:top w:val="nil"/>
              <w:bottom w:val="single" w:sz="4" w:space="0" w:color="auto"/>
            </w:tcBorders>
            <w:noWrap/>
            <w:vAlign w:val="center"/>
            <w:hideMark/>
          </w:tcPr>
          <w:p w14:paraId="25F5890E" w14:textId="77777777" w:rsidR="00A40661" w:rsidRPr="007D3FD2" w:rsidRDefault="00A40661" w:rsidP="00731500">
            <w:pPr>
              <w:spacing w:line="360" w:lineRule="auto"/>
              <w:rPr>
                <w:rFonts w:ascii="Times New Roman" w:hAnsi="Times New Roman" w:cs="Times New Roman"/>
                <w:sz w:val="24"/>
                <w:szCs w:val="24"/>
              </w:rPr>
            </w:pPr>
            <w:r w:rsidRPr="007D3FD2">
              <w:rPr>
                <w:rFonts w:ascii="Times New Roman" w:hAnsi="Times New Roman" w:cs="Times New Roman"/>
                <w:sz w:val="24"/>
                <w:szCs w:val="24"/>
              </w:rPr>
              <w:t>Frequency of Campaign Debates</w:t>
            </w:r>
          </w:p>
        </w:tc>
        <w:tc>
          <w:tcPr>
            <w:tcW w:w="972" w:type="dxa"/>
            <w:noWrap/>
            <w:vAlign w:val="center"/>
            <w:hideMark/>
          </w:tcPr>
          <w:p w14:paraId="5797AD6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0.455</w:t>
            </w:r>
          </w:p>
        </w:tc>
        <w:tc>
          <w:tcPr>
            <w:tcW w:w="1608" w:type="dxa"/>
            <w:noWrap/>
            <w:vAlign w:val="center"/>
            <w:hideMark/>
          </w:tcPr>
          <w:p w14:paraId="70E562DF"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0.064</w:t>
            </w:r>
          </w:p>
        </w:tc>
        <w:tc>
          <w:tcPr>
            <w:tcW w:w="1577" w:type="dxa"/>
            <w:noWrap/>
            <w:vAlign w:val="center"/>
            <w:hideMark/>
          </w:tcPr>
          <w:p w14:paraId="2B0F0644"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0.445</w:t>
            </w:r>
          </w:p>
        </w:tc>
        <w:tc>
          <w:tcPr>
            <w:tcW w:w="960" w:type="dxa"/>
            <w:noWrap/>
            <w:vAlign w:val="center"/>
            <w:hideMark/>
          </w:tcPr>
          <w:p w14:paraId="7A701EEA"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7.11</w:t>
            </w:r>
          </w:p>
        </w:tc>
        <w:tc>
          <w:tcPr>
            <w:tcW w:w="960" w:type="dxa"/>
            <w:noWrap/>
            <w:vAlign w:val="center"/>
            <w:hideMark/>
          </w:tcPr>
          <w:p w14:paraId="3A5EEA66" w14:textId="77777777" w:rsidR="00A40661" w:rsidRPr="007D3FD2" w:rsidRDefault="00A40661" w:rsidP="00731500">
            <w:pPr>
              <w:spacing w:line="360" w:lineRule="auto"/>
              <w:jc w:val="center"/>
              <w:rPr>
                <w:rFonts w:ascii="Times New Roman" w:hAnsi="Times New Roman" w:cs="Times New Roman"/>
                <w:sz w:val="24"/>
                <w:szCs w:val="24"/>
              </w:rPr>
            </w:pPr>
            <w:r w:rsidRPr="007D3FD2">
              <w:rPr>
                <w:rFonts w:ascii="Times New Roman" w:hAnsi="Times New Roman" w:cs="Times New Roman"/>
                <w:sz w:val="24"/>
                <w:szCs w:val="24"/>
              </w:rPr>
              <w:t>0.000</w:t>
            </w:r>
          </w:p>
        </w:tc>
      </w:tr>
    </w:tbl>
    <w:p w14:paraId="39678788" w14:textId="77777777" w:rsidR="00511CEE" w:rsidRPr="007D3FD2" w:rsidRDefault="00511CEE" w:rsidP="00511CEE">
      <w:pPr>
        <w:pStyle w:val="NormalWeb"/>
        <w:spacing w:line="360" w:lineRule="auto"/>
      </w:pPr>
      <w:r w:rsidRPr="007D3FD2">
        <w:t xml:space="preserve">The results in Table 3 of the regression coefficient showed the constant (intercept) of 0.851 (t = 5.07, p &lt; 0.001). This showed the predicted value of audience attitudes when all predictors are zero. The results also demonstrated that thematic frames of information had the least positive effect on audience attitudes as compared to the rest </w:t>
      </w:r>
      <w:r w:rsidR="00A40661" w:rsidRPr="007D3FD2">
        <w:t xml:space="preserve">(B = 0.120, β = 0.134, t = 2.14, p = 0.035). </w:t>
      </w:r>
    </w:p>
    <w:p w14:paraId="555AA9EE" w14:textId="7AB2E7E4" w:rsidR="00C80B04" w:rsidRPr="007D3FD2" w:rsidRDefault="00511CEE" w:rsidP="00511CEE">
      <w:pPr>
        <w:pStyle w:val="NormalWeb"/>
        <w:spacing w:line="360" w:lineRule="auto"/>
      </w:pPr>
      <w:r w:rsidRPr="007D3FD2">
        <w:t xml:space="preserve">Additionally, the </w:t>
      </w:r>
      <w:r w:rsidR="00A40661" w:rsidRPr="007D3FD2">
        <w:t xml:space="preserve">frequency of campaign rallies </w:t>
      </w:r>
      <w:r w:rsidRPr="007D3FD2">
        <w:t xml:space="preserve">positively </w:t>
      </w:r>
      <w:r w:rsidR="00A40661" w:rsidRPr="007D3FD2">
        <w:t>predicted audience attitudes</w:t>
      </w:r>
      <w:r w:rsidRPr="007D3FD2">
        <w:t>,</w:t>
      </w:r>
      <w:r w:rsidR="00A40661" w:rsidRPr="007D3FD2">
        <w:t xml:space="preserve"> </w:t>
      </w:r>
      <w:r w:rsidRPr="007D3FD2">
        <w:t xml:space="preserve">considering the </w:t>
      </w:r>
      <w:r w:rsidR="00A40661" w:rsidRPr="007D3FD2">
        <w:t xml:space="preserve">regression coefficient of B = 0.199 (β = 0.199, t = 2.84, p = 0.005). This </w:t>
      </w:r>
      <w:r w:rsidRPr="007D3FD2">
        <w:t xml:space="preserve">revealed that frequent rallies </w:t>
      </w:r>
      <w:r w:rsidR="00C80B04" w:rsidRPr="007D3FD2">
        <w:t xml:space="preserve">promoted by the X influencers boosted </w:t>
      </w:r>
      <w:r w:rsidR="00A40661" w:rsidRPr="007D3FD2">
        <w:t>awareness, engagement, and positive evaluations of candidates. F</w:t>
      </w:r>
      <w:r w:rsidR="00C80B04" w:rsidRPr="007D3FD2">
        <w:t>urthermore</w:t>
      </w:r>
      <w:r w:rsidR="00A40661" w:rsidRPr="007D3FD2">
        <w:t xml:space="preserve">, the frequency of campaign debates </w:t>
      </w:r>
      <w:r w:rsidR="00C80B04" w:rsidRPr="007D3FD2">
        <w:t>had the</w:t>
      </w:r>
      <w:r w:rsidR="00A40661" w:rsidRPr="007D3FD2">
        <w:t xml:space="preserve"> strongest positive effect on audience attitudes</w:t>
      </w:r>
      <w:r w:rsidR="00C80B04" w:rsidRPr="007D3FD2">
        <w:t xml:space="preserve"> (</w:t>
      </w:r>
      <w:r w:rsidR="00A40661" w:rsidRPr="007D3FD2">
        <w:t xml:space="preserve">B = 0.455 (β = 0.445, t = 7.11, p &lt; 0.001). </w:t>
      </w:r>
      <w:r w:rsidR="00C80B04" w:rsidRPr="007D3FD2">
        <w:t xml:space="preserve">This showed that the debates that the X influencers mediated and amplified were most influential in shaping the audience's perception of the candidates. </w:t>
      </w:r>
    </w:p>
    <w:p w14:paraId="40B2ACFB" w14:textId="3F82F854" w:rsidR="00A40661" w:rsidRPr="007D3FD2" w:rsidRDefault="00C80B04" w:rsidP="00511CEE">
      <w:pPr>
        <w:pStyle w:val="NormalWeb"/>
        <w:spacing w:line="360" w:lineRule="auto"/>
        <w:rPr>
          <w:b/>
          <w:bCs/>
        </w:rPr>
      </w:pPr>
      <w:r w:rsidRPr="007D3FD2">
        <w:t xml:space="preserve"> </w:t>
      </w:r>
      <w:r w:rsidRPr="007D3FD2">
        <w:rPr>
          <w:b/>
          <w:bCs/>
        </w:rPr>
        <w:t xml:space="preserve">DISCUSSION </w:t>
      </w:r>
    </w:p>
    <w:p w14:paraId="145ABDEB" w14:textId="77777777" w:rsidR="00844779" w:rsidRPr="007D3FD2" w:rsidRDefault="00844779" w:rsidP="00844779">
      <w:pPr>
        <w:pStyle w:val="NormalWeb"/>
        <w:spacing w:line="360" w:lineRule="auto"/>
        <w:jc w:val="both"/>
      </w:pPr>
      <w:r w:rsidRPr="007D3FD2">
        <w:t xml:space="preserve">The quantitative results revealed strong correlations between influencer activities and audience attitudes, with campaign rally posts (r = 0.557, p &lt; 0.001) and debate posts (r = 0.620, p &lt; 0.001) showing significant associations. Regression analysis further confirmed that debate posts were the most influential predictor (B = 0.455, p &lt; 0.001), explaining 40.9% of the variation in attitudes (R² = 0.409). These findings align with Social Influence Theory (Kelman, 1958), which posits that influencers persuade through identification and internalization. The high engagement with debate posts suggests that followers identified with influencers’ </w:t>
      </w:r>
      <w:r w:rsidRPr="007D3FD2">
        <w:lastRenderedPageBreak/>
        <w:t>credible, policy-focused content, internalizing positive attitudes toward endorsed candidates. This is supported by qualitative data, where Pauline Njoroge emphasized sharing verified debate schedules to build trust, resonating with 72.72% of respondents who valued accurate election updates.</w:t>
      </w:r>
    </w:p>
    <w:p w14:paraId="7834A407" w14:textId="77777777" w:rsidR="00844779" w:rsidRPr="007D3FD2" w:rsidRDefault="00844779" w:rsidP="00844779">
      <w:pPr>
        <w:pStyle w:val="NormalWeb"/>
        <w:spacing w:line="360" w:lineRule="auto"/>
        <w:jc w:val="both"/>
      </w:pPr>
      <w:r w:rsidRPr="007D3FD2">
        <w:t xml:space="preserve">The qualitative themes of grassroots mobilization and relatable messaging explain how influencers achieved this impact. Dennis Itumbi’s #HustlerNation narrative, targeting boda </w:t>
      </w:r>
      <w:proofErr w:type="spellStart"/>
      <w:r w:rsidRPr="007D3FD2">
        <w:t>boda</w:t>
      </w:r>
      <w:proofErr w:type="spellEnd"/>
      <w:r w:rsidRPr="007D3FD2">
        <w:t xml:space="preserve"> riders and small business owners, fostered emotional connections, as 63.34% of respondents prioritized voting for preferred candidates. This aligns with Framing Theory (</w:t>
      </w:r>
      <w:proofErr w:type="spellStart"/>
      <w:r w:rsidRPr="007D3FD2">
        <w:t>Entman</w:t>
      </w:r>
      <w:proofErr w:type="spellEnd"/>
      <w:r w:rsidRPr="007D3FD2">
        <w:t xml:space="preserve">, 1993), which suggests that framing issues like economic empowerment in relatable terms shapes audience perceptions. Similarly, </w:t>
      </w:r>
      <w:proofErr w:type="spellStart"/>
      <w:r w:rsidRPr="007D3FD2">
        <w:t>Jaymo</w:t>
      </w:r>
      <w:proofErr w:type="spellEnd"/>
      <w:r w:rsidRPr="007D3FD2">
        <w:t xml:space="preserve"> Ule Msee’s humorous “Ganja Nation” skits made policy proposals accessible, particularly to the 46.6% of under-25 respondents, demonstrating the effectiveness of culturally resonant messaging. Kenneth Karanja’s #NoCorruptionKE campaign appealed to integrity-focused voters, reinforcing the role of trust in social influence (Kelman, 1958).</w:t>
      </w:r>
    </w:p>
    <w:p w14:paraId="31698B4A" w14:textId="1685A193" w:rsidR="008A0ACA" w:rsidRPr="007D3FD2" w:rsidRDefault="00844779" w:rsidP="00844779">
      <w:pPr>
        <w:pStyle w:val="NormalWeb"/>
        <w:spacing w:line="360" w:lineRule="auto"/>
        <w:jc w:val="both"/>
      </w:pPr>
      <w:r w:rsidRPr="007D3FD2">
        <w:t>The modest impact of thematic framing (B = 0.043, p = 0.038) compared to event-based posts suggests that immediate, visible campaign activities were more persuasive than narrative-driven content. This is consistent with Agenda-Setting Theory (McCombs &amp; Shaw, 1972), as influencers prioritized debates and rallies, making them salient in voters’ minds. The strong correlation with debates (r = 0.620) echoes Hopmann et al. (2018), who found that policy-focused discourse enhances audience engagement in multiparty systems.</w:t>
      </w:r>
    </w:p>
    <w:p w14:paraId="52660B66" w14:textId="7CF59692" w:rsidR="00C80B04" w:rsidRPr="007D3FD2" w:rsidRDefault="008A0ACA" w:rsidP="00511CEE">
      <w:pPr>
        <w:pStyle w:val="NormalWeb"/>
        <w:spacing w:line="360" w:lineRule="auto"/>
      </w:pPr>
      <w:r w:rsidRPr="007D3FD2">
        <w:t xml:space="preserve">CONCLUSION </w:t>
      </w:r>
    </w:p>
    <w:p w14:paraId="04BD582C" w14:textId="5222DE7E" w:rsidR="00844779" w:rsidRPr="007D3FD2" w:rsidRDefault="007D3FD2" w:rsidP="007D3FD2">
      <w:pPr>
        <w:pStyle w:val="NormalWeb"/>
        <w:spacing w:line="360" w:lineRule="auto"/>
        <w:jc w:val="both"/>
      </w:pPr>
      <w:r w:rsidRPr="007D3FD2">
        <w:t xml:space="preserve">The study concluded that media coverage, as mediated by X influencers, played a critical, though moderately effective, role in framing key campaign issues. They contributed to agenda-setting and voter interpretation of campaign messages. Their influence was mediated by the perceptions of audiences, contextual factors, and competing narratives, which resulted in a differentiated impact instead of consensus-building. Besides, the X influencers reinforced campaign rallies through social media promotion and engagement of grassroots collaboration. This made them increasingly effective in voter outreach agenda communication, and trust building. Additionally, the political engagement among voters during the 2022 general election in Kenya was largely issue-based and candidate-focused. In particular, the social media and </w:t>
      </w:r>
      <w:r w:rsidRPr="007D3FD2">
        <w:lastRenderedPageBreak/>
        <w:t xml:space="preserve">digital debates facilitated advocacy and engagement with voters, even though the participation levels of individuals varied considerably. </w:t>
      </w:r>
    </w:p>
    <w:p w14:paraId="0366B27D" w14:textId="7AC7F525" w:rsidR="00844779" w:rsidRPr="007D3FD2" w:rsidRDefault="00844779" w:rsidP="00511CEE">
      <w:pPr>
        <w:pStyle w:val="NormalWeb"/>
        <w:spacing w:line="360" w:lineRule="auto"/>
      </w:pPr>
      <w:r w:rsidRPr="007D3FD2">
        <w:t xml:space="preserve">CONTRIBUTION TO KNOWLEDGE </w:t>
      </w:r>
    </w:p>
    <w:p w14:paraId="7A7FE50B" w14:textId="58AD2DBE" w:rsidR="00844779" w:rsidRPr="007D3FD2" w:rsidRDefault="00844779" w:rsidP="00844779">
      <w:pPr>
        <w:pStyle w:val="NormalWeb"/>
        <w:spacing w:line="360" w:lineRule="auto"/>
        <w:jc w:val="both"/>
      </w:pPr>
      <w:r w:rsidRPr="007D3FD2">
        <w:t>This study is a contribution to knowledge regarding digital media studies, electoral studies, and political communication. The study was instructive in highlighting the complex interplay between influencer messaging, audience reception, and local sociopolitical dynamics.</w:t>
      </w:r>
    </w:p>
    <w:p w14:paraId="079449BB" w14:textId="64E86C0F" w:rsidR="00844779" w:rsidRPr="007D3FD2" w:rsidRDefault="00FB155C" w:rsidP="00844779">
      <w:pPr>
        <w:pStyle w:val="NormalWeb"/>
        <w:spacing w:line="360" w:lineRule="auto"/>
        <w:jc w:val="both"/>
      </w:pPr>
      <w:r w:rsidRPr="007D3FD2">
        <w:t>The findings of the study also provided insight into how coordinated digital and on-the-ground strategies shaped political perceptions, enhanced legitimacy, and fostered more effective voter outreach. Therefore, the study extended the electoral engagement in an African context, and specifically, Kenya.</w:t>
      </w:r>
    </w:p>
    <w:p w14:paraId="64671689" w14:textId="52FF6285" w:rsidR="00FB155C" w:rsidRPr="007D3FD2" w:rsidRDefault="007D3FD2" w:rsidP="00844779">
      <w:pPr>
        <w:pStyle w:val="NormalWeb"/>
        <w:spacing w:line="360" w:lineRule="auto"/>
        <w:jc w:val="both"/>
      </w:pPr>
      <w:r w:rsidRPr="007D3FD2">
        <w:t>Furthermore, the study extended empirical evidence on the effect of debates in digitally networked African elections. The findings demonstrated that social media facilitates more participatory, informed, and issue-oriented electoral engagement.</w:t>
      </w:r>
    </w:p>
    <w:p w14:paraId="7B7936AD" w14:textId="1D57BE50" w:rsidR="008A0ACA" w:rsidRPr="00744A66" w:rsidRDefault="007D3FD2" w:rsidP="00511CEE">
      <w:pPr>
        <w:pStyle w:val="NormalWeb"/>
        <w:spacing w:line="360" w:lineRule="auto"/>
        <w:rPr>
          <w:b/>
          <w:bCs/>
        </w:rPr>
      </w:pPr>
      <w:r w:rsidRPr="00744A66">
        <w:rPr>
          <w:b/>
          <w:bCs/>
        </w:rPr>
        <w:t xml:space="preserve">REFERENCES </w:t>
      </w:r>
    </w:p>
    <w:p w14:paraId="7073AD4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Asghar, M., et al. (2019). US presidential elections 2016: A comparative study of media coverage of CNN and FOX news. </w:t>
      </w:r>
      <w:r w:rsidRPr="006F4D16">
        <w:rPr>
          <w:rFonts w:ascii="Times New Roman" w:hAnsi="Times New Roman" w:cs="Times New Roman"/>
          <w:i/>
          <w:iCs/>
        </w:rPr>
        <w:t>Media Watch, 10</w:t>
      </w:r>
      <w:r w:rsidRPr="006F4D16">
        <w:rPr>
          <w:rFonts w:ascii="Times New Roman" w:hAnsi="Times New Roman" w:cs="Times New Roman"/>
        </w:rPr>
        <w:t xml:space="preserve">(3), 675–689. </w:t>
      </w:r>
      <w:hyperlink r:id="rId7" w:tgtFrame="_blank" w:history="1">
        <w:r w:rsidRPr="006F4D16">
          <w:rPr>
            <w:rStyle w:val="Hyperlink"/>
            <w:rFonts w:ascii="Times New Roman" w:hAnsi="Times New Roman" w:cs="Times New Roman"/>
          </w:rPr>
          <w:t>https://mediawatchjournal.in/index.php/mw/article/view/675</w:t>
        </w:r>
      </w:hyperlink>
    </w:p>
    <w:p w14:paraId="47177828"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BBC News. (2023). Nigeria elections 2023: How influencers are secretly paid by political parties. Retrieved from </w:t>
      </w:r>
      <w:hyperlink r:id="rId8" w:tgtFrame="_blank" w:history="1">
        <w:r w:rsidRPr="006F4D16">
          <w:rPr>
            <w:rStyle w:val="Hyperlink"/>
            <w:rFonts w:ascii="Times New Roman" w:hAnsi="Times New Roman" w:cs="Times New Roman"/>
          </w:rPr>
          <w:t>https://www.bbc.com/news/world-africa-63719505</w:t>
        </w:r>
      </w:hyperlink>
    </w:p>
    <w:p w14:paraId="6A697FE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Braun, V., &amp; Clarke, V. (2006). Using thematic analysis in psychology. </w:t>
      </w:r>
      <w:r w:rsidRPr="006F4D16">
        <w:rPr>
          <w:rFonts w:ascii="Times New Roman" w:hAnsi="Times New Roman" w:cs="Times New Roman"/>
          <w:i/>
          <w:iCs/>
        </w:rPr>
        <w:t>Qualitative Research in Psychology, 3</w:t>
      </w:r>
      <w:r w:rsidRPr="006F4D16">
        <w:rPr>
          <w:rFonts w:ascii="Times New Roman" w:hAnsi="Times New Roman" w:cs="Times New Roman"/>
        </w:rPr>
        <w:t xml:space="preserve">(2), 77–101. </w:t>
      </w:r>
      <w:hyperlink r:id="rId9" w:tgtFrame="_blank" w:history="1">
        <w:r w:rsidRPr="006F4D16">
          <w:rPr>
            <w:rStyle w:val="Hyperlink"/>
            <w:rFonts w:ascii="Times New Roman" w:hAnsi="Times New Roman" w:cs="Times New Roman"/>
          </w:rPr>
          <w:t>https://doi.org/10.1191/1478088706qp063oa</w:t>
        </w:r>
      </w:hyperlink>
    </w:p>
    <w:p w14:paraId="6C5BC369" w14:textId="77777777" w:rsidR="00744A66" w:rsidRPr="006F4D16" w:rsidRDefault="00744A66" w:rsidP="00744A66">
      <w:pPr>
        <w:jc w:val="both"/>
        <w:rPr>
          <w:rFonts w:ascii="Times New Roman" w:hAnsi="Times New Roman" w:cs="Times New Roman"/>
        </w:rPr>
      </w:pPr>
      <w:proofErr w:type="spellStart"/>
      <w:r w:rsidRPr="006F4D16">
        <w:rPr>
          <w:rFonts w:ascii="Times New Roman" w:hAnsi="Times New Roman" w:cs="Times New Roman"/>
        </w:rPr>
        <w:t>Chakravartty</w:t>
      </w:r>
      <w:proofErr w:type="spellEnd"/>
      <w:r w:rsidRPr="006F4D16">
        <w:rPr>
          <w:rFonts w:ascii="Times New Roman" w:hAnsi="Times New Roman" w:cs="Times New Roman"/>
        </w:rPr>
        <w:t xml:space="preserve">, P., &amp; Roy, S. (2015). Media pluralism redux: Towards new frameworks of comparative media studies “beyond the West.” </w:t>
      </w:r>
      <w:r w:rsidRPr="006F4D16">
        <w:rPr>
          <w:rFonts w:ascii="Times New Roman" w:hAnsi="Times New Roman" w:cs="Times New Roman"/>
          <w:i/>
          <w:iCs/>
        </w:rPr>
        <w:t>Political Communication, 32</w:t>
      </w:r>
      <w:r w:rsidRPr="006F4D16">
        <w:rPr>
          <w:rFonts w:ascii="Times New Roman" w:hAnsi="Times New Roman" w:cs="Times New Roman"/>
        </w:rPr>
        <w:t xml:space="preserve">(3), 349–370. </w:t>
      </w:r>
      <w:hyperlink r:id="rId10" w:tgtFrame="_blank" w:history="1">
        <w:r w:rsidRPr="006F4D16">
          <w:rPr>
            <w:rStyle w:val="Hyperlink"/>
            <w:rFonts w:ascii="Times New Roman" w:hAnsi="Times New Roman" w:cs="Times New Roman"/>
          </w:rPr>
          <w:t>https://doi.org/10.1080/10584609.2014.963144</w:t>
        </w:r>
      </w:hyperlink>
    </w:p>
    <w:p w14:paraId="176489D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Cheeseman, N., </w:t>
      </w:r>
      <w:proofErr w:type="spellStart"/>
      <w:r w:rsidRPr="006F4D16">
        <w:rPr>
          <w:rFonts w:ascii="Times New Roman" w:hAnsi="Times New Roman" w:cs="Times New Roman"/>
        </w:rPr>
        <w:t>Kanyinga</w:t>
      </w:r>
      <w:proofErr w:type="spellEnd"/>
      <w:r w:rsidRPr="006F4D16">
        <w:rPr>
          <w:rFonts w:ascii="Times New Roman" w:hAnsi="Times New Roman" w:cs="Times New Roman"/>
        </w:rPr>
        <w:t xml:space="preserve">, K., &amp; Lynch, G. (2024). Has Kenya democratized? Institutional strengthening and contingency in the 2022 general elections. </w:t>
      </w:r>
      <w:r w:rsidRPr="006F4D16">
        <w:rPr>
          <w:rFonts w:ascii="Times New Roman" w:hAnsi="Times New Roman" w:cs="Times New Roman"/>
          <w:i/>
          <w:iCs/>
        </w:rPr>
        <w:t>Journal of Eastern African Studies, 18</w:t>
      </w:r>
      <w:r w:rsidRPr="006F4D16">
        <w:rPr>
          <w:rFonts w:ascii="Times New Roman" w:hAnsi="Times New Roman" w:cs="Times New Roman"/>
        </w:rPr>
        <w:t xml:space="preserve">(1), 1–20. </w:t>
      </w:r>
      <w:hyperlink r:id="rId11" w:tgtFrame="_blank" w:history="1">
        <w:r w:rsidRPr="006F4D16">
          <w:rPr>
            <w:rStyle w:val="Hyperlink"/>
            <w:rFonts w:ascii="Times New Roman" w:hAnsi="Times New Roman" w:cs="Times New Roman"/>
          </w:rPr>
          <w:t>https://doi.org/10.1080/17531055.2024.2316145</w:t>
        </w:r>
      </w:hyperlink>
    </w:p>
    <w:p w14:paraId="07087F6F"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Creswell, J. W., &amp; Creswell, J. D. (2018). </w:t>
      </w:r>
      <w:r w:rsidRPr="006F4D16">
        <w:rPr>
          <w:rFonts w:ascii="Times New Roman" w:hAnsi="Times New Roman" w:cs="Times New Roman"/>
          <w:i/>
          <w:iCs/>
        </w:rPr>
        <w:t xml:space="preserve">Research design: Qualitative, quantitative, and mixed methods </w:t>
      </w:r>
      <w:proofErr w:type="gramStart"/>
      <w:r w:rsidRPr="006F4D16">
        <w:rPr>
          <w:rFonts w:ascii="Times New Roman" w:hAnsi="Times New Roman" w:cs="Times New Roman"/>
          <w:i/>
          <w:iCs/>
        </w:rPr>
        <w:t>approaches</w:t>
      </w:r>
      <w:proofErr w:type="gramEnd"/>
      <w:r w:rsidRPr="006F4D16">
        <w:rPr>
          <w:rFonts w:ascii="Times New Roman" w:hAnsi="Times New Roman" w:cs="Times New Roman"/>
        </w:rPr>
        <w:t xml:space="preserve"> (5th ed.). SAGE Publications.</w:t>
      </w:r>
    </w:p>
    <w:p w14:paraId="36736927" w14:textId="77777777" w:rsidR="00744A66" w:rsidRPr="006F4D16" w:rsidRDefault="00744A66" w:rsidP="00744A66">
      <w:pPr>
        <w:jc w:val="both"/>
        <w:rPr>
          <w:rFonts w:ascii="Times New Roman" w:hAnsi="Times New Roman" w:cs="Times New Roman"/>
        </w:rPr>
      </w:pPr>
      <w:proofErr w:type="spellStart"/>
      <w:r w:rsidRPr="006F4D16">
        <w:rPr>
          <w:rFonts w:ascii="Times New Roman" w:hAnsi="Times New Roman" w:cs="Times New Roman"/>
        </w:rPr>
        <w:t>Entman</w:t>
      </w:r>
      <w:proofErr w:type="spellEnd"/>
      <w:r w:rsidRPr="006F4D16">
        <w:rPr>
          <w:rFonts w:ascii="Times New Roman" w:hAnsi="Times New Roman" w:cs="Times New Roman"/>
        </w:rPr>
        <w:t xml:space="preserve">, R. M. (1993). Framing: Toward clarification of a fractured paradigm. </w:t>
      </w:r>
      <w:r w:rsidRPr="006F4D16">
        <w:rPr>
          <w:rFonts w:ascii="Times New Roman" w:hAnsi="Times New Roman" w:cs="Times New Roman"/>
          <w:i/>
          <w:iCs/>
        </w:rPr>
        <w:t>Journal of Communication, 43</w:t>
      </w:r>
      <w:r w:rsidRPr="006F4D16">
        <w:rPr>
          <w:rFonts w:ascii="Times New Roman" w:hAnsi="Times New Roman" w:cs="Times New Roman"/>
        </w:rPr>
        <w:t xml:space="preserve">(4), 51–58. </w:t>
      </w:r>
      <w:hyperlink r:id="rId12" w:tgtFrame="_blank" w:history="1">
        <w:r w:rsidRPr="006F4D16">
          <w:rPr>
            <w:rStyle w:val="Hyperlink"/>
            <w:rFonts w:ascii="Times New Roman" w:hAnsi="Times New Roman" w:cs="Times New Roman"/>
          </w:rPr>
          <w:t>https://doi.org/10.1111/j.1460-2466.1993.tb01304.x</w:t>
        </w:r>
      </w:hyperlink>
    </w:p>
    <w:p w14:paraId="0495D237"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lastRenderedPageBreak/>
        <w:t xml:space="preserve">Ferrara, E., Varol, O., Davis, C., Menczer, F., &amp; Flammini, A. (2016). The rise of social bots. </w:t>
      </w:r>
      <w:r w:rsidRPr="006F4D16">
        <w:rPr>
          <w:rFonts w:ascii="Times New Roman" w:hAnsi="Times New Roman" w:cs="Times New Roman"/>
          <w:i/>
          <w:iCs/>
        </w:rPr>
        <w:t>Communications of the ACM, 59</w:t>
      </w:r>
      <w:r w:rsidRPr="006F4D16">
        <w:rPr>
          <w:rFonts w:ascii="Times New Roman" w:hAnsi="Times New Roman" w:cs="Times New Roman"/>
        </w:rPr>
        <w:t xml:space="preserve">(7), 96–104. </w:t>
      </w:r>
      <w:hyperlink r:id="rId13" w:tgtFrame="_blank" w:history="1">
        <w:r w:rsidRPr="006F4D16">
          <w:rPr>
            <w:rStyle w:val="Hyperlink"/>
            <w:rFonts w:ascii="Times New Roman" w:hAnsi="Times New Roman" w:cs="Times New Roman"/>
          </w:rPr>
          <w:t>https://doi.org/10.1145/2818717</w:t>
        </w:r>
      </w:hyperlink>
    </w:p>
    <w:p w14:paraId="721A5E70"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Fisher, A. A., Laing, J. E., Stoeckel, J. E., &amp; Townsend, J. W. (1998). </w:t>
      </w:r>
      <w:r w:rsidRPr="006F4D16">
        <w:rPr>
          <w:rFonts w:ascii="Times New Roman" w:hAnsi="Times New Roman" w:cs="Times New Roman"/>
          <w:i/>
          <w:iCs/>
        </w:rPr>
        <w:t>Handbook for family planning operations research design</w:t>
      </w:r>
      <w:r w:rsidRPr="006F4D16">
        <w:rPr>
          <w:rFonts w:ascii="Times New Roman" w:hAnsi="Times New Roman" w:cs="Times New Roman"/>
        </w:rPr>
        <w:t xml:space="preserve"> (2nd ed.). Population Council.</w:t>
      </w:r>
    </w:p>
    <w:p w14:paraId="78A5F1A9"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Gershon, S. A., &amp; Simon, A. F. (2017). Social media influencers and political campaigns: A case study of the 2016 U.S. presidential election. </w:t>
      </w:r>
      <w:r w:rsidRPr="006F4D16">
        <w:rPr>
          <w:rFonts w:ascii="Times New Roman" w:hAnsi="Times New Roman" w:cs="Times New Roman"/>
          <w:i/>
          <w:iCs/>
        </w:rPr>
        <w:t>Information, Communication &amp; Society, 20</w:t>
      </w:r>
      <w:r w:rsidRPr="006F4D16">
        <w:rPr>
          <w:rFonts w:ascii="Times New Roman" w:hAnsi="Times New Roman" w:cs="Times New Roman"/>
        </w:rPr>
        <w:t xml:space="preserve">(9), 1307–1322. </w:t>
      </w:r>
      <w:hyperlink r:id="rId14" w:tgtFrame="_blank" w:history="1">
        <w:r w:rsidRPr="006F4D16">
          <w:rPr>
            <w:rStyle w:val="Hyperlink"/>
            <w:rFonts w:ascii="Times New Roman" w:hAnsi="Times New Roman" w:cs="Times New Roman"/>
          </w:rPr>
          <w:t>https://doi.org/10.1080/1369118X.2017.1302124</w:t>
        </w:r>
      </w:hyperlink>
    </w:p>
    <w:p w14:paraId="1134E4CC"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Global Voices. (2023). How to use social media to win an election: Influencers from Kenya’s 2022 election explain. Retrieved from </w:t>
      </w:r>
      <w:hyperlink r:id="rId15" w:tgtFrame="_blank" w:history="1">
        <w:r w:rsidRPr="006F4D16">
          <w:rPr>
            <w:rStyle w:val="Hyperlink"/>
            <w:rFonts w:ascii="Times New Roman" w:hAnsi="Times New Roman" w:cs="Times New Roman"/>
          </w:rPr>
          <w:t>https://advox.globalvoices.org/2023/11/02/how-to-use-social-media-to-win-an-election-influencers-from-kenyas-2022-election-explain/</w:t>
        </w:r>
      </w:hyperlink>
    </w:p>
    <w:p w14:paraId="10BAE3C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Hopmann, D. N., </w:t>
      </w:r>
      <w:proofErr w:type="spellStart"/>
      <w:r w:rsidRPr="006F4D16">
        <w:rPr>
          <w:rFonts w:ascii="Times New Roman" w:hAnsi="Times New Roman" w:cs="Times New Roman"/>
        </w:rPr>
        <w:t>Vliegenthart</w:t>
      </w:r>
      <w:proofErr w:type="spellEnd"/>
      <w:r w:rsidRPr="006F4D16">
        <w:rPr>
          <w:rFonts w:ascii="Times New Roman" w:hAnsi="Times New Roman" w:cs="Times New Roman"/>
        </w:rPr>
        <w:t xml:space="preserve">, R., &amp; Maier, J. (2018). The effects of televised debates in multiparty systems. </w:t>
      </w:r>
      <w:r w:rsidRPr="006F4D16">
        <w:rPr>
          <w:rFonts w:ascii="Times New Roman" w:hAnsi="Times New Roman" w:cs="Times New Roman"/>
          <w:i/>
          <w:iCs/>
        </w:rPr>
        <w:t>Political Communication, 35</w:t>
      </w:r>
      <w:r w:rsidRPr="006F4D16">
        <w:rPr>
          <w:rFonts w:ascii="Times New Roman" w:hAnsi="Times New Roman" w:cs="Times New Roman"/>
        </w:rPr>
        <w:t xml:space="preserve">(4), 587–607. </w:t>
      </w:r>
      <w:hyperlink r:id="rId16" w:tgtFrame="_blank" w:history="1">
        <w:r w:rsidRPr="006F4D16">
          <w:rPr>
            <w:rStyle w:val="Hyperlink"/>
            <w:rFonts w:ascii="Times New Roman" w:hAnsi="Times New Roman" w:cs="Times New Roman"/>
          </w:rPr>
          <w:t>https://doi.org/10.1080/10584609.2017.1389677</w:t>
        </w:r>
      </w:hyperlink>
    </w:p>
    <w:p w14:paraId="6CC01BD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Institute for Security Studies. (2023). Will social media influence election campaigning in South Africa? Retrieved from </w:t>
      </w:r>
      <w:hyperlink r:id="rId17" w:tgtFrame="_blank" w:history="1">
        <w:r w:rsidRPr="006F4D16">
          <w:rPr>
            <w:rStyle w:val="Hyperlink"/>
            <w:rFonts w:ascii="Times New Roman" w:hAnsi="Times New Roman" w:cs="Times New Roman"/>
          </w:rPr>
          <w:t>https://issafrica.org/iss-today/will-social-media-influence-election-campaigning-in-south-africa</w:t>
        </w:r>
      </w:hyperlink>
    </w:p>
    <w:p w14:paraId="20F8A77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International IDEA. (2023). Are elections and politics in Africa ready to cope with the influence of social media? Retrieved from </w:t>
      </w:r>
      <w:hyperlink r:id="rId18" w:tgtFrame="_blank" w:history="1">
        <w:r w:rsidRPr="006F4D16">
          <w:rPr>
            <w:rStyle w:val="Hyperlink"/>
            <w:rFonts w:ascii="Times New Roman" w:hAnsi="Times New Roman" w:cs="Times New Roman"/>
          </w:rPr>
          <w:t>https://www.idea.int/news/are-elections-and-politics-africa-ready-cope-influence-social-media</w:t>
        </w:r>
      </w:hyperlink>
    </w:p>
    <w:p w14:paraId="719C4B95"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Kelman, H. C. (1958). Compliance, identification, and internalization: Three processes of attitude change. </w:t>
      </w:r>
      <w:r w:rsidRPr="006F4D16">
        <w:rPr>
          <w:rFonts w:ascii="Times New Roman" w:hAnsi="Times New Roman" w:cs="Times New Roman"/>
          <w:i/>
          <w:iCs/>
        </w:rPr>
        <w:t>Journal of Conflict Resolution, 2</w:t>
      </w:r>
      <w:r w:rsidRPr="006F4D16">
        <w:rPr>
          <w:rFonts w:ascii="Times New Roman" w:hAnsi="Times New Roman" w:cs="Times New Roman"/>
        </w:rPr>
        <w:t xml:space="preserve">(1), 51–60. </w:t>
      </w:r>
      <w:hyperlink r:id="rId19" w:tgtFrame="_blank" w:history="1">
        <w:r w:rsidRPr="006F4D16">
          <w:rPr>
            <w:rStyle w:val="Hyperlink"/>
            <w:rFonts w:ascii="Times New Roman" w:hAnsi="Times New Roman" w:cs="Times New Roman"/>
          </w:rPr>
          <w:t>https://doi.org/10.1177/002200275800200106</w:t>
        </w:r>
      </w:hyperlink>
    </w:p>
    <w:p w14:paraId="400FE5FA"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Kimutai, J., &amp; Mutunga, J. (2024). Social media and politics as usual? Exploring the role of social media in the 2022 Kenyan presidential election. </w:t>
      </w:r>
      <w:r w:rsidRPr="006F4D16">
        <w:rPr>
          <w:rFonts w:ascii="Times New Roman" w:hAnsi="Times New Roman" w:cs="Times New Roman"/>
          <w:i/>
          <w:iCs/>
        </w:rPr>
        <w:t>Journal of Eastern African Studies, 18</w:t>
      </w:r>
      <w:r w:rsidRPr="006F4D16">
        <w:rPr>
          <w:rFonts w:ascii="Times New Roman" w:hAnsi="Times New Roman" w:cs="Times New Roman"/>
        </w:rPr>
        <w:t xml:space="preserve">(2), 237–260. </w:t>
      </w:r>
      <w:hyperlink r:id="rId20" w:tgtFrame="_blank" w:history="1">
        <w:r w:rsidRPr="006F4D16">
          <w:rPr>
            <w:rStyle w:val="Hyperlink"/>
            <w:rFonts w:ascii="Times New Roman" w:hAnsi="Times New Roman" w:cs="Times New Roman"/>
          </w:rPr>
          <w:t>https://doi.org/10.1080/17531055.2024.2377403</w:t>
        </w:r>
      </w:hyperlink>
    </w:p>
    <w:p w14:paraId="773D9593"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McCombs, M. E., &amp; Shaw, D. L. (1972). The agenda-setting function of mass media. </w:t>
      </w:r>
      <w:r w:rsidRPr="006F4D16">
        <w:rPr>
          <w:rFonts w:ascii="Times New Roman" w:hAnsi="Times New Roman" w:cs="Times New Roman"/>
          <w:i/>
          <w:iCs/>
        </w:rPr>
        <w:t>Public Opinion Quarterly, 36</w:t>
      </w:r>
      <w:r w:rsidRPr="006F4D16">
        <w:rPr>
          <w:rFonts w:ascii="Times New Roman" w:hAnsi="Times New Roman" w:cs="Times New Roman"/>
        </w:rPr>
        <w:t xml:space="preserve">(2), 176–187. </w:t>
      </w:r>
      <w:hyperlink r:id="rId21" w:tgtFrame="_blank" w:history="1">
        <w:r w:rsidRPr="006F4D16">
          <w:rPr>
            <w:rStyle w:val="Hyperlink"/>
            <w:rFonts w:ascii="Times New Roman" w:hAnsi="Times New Roman" w:cs="Times New Roman"/>
          </w:rPr>
          <w:t>https://doi.org/10.1086/267990</w:t>
        </w:r>
      </w:hyperlink>
    </w:p>
    <w:p w14:paraId="13BFE44D" w14:textId="51710A13" w:rsidR="00744A66" w:rsidRPr="006F4D16" w:rsidRDefault="0035196A" w:rsidP="00744A66">
      <w:pPr>
        <w:jc w:val="both"/>
        <w:rPr>
          <w:rFonts w:ascii="Times New Roman" w:hAnsi="Times New Roman" w:cs="Times New Roman"/>
        </w:rPr>
      </w:pPr>
      <w:r>
        <w:rPr>
          <w:rFonts w:ascii="Times New Roman" w:hAnsi="Times New Roman" w:cs="Times New Roman"/>
        </w:rPr>
        <w:t xml:space="preserve"> </w:t>
      </w:r>
      <w:r w:rsidR="00744A66" w:rsidRPr="006F4D16">
        <w:rPr>
          <w:rFonts w:ascii="Times New Roman" w:hAnsi="Times New Roman" w:cs="Times New Roman"/>
        </w:rPr>
        <w:t xml:space="preserve">PBS News. (2024). How social media influencers are playing a role in the presidential election. Retrieved from </w:t>
      </w:r>
      <w:hyperlink r:id="rId22" w:tgtFrame="_blank" w:history="1">
        <w:r w:rsidR="00744A66" w:rsidRPr="006F4D16">
          <w:rPr>
            <w:rStyle w:val="Hyperlink"/>
            <w:rFonts w:ascii="Times New Roman" w:hAnsi="Times New Roman" w:cs="Times New Roman"/>
          </w:rPr>
          <w:t>https://www.pbs.org/newshour/show/how-social-media-influencers-are-playing-a-role-in-the-presidential-election</w:t>
        </w:r>
      </w:hyperlink>
    </w:p>
    <w:p w14:paraId="5742A011"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Riedl, A., et al. (2023). Political influencers on social media: An introduction. </w:t>
      </w:r>
      <w:proofErr w:type="gramStart"/>
      <w:r w:rsidRPr="006F4D16">
        <w:rPr>
          <w:rFonts w:ascii="Times New Roman" w:hAnsi="Times New Roman" w:cs="Times New Roman"/>
          <w:i/>
          <w:iCs/>
        </w:rPr>
        <w:t>Social Media</w:t>
      </w:r>
      <w:proofErr w:type="gramEnd"/>
      <w:r w:rsidRPr="006F4D16">
        <w:rPr>
          <w:rFonts w:ascii="Times New Roman" w:hAnsi="Times New Roman" w:cs="Times New Roman"/>
          <w:i/>
          <w:iCs/>
        </w:rPr>
        <w:t xml:space="preserve"> + Society, 9</w:t>
      </w:r>
      <w:r w:rsidRPr="006F4D16">
        <w:rPr>
          <w:rFonts w:ascii="Times New Roman" w:hAnsi="Times New Roman" w:cs="Times New Roman"/>
        </w:rPr>
        <w:t xml:space="preserve">(2), 1–12. </w:t>
      </w:r>
      <w:hyperlink r:id="rId23" w:tgtFrame="_blank" w:history="1">
        <w:r w:rsidRPr="006F4D16">
          <w:rPr>
            <w:rStyle w:val="Hyperlink"/>
            <w:rFonts w:ascii="Times New Roman" w:hAnsi="Times New Roman" w:cs="Times New Roman"/>
          </w:rPr>
          <w:t>https://doi.org/10.1177/20563051231177938</w:t>
        </w:r>
      </w:hyperlink>
    </w:p>
    <w:p w14:paraId="23F971DD" w14:textId="50EBBB30" w:rsidR="00744A66" w:rsidRPr="006F4D16" w:rsidRDefault="00744A66" w:rsidP="00744A66">
      <w:pPr>
        <w:jc w:val="both"/>
        <w:rPr>
          <w:rFonts w:ascii="Times New Roman" w:hAnsi="Times New Roman" w:cs="Times New Roman"/>
        </w:rPr>
      </w:pPr>
      <w:r>
        <w:rPr>
          <w:rFonts w:ascii="Times New Roman" w:hAnsi="Times New Roman" w:cs="Times New Roman"/>
        </w:rPr>
        <w:t xml:space="preserve"> </w:t>
      </w:r>
      <w:r w:rsidRPr="006F4D16">
        <w:rPr>
          <w:rFonts w:ascii="Times New Roman" w:hAnsi="Times New Roman" w:cs="Times New Roman"/>
        </w:rPr>
        <w:t xml:space="preserve">Tapsell, R. (2021). Social media and elections in Southeast Asia: The emergence of subversive, underground campaigning. </w:t>
      </w:r>
      <w:r w:rsidRPr="006F4D16">
        <w:rPr>
          <w:rFonts w:ascii="Times New Roman" w:hAnsi="Times New Roman" w:cs="Times New Roman"/>
          <w:i/>
          <w:iCs/>
        </w:rPr>
        <w:t>Asian Studies Review, 45</w:t>
      </w:r>
      <w:r w:rsidRPr="006F4D16">
        <w:rPr>
          <w:rFonts w:ascii="Times New Roman" w:hAnsi="Times New Roman" w:cs="Times New Roman"/>
        </w:rPr>
        <w:t xml:space="preserve">(1), 117–134. </w:t>
      </w:r>
      <w:hyperlink r:id="rId24" w:tgtFrame="_blank" w:history="1">
        <w:r w:rsidRPr="006F4D16">
          <w:rPr>
            <w:rStyle w:val="Hyperlink"/>
            <w:rFonts w:ascii="Times New Roman" w:hAnsi="Times New Roman" w:cs="Times New Roman"/>
          </w:rPr>
          <w:t>https://doi.org/10.1080/10357823.2020.1853897</w:t>
        </w:r>
      </w:hyperlink>
    </w:p>
    <w:p w14:paraId="7E804BFB" w14:textId="77777777" w:rsidR="00744A66" w:rsidRPr="006F4D16" w:rsidRDefault="00744A66" w:rsidP="00744A66">
      <w:pPr>
        <w:jc w:val="both"/>
        <w:rPr>
          <w:rFonts w:ascii="Times New Roman" w:hAnsi="Times New Roman" w:cs="Times New Roman"/>
        </w:rPr>
      </w:pPr>
      <w:r w:rsidRPr="006F4D16">
        <w:rPr>
          <w:rFonts w:ascii="Times New Roman" w:hAnsi="Times New Roman" w:cs="Times New Roman"/>
        </w:rPr>
        <w:t xml:space="preserve">Wasswa, J. (2013). Social media and the 2013 Kenyan elections. </w:t>
      </w:r>
      <w:r w:rsidRPr="006F4D16">
        <w:rPr>
          <w:rFonts w:ascii="Times New Roman" w:hAnsi="Times New Roman" w:cs="Times New Roman"/>
          <w:i/>
          <w:iCs/>
        </w:rPr>
        <w:t>African Studies Review, 56</w:t>
      </w:r>
      <w:r w:rsidRPr="006F4D16">
        <w:rPr>
          <w:rFonts w:ascii="Times New Roman" w:hAnsi="Times New Roman" w:cs="Times New Roman"/>
        </w:rPr>
        <w:t xml:space="preserve">(2), 89–104. </w:t>
      </w:r>
      <w:hyperlink r:id="rId25" w:tgtFrame="_blank" w:history="1">
        <w:r w:rsidRPr="006F4D16">
          <w:rPr>
            <w:rStyle w:val="Hyperlink"/>
            <w:rFonts w:ascii="Times New Roman" w:hAnsi="Times New Roman" w:cs="Times New Roman"/>
          </w:rPr>
          <w:t>https://doi.org/10.1017/asr.2013.43</w:t>
        </w:r>
      </w:hyperlink>
    </w:p>
    <w:p w14:paraId="316EF1C7" w14:textId="77777777" w:rsidR="007D3FD2" w:rsidRPr="007D3FD2" w:rsidRDefault="007D3FD2" w:rsidP="00511CEE">
      <w:pPr>
        <w:pStyle w:val="NormalWeb"/>
        <w:spacing w:line="360" w:lineRule="auto"/>
      </w:pPr>
    </w:p>
    <w:p w14:paraId="12FA1261" w14:textId="75FB4518" w:rsidR="00844779" w:rsidRPr="007D3FD2" w:rsidRDefault="00844779" w:rsidP="00511CEE">
      <w:pPr>
        <w:pStyle w:val="NormalWeb"/>
        <w:spacing w:line="360" w:lineRule="auto"/>
      </w:pPr>
    </w:p>
    <w:p w14:paraId="4C833AC9" w14:textId="77777777" w:rsidR="00062CBF" w:rsidRPr="007D3FD2" w:rsidRDefault="00062CBF" w:rsidP="00062CBF">
      <w:pPr>
        <w:spacing w:after="0" w:line="360" w:lineRule="auto"/>
        <w:jc w:val="both"/>
        <w:rPr>
          <w:rFonts w:ascii="Google Sans Text" w:eastAsia="Times New Roman" w:hAnsi="Google Sans Text" w:cs="Times New Roman"/>
          <w:kern w:val="0"/>
          <w:sz w:val="21"/>
          <w:szCs w:val="21"/>
          <w14:ligatures w14:val="none"/>
        </w:rPr>
      </w:pPr>
    </w:p>
    <w:p w14:paraId="32A4ECA0" w14:textId="4294F20E" w:rsidR="00AE38D9" w:rsidRPr="007D3FD2" w:rsidRDefault="00A80BCF" w:rsidP="00A40661">
      <w:pPr>
        <w:spacing w:after="0" w:line="360" w:lineRule="auto"/>
        <w:jc w:val="both"/>
      </w:pPr>
      <w:r w:rsidRPr="007D3FD2">
        <w:rPr>
          <w:rFonts w:ascii="Times New Roman" w:eastAsia="Times New Roman" w:hAnsi="Times New Roman" w:cs="Times New Roman"/>
          <w:kern w:val="0"/>
          <w14:ligatures w14:val="none"/>
        </w:rPr>
        <w:t xml:space="preserve"> </w:t>
      </w:r>
      <w:r w:rsidR="00A40661" w:rsidRPr="007D3FD2">
        <w:rPr>
          <w:rFonts w:ascii="Times New Roman" w:eastAsia="Times New Roman" w:hAnsi="Times New Roman" w:cs="Times New Roman"/>
          <w:kern w:val="0"/>
          <w14:ligatures w14:val="none"/>
        </w:rPr>
        <w:t xml:space="preserve"> </w:t>
      </w:r>
    </w:p>
    <w:sectPr w:rsidR="00AE38D9" w:rsidRPr="007D3FD2">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74B4" w14:textId="77777777" w:rsidR="001C5E8B" w:rsidRDefault="001C5E8B" w:rsidP="008807AE">
      <w:pPr>
        <w:spacing w:after="0" w:line="240" w:lineRule="auto"/>
      </w:pPr>
      <w:r>
        <w:separator/>
      </w:r>
    </w:p>
  </w:endnote>
  <w:endnote w:type="continuationSeparator" w:id="0">
    <w:p w14:paraId="2B22800B" w14:textId="77777777" w:rsidR="001C5E8B" w:rsidRDefault="001C5E8B" w:rsidP="0088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25105"/>
      <w:docPartObj>
        <w:docPartGallery w:val="Page Numbers (Bottom of Page)"/>
        <w:docPartUnique/>
      </w:docPartObj>
    </w:sdtPr>
    <w:sdtEndPr>
      <w:rPr>
        <w:noProof/>
      </w:rPr>
    </w:sdtEndPr>
    <w:sdtContent>
      <w:p w14:paraId="48BDFDFA" w14:textId="77777777" w:rsidR="008807AE" w:rsidRDefault="00880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C548B8" w14:textId="77777777" w:rsidR="008807AE" w:rsidRDefault="00880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264F" w14:textId="77777777" w:rsidR="001C5E8B" w:rsidRDefault="001C5E8B" w:rsidP="008807AE">
      <w:pPr>
        <w:spacing w:after="0" w:line="240" w:lineRule="auto"/>
      </w:pPr>
      <w:r>
        <w:separator/>
      </w:r>
    </w:p>
  </w:footnote>
  <w:footnote w:type="continuationSeparator" w:id="0">
    <w:p w14:paraId="709ACFA1" w14:textId="77777777" w:rsidR="001C5E8B" w:rsidRDefault="001C5E8B" w:rsidP="008807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65B"/>
    <w:multiLevelType w:val="multilevel"/>
    <w:tmpl w:val="64EE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D82"/>
    <w:multiLevelType w:val="multilevel"/>
    <w:tmpl w:val="D638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3B1B"/>
    <w:multiLevelType w:val="multilevel"/>
    <w:tmpl w:val="7CAA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12D95"/>
    <w:multiLevelType w:val="multilevel"/>
    <w:tmpl w:val="DFC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42224"/>
    <w:multiLevelType w:val="multilevel"/>
    <w:tmpl w:val="DAF2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14E64"/>
    <w:multiLevelType w:val="multilevel"/>
    <w:tmpl w:val="2C9C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C6202"/>
    <w:multiLevelType w:val="multilevel"/>
    <w:tmpl w:val="727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E642C"/>
    <w:multiLevelType w:val="multilevel"/>
    <w:tmpl w:val="9280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F845A2"/>
    <w:multiLevelType w:val="multilevel"/>
    <w:tmpl w:val="2C980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6B56C0"/>
    <w:multiLevelType w:val="multilevel"/>
    <w:tmpl w:val="B114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405186"/>
    <w:multiLevelType w:val="multilevel"/>
    <w:tmpl w:val="9B2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70672"/>
    <w:multiLevelType w:val="multilevel"/>
    <w:tmpl w:val="E23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2210F"/>
    <w:multiLevelType w:val="multilevel"/>
    <w:tmpl w:val="C77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538222">
    <w:abstractNumId w:val="1"/>
  </w:num>
  <w:num w:numId="2" w16cid:durableId="212473556">
    <w:abstractNumId w:val="5"/>
  </w:num>
  <w:num w:numId="3" w16cid:durableId="271019508">
    <w:abstractNumId w:val="12"/>
  </w:num>
  <w:num w:numId="4" w16cid:durableId="438574606">
    <w:abstractNumId w:val="0"/>
  </w:num>
  <w:num w:numId="5" w16cid:durableId="1975942679">
    <w:abstractNumId w:val="6"/>
  </w:num>
  <w:num w:numId="6" w16cid:durableId="174269934">
    <w:abstractNumId w:val="2"/>
  </w:num>
  <w:num w:numId="7" w16cid:durableId="1450127832">
    <w:abstractNumId w:val="9"/>
  </w:num>
  <w:num w:numId="8" w16cid:durableId="2088376378">
    <w:abstractNumId w:val="10"/>
  </w:num>
  <w:num w:numId="9" w16cid:durableId="306402961">
    <w:abstractNumId w:val="8"/>
  </w:num>
  <w:num w:numId="10" w16cid:durableId="1749956377">
    <w:abstractNumId w:val="7"/>
  </w:num>
  <w:num w:numId="11" w16cid:durableId="964047748">
    <w:abstractNumId w:val="11"/>
  </w:num>
  <w:num w:numId="12" w16cid:durableId="1682582303">
    <w:abstractNumId w:val="4"/>
  </w:num>
  <w:num w:numId="13" w16cid:durableId="165707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1F"/>
    <w:rsid w:val="00017C2B"/>
    <w:rsid w:val="000232BA"/>
    <w:rsid w:val="00050BB2"/>
    <w:rsid w:val="00062CBF"/>
    <w:rsid w:val="00122185"/>
    <w:rsid w:val="00175A4C"/>
    <w:rsid w:val="001B0247"/>
    <w:rsid w:val="001B1516"/>
    <w:rsid w:val="001C5E8B"/>
    <w:rsid w:val="001F51A8"/>
    <w:rsid w:val="002155B1"/>
    <w:rsid w:val="002D1D30"/>
    <w:rsid w:val="0035196A"/>
    <w:rsid w:val="003C7B1A"/>
    <w:rsid w:val="0046312B"/>
    <w:rsid w:val="00511CEE"/>
    <w:rsid w:val="00532D77"/>
    <w:rsid w:val="00553826"/>
    <w:rsid w:val="005777D1"/>
    <w:rsid w:val="00650C9B"/>
    <w:rsid w:val="0065613B"/>
    <w:rsid w:val="00744A66"/>
    <w:rsid w:val="00765FB6"/>
    <w:rsid w:val="007D348E"/>
    <w:rsid w:val="007D3FD2"/>
    <w:rsid w:val="00844779"/>
    <w:rsid w:val="00860982"/>
    <w:rsid w:val="008807AE"/>
    <w:rsid w:val="008A0ACA"/>
    <w:rsid w:val="00900613"/>
    <w:rsid w:val="00971BE5"/>
    <w:rsid w:val="009821B9"/>
    <w:rsid w:val="00983EEA"/>
    <w:rsid w:val="00A276F3"/>
    <w:rsid w:val="00A3611F"/>
    <w:rsid w:val="00A40661"/>
    <w:rsid w:val="00A46623"/>
    <w:rsid w:val="00A65EC0"/>
    <w:rsid w:val="00A80BCF"/>
    <w:rsid w:val="00A851D4"/>
    <w:rsid w:val="00AE38D9"/>
    <w:rsid w:val="00AF061F"/>
    <w:rsid w:val="00B51940"/>
    <w:rsid w:val="00C072B1"/>
    <w:rsid w:val="00C72DB6"/>
    <w:rsid w:val="00C80B04"/>
    <w:rsid w:val="00C907FC"/>
    <w:rsid w:val="00C91421"/>
    <w:rsid w:val="00C94BC3"/>
    <w:rsid w:val="00D32077"/>
    <w:rsid w:val="00D373C6"/>
    <w:rsid w:val="00DB5B20"/>
    <w:rsid w:val="00E8695A"/>
    <w:rsid w:val="00EA6A40"/>
    <w:rsid w:val="00EB5074"/>
    <w:rsid w:val="00ED2B3E"/>
    <w:rsid w:val="00ED6C30"/>
    <w:rsid w:val="00F05BCA"/>
    <w:rsid w:val="00F56F84"/>
    <w:rsid w:val="00FA786E"/>
    <w:rsid w:val="00FB1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79D6"/>
  <w15:chartTrackingRefBased/>
  <w15:docId w15:val="{37D0408F-568F-4D74-A8B9-DE2CAC19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11F"/>
    <w:rPr>
      <w:rFonts w:eastAsiaTheme="majorEastAsia" w:cstheme="majorBidi"/>
      <w:color w:val="272727" w:themeColor="text1" w:themeTint="D8"/>
    </w:rPr>
  </w:style>
  <w:style w:type="paragraph" w:styleId="Title">
    <w:name w:val="Title"/>
    <w:basedOn w:val="Normal"/>
    <w:next w:val="Normal"/>
    <w:link w:val="TitleChar"/>
    <w:uiPriority w:val="10"/>
    <w:qFormat/>
    <w:rsid w:val="00A3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11F"/>
    <w:pPr>
      <w:spacing w:before="160"/>
      <w:jc w:val="center"/>
    </w:pPr>
    <w:rPr>
      <w:i/>
      <w:iCs/>
      <w:color w:val="404040" w:themeColor="text1" w:themeTint="BF"/>
    </w:rPr>
  </w:style>
  <w:style w:type="character" w:customStyle="1" w:styleId="QuoteChar">
    <w:name w:val="Quote Char"/>
    <w:basedOn w:val="DefaultParagraphFont"/>
    <w:link w:val="Quote"/>
    <w:uiPriority w:val="29"/>
    <w:rsid w:val="00A3611F"/>
    <w:rPr>
      <w:i/>
      <w:iCs/>
      <w:color w:val="404040" w:themeColor="text1" w:themeTint="BF"/>
    </w:rPr>
  </w:style>
  <w:style w:type="paragraph" w:styleId="ListParagraph">
    <w:name w:val="List Paragraph"/>
    <w:basedOn w:val="Normal"/>
    <w:uiPriority w:val="34"/>
    <w:qFormat/>
    <w:rsid w:val="00A3611F"/>
    <w:pPr>
      <w:ind w:left="720"/>
      <w:contextualSpacing/>
    </w:pPr>
  </w:style>
  <w:style w:type="character" w:styleId="IntenseEmphasis">
    <w:name w:val="Intense Emphasis"/>
    <w:basedOn w:val="DefaultParagraphFont"/>
    <w:uiPriority w:val="21"/>
    <w:qFormat/>
    <w:rsid w:val="00A3611F"/>
    <w:rPr>
      <w:i/>
      <w:iCs/>
      <w:color w:val="2F5496" w:themeColor="accent1" w:themeShade="BF"/>
    </w:rPr>
  </w:style>
  <w:style w:type="paragraph" w:styleId="IntenseQuote">
    <w:name w:val="Intense Quote"/>
    <w:basedOn w:val="Normal"/>
    <w:next w:val="Normal"/>
    <w:link w:val="IntenseQuoteChar"/>
    <w:uiPriority w:val="30"/>
    <w:qFormat/>
    <w:rsid w:val="00A3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611F"/>
    <w:rPr>
      <w:i/>
      <w:iCs/>
      <w:color w:val="2F5496" w:themeColor="accent1" w:themeShade="BF"/>
    </w:rPr>
  </w:style>
  <w:style w:type="character" w:styleId="IntenseReference">
    <w:name w:val="Intense Reference"/>
    <w:basedOn w:val="DefaultParagraphFont"/>
    <w:uiPriority w:val="32"/>
    <w:qFormat/>
    <w:rsid w:val="00A3611F"/>
    <w:rPr>
      <w:b/>
      <w:bCs/>
      <w:smallCaps/>
      <w:color w:val="2F5496" w:themeColor="accent1" w:themeShade="BF"/>
      <w:spacing w:val="5"/>
    </w:rPr>
  </w:style>
  <w:style w:type="paragraph" w:styleId="Header">
    <w:name w:val="header"/>
    <w:basedOn w:val="Normal"/>
    <w:link w:val="HeaderChar"/>
    <w:uiPriority w:val="99"/>
    <w:unhideWhenUsed/>
    <w:rsid w:val="0088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7AE"/>
  </w:style>
  <w:style w:type="paragraph" w:styleId="Footer">
    <w:name w:val="footer"/>
    <w:basedOn w:val="Normal"/>
    <w:link w:val="FooterChar"/>
    <w:uiPriority w:val="99"/>
    <w:unhideWhenUsed/>
    <w:rsid w:val="0088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7AE"/>
  </w:style>
  <w:style w:type="paragraph" w:styleId="NormalWeb">
    <w:name w:val="Normal (Web)"/>
    <w:basedOn w:val="Normal"/>
    <w:uiPriority w:val="99"/>
    <w:unhideWhenUsed/>
    <w:rsid w:val="00A406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40661"/>
    <w:rPr>
      <w:b/>
      <w:bCs/>
    </w:rPr>
  </w:style>
  <w:style w:type="table" w:customStyle="1" w:styleId="TableGrid12">
    <w:name w:val="Table Grid12"/>
    <w:basedOn w:val="TableNormal"/>
    <w:next w:val="TableGrid"/>
    <w:uiPriority w:val="39"/>
    <w:rsid w:val="00A40661"/>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40661"/>
    <w:pPr>
      <w:spacing w:after="200" w:line="240" w:lineRule="auto"/>
    </w:pPr>
    <w:rPr>
      <w:i/>
      <w:iCs/>
      <w:color w:val="44546A" w:themeColor="text2"/>
      <w:sz w:val="18"/>
      <w:szCs w:val="18"/>
    </w:rPr>
  </w:style>
  <w:style w:type="table" w:styleId="TableGrid">
    <w:name w:val="Table Grid"/>
    <w:basedOn w:val="TableNormal"/>
    <w:uiPriority w:val="39"/>
    <w:rsid w:val="00A4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A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news/world-africa-63719505" TargetMode="External"/><Relationship Id="rId13" Type="http://schemas.openxmlformats.org/officeDocument/2006/relationships/hyperlink" Target="https://doi.org/10.1145/2818717" TargetMode="External"/><Relationship Id="rId18" Type="http://schemas.openxmlformats.org/officeDocument/2006/relationships/hyperlink" Target="https://www.idea.int/news/are-elections-and-politics-africa-ready-cope-influence-social-media"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086/267990" TargetMode="External"/><Relationship Id="rId7" Type="http://schemas.openxmlformats.org/officeDocument/2006/relationships/hyperlink" Target="https://mediawatchjournal.in/index.php/mw/article/view/675" TargetMode="External"/><Relationship Id="rId12" Type="http://schemas.openxmlformats.org/officeDocument/2006/relationships/hyperlink" Target="https://doi.org/10.1111/j.1460-2466.1993.tb01304.x" TargetMode="External"/><Relationship Id="rId17" Type="http://schemas.openxmlformats.org/officeDocument/2006/relationships/hyperlink" Target="https://issafrica.org/iss-today/will-social-media-influence-election-campaigning-in-south-africa" TargetMode="External"/><Relationship Id="rId25" Type="http://schemas.openxmlformats.org/officeDocument/2006/relationships/hyperlink" Target="https://doi.org/10.1017/asr.2013.43" TargetMode="External"/><Relationship Id="rId2" Type="http://schemas.openxmlformats.org/officeDocument/2006/relationships/styles" Target="styles.xml"/><Relationship Id="rId16" Type="http://schemas.openxmlformats.org/officeDocument/2006/relationships/hyperlink" Target="https://doi.org/10.1080/10584609.2017.1389677" TargetMode="External"/><Relationship Id="rId20" Type="http://schemas.openxmlformats.org/officeDocument/2006/relationships/hyperlink" Target="https://doi.org/10.1080/17531055.2024.23774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7531055.2024.2316145" TargetMode="External"/><Relationship Id="rId24" Type="http://schemas.openxmlformats.org/officeDocument/2006/relationships/hyperlink" Target="https://doi.org/10.1080/10357823.2020.1853897" TargetMode="External"/><Relationship Id="rId5" Type="http://schemas.openxmlformats.org/officeDocument/2006/relationships/footnotes" Target="footnotes.xml"/><Relationship Id="rId15" Type="http://schemas.openxmlformats.org/officeDocument/2006/relationships/hyperlink" Target="https://advox.globalvoices.org/2023/11/02/how-to-use-social-media-to-win-an-election-influencers-from-kenyas-2022-election-explain/" TargetMode="External"/><Relationship Id="rId23" Type="http://schemas.openxmlformats.org/officeDocument/2006/relationships/hyperlink" Target="https://doi.org/10.1177/20563051231177938" TargetMode="External"/><Relationship Id="rId28" Type="http://schemas.openxmlformats.org/officeDocument/2006/relationships/theme" Target="theme/theme1.xml"/><Relationship Id="rId10" Type="http://schemas.openxmlformats.org/officeDocument/2006/relationships/hyperlink" Target="https://doi.org/10.1080/10584609.2014.963144" TargetMode="External"/><Relationship Id="rId19" Type="http://schemas.openxmlformats.org/officeDocument/2006/relationships/hyperlink" Target="https://doi.org/10.1177/002200275800200106" TargetMode="External"/><Relationship Id="rId4" Type="http://schemas.openxmlformats.org/officeDocument/2006/relationships/webSettings" Target="webSettings.xml"/><Relationship Id="rId9" Type="http://schemas.openxmlformats.org/officeDocument/2006/relationships/hyperlink" Target="https://doi.org/10.1191/1478088706qp063oa" TargetMode="External"/><Relationship Id="rId14" Type="http://schemas.openxmlformats.org/officeDocument/2006/relationships/hyperlink" Target="https://doi.org/10.1080/1369118X.2017.1302124" TargetMode="External"/><Relationship Id="rId22" Type="http://schemas.openxmlformats.org/officeDocument/2006/relationships/hyperlink" Target="https://www.pbs.org/newshour/show/how-social-media-influencers-are-playing-a-role-in-the-presidential-elec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4179</Words>
  <Characters>23824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dcterms:created xsi:type="dcterms:W3CDTF">2026-03-31T07:32:00Z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id="LQkTuycL"/&gt;&lt;style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94610fb2-c334-4302-ae00-6c2008bdee6d</vt:lpwstr>
  </property>
</Properties>
</file>