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2CB12">
      <w:pPr>
        <w:spacing w:before="100" w:beforeAutospacing="1" w:after="100" w:afterAutospacing="1" w:line="360" w:lineRule="auto"/>
        <w:jc w:val="center"/>
        <w:outlineLvl w:val="0"/>
        <w:rPr>
          <w:rFonts w:ascii="Times New Roman" w:hAnsi="Times New Roman" w:eastAsia="Times New Roman" w:cs="Times New Roman"/>
          <w:b/>
          <w:bCs/>
          <w:kern w:val="36"/>
          <w:sz w:val="24"/>
          <w:szCs w:val="24"/>
        </w:rPr>
      </w:pPr>
      <w:bookmarkStart w:id="0" w:name="_Toc152146804"/>
      <w:r>
        <w:rPr>
          <w:rFonts w:ascii="Times New Roman" w:hAnsi="Times New Roman" w:eastAsia="Times New Roman" w:cs="Times New Roman"/>
          <w:b/>
          <w:bCs/>
          <w:kern w:val="36"/>
          <w:sz w:val="24"/>
          <w:szCs w:val="24"/>
        </w:rPr>
        <w:t>Human Rights Challenges of Children in Detention: A Qualitative Study from Multiple Stakeholder Perspectives in Zambia</w:t>
      </w:r>
    </w:p>
    <w:p w14:paraId="02F7242D">
      <w:pPr>
        <w:autoSpaceDE w:val="0"/>
        <w:autoSpaceDN w:val="0"/>
        <w:adjustRightInd w:val="0"/>
        <w:spacing w:before="100" w:beforeAutospacing="1" w:after="0" w:line="360" w:lineRule="auto"/>
        <w:jc w:val="center"/>
        <w:rPr>
          <w:rFonts w:hint="default" w:ascii="Times New Roman" w:hAnsi="Times New Roman" w:eastAsia="Calibri" w:cs="Times New Roman"/>
          <w:b/>
          <w:bCs/>
          <w:color w:val="000000"/>
          <w:sz w:val="24"/>
          <w:szCs w:val="24"/>
          <w:lang w:val="en-US"/>
        </w:rPr>
      </w:pPr>
      <w:r>
        <w:rPr>
          <w:rFonts w:hint="default" w:ascii="Times New Roman" w:hAnsi="Times New Roman" w:eastAsia="Calibri" w:cs="Times New Roman"/>
          <w:b/>
          <w:bCs/>
          <w:color w:val="000000"/>
          <w:sz w:val="24"/>
          <w:szCs w:val="24"/>
          <w:lang w:val="en-US"/>
        </w:rPr>
        <w:t>Pauline Mileji,Simakando Silongwa,Peggy Musonda Mutale</w:t>
      </w:r>
    </w:p>
    <w:p w14:paraId="2EAB10B0">
      <w:pPr>
        <w:autoSpaceDE w:val="0"/>
        <w:autoSpaceDN w:val="0"/>
        <w:adjustRightInd w:val="0"/>
        <w:spacing w:before="100" w:beforeAutospacing="1" w:after="0" w:line="360" w:lineRule="auto"/>
        <w:jc w:val="center"/>
        <w:rPr>
          <w:rFonts w:ascii="Times New Roman" w:hAnsi="Times New Roman" w:eastAsia="Calibri" w:cs="Times New Roman"/>
          <w:bCs/>
          <w:color w:val="000000"/>
          <w:sz w:val="24"/>
          <w:szCs w:val="24"/>
        </w:rPr>
      </w:pPr>
      <w:r>
        <w:rPr>
          <w:rFonts w:ascii="Times New Roman" w:hAnsi="Times New Roman" w:eastAsia="Calibri" w:cs="Times New Roman"/>
          <w:bCs/>
          <w:color w:val="000000"/>
          <w:sz w:val="24"/>
          <w:szCs w:val="24"/>
        </w:rPr>
        <w:t xml:space="preserve">Corresponding Author </w:t>
      </w:r>
      <w:r>
        <w:rPr>
          <w:rFonts w:ascii="Times New Roman" w:hAnsi="Times New Roman" w:eastAsia="Calibri" w:cs="Times New Roman"/>
          <w:bCs/>
          <w:color w:val="000000"/>
          <w:sz w:val="24"/>
          <w:szCs w:val="24"/>
        </w:rPr>
        <w:fldChar w:fldCharType="begin"/>
      </w:r>
      <w:r>
        <w:rPr>
          <w:rFonts w:ascii="Times New Roman" w:hAnsi="Times New Roman" w:eastAsia="Calibri" w:cs="Times New Roman"/>
          <w:bCs/>
          <w:color w:val="000000"/>
          <w:sz w:val="24"/>
          <w:szCs w:val="24"/>
        </w:rPr>
        <w:instrText xml:space="preserve"> HYPERLINK "mailto:[paulinemileji1979@gmail.co" </w:instrText>
      </w:r>
      <w:r>
        <w:rPr>
          <w:rFonts w:ascii="Times New Roman" w:hAnsi="Times New Roman" w:eastAsia="Calibri" w:cs="Times New Roman"/>
          <w:bCs/>
          <w:color w:val="000000"/>
          <w:sz w:val="24"/>
          <w:szCs w:val="24"/>
        </w:rPr>
        <w:fldChar w:fldCharType="separate"/>
      </w:r>
    </w:p>
    <w:p w14:paraId="372D982A">
      <w:pPr>
        <w:autoSpaceDE w:val="0"/>
        <w:autoSpaceDN w:val="0"/>
        <w:adjustRightInd w:val="0"/>
        <w:spacing w:before="100" w:beforeAutospacing="1" w:after="0" w:line="360" w:lineRule="auto"/>
        <w:jc w:val="center"/>
        <w:rPr>
          <w:rFonts w:hint="default" w:ascii="Times New Roman" w:hAnsi="Times New Roman" w:eastAsia="Calibri" w:cs="Times New Roman"/>
          <w:bCs/>
          <w:color w:val="000000"/>
          <w:sz w:val="24"/>
          <w:szCs w:val="24"/>
          <w:lang w:val="en-US"/>
        </w:rPr>
      </w:pPr>
      <w:r>
        <w:rPr>
          <w:rStyle w:val="6"/>
          <w:rFonts w:hint="default" w:ascii="Times New Roman" w:hAnsi="Times New Roman" w:eastAsia="Calibri" w:cs="Times New Roman"/>
          <w:bCs/>
          <w:sz w:val="24"/>
          <w:szCs w:val="24"/>
          <w:lang w:val="en-US"/>
        </w:rPr>
        <w:t>paulinemileji1979@gmail.co</w:t>
      </w:r>
      <w:r>
        <w:rPr>
          <w:rFonts w:ascii="Times New Roman" w:hAnsi="Times New Roman" w:eastAsia="Calibri" w:cs="Times New Roman"/>
          <w:bCs/>
          <w:color w:val="000000"/>
          <w:sz w:val="24"/>
          <w:szCs w:val="24"/>
        </w:rPr>
        <w:fldChar w:fldCharType="end"/>
      </w:r>
    </w:p>
    <w:p w14:paraId="0C121465">
      <w:pPr>
        <w:autoSpaceDE w:val="0"/>
        <w:autoSpaceDN w:val="0"/>
        <w:adjustRightInd w:val="0"/>
        <w:spacing w:before="100" w:beforeAutospacing="1" w:after="0" w:line="360" w:lineRule="auto"/>
        <w:jc w:val="center"/>
        <w:rPr>
          <w:rFonts w:hint="default" w:ascii="Times New Roman" w:hAnsi="Times New Roman" w:eastAsia="Calibri" w:cs="Times New Roman"/>
          <w:bCs/>
          <w:color w:val="000000"/>
          <w:sz w:val="24"/>
          <w:szCs w:val="24"/>
          <w:lang w:val="en-US"/>
        </w:rPr>
      </w:pPr>
    </w:p>
    <w:p w14:paraId="1910F2D2">
      <w:pPr>
        <w:spacing w:before="100" w:beforeAutospacing="1" w:after="100" w:afterAutospacing="1" w:line="360" w:lineRule="auto"/>
        <w:jc w:val="center"/>
        <w:outlineLvl w:val="0"/>
        <w:rPr>
          <w:rFonts w:ascii="Times New Roman" w:hAnsi="Times New Roman" w:eastAsia="Times New Roman" w:cs="Times New Roman"/>
          <w:b/>
          <w:bCs/>
          <w:kern w:val="36"/>
          <w:sz w:val="24"/>
          <w:szCs w:val="24"/>
        </w:rPr>
      </w:pPr>
    </w:p>
    <w:p w14:paraId="00BA5420">
      <w:pPr>
        <w:spacing w:before="100" w:beforeAutospacing="1" w:after="100" w:afterAutospacing="1" w:line="360" w:lineRule="auto"/>
        <w:outlineLvl w:val="1"/>
        <w:rPr>
          <w:rFonts w:ascii="Times New Roman" w:hAnsi="Times New Roman" w:eastAsia="Times New Roman" w:cs="Times New Roman"/>
          <w:b/>
          <w:bCs/>
          <w:i/>
          <w:sz w:val="24"/>
          <w:szCs w:val="24"/>
        </w:rPr>
      </w:pPr>
      <w:r>
        <w:rPr>
          <w:rFonts w:ascii="Times New Roman" w:hAnsi="Times New Roman" w:eastAsia="Times New Roman" w:cs="Times New Roman"/>
          <w:b/>
          <w:bCs/>
          <w:i/>
          <w:sz w:val="24"/>
          <w:szCs w:val="24"/>
        </w:rPr>
        <w:t>Abstract</w:t>
      </w:r>
    </w:p>
    <w:p w14:paraId="61B3D28A">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examines the human rights challenges faced by children in detention in Zambia from multiple stakeholder perspectives. Guided by the interpretivist paradigm, the study employed a qualitative descriptive research design to explore lived experiences and institutional practices affecting detained children. Data were collected through semi-structured interviews and focus group discussions involving correctional officers, parents, and teachers (n = 15), selected using purposive heterogeneous sampling. Thematic analysis was used to analyse the data. The findings reveal that children in detention experience multiple human rights violations, including restrictions on freedom of movement and assembly, engagement in hard labour, limited access to education, and constrained interaction with family members. These conditions undermine children’s psychological well-being, social development, and prospects for successful reintegration into society. Drawing on child welfare theory, the study argues that current detention practices are largely punitive and inconsistent with international child rights standards. The study recommends strengthening monitoring systems, expanding access to education and psychosocial services, and promoting non-custodial alternatives to detention. The findings contribute to ongoing debates on juvenile justice reform in developing contexts.</w:t>
      </w:r>
    </w:p>
    <w:p w14:paraId="1C72460F">
      <w:pPr>
        <w:spacing w:before="100" w:beforeAutospacing="1" w:after="100" w:afterAutospacing="1" w:line="36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Keywords:</w:t>
      </w:r>
      <w:r>
        <w:rPr>
          <w:rFonts w:ascii="Times New Roman" w:hAnsi="Times New Roman" w:eastAsia="Times New Roman" w:cs="Times New Roman"/>
          <w:sz w:val="24"/>
          <w:szCs w:val="24"/>
        </w:rPr>
        <w:t xml:space="preserve"> children in detention, human rights, juvenile justice, Zambia, qualitative research</w:t>
      </w:r>
    </w:p>
    <w:p w14:paraId="29B1E66C">
      <w:pPr>
        <w:keepNext/>
        <w:keepLines/>
        <w:spacing w:before="240" w:after="0" w:line="360" w:lineRule="auto"/>
        <w:outlineLvl w:val="0"/>
        <w:rPr>
          <w:rFonts w:ascii="Times New Roman" w:hAnsi="Times New Roman" w:eastAsia="SimSun" w:cs="Times New Roman"/>
          <w:b/>
          <w:i/>
          <w:sz w:val="24"/>
          <w:szCs w:val="24"/>
          <w:lang w:val="en-ZA"/>
        </w:rPr>
      </w:pPr>
    </w:p>
    <w:p w14:paraId="3FCE350C">
      <w:pPr>
        <w:keepNext/>
        <w:keepLines/>
        <w:spacing w:before="240" w:after="0" w:line="360" w:lineRule="auto"/>
        <w:outlineLvl w:val="0"/>
        <w:rPr>
          <w:rFonts w:ascii="Times New Roman" w:hAnsi="Times New Roman" w:eastAsia="SimSun" w:cs="Times New Roman"/>
          <w:b/>
          <w:i/>
          <w:sz w:val="24"/>
          <w:szCs w:val="24"/>
          <w:lang w:val="en-ZA"/>
        </w:rPr>
      </w:pPr>
    </w:p>
    <w:p w14:paraId="18DC7647">
      <w:pPr>
        <w:keepNext/>
        <w:keepLines/>
        <w:spacing w:before="240" w:after="0" w:line="360" w:lineRule="auto"/>
        <w:outlineLvl w:val="0"/>
        <w:rPr>
          <w:rFonts w:ascii="Times New Roman" w:hAnsi="Times New Roman" w:eastAsia="SimSun" w:cs="Times New Roman"/>
          <w:b/>
          <w:i/>
          <w:sz w:val="24"/>
          <w:szCs w:val="24"/>
          <w:lang w:val="en-ZA"/>
        </w:rPr>
      </w:pPr>
    </w:p>
    <w:p w14:paraId="3C648DC0">
      <w:pPr>
        <w:spacing w:after="0" w:line="240" w:lineRule="auto"/>
        <w:rPr>
          <w:rFonts w:ascii="Times New Roman" w:hAnsi="Times New Roman" w:eastAsia="SimSun" w:cs="Times New Roman"/>
          <w:b/>
          <w:i/>
          <w:sz w:val="24"/>
          <w:szCs w:val="24"/>
          <w:lang w:val="en-ZA"/>
        </w:rPr>
      </w:pPr>
      <w:r>
        <w:rPr>
          <w:rFonts w:ascii="Times New Roman" w:hAnsi="Times New Roman" w:eastAsia="SimSun" w:cs="Times New Roman"/>
          <w:b/>
          <w:i/>
          <w:sz w:val="24"/>
          <w:szCs w:val="24"/>
          <w:lang w:val="en-ZA"/>
        </w:rPr>
        <w:br w:type="page"/>
      </w:r>
    </w:p>
    <w:bookmarkEnd w:id="0"/>
    <w:p w14:paraId="1AB0C580">
      <w:pPr>
        <w:keepNext/>
        <w:keepLines/>
        <w:spacing w:before="240" w:after="0" w:line="360" w:lineRule="auto"/>
        <w:outlineLvl w:val="0"/>
        <w:rPr>
          <w:rFonts w:ascii="Times New Roman" w:hAnsi="Times New Roman" w:eastAsia="Times New Roman" w:cs="Times New Roman"/>
          <w:b/>
          <w:sz w:val="24"/>
          <w:szCs w:val="24"/>
        </w:rPr>
      </w:pPr>
      <w:bookmarkStart w:id="1" w:name="_Toc216630059"/>
      <w:bookmarkStart w:id="2" w:name="_Toc149976492"/>
      <w:r>
        <w:rPr>
          <w:rFonts w:ascii="Times New Roman" w:hAnsi="Times New Roman" w:eastAsia="Times New Roman" w:cs="Times New Roman"/>
          <w:b/>
          <w:sz w:val="24"/>
          <w:szCs w:val="24"/>
        </w:rPr>
        <w:t>1.0 Introduction</w:t>
      </w:r>
      <w:bookmarkEnd w:id="1"/>
      <w:bookmarkEnd w:id="2"/>
    </w:p>
    <w:p w14:paraId="1E58DAB8">
      <w:pPr>
        <w:pStyle w:val="7"/>
        <w:spacing w:line="360" w:lineRule="auto"/>
        <w:jc w:val="both"/>
      </w:pPr>
      <w:bookmarkStart w:id="3" w:name="_Toc140039009"/>
      <w:bookmarkStart w:id="4" w:name="_Toc149976495"/>
      <w:bookmarkStart w:id="5" w:name="_Toc132762367"/>
      <w:bookmarkStart w:id="6" w:name="_Toc216630062"/>
      <w:bookmarkStart w:id="7" w:name="_Toc132762377"/>
      <w:r>
        <w:t>The deprivation of liberty among children remains a critical global human rights concern. It is estimated that millions of children are detained annually in various custodial settings, including juvenile facilities and prisons (Human Rights Watch, 2021). International legal frameworks, particularly the United Nations Convention on the Rights of the Child (CRC), stipulate that detention should be used only as a measure of last resort and for the shortest appropriate period (United Nations, 2022). Despite these provisions, children in detention frequently experience conditions that compromise their rights and well-being.</w:t>
      </w:r>
    </w:p>
    <w:p w14:paraId="372FD4F7">
      <w:pPr>
        <w:pStyle w:val="7"/>
        <w:spacing w:line="360" w:lineRule="auto"/>
        <w:jc w:val="both"/>
      </w:pPr>
      <w:r>
        <w:t>Empirical evidence suggests that detained children are often subjected to overcrowded environments, inadequate healthcare, and limited access to education (Human Rights Watch, 2022; World Health Organization [WHO], 2020). Furthermore, many children in detention come from marginalized and socio-economically disadvantaged backgrounds, which exacerbates their vulnerability (UNICEF, 2021). Studies indicate that a significant proportion of detained children suffer from mental health challenges, including anxiety and depression (Dumont &amp; Ainsworth, 2020).</w:t>
      </w:r>
    </w:p>
    <w:p w14:paraId="64D4A865">
      <w:pPr>
        <w:pStyle w:val="7"/>
        <w:spacing w:line="360" w:lineRule="auto"/>
        <w:jc w:val="both"/>
      </w:pPr>
      <w:r>
        <w:t>In the African context, systemic challenges such as overcrowding, inadequate infrastructure, and weak policy implementation have been widely documented (Sibisi et al., 2024; Baffoe-Bonnie et al., 2024). In Zambia, the situation is equally concerning. Reports indicate that a considerable number of children are held in detention, many of whom are in pre-trial custody (UNICEF, 2021). Additionally, limited access to education and healthcare services has been identified as a major barrier to rehabilitation and reintegration (Zambia Human Rights Commission, 2022).</w:t>
      </w:r>
    </w:p>
    <w:p w14:paraId="46C4A71D">
      <w:pPr>
        <w:pStyle w:val="7"/>
        <w:spacing w:line="360" w:lineRule="auto"/>
        <w:jc w:val="both"/>
      </w:pPr>
      <w:r>
        <w:t>Despite growing scholarly attention, there remains limited empirical research that captures the lived experiences of children in detention from multiple stakeholder perspectives in Zambia. This study addresses this gap by examining the human rights challenges faced by children in detention through the perspectives of correctional officers, parents, and teachers</w:t>
      </w:r>
    </w:p>
    <w:p w14:paraId="62A8291D">
      <w:pPr>
        <w:keepNext/>
        <w:keepLines/>
        <w:spacing w:before="240" w:after="0" w:line="360" w:lineRule="auto"/>
        <w:jc w:val="both"/>
        <w:outlineLvl w:val="0"/>
        <w:rPr>
          <w:rFonts w:ascii="Times New Roman" w:hAnsi="Times New Roman" w:eastAsia="Times New Roman" w:cs="Times New Roman"/>
          <w:b/>
          <w:sz w:val="24"/>
          <w:szCs w:val="24"/>
        </w:rPr>
      </w:pPr>
      <w:r>
        <w:rPr>
          <w:rFonts w:ascii="Times New Roman" w:hAnsi="Times New Roman" w:eastAsia="Times New Roman" w:cs="Times New Roman"/>
          <w:b/>
          <w:sz w:val="24"/>
          <w:szCs w:val="24"/>
        </w:rPr>
        <w:t>1.1 Statement of the Problem</w:t>
      </w:r>
      <w:bookmarkEnd w:id="3"/>
      <w:bookmarkEnd w:id="4"/>
      <w:bookmarkEnd w:id="5"/>
      <w:bookmarkEnd w:id="6"/>
    </w:p>
    <w:p w14:paraId="189D3C09">
      <w:pPr>
        <w:keepNext/>
        <w:keepLines/>
        <w:spacing w:before="240" w:after="0" w:line="360" w:lineRule="auto"/>
        <w:jc w:val="both"/>
        <w:outlineLvl w:val="0"/>
        <w:rPr>
          <w:rFonts w:ascii="Times New Roman" w:hAnsi="Times New Roman" w:cs="Times New Roman"/>
          <w:sz w:val="24"/>
          <w:szCs w:val="24"/>
        </w:rPr>
      </w:pPr>
      <w:bookmarkStart w:id="8" w:name="_Toc132762369"/>
      <w:bookmarkStart w:id="9" w:name="_Toc140039011"/>
      <w:bookmarkStart w:id="10" w:name="_Toc216630064"/>
      <w:bookmarkStart w:id="11" w:name="_Toc149976496"/>
      <w:r>
        <w:rPr>
          <w:rFonts w:ascii="Times New Roman" w:hAnsi="Times New Roman" w:cs="Times New Roman"/>
          <w:sz w:val="24"/>
          <w:szCs w:val="24"/>
        </w:rPr>
        <w:t>Although Zambia has established legal and policy frameworks aligned with international child rights standards, children in detention continue to experience significant human rights violations. These include overcrowding, inadequate access to education and healthcare, restricted family contact, and exposure to abuse (Zambia Human Rights Commission, 2022; Save the Children, 2023). However, there is limited empirical evidence that holistically examines these challenges from multiple stakeholder perspectives. This study seeks to address this gap.</w:t>
      </w:r>
    </w:p>
    <w:p w14:paraId="5445507F">
      <w:pPr>
        <w:keepNext/>
        <w:keepLines/>
        <w:spacing w:before="240" w:after="0" w:line="360" w:lineRule="auto"/>
        <w:outlineLvl w:val="0"/>
        <w:rPr>
          <w:rFonts w:ascii="Times New Roman" w:hAnsi="Times New Roman" w:eastAsia="SimSun" w:cs="Times New Roman"/>
          <w:b/>
          <w:sz w:val="24"/>
          <w:szCs w:val="24"/>
        </w:rPr>
      </w:pPr>
      <w:r>
        <w:rPr>
          <w:rFonts w:ascii="Times New Roman" w:hAnsi="Times New Roman" w:eastAsia="SimSun" w:cs="Times New Roman"/>
          <w:b/>
          <w:sz w:val="24"/>
          <w:szCs w:val="24"/>
        </w:rPr>
        <w:t>1.2</w:t>
      </w:r>
      <w:r>
        <w:rPr>
          <w:rFonts w:ascii="Times New Roman" w:hAnsi="Times New Roman" w:eastAsia="Times New Roman" w:cs="Times New Roman"/>
          <w:b/>
          <w:sz w:val="24"/>
          <w:szCs w:val="24"/>
        </w:rPr>
        <w:t xml:space="preserve"> </w:t>
      </w:r>
      <w:bookmarkEnd w:id="8"/>
      <w:r>
        <w:rPr>
          <w:rFonts w:ascii="Times New Roman" w:hAnsi="Times New Roman" w:eastAsia="SimSun" w:cs="Times New Roman"/>
          <w:b/>
          <w:sz w:val="24"/>
          <w:szCs w:val="24"/>
        </w:rPr>
        <w:t>Objective of the study</w:t>
      </w:r>
      <w:bookmarkEnd w:id="9"/>
      <w:bookmarkEnd w:id="10"/>
      <w:bookmarkEnd w:id="11"/>
    </w:p>
    <w:p w14:paraId="6DF35B5A">
      <w:pPr>
        <w:keepNext/>
        <w:keepLines/>
        <w:spacing w:before="240" w:after="0" w:line="360" w:lineRule="auto"/>
        <w:outlineLvl w:val="0"/>
        <w:rPr>
          <w:rFonts w:ascii="Times New Roman" w:hAnsi="Times New Roman" w:eastAsia="Times New Roman" w:cs="Times New Roman"/>
          <w:b/>
          <w:sz w:val="24"/>
          <w:szCs w:val="24"/>
        </w:rPr>
      </w:pPr>
      <w:r>
        <w:rPr>
          <w:rFonts w:ascii="Times New Roman" w:hAnsi="Times New Roman" w:cs="Times New Roman"/>
          <w:sz w:val="24"/>
          <w:szCs w:val="24"/>
        </w:rPr>
        <w:t>The study aimed to identify and analyse the major human rights challenges faced by children in detention centres in Zambia.</w:t>
      </w:r>
    </w:p>
    <w:bookmarkEnd w:id="7"/>
    <w:p w14:paraId="4ED1BAC1">
      <w:pPr>
        <w:keepNext/>
        <w:keepLines/>
        <w:spacing w:before="240" w:after="0" w:line="360" w:lineRule="auto"/>
        <w:outlineLvl w:val="0"/>
        <w:rPr>
          <w:rFonts w:ascii="Times New Roman" w:hAnsi="Times New Roman" w:eastAsia="Times New Roman" w:cs="Times New Roman"/>
          <w:b/>
          <w:sz w:val="24"/>
          <w:szCs w:val="24"/>
        </w:rPr>
      </w:pPr>
      <w:bookmarkStart w:id="12" w:name="_Toc215206911"/>
      <w:bookmarkStart w:id="13" w:name="_Toc203652998"/>
      <w:bookmarkStart w:id="14" w:name="_Toc216630066"/>
      <w:r>
        <w:rPr>
          <w:rFonts w:ascii="Times New Roman" w:hAnsi="Times New Roman" w:eastAsia="Times New Roman" w:cs="Times New Roman"/>
          <w:b/>
          <w:sz w:val="24"/>
          <w:szCs w:val="24"/>
        </w:rPr>
        <w:t>1.3 Significance of the study</w:t>
      </w:r>
      <w:bookmarkEnd w:id="12"/>
      <w:bookmarkEnd w:id="13"/>
      <w:bookmarkEnd w:id="14"/>
    </w:p>
    <w:p w14:paraId="34885BD4">
      <w:pPr>
        <w:spacing w:after="352"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It is hoped that the findings mightl assess the living conditions and treatment of children in these institutions. The findings may spotlight human rights abuses, leading to advocacy for better laws and practices that protect children’s rights. Insights gained from this study might inform policymakers, guiding reforms in juvenile justice systems and ensuring that children's rights are recognized and upheld. Studying their human rights may lead to improved rehabilitation programs that focus on education, mental health, and social skills, aiming to reintegrate children into society positively. The study might raise awareness about children's rights within the community which mat help to foster a more supportive environment for reintegrating young offenders.</w:t>
      </w:r>
      <w:r>
        <w:rPr>
          <w:rFonts w:ascii="Times New Roman" w:hAnsi="Times New Roman" w:eastAsia="Calibri" w:cs="Times New Roman"/>
          <w:sz w:val="24"/>
          <w:szCs w:val="24"/>
        </w:rPr>
        <w:t xml:space="preserve"> </w:t>
      </w:r>
    </w:p>
    <w:p w14:paraId="445DBA88">
      <w:pPr>
        <w:keepNext/>
        <w:keepLines/>
        <w:spacing w:before="240" w:after="0" w:line="360" w:lineRule="auto"/>
        <w:outlineLvl w:val="0"/>
        <w:rPr>
          <w:rFonts w:ascii="Times New Roman" w:hAnsi="Times New Roman" w:eastAsia="Calibri" w:cs="Times New Roman"/>
          <w:b/>
          <w:sz w:val="24"/>
          <w:szCs w:val="24"/>
        </w:rPr>
      </w:pPr>
      <w:bookmarkStart w:id="15" w:name="_Toc203653000"/>
      <w:bookmarkStart w:id="16" w:name="_Toc215206913"/>
      <w:bookmarkStart w:id="17" w:name="_Toc216630068"/>
      <w:r>
        <w:rPr>
          <w:rFonts w:ascii="Times New Roman" w:hAnsi="Times New Roman" w:eastAsia="Calibri" w:cs="Times New Roman"/>
          <w:b/>
          <w:sz w:val="24"/>
          <w:szCs w:val="24"/>
        </w:rPr>
        <w:t>1.4 Theoretical Framework</w:t>
      </w:r>
      <w:bookmarkEnd w:id="15"/>
      <w:bookmarkEnd w:id="16"/>
      <w:bookmarkEnd w:id="17"/>
    </w:p>
    <w:p w14:paraId="24EC4A8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Child welfare theory was used to anchor, guide and position this study. Child welfare theory is integral to understanding the rights of children in reformatories. This theory emphasizes the importance of promoting the well-being of children through protective and supportive measures, recognizing their unique vulnerabilities and developmental needs. Within the context of reformatories, applying child welfare theory encourages a focus on rehabilitation and holistic care rather than punitive measures, aligning with international human rights standards (Hill and Prout, 2021).</w:t>
      </w:r>
    </w:p>
    <w:p w14:paraId="4CBDBAA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background of child welfare theory is rooted in the belief that all children deserve a nurturing environment that supports their physical, emotional, and social development. This perspective is particularly relevant for those in reformatories, as these children often come from challenging backgrounds that may contribute to their behaviors (Rittner and Carnochan, 2020). Through prioritizing the welfare of children, reformatories can provide the necessary support to address the root causes of delinquency, fostering environments conducive to positive growth and rehabilitation.</w:t>
      </w:r>
    </w:p>
    <w:p w14:paraId="374A35B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In practical terms, child welfare theory advocates for a comprehensive assessment of each child's needs, ensuring that interventions are tailored to their specific circumstances. Within reformatories in Zambia, this might involve individualized education plans, mental health support, and opportunities for social engagement (Child Welfare Information Gateway. 2021). These strategies not only respect the rights of children but also empower them to make constructive choices, aligning with their rights to education, protection, and participation in decisions affecting their lives.</w:t>
      </w:r>
    </w:p>
    <w:p w14:paraId="126B93B0">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Moreover, child welfare theory supports the idea that a child’s best interests must be the primary consideration in all actions involving them. This principle is crucial in reformatories, where decisions regarding discipline, education, and rehabilitation should prioritize the child’s developmental needs Child (McGowan, 2019). Through ensuring that children's rights are front and center, these institutions can create policies that reflect compassion and support, ultimately aiding in the successful reintegration of youth into society.</w:t>
      </w:r>
    </w:p>
    <w:p w14:paraId="75B4032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implementation of child welfare principles in reformatories also requires collaboration among various stakeholders, including social workers, educators, and community organizations. Such partnerships can help to create a more holistic approach where children receive a continuum of care, further enhancing their chances for positive outcomes (Hill and Prout, 2021). This aligns with the social service framework that prioritizes protecting and promoting children's rights, especially those in vulnerable positions. This theory was deemed to be fit because it advocates for guiding practices and policies that aim to protect and support vulnerable children and families. </w:t>
      </w:r>
    </w:p>
    <w:p w14:paraId="7062AED5">
      <w:pPr>
        <w:keepNext/>
        <w:keepLines/>
        <w:spacing w:before="240" w:after="0" w:line="360" w:lineRule="auto"/>
        <w:jc w:val="both"/>
        <w:outlineLvl w:val="0"/>
        <w:rPr>
          <w:rFonts w:ascii="Times New Roman" w:hAnsi="Times New Roman" w:eastAsia="Times New Roman" w:cs="Times New Roman"/>
          <w:b/>
          <w:color w:val="000000"/>
          <w:sz w:val="24"/>
          <w:szCs w:val="24"/>
        </w:rPr>
      </w:pPr>
      <w:bookmarkStart w:id="18" w:name="_Toc131361947"/>
      <w:bookmarkStart w:id="19" w:name="_Toc216630072"/>
      <w:bookmarkStart w:id="20" w:name="_Toc203653003"/>
      <w:bookmarkStart w:id="21" w:name="_Toc215206917"/>
      <w:bookmarkStart w:id="22" w:name="_Toc21750"/>
      <w:r>
        <w:rPr>
          <w:rFonts w:ascii="Times New Roman" w:hAnsi="Times New Roman" w:eastAsia="Times New Roman" w:cs="Times New Roman"/>
          <w:b/>
          <w:color w:val="000000"/>
          <w:sz w:val="24"/>
          <w:szCs w:val="24"/>
        </w:rPr>
        <w:t xml:space="preserve">1.5 Literature Review </w:t>
      </w:r>
      <w:bookmarkEnd w:id="18"/>
      <w:bookmarkEnd w:id="19"/>
      <w:bookmarkEnd w:id="20"/>
      <w:bookmarkEnd w:id="21"/>
      <w:bookmarkEnd w:id="22"/>
    </w:p>
    <w:p w14:paraId="018D1CA6">
      <w:pPr>
        <w:pStyle w:val="12"/>
        <w:keepNext/>
        <w:keepLines/>
        <w:numPr>
          <w:ilvl w:val="0"/>
          <w:numId w:val="1"/>
        </w:numPr>
        <w:spacing w:before="240" w:after="0" w:line="360" w:lineRule="auto"/>
        <w:outlineLvl w:val="0"/>
        <w:rPr>
          <w:rFonts w:ascii="Times New Roman" w:hAnsi="Times New Roman" w:eastAsia="Times New Roman" w:cs="Times New Roman"/>
          <w:b/>
          <w:color w:val="000000"/>
          <w:sz w:val="24"/>
          <w:szCs w:val="24"/>
        </w:rPr>
      </w:pPr>
      <w:bookmarkStart w:id="23" w:name="_Toc216630076"/>
      <w:bookmarkStart w:id="24" w:name="_Toc215206921"/>
      <w:bookmarkStart w:id="25" w:name="_Toc203653007"/>
      <w:r>
        <w:rPr>
          <w:rFonts w:ascii="Times New Roman" w:hAnsi="Times New Roman" w:eastAsia="Times New Roman" w:cs="Times New Roman"/>
          <w:b/>
          <w:color w:val="000000"/>
          <w:sz w:val="24"/>
          <w:szCs w:val="24"/>
        </w:rPr>
        <w:t>Human Rights Challenges Faced by Children in Reformatory Centres/Detention</w:t>
      </w:r>
      <w:bookmarkEnd w:id="23"/>
      <w:r>
        <w:rPr>
          <w:rFonts w:ascii="Times New Roman" w:hAnsi="Times New Roman" w:eastAsia="Times New Roman" w:cs="Times New Roman"/>
          <w:b/>
          <w:color w:val="000000"/>
          <w:sz w:val="24"/>
          <w:szCs w:val="24"/>
        </w:rPr>
        <w:t xml:space="preserve"> </w:t>
      </w:r>
    </w:p>
    <w:bookmarkEnd w:id="24"/>
    <w:bookmarkEnd w:id="25"/>
    <w:p w14:paraId="1B3964AF">
      <w:pPr>
        <w:spacing w:after="352"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study done in Thailand, Brazil, Asia, and Oceania highlighted a 57% increase in the global women's prison population since 2000, significantly higher than the 22% increase for men. It finds that women in detention face specific challenges including inadequate gender-responsive healthcare, poor menstrual hygiene management, and higher rates of mental health issues (suicide, self-harm). Limited data on the long-term impact of detention on children living with incarcerated mothers and inadequate implementation of gender-responsive alternatives to detention (PRI &amp; TIJ, Global Prison Trends 2025). According to Gjøsund et al., (2024) investigated on breaking down barriers to mental healthcare access in prison. The study explored individual and systemic barriers for male prisoners. Key findings indicate that distrust in the system, slow referral routines, and the "prison mask" (need to appear strong) are major barriers to seeking care. Incarcerated individuals are reluctant to seek help unless it's for physical or drug-related problems, often relying on peers rather than professionals. The study revealed there is less knowledge about the situation in low- and middle-income countries; this study focuses on a high-income, Scandinavian context.</w:t>
      </w:r>
    </w:p>
    <w:p w14:paraId="3F2BF795">
      <w:pPr>
        <w:spacing w:after="352"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UK Ministry of Justice, (2025) shows that prisoners in overcrowded cells are 19% more likely to be involved in an assault over a one-year period compared to those in cells that are not overcrowded. It highlights that overcrowded conditions reduce space for rehabilitation, strain prison staff resources, and increase mental health distress. The analysis focuses on public sector prisons, with limited coverage of private, contracted facilities, and suggests further research into the impact of specific, high-turnover prisons. In Ghana (Selected prison facilities) Baffoe-Bonnie, et al. (2024) found that extreme overcrowding leads to severe shortages of basic resources, inadequate healthcare staffing, and limited access to essential drugs. Inmates reported poor nutrition, limited ventilation, and high stress, which aggravated existing health conditions. While some in-prison healthcare staff were seen as trying their best, the sheer number of inmates made it impossible to provide quality care. The research identified a major gap in the ability to provide specialized care for non-communicable diseases and chronic conditions, which are rising in the prison population.</w:t>
      </w:r>
    </w:p>
    <w:p w14:paraId="3C272980">
      <w:pPr>
        <w:spacing w:after="352"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study in West and Central Africa (13 countries, including Benin, Burkina Faso, Cameroon, Ghana, Mali). The comparative study found that migrant detention is used as a default response rather than a last resort. Key challenges include the lack of clear, gender-sensitive, and child-sensitive approaches in national legislation. There is a major disconnect between regional agreements (e.g., ECOWAS) that favor free movement and national laws that often allow for arbitrary detention of migrants. The study identified a critical lack of alternatives to detention, such as bail, regular reporting, or community placement, which are only sporadically used International Organization for Migration (IOM). 2024). A survey by Avocats Sans Frontières (ASF). (2023) reported that the penitentiary system is overwhelmed by a lack of resources and capacity. The study highlights the excessive use of pre-trial detention (remand), with many individuals held for prolonged periods without appearing before a judge. The report notes a severe lack of judicial follow-up on cases, causing extreme overcrowding and leading to inhumane conditions, including lack of clean food and adequate sanitation.</w:t>
      </w:r>
    </w:p>
    <w:p w14:paraId="4A8553BB">
      <w:pPr>
        <w:spacing w:after="352"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Research by Sibisi, Masuku and Mphatheni, (2024) in South Africa indicates that shortly before the pandemic, facilities were 37% congested, housing over 162,000 inmates in spaces designed for 118,572. Overcrowding made social distancing impossible, turning prisons into COVID-19 hotspots. Inmates with underlying conditions like HIV and TB were highly vulnerable due to poor ventilation and lack of sanitation. The study showed that prisons suffered a "material crisis" involving a shortage of beds, leading inmates to sleep on floors near pests like rats. The study highlights a critical lack of up-to-date, reliable data on incarcerated populations, which hindered effective government responses during the health crisis. In Malawi a study indicated that male youths are at high risk of sexual violence and victimization when housed with adult offenders due to a lack of separation. 100% of sentenced young men (under 21) in the audit lacked legal representation at trial, often remaining in detention longer than legally permitted. The study showed that common challenges included poor sanitation, lack of potable water, and insufficient food and bedding. Existing research lacks a large enough sample size to generalize findings across all age groups and genders; there is a specific need for mixed-methods research that includes more female and older participants (Nkambule, Wella and Mbakaya, 2023). </w:t>
      </w:r>
    </w:p>
    <w:p w14:paraId="1ECF6E4E">
      <w:pPr>
        <w:spacing w:after="352"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Scholars such as Goredema, (2022) detention centers face chronic water shortages, power outages, and a severe lack of medicines and adequate ventilation. The standard of care is heavily reliant on non-governmental and faith-based organizations to provide basic PPE and medication, as government resourcing is insufficient. Overcrowding is exacerbated by outdated infrastructure and massive backlogs in the judicial system. There is a lack of transparency regarding prison audits; the Zimbabwe Prisons and Correctional Service (ZPCS) inspection unit rarely releases official assessment results to the public. Researchers such as Mundende, Daka and Mbewe, (2022) explored on challenges and prospects of education in correctional facilities in Zambia. The study focused on one facility in Lusaka and two in Central province, covering male/female inmates. The study revealed that despite legal mandates (Prisons Act, Chapter 97) requiring education for prisoners, education is not inclusive or adequately provided. Main challenges included a severe lack of teaching materials, lack of training for educator inmates, insufficient government funding, and poor infrastructure. A significant gap exists between policy (the law mandate) and implementation, leading to the continued marginalization of inmates despite potential support from NGOs.</w:t>
      </w:r>
    </w:p>
    <w:p w14:paraId="77BB1674">
      <w:pPr>
        <w:keepNext/>
        <w:keepLines/>
        <w:spacing w:before="240" w:after="0" w:line="360" w:lineRule="auto"/>
        <w:outlineLvl w:val="0"/>
        <w:rPr>
          <w:rFonts w:ascii="Times New Roman" w:hAnsi="Times New Roman" w:eastAsia="Times New Roman" w:cs="Times New Roman"/>
          <w:b/>
          <w:sz w:val="24"/>
          <w:szCs w:val="24"/>
        </w:rPr>
      </w:pPr>
      <w:bookmarkStart w:id="26" w:name="_Toc114237558"/>
      <w:bookmarkStart w:id="27" w:name="_Toc208570044"/>
      <w:bookmarkStart w:id="28" w:name="_Toc131361958"/>
      <w:bookmarkStart w:id="29" w:name="_Toc216630091"/>
      <w:bookmarkStart w:id="30" w:name="_Toc204854978"/>
      <w:bookmarkStart w:id="31" w:name="_Toc213677377"/>
      <w:r>
        <w:rPr>
          <w:rFonts w:ascii="Times New Roman" w:hAnsi="Times New Roman" w:eastAsia="Times New Roman" w:cs="Times New Roman"/>
          <w:b/>
          <w:sz w:val="24"/>
          <w:szCs w:val="24"/>
        </w:rPr>
        <w:t>1.6 Methodology</w:t>
      </w:r>
      <w:bookmarkEnd w:id="26"/>
      <w:bookmarkEnd w:id="27"/>
      <w:bookmarkEnd w:id="28"/>
      <w:bookmarkEnd w:id="29"/>
      <w:bookmarkEnd w:id="30"/>
      <w:bookmarkEnd w:id="31"/>
    </w:p>
    <w:p w14:paraId="7C966BE2">
      <w:pPr>
        <w:keepNext/>
        <w:keepLines/>
        <w:spacing w:before="240" w:after="0" w:line="360" w:lineRule="auto"/>
        <w:outlineLvl w:val="0"/>
        <w:rPr>
          <w:rFonts w:ascii="Times New Roman" w:hAnsi="Times New Roman" w:eastAsia="Times New Roman" w:cs="Times New Roman"/>
          <w:b/>
          <w:sz w:val="24"/>
          <w:szCs w:val="24"/>
        </w:rPr>
      </w:pPr>
      <w:bookmarkStart w:id="32" w:name="_Toc65477213"/>
      <w:bookmarkStart w:id="33" w:name="_Toc216630093"/>
      <w:bookmarkStart w:id="34" w:name="_Toc86698966"/>
      <w:bookmarkStart w:id="35" w:name="_Toc131361960"/>
      <w:bookmarkStart w:id="36" w:name="_Toc213677379"/>
      <w:bookmarkStart w:id="37" w:name="_Toc204854980"/>
      <w:bookmarkStart w:id="38" w:name="_Toc118301002"/>
      <w:bookmarkStart w:id="39" w:name="_Toc85176680"/>
      <w:bookmarkStart w:id="40" w:name="_Toc208570046"/>
      <w:r>
        <w:rPr>
          <w:rFonts w:ascii="Times New Roman" w:hAnsi="Times New Roman" w:eastAsia="Times New Roman" w:cs="Times New Roman"/>
          <w:b/>
          <w:sz w:val="24"/>
          <w:szCs w:val="24"/>
        </w:rPr>
        <w:t xml:space="preserve">Research </w:t>
      </w:r>
      <w:bookmarkEnd w:id="32"/>
      <w:r>
        <w:rPr>
          <w:rFonts w:ascii="Times New Roman" w:hAnsi="Times New Roman" w:eastAsia="Times New Roman" w:cs="Times New Roman"/>
          <w:b/>
          <w:sz w:val="24"/>
          <w:szCs w:val="24"/>
        </w:rPr>
        <w:t>Paradigm</w:t>
      </w:r>
      <w:bookmarkEnd w:id="33"/>
      <w:bookmarkEnd w:id="34"/>
      <w:bookmarkEnd w:id="35"/>
      <w:bookmarkEnd w:id="36"/>
      <w:bookmarkEnd w:id="37"/>
      <w:bookmarkEnd w:id="38"/>
      <w:bookmarkEnd w:id="39"/>
      <w:bookmarkEnd w:id="40"/>
    </w:p>
    <w:p w14:paraId="1807ED6F">
      <w:pPr>
        <w:spacing w:after="166" w:line="360" w:lineRule="auto"/>
        <w:ind w:left="10" w:right="8" w:hanging="10"/>
        <w:jc w:val="both"/>
        <w:rPr>
          <w:rFonts w:ascii="Times New Roman" w:hAnsi="Times New Roman" w:eastAsia="Times New Roman" w:cs="Times New Roman"/>
          <w:color w:val="000000"/>
          <w:sz w:val="24"/>
          <w:szCs w:val="24"/>
          <w:shd w:val="clear" w:color="auto" w:fill="FFFFFF"/>
        </w:rPr>
      </w:pPr>
      <w:r>
        <w:rPr>
          <w:rFonts w:ascii="Times New Roman" w:hAnsi="Times New Roman" w:eastAsia="Times New Roman" w:cs="Times New Roman"/>
          <w:color w:val="000000"/>
          <w:sz w:val="24"/>
          <w:szCs w:val="24"/>
          <w:shd w:val="clear" w:color="auto" w:fill="FFFFFF"/>
        </w:rPr>
        <w:t xml:space="preserve">This study utilized interpretisim paradigm. Interpretivism is a research paradigm that emphasizes the understanding of social phenomena through the subjective interpretations and experiences of individuals. The justification for using interpretivism paradigm is that it allows researchers to explore the context in which social phenomena occur, enabling a deeper understanding of participants' experiences and cultural influences. It also recognizes the importance of personal perspectives and emotions, helping to capture the nuances of human behavior. </w:t>
      </w:r>
    </w:p>
    <w:p w14:paraId="26DAEBFB">
      <w:pPr>
        <w:keepNext/>
        <w:keepLines/>
        <w:spacing w:before="240" w:after="0" w:line="360" w:lineRule="auto"/>
        <w:outlineLvl w:val="0"/>
        <w:rPr>
          <w:rFonts w:ascii="Times New Roman" w:hAnsi="Times New Roman" w:eastAsia="SimSun" w:cs="Times New Roman"/>
          <w:b/>
          <w:sz w:val="24"/>
          <w:szCs w:val="24"/>
        </w:rPr>
      </w:pPr>
      <w:bookmarkStart w:id="41" w:name="_Toc204854981"/>
      <w:bookmarkStart w:id="42" w:name="_Toc216630094"/>
      <w:bookmarkStart w:id="43" w:name="_Toc213677380"/>
      <w:bookmarkStart w:id="44" w:name="_Toc208570047"/>
      <w:bookmarkStart w:id="45" w:name="_Toc193958290"/>
      <w:bookmarkStart w:id="46" w:name="_Toc164710306"/>
      <w:r>
        <w:rPr>
          <w:rFonts w:ascii="Times New Roman" w:hAnsi="Times New Roman" w:eastAsia="SimSun" w:cs="Times New Roman"/>
          <w:b/>
          <w:sz w:val="24"/>
          <w:szCs w:val="24"/>
        </w:rPr>
        <w:t>Research Approach</w:t>
      </w:r>
      <w:bookmarkEnd w:id="41"/>
      <w:bookmarkEnd w:id="42"/>
      <w:bookmarkEnd w:id="43"/>
      <w:bookmarkEnd w:id="44"/>
      <w:bookmarkEnd w:id="45"/>
      <w:bookmarkEnd w:id="46"/>
      <w:r>
        <w:rPr>
          <w:rFonts w:ascii="Times New Roman" w:hAnsi="Times New Roman" w:eastAsia="SimSun" w:cs="Times New Roman"/>
          <w:b/>
          <w:sz w:val="24"/>
          <w:szCs w:val="24"/>
        </w:rPr>
        <w:t xml:space="preserve"> </w:t>
      </w:r>
    </w:p>
    <w:p w14:paraId="7CD997CA">
      <w:pPr>
        <w:spacing w:after="166" w:line="360" w:lineRule="auto"/>
        <w:ind w:left="10" w:right="8" w:hanging="10"/>
        <w:jc w:val="both"/>
        <w:rPr>
          <w:rFonts w:ascii="Times New Roman" w:hAnsi="Times New Roman" w:eastAsia="Times New Roman" w:cs="Times New Roman"/>
          <w:color w:val="000000"/>
          <w:sz w:val="24"/>
          <w:szCs w:val="24"/>
          <w:shd w:val="clear" w:color="auto" w:fill="FFFFFF"/>
        </w:rPr>
      </w:pPr>
      <w:r>
        <w:rPr>
          <w:rFonts w:ascii="Times New Roman" w:hAnsi="Times New Roman" w:eastAsia="Times New Roman" w:cs="Times New Roman"/>
          <w:color w:val="000000"/>
          <w:sz w:val="24"/>
          <w:szCs w:val="24"/>
          <w:shd w:val="clear" w:color="auto" w:fill="FFFFFF"/>
        </w:rPr>
        <w:t xml:space="preserve">In this study, qualitative research approach was used. Qualitative research is a method of inquiry that focuses on exploring and understanding the meaning individuals or groups ascribe to social or human experiences. It utilizes various data collection techniques, such as interviews, focus groups, observations, and open-ended surveys, to gather rich, in-depth insights. This approach is often exploratory and aims to capture the complexities of human behavior, thoughts, emotions and social contexts. </w:t>
      </w:r>
      <w:r>
        <w:rPr>
          <w:rFonts w:ascii="Times New Roman" w:hAnsi="Times New Roman" w:eastAsia="Calibri" w:cs="Times New Roman"/>
          <w:sz w:val="24"/>
          <w:szCs w:val="24"/>
        </w:rPr>
        <w:t xml:space="preserve">The justification for using this method is that </w:t>
      </w:r>
      <w:r>
        <w:rPr>
          <w:rFonts w:ascii="Times New Roman" w:hAnsi="Times New Roman" w:eastAsia="Times New Roman" w:cs="Times New Roman"/>
          <w:color w:val="000000"/>
          <w:sz w:val="24"/>
          <w:szCs w:val="24"/>
          <w:shd w:val="clear" w:color="auto" w:fill="FFFFFF"/>
        </w:rPr>
        <w:t xml:space="preserve">it allows for an in-depth understanding of the context, enabling researchers to grasp the nuances of social phenomena. It is well-suited for studying complex issues or phenomena that cannot be easily quantified, such as emotions, beliefs, and motivations thus it was deemed to be fit in this study. </w:t>
      </w:r>
    </w:p>
    <w:p w14:paraId="0BCCA918">
      <w:pPr>
        <w:keepNext/>
        <w:keepLines/>
        <w:spacing w:before="240" w:after="0" w:line="360" w:lineRule="auto"/>
        <w:outlineLvl w:val="0"/>
        <w:rPr>
          <w:rFonts w:ascii="Times New Roman" w:hAnsi="Times New Roman" w:eastAsia="Times New Roman" w:cs="Times New Roman"/>
          <w:b/>
          <w:sz w:val="24"/>
          <w:szCs w:val="24"/>
        </w:rPr>
      </w:pPr>
      <w:bookmarkStart w:id="47" w:name="_Toc131361961"/>
      <w:bookmarkStart w:id="48" w:name="_Toc114237560"/>
      <w:bookmarkStart w:id="49" w:name="_Toc213677381"/>
      <w:bookmarkStart w:id="50" w:name="_Toc208570048"/>
      <w:bookmarkStart w:id="51" w:name="_Toc204854982"/>
      <w:bookmarkStart w:id="52" w:name="_Toc216630095"/>
      <w:r>
        <w:rPr>
          <w:rFonts w:ascii="Times New Roman" w:hAnsi="Times New Roman" w:eastAsia="Times New Roman" w:cs="Times New Roman"/>
          <w:b/>
          <w:sz w:val="24"/>
          <w:szCs w:val="24"/>
        </w:rPr>
        <w:t>Research Design</w:t>
      </w:r>
      <w:bookmarkEnd w:id="47"/>
      <w:bookmarkEnd w:id="48"/>
      <w:bookmarkEnd w:id="49"/>
      <w:bookmarkEnd w:id="50"/>
      <w:bookmarkEnd w:id="51"/>
      <w:bookmarkEnd w:id="52"/>
    </w:p>
    <w:p w14:paraId="505B3350">
      <w:pPr>
        <w:spacing w:after="166" w:line="360" w:lineRule="auto"/>
        <w:ind w:left="10" w:right="8" w:hanging="1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 this study, a qualitative descriptive design was employed. A descriptive research refers to research studies that have their main objective the accurate portrayal of the characteristics of persons, situations or groups. The descriptive approach in data collection gives the ability to collect accurate data on and provide a clear picture of the phenomenon under study. The essence of a qualitative descriptive research design is first to state the status quo, then formulating important principles of knowledge and later provides solutions to the problem.</w:t>
      </w:r>
    </w:p>
    <w:p w14:paraId="7C7198D4">
      <w:pPr>
        <w:keepNext/>
        <w:keepLines/>
        <w:spacing w:before="240" w:after="0" w:line="360" w:lineRule="auto"/>
        <w:outlineLvl w:val="0"/>
        <w:rPr>
          <w:rFonts w:ascii="Times New Roman" w:hAnsi="Times New Roman" w:eastAsia="SimSun" w:cs="Times New Roman"/>
          <w:b/>
          <w:sz w:val="24"/>
          <w:szCs w:val="24"/>
        </w:rPr>
      </w:pPr>
      <w:bookmarkStart w:id="53" w:name="_Toc213677382"/>
      <w:bookmarkStart w:id="54" w:name="_Toc164710309"/>
      <w:bookmarkStart w:id="55" w:name="_Toc189229215"/>
      <w:bookmarkStart w:id="56" w:name="_Toc202179355"/>
      <w:bookmarkStart w:id="57" w:name="_Toc130887315"/>
      <w:bookmarkStart w:id="58" w:name="_Toc216630096"/>
      <w:bookmarkStart w:id="59" w:name="_Toc209775873"/>
      <w:r>
        <w:rPr>
          <w:rFonts w:ascii="Times New Roman" w:hAnsi="Times New Roman" w:eastAsia="SimSun" w:cs="Times New Roman"/>
          <w:b/>
          <w:sz w:val="24"/>
          <w:szCs w:val="24"/>
        </w:rPr>
        <w:t>Target Population</w:t>
      </w:r>
      <w:bookmarkEnd w:id="53"/>
      <w:bookmarkEnd w:id="54"/>
      <w:bookmarkEnd w:id="55"/>
      <w:bookmarkEnd w:id="56"/>
      <w:bookmarkEnd w:id="57"/>
      <w:bookmarkEnd w:id="58"/>
      <w:bookmarkEnd w:id="59"/>
      <w:r>
        <w:rPr>
          <w:rFonts w:ascii="Times New Roman" w:hAnsi="Times New Roman" w:eastAsia="SimSun" w:cs="Times New Roman"/>
          <w:b/>
          <w:sz w:val="24"/>
          <w:szCs w:val="24"/>
        </w:rPr>
        <w:t xml:space="preserve">, </w:t>
      </w:r>
      <w:r>
        <w:rPr>
          <w:rFonts w:ascii="Times New Roman" w:hAnsi="Times New Roman" w:eastAsia="Times New Roman" w:cs="Times New Roman"/>
          <w:b/>
          <w:color w:val="000000"/>
          <w:sz w:val="24"/>
          <w:szCs w:val="24"/>
        </w:rPr>
        <w:t>Sample size and Sampling Procedure</w:t>
      </w:r>
    </w:p>
    <w:p w14:paraId="3B16D105">
      <w:pPr>
        <w:spacing w:line="360" w:lineRule="auto"/>
        <w:jc w:val="both"/>
        <w:rPr>
          <w:rFonts w:ascii="Times New Roman" w:hAnsi="Times New Roman" w:eastAsia="Times New Roman" w:cs="Times New Roman"/>
          <w:color w:val="000000"/>
          <w:sz w:val="24"/>
          <w:szCs w:val="24"/>
        </w:rPr>
      </w:pPr>
      <w:r>
        <w:rPr>
          <w:rFonts w:ascii="Times New Roman" w:hAnsi="Times New Roman" w:eastAsia="Calibri" w:cs="Times New Roman"/>
          <w:color w:val="000000"/>
          <w:sz w:val="24"/>
          <w:szCs w:val="24"/>
        </w:rPr>
        <w:t xml:space="preserve">The target population of the study included; collection officers, parents and teachers. </w:t>
      </w:r>
      <w:r>
        <w:rPr>
          <w:rFonts w:ascii="Times New Roman" w:hAnsi="Times New Roman" w:eastAsia="Times New Roman" w:cs="Times New Roman"/>
          <w:color w:val="000000"/>
          <w:sz w:val="24"/>
          <w:szCs w:val="24"/>
        </w:rPr>
        <w:t>The sample size consisted of</w:t>
      </w:r>
      <w:r>
        <w:rPr>
          <w:rFonts w:ascii="Times New Roman" w:hAnsi="Times New Roman" w:eastAsia="Calibri" w:cs="Times New Roman"/>
          <w:color w:val="000000"/>
          <w:sz w:val="24"/>
          <w:szCs w:val="24"/>
        </w:rPr>
        <w:t xml:space="preserve"> 15 </w:t>
      </w:r>
      <w:r>
        <w:rPr>
          <w:rFonts w:ascii="Times New Roman" w:hAnsi="Times New Roman" w:eastAsia="Times New Roman" w:cs="Times New Roman"/>
          <w:color w:val="000000"/>
          <w:sz w:val="24"/>
          <w:szCs w:val="24"/>
        </w:rPr>
        <w:t xml:space="preserve">participants broken down as follows: </w:t>
      </w:r>
      <w:bookmarkStart w:id="60" w:name="_Toc131361964"/>
      <w:bookmarkStart w:id="61" w:name="_Toc208570050"/>
      <w:bookmarkStart w:id="62" w:name="_Toc204854984"/>
      <w:bookmarkStart w:id="63" w:name="_Toc114237564"/>
      <w:r>
        <w:rPr>
          <w:rFonts w:ascii="Times New Roman" w:hAnsi="Times New Roman" w:eastAsia="Times New Roman" w:cs="Times New Roman"/>
          <w:color w:val="000000"/>
          <w:sz w:val="24"/>
          <w:szCs w:val="24"/>
        </w:rPr>
        <w:t xml:space="preserve">five (5) </w:t>
      </w:r>
      <w:r>
        <w:rPr>
          <w:rFonts w:ascii="Times New Roman" w:hAnsi="Times New Roman" w:eastAsia="Calibri" w:cs="Times New Roman"/>
          <w:color w:val="000000"/>
          <w:sz w:val="24"/>
          <w:szCs w:val="24"/>
        </w:rPr>
        <w:t>collection officers, five (5) parents and five (5) teachers</w:t>
      </w:r>
      <w:r>
        <w:rPr>
          <w:rFonts w:ascii="Times New Roman" w:hAnsi="Times New Roman" w:eastAsia="Times New Roman" w:cs="Times New Roman"/>
          <w:color w:val="000000"/>
          <w:sz w:val="24"/>
          <w:szCs w:val="24"/>
        </w:rPr>
        <w:t>.</w:t>
      </w:r>
      <w:bookmarkEnd w:id="60"/>
      <w:bookmarkEnd w:id="61"/>
      <w:bookmarkEnd w:id="62"/>
      <w:bookmarkEnd w:id="63"/>
      <w:r>
        <w:rPr>
          <w:rFonts w:ascii="Times New Roman" w:hAnsi="Times New Roman" w:eastAsia="Times New Roman" w:cs="Times New Roman"/>
          <w:color w:val="000000"/>
          <w:sz w:val="24"/>
          <w:szCs w:val="24"/>
        </w:rPr>
        <w:t xml:space="preserve"> In this study heterogeneous and convenient sampling was utilized. The reason for using both samplings was that it allows researchers to select specific individuals who have particular characteristics or experiences relevant to the study. This targeted approach ensures that the data collected directly addresses the research questions. </w:t>
      </w:r>
    </w:p>
    <w:p w14:paraId="6B03FE8D">
      <w:pPr>
        <w:keepNext/>
        <w:keepLines/>
        <w:spacing w:before="240" w:after="0" w:line="360" w:lineRule="auto"/>
        <w:outlineLvl w:val="0"/>
        <w:rPr>
          <w:rFonts w:ascii="Times New Roman" w:hAnsi="Times New Roman" w:eastAsia="Times New Roman" w:cs="Times New Roman"/>
          <w:b/>
          <w:sz w:val="24"/>
          <w:szCs w:val="24"/>
        </w:rPr>
      </w:pPr>
      <w:bookmarkStart w:id="64" w:name="_Toc131361967"/>
      <w:bookmarkStart w:id="65" w:name="_Toc216630103"/>
      <w:bookmarkStart w:id="66" w:name="_Toc204854990"/>
      <w:bookmarkStart w:id="67" w:name="_Toc208570057"/>
      <w:bookmarkStart w:id="68" w:name="_Toc114237567"/>
      <w:bookmarkStart w:id="69" w:name="_Toc213677389"/>
      <w:r>
        <w:rPr>
          <w:rFonts w:ascii="Times New Roman" w:hAnsi="Times New Roman" w:eastAsia="Times New Roman" w:cs="Times New Roman"/>
          <w:b/>
          <w:sz w:val="24"/>
          <w:szCs w:val="24"/>
        </w:rPr>
        <w:t>Data Analysis</w:t>
      </w:r>
      <w:bookmarkEnd w:id="64"/>
      <w:bookmarkEnd w:id="65"/>
      <w:bookmarkEnd w:id="66"/>
      <w:bookmarkEnd w:id="67"/>
      <w:bookmarkEnd w:id="68"/>
      <w:bookmarkEnd w:id="69"/>
    </w:p>
    <w:p w14:paraId="533EE5CC">
      <w:pPr>
        <w:spacing w:after="166" w:line="360" w:lineRule="auto"/>
        <w:ind w:left="10" w:right="8" w:hanging="1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This study employed thematic analysis, a qualitative research method used to identify, analyze, and interpret patterns of shared meaning (themes) within a specific data set, which may include interviews, focus group discussions, surveys, or other textual data. It allows researchers to convert data into a coherent narrative. Information collected from audio recordings and mobile phone interviews were transcribed after a thorough review of the text files and recordings for overall understanding. Thematic analysis was particularly beneficial for research aimed at comprehending people's views, opinions, knowledge, experiences, or values from qualitative data (Braun and Clarke, 2019). Common themes were identified and arranged into data categories. Pertinent information was labeled and grouped according to these categories. The data was then distilled to its fundamental essence, with significant and impactful quotes emphasized and presented verbatim. Codes that align with the study's objectives were identified, leading to a thematic analysis. The figure below summarizes the steps involved in analyzing the qualitative data, summarizing the process of using thematic analysis.</w:t>
      </w:r>
    </w:p>
    <w:p w14:paraId="2A1025E6">
      <w:pPr>
        <w:spacing w:after="166" w:line="360" w:lineRule="auto"/>
        <w:ind w:left="10" w:right="8" w:hanging="10"/>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drawing>
          <wp:inline distT="0" distB="0" distL="0" distR="0">
            <wp:extent cx="4625340" cy="22631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l="8875" t="44215" r="51446" b="9570"/>
                    <a:stretch>
                      <a:fillRect/>
                    </a:stretch>
                  </pic:blipFill>
                  <pic:spPr>
                    <a:xfrm>
                      <a:off x="0" y="0"/>
                      <a:ext cx="4625340" cy="2263140"/>
                    </a:xfrm>
                    <a:prstGeom prst="rect">
                      <a:avLst/>
                    </a:prstGeom>
                    <a:noFill/>
                    <a:ln>
                      <a:noFill/>
                    </a:ln>
                  </pic:spPr>
                </pic:pic>
              </a:graphicData>
            </a:graphic>
          </wp:inline>
        </w:drawing>
      </w:r>
    </w:p>
    <w:p w14:paraId="6A8A6FC4">
      <w:pPr>
        <w:keepNext/>
        <w:keepLines/>
        <w:spacing w:before="240" w:after="0" w:line="360" w:lineRule="auto"/>
        <w:outlineLvl w:val="0"/>
        <w:rPr>
          <w:rFonts w:ascii="Times New Roman" w:hAnsi="Times New Roman" w:eastAsia="Times New Roman" w:cs="Times New Roman"/>
          <w:b/>
          <w:sz w:val="24"/>
          <w:szCs w:val="24"/>
        </w:rPr>
      </w:pPr>
      <w:bookmarkStart w:id="70" w:name="_Toc131361969"/>
      <w:bookmarkStart w:id="71" w:name="_Toc216630105"/>
      <w:bookmarkStart w:id="72" w:name="_Toc213677391"/>
      <w:bookmarkStart w:id="73" w:name="_Toc208570059"/>
      <w:bookmarkStart w:id="74" w:name="_Toc114237569"/>
      <w:bookmarkStart w:id="75" w:name="_Toc204854992"/>
      <w:r>
        <w:rPr>
          <w:rFonts w:ascii="Times New Roman" w:hAnsi="Times New Roman" w:eastAsia="Times New Roman" w:cs="Times New Roman"/>
          <w:b/>
          <w:sz w:val="24"/>
          <w:szCs w:val="24"/>
        </w:rPr>
        <w:t>Ethical Considerations</w:t>
      </w:r>
      <w:bookmarkEnd w:id="70"/>
      <w:bookmarkEnd w:id="71"/>
      <w:bookmarkEnd w:id="72"/>
      <w:bookmarkEnd w:id="73"/>
      <w:bookmarkEnd w:id="74"/>
      <w:bookmarkEnd w:id="75"/>
    </w:p>
    <w:p w14:paraId="6503EC02">
      <w:pPr>
        <w:spacing w:after="166" w:line="360" w:lineRule="auto"/>
        <w:ind w:left="10" w:right="8" w:hanging="1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Ethics The researchers strictly adhered to ethical guidelines, ensuring voluntary participation, confidentiality, and the right to privacy, all while minimizing disruption to the daily operations of the involved universities and education offices. Informed consent was secured from all participants, who were fully briefed and debriefed regarding the study’s purpose, which was solely academic. To guarantee anonymity, pseudonyms were used in place of real names in the findings, and the researchers took precautions to protect participants from any potential harm.</w:t>
      </w:r>
    </w:p>
    <w:p w14:paraId="5CB04536">
      <w:pPr>
        <w:spacing w:line="360" w:lineRule="auto"/>
        <w:jc w:val="both"/>
        <w:rPr>
          <w:rFonts w:ascii="Times New Roman" w:hAnsi="Times New Roman" w:cs="Times New Roman"/>
          <w:b/>
          <w:sz w:val="24"/>
          <w:szCs w:val="24"/>
        </w:rPr>
      </w:pPr>
      <w:r>
        <w:rPr>
          <w:rFonts w:ascii="Times New Roman" w:hAnsi="Times New Roman" w:cs="Times New Roman"/>
          <w:b/>
          <w:sz w:val="24"/>
          <w:szCs w:val="24"/>
        </w:rPr>
        <w:t>1.7 Results and Discussion</w:t>
      </w:r>
    </w:p>
    <w:p w14:paraId="17B24E6D">
      <w:pPr>
        <w:keepNext/>
        <w:keepLines/>
        <w:spacing w:before="240" w:after="0" w:line="360" w:lineRule="auto"/>
        <w:jc w:val="both"/>
        <w:outlineLvl w:val="0"/>
        <w:rPr>
          <w:rFonts w:ascii="Times New Roman" w:hAnsi="Times New Roman" w:eastAsia="SimSun" w:cs="Times New Roman"/>
          <w:b/>
          <w:color w:val="000000"/>
          <w:sz w:val="24"/>
          <w:szCs w:val="24"/>
          <w:lang w:val="en-ZA" w:eastAsia="en-ZA"/>
        </w:rPr>
      </w:pPr>
      <w:bookmarkStart w:id="76" w:name="_Toc216630110"/>
      <w:r>
        <w:rPr>
          <w:rFonts w:ascii="Times New Roman" w:hAnsi="Times New Roman" w:cs="Times New Roman"/>
          <w:sz w:val="24"/>
          <w:szCs w:val="24"/>
        </w:rPr>
        <w:t>The study focused on establishing the on major Human Rights challenges children faced in reformatory centres/detention. One on one interviews guide was used to collect data. The study revealed that there are major Human Rights challenges children faced in reformatory centres/detention as presented below</w:t>
      </w:r>
    </w:p>
    <w:p w14:paraId="33514874">
      <w:pPr>
        <w:keepNext/>
        <w:keepLines/>
        <w:spacing w:before="240" w:after="0" w:line="360" w:lineRule="auto"/>
        <w:jc w:val="both"/>
        <w:outlineLvl w:val="0"/>
        <w:rPr>
          <w:rFonts w:ascii="Times New Roman" w:hAnsi="Times New Roman" w:eastAsia="Calibri" w:cs="Times New Roman"/>
          <w:b/>
          <w:color w:val="000000"/>
          <w:sz w:val="24"/>
          <w:szCs w:val="24"/>
          <w:lang w:val="en-GB"/>
        </w:rPr>
      </w:pPr>
      <w:r>
        <w:rPr>
          <w:rFonts w:ascii="Times New Roman" w:hAnsi="Times New Roman" w:eastAsia="SimSun" w:cs="Times New Roman"/>
          <w:b/>
          <w:color w:val="000000"/>
          <w:sz w:val="24"/>
          <w:szCs w:val="24"/>
          <w:lang w:val="en-ZA" w:eastAsia="en-ZA"/>
        </w:rPr>
        <w:t>Major Human Rights Challenges Children Face in Reformatory Centres</w:t>
      </w:r>
      <w:bookmarkEnd w:id="76"/>
    </w:p>
    <w:p w14:paraId="3643A693">
      <w:pPr>
        <w:keepNext/>
        <w:keepLines/>
        <w:spacing w:before="240" w:after="0" w:line="360" w:lineRule="auto"/>
        <w:jc w:val="both"/>
        <w:outlineLvl w:val="0"/>
        <w:rPr>
          <w:rFonts w:ascii="Times New Roman" w:hAnsi="Times New Roman" w:eastAsia="SimSun" w:cs="Times New Roman"/>
          <w:b/>
          <w:color w:val="000000"/>
          <w:sz w:val="24"/>
          <w:szCs w:val="24"/>
        </w:rPr>
      </w:pPr>
      <w:bookmarkStart w:id="77" w:name="_Toc216630111"/>
      <w:r>
        <w:rPr>
          <w:rFonts w:ascii="Times New Roman" w:hAnsi="Times New Roman" w:eastAsia="SimSun" w:cs="Times New Roman"/>
          <w:b/>
          <w:color w:val="000000"/>
          <w:sz w:val="24"/>
          <w:szCs w:val="24"/>
        </w:rPr>
        <w:t>Right to Movement</w:t>
      </w:r>
      <w:bookmarkEnd w:id="77"/>
    </w:p>
    <w:p w14:paraId="5E921E6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study reviewed that children in these facilities face strict rules that limit their ability to move freely, even within the facility. </w:t>
      </w:r>
    </w:p>
    <w:p w14:paraId="64A1CFE2">
      <w:pPr>
        <w:spacing w:line="360" w:lineRule="auto"/>
        <w:ind w:left="1440"/>
        <w:jc w:val="both"/>
        <w:rPr>
          <w:rFonts w:ascii="Times New Roman" w:hAnsi="Times New Roman" w:eastAsia="Calibri" w:cs="Times New Roman"/>
          <w:i/>
          <w:sz w:val="24"/>
          <w:szCs w:val="24"/>
        </w:rPr>
      </w:pPr>
      <w:r>
        <w:rPr>
          <w:rFonts w:ascii="Times New Roman" w:hAnsi="Times New Roman" w:eastAsia="Calibri" w:cs="Times New Roman"/>
          <w:i/>
          <w:sz w:val="24"/>
          <w:szCs w:val="24"/>
        </w:rPr>
        <w:t>“Detained children may have limited access to their families and communities. This isolation hinder their emotional well-being and social development, as they lack support systems that are vital for their growth.”</w:t>
      </w:r>
    </w:p>
    <w:p w14:paraId="3160CFBF">
      <w:pPr>
        <w:spacing w:line="360" w:lineRule="auto"/>
        <w:ind w:left="1440"/>
        <w:jc w:val="both"/>
        <w:rPr>
          <w:rFonts w:ascii="Times New Roman" w:hAnsi="Times New Roman" w:eastAsia="Calibri" w:cs="Times New Roman"/>
          <w:i/>
          <w:sz w:val="24"/>
          <w:szCs w:val="24"/>
        </w:rPr>
      </w:pPr>
      <w:r>
        <w:rPr>
          <w:rFonts w:ascii="Times New Roman" w:hAnsi="Times New Roman" w:eastAsia="Calibri" w:cs="Times New Roman"/>
          <w:i/>
          <w:sz w:val="24"/>
          <w:szCs w:val="24"/>
        </w:rPr>
        <w:t>“…I can honestly tell you that, movement restrictions impact children's access to educational and rehabilitative programs. Inadequate access to necessary services hinder their ability to reintegrate successfully into society upon release. The truth is that when one is in detention they’re limited with freedom of movements.”</w:t>
      </w:r>
    </w:p>
    <w:p w14:paraId="71AB7D78">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As highlighted in reports by organizations such as Save the Children (2021) children in these facilities often experience severe restrictions on their freedom of movement, which can lead to a variety of adverse effects. Similarly, Human Rights Watch (2020) reports that children are subject to confinement, harsh surveillance, and limitations on their ability to connect with the outside world. This isolation hinder their social development and emotional well-being, further exacerbating the difficulties they face in reintegrating into society upon release. Moreover, the lack of autonomy in their mobility lead to feelings of powerlessness, impacting their psychological health and self-esteem (Council of Europe, 2019). According to Oduor (2020), effective child welfare systems should prioritize not only the physical safety of vulnerable children but also their mental and emotional health.</w:t>
      </w:r>
    </w:p>
    <w:p w14:paraId="69BD9F01">
      <w:pPr>
        <w:keepNext/>
        <w:keepLines/>
        <w:spacing w:before="240" w:after="0" w:line="360" w:lineRule="auto"/>
        <w:jc w:val="both"/>
        <w:outlineLvl w:val="0"/>
        <w:rPr>
          <w:rFonts w:ascii="Times New Roman" w:hAnsi="Times New Roman" w:eastAsia="SimSun" w:cs="Times New Roman"/>
          <w:b/>
          <w:color w:val="000000"/>
          <w:sz w:val="24"/>
          <w:szCs w:val="24"/>
        </w:rPr>
      </w:pPr>
      <w:bookmarkStart w:id="78" w:name="_Toc216630112"/>
      <w:r>
        <w:rPr>
          <w:rFonts w:ascii="Times New Roman" w:hAnsi="Times New Roman" w:eastAsia="SimSun" w:cs="Times New Roman"/>
          <w:b/>
          <w:color w:val="000000"/>
          <w:sz w:val="24"/>
          <w:szCs w:val="24"/>
        </w:rPr>
        <w:t>Freedom of Assembly</w:t>
      </w:r>
      <w:bookmarkEnd w:id="78"/>
    </w:p>
    <w:p w14:paraId="47993E8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results showed that freedom for assembly is also </w:t>
      </w:r>
      <w:r>
        <w:rPr>
          <w:rFonts w:ascii="Times New Roman" w:hAnsi="Times New Roman" w:eastAsia="Calibri" w:cs="Times New Roman"/>
          <w:sz w:val="24"/>
          <w:szCs w:val="24"/>
          <w:lang w:val="en-ZA"/>
        </w:rPr>
        <w:t>a human rights challenge children face in reformatory centres/detention</w:t>
      </w:r>
      <w:r>
        <w:rPr>
          <w:rFonts w:ascii="Times New Roman" w:hAnsi="Times New Roman" w:eastAsia="Calibri" w:cs="Times New Roman"/>
          <w:sz w:val="24"/>
          <w:szCs w:val="24"/>
        </w:rPr>
        <w:t>.</w:t>
      </w:r>
    </w:p>
    <w:p w14:paraId="59928BF7">
      <w:pPr>
        <w:spacing w:line="360" w:lineRule="auto"/>
        <w:ind w:left="1440"/>
        <w:jc w:val="both"/>
        <w:rPr>
          <w:rFonts w:ascii="Times New Roman" w:hAnsi="Times New Roman" w:eastAsia="Calibri" w:cs="Times New Roman"/>
          <w:i/>
          <w:sz w:val="24"/>
          <w:szCs w:val="24"/>
        </w:rPr>
      </w:pPr>
      <w:r>
        <w:rPr>
          <w:rFonts w:ascii="Times New Roman" w:hAnsi="Times New Roman" w:eastAsia="Calibri" w:cs="Times New Roman"/>
          <w:i/>
          <w:sz w:val="24"/>
          <w:szCs w:val="24"/>
        </w:rPr>
        <w:t>“Children in these facilities face strict rules that limit their ability to move freely, even within the facility. This restriction affect their mental health and development, as they feel confined and unable to engage in normal activities. These is a major Human Rights challenge these children face in reformatory centres/detention…”</w:t>
      </w:r>
      <w:r>
        <w:rPr>
          <w:rFonts w:ascii="Times New Roman" w:hAnsi="Times New Roman" w:eastAsia="Calibri" w:cs="Times New Roman"/>
          <w:sz w:val="24"/>
          <w:szCs w:val="24"/>
        </w:rPr>
        <w:t xml:space="preserve"> (Participant P8 contributed)</w:t>
      </w:r>
    </w:p>
    <w:p w14:paraId="5FECDD2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These study results resonates with the report by LCRMC (2022) which indicates that children in such institutions often face restrictions on their ability to gather, associate, and participate in collective activities, which are essential for their social development. Several study supports that restrictions from these facilities exacerbate feelings of alienation and emotional distress, preventing children from forming supportive networks that are crucial for their psychological well-being and overall rehabilitation.</w:t>
      </w:r>
    </w:p>
    <w:p w14:paraId="465F9F1E">
      <w:pPr>
        <w:spacing w:line="360" w:lineRule="auto"/>
        <w:ind w:left="1440"/>
        <w:jc w:val="both"/>
        <w:rPr>
          <w:rFonts w:ascii="Times New Roman" w:hAnsi="Times New Roman" w:eastAsia="Calibri" w:cs="Times New Roman"/>
          <w:i/>
          <w:sz w:val="24"/>
          <w:szCs w:val="24"/>
        </w:rPr>
      </w:pPr>
      <w:r>
        <w:rPr>
          <w:rFonts w:ascii="Times New Roman" w:hAnsi="Times New Roman" w:eastAsia="Calibri" w:cs="Times New Roman"/>
          <w:i/>
          <w:sz w:val="24"/>
          <w:szCs w:val="24"/>
        </w:rPr>
        <w:t>“Truth be told, detained children have limited access to their families and communities. This isolation hinder their emotional well-being and social development, as they lack support systems that are vital for their growth. It was clear that Facilities do not provide adequate opportunities for outdoor activities or community engagement to those in dentation.”</w:t>
      </w:r>
    </w:p>
    <w:p w14:paraId="0631D797">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According Nkosi (2021) notes that opportunities for children to engage in group activities not only foster camaraderie but also teach them vital conflict resolution and communication skills.</w:t>
      </w:r>
    </w:p>
    <w:p w14:paraId="0AD8438A">
      <w:pPr>
        <w:keepNext/>
        <w:keepLines/>
        <w:spacing w:before="240" w:after="0" w:line="360" w:lineRule="auto"/>
        <w:jc w:val="both"/>
        <w:outlineLvl w:val="0"/>
        <w:rPr>
          <w:rFonts w:ascii="Times New Roman" w:hAnsi="Times New Roman" w:eastAsia="SimSun" w:cs="Times New Roman"/>
          <w:b/>
          <w:color w:val="000000"/>
          <w:sz w:val="24"/>
          <w:szCs w:val="24"/>
        </w:rPr>
      </w:pPr>
      <w:bookmarkStart w:id="79" w:name="_Toc216630113"/>
      <w:r>
        <w:rPr>
          <w:rFonts w:ascii="Times New Roman" w:hAnsi="Times New Roman" w:eastAsia="SimSun" w:cs="Times New Roman"/>
          <w:b/>
          <w:color w:val="000000"/>
          <w:sz w:val="24"/>
          <w:szCs w:val="24"/>
        </w:rPr>
        <w:t>Hard Labour</w:t>
      </w:r>
      <w:bookmarkEnd w:id="79"/>
    </w:p>
    <w:p w14:paraId="51BBD4E8">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results shows that children in reformatory centers are sometime compelled to perform labor as part of their punishment. </w:t>
      </w:r>
    </w:p>
    <w:p w14:paraId="64C68987">
      <w:pPr>
        <w:spacing w:line="360" w:lineRule="auto"/>
        <w:ind w:left="1440"/>
        <w:jc w:val="both"/>
        <w:rPr>
          <w:rFonts w:ascii="Times New Roman" w:hAnsi="Times New Roman" w:eastAsia="Calibri" w:cs="Times New Roman"/>
          <w:i/>
          <w:sz w:val="24"/>
          <w:szCs w:val="24"/>
        </w:rPr>
      </w:pPr>
      <w:r>
        <w:rPr>
          <w:rFonts w:ascii="Times New Roman" w:hAnsi="Times New Roman" w:eastAsia="Calibri" w:cs="Times New Roman"/>
          <w:i/>
          <w:sz w:val="24"/>
          <w:szCs w:val="24"/>
        </w:rPr>
        <w:t>“Children in detention miss educational opportunities as they are taken away from formal schooling and instead required to work. This prevent them from acquiring skills and knowledge that would help them reintegrate into society positively. In certain cases, authorities running these facilities exploit the labor of children without providing any compensation or benefits.”</w:t>
      </w:r>
    </w:p>
    <w:p w14:paraId="083E6BDD">
      <w:pPr>
        <w:spacing w:line="360" w:lineRule="auto"/>
        <w:ind w:left="1440"/>
        <w:jc w:val="both"/>
        <w:rPr>
          <w:rFonts w:ascii="Times New Roman" w:hAnsi="Times New Roman" w:eastAsia="Calibri" w:cs="Times New Roman"/>
          <w:i/>
          <w:sz w:val="24"/>
          <w:szCs w:val="24"/>
        </w:rPr>
      </w:pPr>
      <w:r>
        <w:rPr>
          <w:rFonts w:ascii="Times New Roman" w:hAnsi="Times New Roman" w:eastAsia="Calibri" w:cs="Times New Roman"/>
          <w:i/>
          <w:sz w:val="24"/>
          <w:szCs w:val="24"/>
        </w:rPr>
        <w:t xml:space="preserve"> “Child labor in any form pose serious health risks. In reformatory centers, children are sometimes required to engage in strenuous physical activities without appropriate safety measures or rest, leading to injuries and long-term health issues. Being subjected to labor, especially in a punitive environment, have detrimental psychological effects on children.”</w:t>
      </w:r>
    </w:p>
    <w:p w14:paraId="77B5BA06">
      <w:pPr>
        <w:spacing w:line="360" w:lineRule="auto"/>
        <w:jc w:val="both"/>
        <w:rPr>
          <w:rFonts w:ascii="Times New Roman" w:hAnsi="Times New Roman" w:eastAsia="Calibri" w:cs="Times New Roman"/>
          <w:i/>
          <w:sz w:val="24"/>
          <w:szCs w:val="24"/>
        </w:rPr>
      </w:pPr>
      <w:r>
        <w:rPr>
          <w:rFonts w:ascii="Times New Roman" w:hAnsi="Times New Roman" w:eastAsia="Calibri" w:cs="Times New Roman"/>
          <w:sz w:val="24"/>
          <w:szCs w:val="24"/>
        </w:rPr>
        <w:t>According to Khalid (2019) agrees that many children are subjected to excessively demanding physical tasks that are detrimental to their health and well-being. Rather than focusing on rehabilitation and education, some reformatory facilities impose labor-intensive activities that serve punitive purposes, violating international standards for the treatment of children. Such practices lead to physical injuries, mental stress, and a negative perception of discipline and authority. McEwen (2018) indicates that the use of hard labor not only undermines the dignity of children but also fails to address the underlying issues that led to their placement in these centers, making rehabilitation increasingly challenging. Mutasa and Dube (2020) further argue that by addressing the root causes of behavior rather than resorting to laborious punishment, facilities can foster healthier, more productive outcomes that benefit both the children and society at large.</w:t>
      </w:r>
      <w:r>
        <w:rPr>
          <w:rFonts w:ascii="Times New Roman" w:hAnsi="Times New Roman" w:eastAsia="Calibri" w:cs="Times New Roman"/>
          <w:i/>
          <w:sz w:val="24"/>
          <w:szCs w:val="24"/>
        </w:rPr>
        <w:t xml:space="preserve"> </w:t>
      </w:r>
    </w:p>
    <w:p w14:paraId="53E9EF5C">
      <w:pPr>
        <w:keepNext/>
        <w:keepLines/>
        <w:spacing w:before="240" w:after="0" w:line="360" w:lineRule="auto"/>
        <w:jc w:val="both"/>
        <w:outlineLvl w:val="0"/>
        <w:rPr>
          <w:rFonts w:ascii="Times New Roman" w:hAnsi="Times New Roman" w:eastAsia="SimSun" w:cs="Times New Roman"/>
          <w:b/>
          <w:color w:val="000000"/>
          <w:sz w:val="24"/>
          <w:szCs w:val="24"/>
        </w:rPr>
      </w:pPr>
      <w:bookmarkStart w:id="80" w:name="_Toc216630114"/>
      <w:r>
        <w:rPr>
          <w:rFonts w:ascii="Times New Roman" w:hAnsi="Times New Roman" w:eastAsia="SimSun" w:cs="Times New Roman"/>
          <w:b/>
          <w:color w:val="000000"/>
          <w:sz w:val="24"/>
          <w:szCs w:val="24"/>
        </w:rPr>
        <w:t>Limited Access to Education</w:t>
      </w:r>
      <w:bookmarkEnd w:id="80"/>
    </w:p>
    <w:p w14:paraId="215A119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It was clear that limited access to education is a significant human rights challenge faced by children in reformatory centers facilities. </w:t>
      </w:r>
    </w:p>
    <w:p w14:paraId="529E6336">
      <w:pPr>
        <w:spacing w:line="360" w:lineRule="auto"/>
        <w:ind w:left="1440"/>
        <w:jc w:val="both"/>
        <w:rPr>
          <w:rFonts w:ascii="Times New Roman" w:hAnsi="Times New Roman" w:eastAsia="Calibri" w:cs="Times New Roman"/>
          <w:i/>
          <w:sz w:val="24"/>
          <w:szCs w:val="24"/>
        </w:rPr>
      </w:pPr>
      <w:r>
        <w:rPr>
          <w:rFonts w:ascii="Times New Roman" w:hAnsi="Times New Roman" w:eastAsia="Calibri" w:cs="Times New Roman"/>
          <w:i/>
          <w:sz w:val="24"/>
          <w:szCs w:val="24"/>
        </w:rPr>
        <w:t>“Many children in reformatory centers are removed from their traditional school environments and are not provided with equivalent educational opportunities. This disruption lead to gaps in their education, making it difficult for them to reintegrate into mainstream schooling after their release.”</w:t>
      </w:r>
    </w:p>
    <w:p w14:paraId="0BF568F0">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According to UNICEF (2021), education is a vital tool for fostering resilience and empowerment among children, particularly those in vulnerable situations. In contrast, the lack of educational access in reformatory settings can lead to disenfranchisement and feelings of hopelessness, further complicating their rehabilitation process (UNODC, 2022), emphasizes that providing educational resources and programs is essential for cultivating confidence and preparing children for successful reintegration.</w:t>
      </w:r>
    </w:p>
    <w:p w14:paraId="6B373F86">
      <w:pPr>
        <w:spacing w:line="360" w:lineRule="auto"/>
        <w:ind w:left="1440"/>
        <w:jc w:val="both"/>
        <w:rPr>
          <w:rFonts w:ascii="Times New Roman" w:hAnsi="Times New Roman" w:eastAsia="Calibri" w:cs="Times New Roman"/>
          <w:i/>
          <w:sz w:val="24"/>
          <w:szCs w:val="24"/>
        </w:rPr>
      </w:pPr>
      <w:r>
        <w:rPr>
          <w:rFonts w:ascii="Times New Roman" w:hAnsi="Times New Roman" w:eastAsia="Calibri" w:cs="Times New Roman"/>
          <w:i/>
          <w:sz w:val="24"/>
          <w:szCs w:val="24"/>
        </w:rPr>
        <w:t xml:space="preserve"> “Reformatory centers have insufficient resources, such as textbooks, learning materials, and qualified teachers. Without access to these essential resources, children miss out on quality education, which affect their cognitive development and future job prospects.”</w:t>
      </w:r>
    </w:p>
    <w:p w14:paraId="2D8689F3">
      <w:pPr>
        <w:spacing w:line="360" w:lineRule="auto"/>
        <w:jc w:val="both"/>
        <w:rPr>
          <w:rFonts w:ascii="Times New Roman" w:hAnsi="Times New Roman" w:eastAsia="Calibri" w:cs="Times New Roman"/>
          <w:i/>
          <w:sz w:val="24"/>
          <w:szCs w:val="24"/>
        </w:rPr>
      </w:pPr>
      <w:r>
        <w:rPr>
          <w:rFonts w:ascii="Times New Roman" w:hAnsi="Times New Roman" w:eastAsia="Calibri" w:cs="Times New Roman"/>
          <w:sz w:val="24"/>
          <w:szCs w:val="24"/>
        </w:rPr>
        <w:t xml:space="preserve">The reports by United Nations (2022) support that limited access to education is a pressing human rights challenge that children confront in reformatory centers. The Zambia Human Rights Commission (2022) contains that children in such institutions sometimes are deprived of adequate educational opportunities, which significantly hinders their development. </w:t>
      </w:r>
    </w:p>
    <w:p w14:paraId="62250D45">
      <w:pPr>
        <w:keepNext/>
        <w:keepLines/>
        <w:spacing w:before="240" w:after="0" w:line="360" w:lineRule="auto"/>
        <w:jc w:val="both"/>
        <w:outlineLvl w:val="0"/>
        <w:rPr>
          <w:rFonts w:ascii="Times New Roman" w:hAnsi="Times New Roman" w:eastAsia="SimSun" w:cs="Times New Roman"/>
          <w:b/>
          <w:color w:val="000000"/>
          <w:sz w:val="24"/>
          <w:szCs w:val="24"/>
        </w:rPr>
      </w:pPr>
      <w:bookmarkStart w:id="81" w:name="_Toc216630115"/>
      <w:r>
        <w:rPr>
          <w:rFonts w:ascii="Times New Roman" w:hAnsi="Times New Roman" w:eastAsia="SimSun" w:cs="Times New Roman"/>
          <w:b/>
          <w:color w:val="000000"/>
          <w:sz w:val="24"/>
          <w:szCs w:val="24"/>
        </w:rPr>
        <w:t>Right to Interact with their Family</w:t>
      </w:r>
      <w:bookmarkEnd w:id="81"/>
    </w:p>
    <w:p w14:paraId="5EF7B720">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From the data collected, it was clear that children in these facilities face prolonged separation from their families, which lead to emotional and psychological distress. </w:t>
      </w:r>
    </w:p>
    <w:p w14:paraId="0DF08812">
      <w:pPr>
        <w:spacing w:line="360" w:lineRule="auto"/>
        <w:ind w:left="1440"/>
        <w:jc w:val="both"/>
        <w:rPr>
          <w:rFonts w:ascii="Times New Roman" w:hAnsi="Times New Roman" w:eastAsia="Calibri" w:cs="Times New Roman"/>
          <w:i/>
          <w:sz w:val="24"/>
          <w:szCs w:val="24"/>
        </w:rPr>
      </w:pPr>
      <w:r>
        <w:rPr>
          <w:rFonts w:ascii="Times New Roman" w:hAnsi="Times New Roman" w:eastAsia="Calibri" w:cs="Times New Roman"/>
          <w:i/>
          <w:sz w:val="24"/>
          <w:szCs w:val="24"/>
        </w:rPr>
        <w:t>“…a child taken to a reformatory center for minor offenses do not see their family for months. This separation hinder their ability to maintain family relationships, which are vital for their emotional support. Often, visitation policies in detention centers are strict, limiting how often family members visit. This create barriers to maintaining familial bonds and led to feelings of abandonment in the children.”</w:t>
      </w:r>
    </w:p>
    <w:p w14:paraId="49373D51">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In line to study findings, Nkosi (2021) supports that parental neglect exacerbate the emotional and psychological challenges faced by children in detention. When children feel abandoned or forgotten by their parents, it lead to feelings of loneliness, low self-esteem, and heightened anxiety. The emotional distress caused by such neglect often makes it harder for children to adapt to the strict conditions of detention, hindering their ability to engage positively with rehabilitative programs (Torres and Rojas, 2021).</w:t>
      </w:r>
    </w:p>
    <w:p w14:paraId="42FDF91E">
      <w:pPr>
        <w:spacing w:line="360" w:lineRule="auto"/>
        <w:ind w:left="1440"/>
        <w:jc w:val="both"/>
        <w:rPr>
          <w:rFonts w:ascii="Times New Roman" w:hAnsi="Times New Roman" w:eastAsia="Calibri" w:cs="Times New Roman"/>
          <w:i/>
          <w:sz w:val="24"/>
          <w:szCs w:val="24"/>
        </w:rPr>
      </w:pPr>
      <w:r>
        <w:rPr>
          <w:rFonts w:ascii="Times New Roman" w:hAnsi="Times New Roman" w:eastAsia="Calibri" w:cs="Times New Roman"/>
          <w:i/>
          <w:sz w:val="24"/>
          <w:szCs w:val="24"/>
        </w:rPr>
        <w:t xml:space="preserve"> “Human right states that children’s have right to interact with their family members but this isn’t the case with reformatory centres. For example, a child learn skills in the reformatory, but without family engagement in their rehabilitation, they struggle to apply these skills in their home environment.”</w:t>
      </w:r>
    </w:p>
    <w:p w14:paraId="4646988B">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Scholars such as Khan and Fatima (2019) argue that emotional support from parents can act as a protective factor, helping children cope with the stressors associated with detention. Conversely, when children perceive neglect, that protective layer is stripped away, leaving them vulnerable to adverse mental health outcomes. Khumalo and Nkosi (2021) highlight that addressing these emotional needs through supportive policies and practices is crucial for improving children’s welfare in detention. Adopting strategies that facilitate parental involvement can mitigate feelings of neglect and enhance the likelihood of positive rehabilitation outcomes, aligning with the core principles of child welfare theory.</w:t>
      </w:r>
    </w:p>
    <w:p w14:paraId="20E7C89E">
      <w:pPr>
        <w:keepNext/>
        <w:keepLines/>
        <w:spacing w:before="240" w:after="0" w:line="360" w:lineRule="auto"/>
        <w:outlineLvl w:val="0"/>
        <w:rPr>
          <w:rFonts w:ascii="Times New Roman" w:hAnsi="Times New Roman" w:eastAsia="Times New Roman" w:cs="Times New Roman"/>
          <w:b/>
          <w:sz w:val="24"/>
          <w:szCs w:val="24"/>
          <w:lang w:val="en-GB" w:eastAsia="en-ZA"/>
        </w:rPr>
      </w:pPr>
      <w:bookmarkStart w:id="82" w:name="_Toc126945827"/>
      <w:bookmarkStart w:id="83" w:name="_Toc212819890"/>
      <w:bookmarkStart w:id="84" w:name="_Toc118301041"/>
      <w:bookmarkStart w:id="85" w:name="_Toc215824796"/>
      <w:bookmarkStart w:id="86" w:name="_Toc216630150"/>
      <w:bookmarkStart w:id="87" w:name="_Toc130898588"/>
      <w:bookmarkStart w:id="88" w:name="_Toc164710352"/>
      <w:r>
        <w:rPr>
          <w:rFonts w:ascii="Times New Roman" w:hAnsi="Times New Roman" w:eastAsia="Calibri" w:cs="Times New Roman"/>
          <w:b/>
          <w:sz w:val="24"/>
          <w:szCs w:val="24"/>
          <w:lang w:val="en-ZA"/>
        </w:rPr>
        <w:t>1.8 Conclusions</w:t>
      </w:r>
      <w:r>
        <w:rPr>
          <w:rFonts w:ascii="Times New Roman" w:hAnsi="Times New Roman" w:eastAsia="Times New Roman" w:cs="Times New Roman"/>
          <w:b/>
          <w:sz w:val="24"/>
          <w:szCs w:val="24"/>
          <w:lang w:val="en-GB" w:eastAsia="en-ZA"/>
        </w:rPr>
        <w:t xml:space="preserve"> and Recommendations</w:t>
      </w:r>
      <w:bookmarkEnd w:id="82"/>
      <w:bookmarkEnd w:id="83"/>
      <w:bookmarkEnd w:id="84"/>
      <w:bookmarkEnd w:id="85"/>
      <w:bookmarkEnd w:id="86"/>
      <w:bookmarkEnd w:id="87"/>
      <w:bookmarkEnd w:id="88"/>
    </w:p>
    <w:p w14:paraId="47D6CD40">
      <w:pPr>
        <w:keepNext/>
        <w:keepLines/>
        <w:spacing w:before="240" w:after="0" w:line="360" w:lineRule="auto"/>
        <w:outlineLvl w:val="0"/>
        <w:rPr>
          <w:rFonts w:ascii="Times New Roman" w:hAnsi="Times New Roman" w:eastAsia="Times New Roman" w:cs="Times New Roman"/>
          <w:b/>
          <w:sz w:val="24"/>
          <w:szCs w:val="24"/>
          <w:lang w:val="en-GB" w:eastAsia="en-ZA"/>
        </w:rPr>
      </w:pPr>
      <w:bookmarkStart w:id="89" w:name="_Toc164710354"/>
      <w:bookmarkStart w:id="90" w:name="_Toc215824798"/>
      <w:bookmarkStart w:id="91" w:name="_Toc216630152"/>
      <w:bookmarkStart w:id="92" w:name="_Toc212819892"/>
      <w:bookmarkStart w:id="93" w:name="_Toc126945829"/>
      <w:bookmarkStart w:id="94" w:name="_Toc118301043"/>
      <w:bookmarkStart w:id="95" w:name="_Toc130898590"/>
      <w:r>
        <w:rPr>
          <w:rFonts w:ascii="Times New Roman" w:hAnsi="Times New Roman" w:eastAsia="Times New Roman" w:cs="Times New Roman"/>
          <w:b/>
          <w:sz w:val="24"/>
          <w:szCs w:val="24"/>
          <w:lang w:val="en-GB" w:eastAsia="en-ZA"/>
        </w:rPr>
        <w:t>Conclusion</w:t>
      </w:r>
      <w:bookmarkEnd w:id="89"/>
      <w:bookmarkEnd w:id="90"/>
      <w:bookmarkEnd w:id="91"/>
      <w:bookmarkEnd w:id="92"/>
      <w:bookmarkEnd w:id="93"/>
      <w:bookmarkEnd w:id="94"/>
      <w:bookmarkEnd w:id="95"/>
    </w:p>
    <w:p w14:paraId="4A4E0423">
      <w:pPr>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The study identified several major human rights challenges faced by children in reformatory centers, including restrictions on their right to movement and freedom of assembly, which limit their autonomy and ability to build supportive peer relationships. Additionally, the imposition of hard labor contravenes their rights and negatively affects their physical and psychological well-being. Access to education is often inadequate or poor, denying children important opportunities for growth. Furthermore, limited interaction with family members exacerbates feelings of isolation and disconnection, significantly impacting their mental health and hindering the development of familial bonds. </w:t>
      </w:r>
    </w:p>
    <w:p w14:paraId="1FED82E2">
      <w:pPr>
        <w:keepNext/>
        <w:keepLines/>
        <w:spacing w:before="240" w:after="0" w:line="360" w:lineRule="auto"/>
        <w:outlineLvl w:val="0"/>
        <w:rPr>
          <w:rFonts w:ascii="Times New Roman" w:hAnsi="Times New Roman" w:eastAsia="Times New Roman" w:cs="Times New Roman"/>
          <w:b/>
          <w:sz w:val="24"/>
          <w:szCs w:val="24"/>
        </w:rPr>
      </w:pPr>
      <w:bookmarkStart w:id="96" w:name="_Toc216630153"/>
      <w:bookmarkStart w:id="97" w:name="_Toc212819893"/>
      <w:bookmarkStart w:id="98" w:name="_Toc215824799"/>
      <w:r>
        <w:rPr>
          <w:rFonts w:ascii="Times New Roman" w:hAnsi="Times New Roman" w:eastAsia="Times New Roman" w:cs="Times New Roman"/>
          <w:b/>
          <w:sz w:val="24"/>
          <w:szCs w:val="24"/>
        </w:rPr>
        <w:t>1.9 Recommendation</w:t>
      </w:r>
      <w:bookmarkEnd w:id="96"/>
      <w:bookmarkEnd w:id="97"/>
      <w:bookmarkEnd w:id="98"/>
    </w:p>
    <w:p w14:paraId="7373C8B2">
      <w:pPr>
        <w:numPr>
          <w:ilvl w:val="0"/>
          <w:numId w:val="2"/>
        </w:numPr>
        <w:spacing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The study recommends that that is need to establish independent monitoring bodies to regularly assess conditions in reformatory centers, ensuring compliance with international human rights standards and identifying violations.</w:t>
      </w:r>
    </w:p>
    <w:p w14:paraId="48D97B55">
      <w:pPr>
        <w:spacing w:line="360" w:lineRule="auto"/>
        <w:contextualSpacing/>
        <w:jc w:val="both"/>
        <w:rPr>
          <w:rFonts w:ascii="Times New Roman" w:hAnsi="Times New Roman" w:eastAsia="Calibri" w:cs="Times New Roman"/>
          <w:sz w:val="24"/>
          <w:szCs w:val="24"/>
        </w:rPr>
      </w:pPr>
    </w:p>
    <w:p w14:paraId="2438ACEC">
      <w:pPr>
        <w:spacing w:line="360" w:lineRule="auto"/>
        <w:contextualSpacing/>
        <w:jc w:val="both"/>
        <w:rPr>
          <w:rFonts w:ascii="Times New Roman" w:hAnsi="Times New Roman" w:eastAsia="Calibri" w:cs="Times New Roman"/>
          <w:sz w:val="24"/>
          <w:szCs w:val="24"/>
        </w:rPr>
      </w:pPr>
    </w:p>
    <w:p w14:paraId="7228BDA5">
      <w:pPr>
        <w:spacing w:line="360" w:lineRule="auto"/>
        <w:contextualSpacing/>
        <w:jc w:val="both"/>
        <w:rPr>
          <w:rFonts w:ascii="Times New Roman" w:hAnsi="Times New Roman" w:eastAsia="Calibri" w:cs="Times New Roman"/>
          <w:sz w:val="24"/>
          <w:szCs w:val="24"/>
        </w:rPr>
      </w:pPr>
    </w:p>
    <w:p w14:paraId="16B21D82">
      <w:pPr>
        <w:spacing w:line="360" w:lineRule="auto"/>
        <w:contextualSpacing/>
        <w:jc w:val="both"/>
        <w:rPr>
          <w:rFonts w:ascii="Times New Roman" w:hAnsi="Times New Roman" w:eastAsia="Calibri" w:cs="Times New Roman"/>
          <w:sz w:val="24"/>
          <w:szCs w:val="24"/>
        </w:rPr>
      </w:pPr>
    </w:p>
    <w:p w14:paraId="40770781">
      <w:pPr>
        <w:spacing w:line="360" w:lineRule="auto"/>
        <w:contextualSpacing/>
        <w:jc w:val="both"/>
        <w:rPr>
          <w:rFonts w:ascii="Times New Roman" w:hAnsi="Times New Roman" w:eastAsia="Calibri" w:cs="Times New Roman"/>
          <w:sz w:val="24"/>
          <w:szCs w:val="24"/>
        </w:rPr>
      </w:pPr>
    </w:p>
    <w:p w14:paraId="7E4465E8">
      <w:pPr>
        <w:spacing w:line="360" w:lineRule="auto"/>
        <w:contextualSpacing/>
        <w:jc w:val="both"/>
        <w:rPr>
          <w:rFonts w:ascii="Times New Roman" w:hAnsi="Times New Roman" w:eastAsia="Calibri" w:cs="Times New Roman"/>
          <w:sz w:val="24"/>
          <w:szCs w:val="24"/>
        </w:rPr>
      </w:pPr>
    </w:p>
    <w:p w14:paraId="4B0DD096">
      <w:pPr>
        <w:spacing w:line="360" w:lineRule="auto"/>
        <w:contextualSpacing/>
        <w:jc w:val="both"/>
        <w:rPr>
          <w:rFonts w:ascii="Times New Roman" w:hAnsi="Times New Roman" w:eastAsia="Calibri" w:cs="Times New Roman"/>
          <w:sz w:val="24"/>
          <w:szCs w:val="24"/>
        </w:rPr>
      </w:pPr>
    </w:p>
    <w:p w14:paraId="10772C90">
      <w:pPr>
        <w:spacing w:line="360" w:lineRule="auto"/>
        <w:contextualSpacing/>
        <w:jc w:val="both"/>
        <w:rPr>
          <w:rFonts w:ascii="Times New Roman" w:hAnsi="Times New Roman" w:eastAsia="Calibri" w:cs="Times New Roman"/>
          <w:sz w:val="24"/>
          <w:szCs w:val="24"/>
        </w:rPr>
      </w:pPr>
    </w:p>
    <w:p w14:paraId="501C8D9F">
      <w:pPr>
        <w:spacing w:line="360" w:lineRule="auto"/>
        <w:contextualSpacing/>
        <w:jc w:val="both"/>
        <w:rPr>
          <w:rFonts w:ascii="Times New Roman" w:hAnsi="Times New Roman" w:eastAsia="Calibri" w:cs="Times New Roman"/>
          <w:sz w:val="24"/>
          <w:szCs w:val="24"/>
        </w:rPr>
      </w:pPr>
    </w:p>
    <w:p w14:paraId="52D8F744">
      <w:pPr>
        <w:spacing w:line="360" w:lineRule="auto"/>
        <w:contextualSpacing/>
        <w:jc w:val="both"/>
        <w:rPr>
          <w:rFonts w:ascii="Times New Roman" w:hAnsi="Times New Roman" w:eastAsia="Calibri" w:cs="Times New Roman"/>
          <w:sz w:val="24"/>
          <w:szCs w:val="24"/>
        </w:rPr>
      </w:pPr>
    </w:p>
    <w:p w14:paraId="6348D452">
      <w:pPr>
        <w:spacing w:line="360" w:lineRule="auto"/>
        <w:contextualSpacing/>
        <w:jc w:val="both"/>
        <w:rPr>
          <w:rFonts w:ascii="Times New Roman" w:hAnsi="Times New Roman" w:eastAsia="Calibri" w:cs="Times New Roman"/>
          <w:sz w:val="24"/>
          <w:szCs w:val="24"/>
        </w:rPr>
      </w:pPr>
    </w:p>
    <w:p w14:paraId="4B6E7245">
      <w:pPr>
        <w:spacing w:line="360" w:lineRule="auto"/>
        <w:contextualSpacing/>
        <w:jc w:val="both"/>
        <w:rPr>
          <w:rFonts w:ascii="Times New Roman" w:hAnsi="Times New Roman" w:eastAsia="Calibri" w:cs="Times New Roman"/>
          <w:sz w:val="24"/>
          <w:szCs w:val="24"/>
        </w:rPr>
      </w:pPr>
    </w:p>
    <w:p w14:paraId="19029C17">
      <w:pPr>
        <w:spacing w:line="360" w:lineRule="auto"/>
        <w:contextualSpacing/>
        <w:jc w:val="both"/>
        <w:rPr>
          <w:rFonts w:ascii="Times New Roman" w:hAnsi="Times New Roman" w:eastAsia="Calibri" w:cs="Times New Roman"/>
          <w:sz w:val="24"/>
          <w:szCs w:val="24"/>
        </w:rPr>
      </w:pPr>
    </w:p>
    <w:p w14:paraId="6625990A">
      <w:pPr>
        <w:spacing w:line="360" w:lineRule="auto"/>
        <w:contextualSpacing/>
        <w:jc w:val="both"/>
        <w:rPr>
          <w:rFonts w:ascii="Times New Roman" w:hAnsi="Times New Roman" w:eastAsia="Calibri" w:cs="Times New Roman"/>
          <w:sz w:val="24"/>
          <w:szCs w:val="24"/>
        </w:rPr>
      </w:pPr>
    </w:p>
    <w:p w14:paraId="50312970">
      <w:pPr>
        <w:spacing w:line="360" w:lineRule="auto"/>
        <w:contextualSpacing/>
        <w:jc w:val="both"/>
        <w:rPr>
          <w:rFonts w:ascii="Times New Roman" w:hAnsi="Times New Roman" w:eastAsia="Calibri" w:cs="Times New Roman"/>
          <w:sz w:val="24"/>
          <w:szCs w:val="24"/>
        </w:rPr>
      </w:pPr>
    </w:p>
    <w:p w14:paraId="60D23718">
      <w:pPr>
        <w:spacing w:line="360" w:lineRule="auto"/>
        <w:contextualSpacing/>
        <w:jc w:val="both"/>
        <w:rPr>
          <w:rFonts w:ascii="Times New Roman" w:hAnsi="Times New Roman" w:eastAsia="Calibri" w:cs="Times New Roman"/>
          <w:sz w:val="24"/>
          <w:szCs w:val="24"/>
        </w:rPr>
      </w:pPr>
    </w:p>
    <w:p w14:paraId="1BD9D973">
      <w:pPr>
        <w:spacing w:line="360" w:lineRule="auto"/>
        <w:contextualSpacing/>
        <w:jc w:val="both"/>
        <w:rPr>
          <w:rFonts w:ascii="Times New Roman" w:hAnsi="Times New Roman" w:eastAsia="Calibri" w:cs="Times New Roman"/>
          <w:sz w:val="24"/>
          <w:szCs w:val="24"/>
        </w:rPr>
      </w:pPr>
    </w:p>
    <w:p w14:paraId="04619E03">
      <w:pPr>
        <w:spacing w:line="360" w:lineRule="auto"/>
        <w:contextualSpacing/>
        <w:jc w:val="both"/>
        <w:rPr>
          <w:rFonts w:ascii="Times New Roman" w:hAnsi="Times New Roman" w:eastAsia="Calibri" w:cs="Times New Roman"/>
          <w:sz w:val="24"/>
          <w:szCs w:val="24"/>
        </w:rPr>
      </w:pPr>
    </w:p>
    <w:p w14:paraId="20F12664">
      <w:pPr>
        <w:spacing w:line="360" w:lineRule="auto"/>
        <w:contextualSpacing/>
        <w:jc w:val="both"/>
        <w:rPr>
          <w:rFonts w:ascii="Times New Roman" w:hAnsi="Times New Roman" w:eastAsia="Calibri" w:cs="Times New Roman"/>
          <w:sz w:val="24"/>
          <w:szCs w:val="24"/>
        </w:rPr>
      </w:pPr>
    </w:p>
    <w:p w14:paraId="226DC135">
      <w:pPr>
        <w:spacing w:line="360" w:lineRule="auto"/>
        <w:contextualSpacing/>
        <w:jc w:val="both"/>
        <w:rPr>
          <w:rFonts w:ascii="Times New Roman" w:hAnsi="Times New Roman" w:eastAsia="Calibri" w:cs="Times New Roman"/>
          <w:sz w:val="24"/>
          <w:szCs w:val="24"/>
        </w:rPr>
      </w:pPr>
    </w:p>
    <w:p w14:paraId="35767B5E">
      <w:pPr>
        <w:spacing w:line="360" w:lineRule="auto"/>
        <w:contextualSpacing/>
        <w:jc w:val="both"/>
        <w:rPr>
          <w:rFonts w:ascii="Times New Roman" w:hAnsi="Times New Roman" w:eastAsia="Calibri" w:cs="Times New Roman"/>
          <w:sz w:val="24"/>
          <w:szCs w:val="24"/>
        </w:rPr>
      </w:pPr>
    </w:p>
    <w:p w14:paraId="5B232A3D">
      <w:pPr>
        <w:spacing w:line="360" w:lineRule="auto"/>
        <w:contextualSpacing/>
        <w:jc w:val="both"/>
        <w:rPr>
          <w:rFonts w:ascii="Times New Roman" w:hAnsi="Times New Roman" w:eastAsia="Calibri" w:cs="Times New Roman"/>
          <w:sz w:val="24"/>
          <w:szCs w:val="24"/>
        </w:rPr>
      </w:pPr>
    </w:p>
    <w:p w14:paraId="07A19439">
      <w:pPr>
        <w:spacing w:line="360" w:lineRule="auto"/>
        <w:contextualSpacing/>
        <w:jc w:val="both"/>
        <w:rPr>
          <w:rFonts w:ascii="Times New Roman" w:hAnsi="Times New Roman" w:eastAsia="Calibri" w:cs="Times New Roman"/>
          <w:sz w:val="24"/>
          <w:szCs w:val="24"/>
        </w:rPr>
      </w:pPr>
    </w:p>
    <w:p w14:paraId="46EEA17B">
      <w:pPr>
        <w:spacing w:line="360" w:lineRule="auto"/>
        <w:contextualSpacing/>
        <w:jc w:val="both"/>
        <w:rPr>
          <w:rFonts w:ascii="Times New Roman" w:hAnsi="Times New Roman" w:eastAsia="Calibri" w:cs="Times New Roman"/>
          <w:sz w:val="24"/>
          <w:szCs w:val="24"/>
        </w:rPr>
      </w:pPr>
    </w:p>
    <w:p w14:paraId="2DE6C528">
      <w:pPr>
        <w:spacing w:line="360" w:lineRule="auto"/>
        <w:contextualSpacing/>
        <w:jc w:val="both"/>
        <w:rPr>
          <w:rFonts w:ascii="Times New Roman" w:hAnsi="Times New Roman" w:eastAsia="Calibri" w:cs="Times New Roman"/>
          <w:sz w:val="24"/>
          <w:szCs w:val="24"/>
        </w:rPr>
      </w:pPr>
    </w:p>
    <w:p w14:paraId="4A8E9B4E">
      <w:pPr>
        <w:spacing w:line="360" w:lineRule="auto"/>
        <w:contextualSpacing/>
        <w:jc w:val="both"/>
        <w:rPr>
          <w:rFonts w:ascii="Times New Roman" w:hAnsi="Times New Roman" w:eastAsia="Calibri" w:cs="Times New Roman"/>
          <w:sz w:val="24"/>
          <w:szCs w:val="24"/>
        </w:rPr>
      </w:pPr>
    </w:p>
    <w:p w14:paraId="0BCBCC63">
      <w:pPr>
        <w:keepNext/>
        <w:keepLines/>
        <w:spacing w:before="240" w:after="0" w:line="360" w:lineRule="auto"/>
        <w:outlineLvl w:val="0"/>
        <w:rPr>
          <w:rFonts w:ascii="Times New Roman" w:hAnsi="Times New Roman" w:eastAsia="Times New Roman" w:cs="Times New Roman"/>
          <w:b/>
          <w:sz w:val="24"/>
          <w:szCs w:val="24"/>
        </w:rPr>
      </w:pPr>
      <w:bookmarkStart w:id="99" w:name="_Toc216630154"/>
      <w:bookmarkStart w:id="100" w:name="_Toc200455491"/>
      <w:r>
        <w:rPr>
          <w:rFonts w:ascii="Times New Roman" w:hAnsi="Times New Roman" w:eastAsia="Times New Roman" w:cs="Times New Roman"/>
          <w:b/>
          <w:sz w:val="24"/>
          <w:szCs w:val="24"/>
        </w:rPr>
        <w:t>1.10 References</w:t>
      </w:r>
      <w:bookmarkEnd w:id="99"/>
      <w:bookmarkEnd w:id="100"/>
    </w:p>
    <w:p w14:paraId="58688DF5">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[1] </w:t>
      </w:r>
      <w:r>
        <w:rPr>
          <w:rFonts w:ascii="Times New Roman" w:hAnsi="Times New Roman" w:eastAsia="Calibri" w:cs="Times New Roman"/>
          <w:sz w:val="24"/>
          <w:szCs w:val="24"/>
        </w:rPr>
        <w:t>Avocats Sans Frontières (ASF). (2023). Annual Report 2022 - The challenges of detention in the Central African Republic. ASF Belgium.</w:t>
      </w:r>
    </w:p>
    <w:p w14:paraId="73BCC747">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[2] </w:t>
      </w:r>
      <w:r>
        <w:rPr>
          <w:rFonts w:ascii="Times New Roman" w:hAnsi="Times New Roman" w:eastAsia="Calibri" w:cs="Times New Roman"/>
          <w:sz w:val="24"/>
          <w:szCs w:val="24"/>
        </w:rPr>
        <w:t xml:space="preserve">Baffoe-Bonnie, A., et al. (2024). They are trying their best: incarcerated individuals’ assessment of general healthcare services in selected Ghanaian prisons. Journal of Public Health: From Theory to Practice (Springer Nature). </w:t>
      </w:r>
    </w:p>
    <w:p w14:paraId="2B75C4BF">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[3] </w:t>
      </w:r>
      <w:r>
        <w:rPr>
          <w:rFonts w:ascii="Times New Roman" w:hAnsi="Times New Roman" w:eastAsia="Calibri" w:cs="Times New Roman"/>
          <w:sz w:val="24"/>
          <w:szCs w:val="24"/>
        </w:rPr>
        <w:t>Chanda, L. (2023). Legislative Framework and Its Impact on Children's Rights in Zambian Reform Centers. Zambian Law Journal, 18(3), 102-117.</w:t>
      </w:r>
    </w:p>
    <w:p w14:paraId="5B7F9C99">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[4] </w:t>
      </w:r>
      <w:r>
        <w:rPr>
          <w:rFonts w:ascii="Times New Roman" w:hAnsi="Times New Roman" w:eastAsia="Calibri" w:cs="Times New Roman"/>
          <w:sz w:val="24"/>
          <w:szCs w:val="24"/>
        </w:rPr>
        <w:t>Council of Europe. (2019). "The Impact of Legislative Reforms on the Rights of Children in Juvenile Justice Systems." Publisher: Council of Europe, Pages 45-60..</w:t>
      </w:r>
    </w:p>
    <w:p w14:paraId="0B27B444">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[5] </w:t>
      </w:r>
      <w:r>
        <w:rPr>
          <w:rFonts w:ascii="Times New Roman" w:hAnsi="Times New Roman" w:eastAsia="Calibri" w:cs="Times New Roman"/>
          <w:sz w:val="24"/>
          <w:szCs w:val="24"/>
        </w:rPr>
        <w:t xml:space="preserve">Gjøsund, M.M., et al., "Breaking down barriers to mental healthcare access in prison", BMC Psychiatry (Springer Nature), April 17, 2024, 24, 312, pp. 1-15. </w:t>
      </w:r>
    </w:p>
    <w:p w14:paraId="450DD626">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[6] </w:t>
      </w:r>
      <w:r>
        <w:rPr>
          <w:rFonts w:ascii="Times New Roman" w:hAnsi="Times New Roman" w:eastAsia="Calibri" w:cs="Times New Roman"/>
          <w:sz w:val="24"/>
          <w:szCs w:val="24"/>
        </w:rPr>
        <w:t>Gonzalez, E. &amp; Martínez, P. (2022). "Emotional Distress and Detention: Assessing Youth in Argentina." Latin American Journal of Psychology, 54(2), 145-158.</w:t>
      </w:r>
    </w:p>
    <w:p w14:paraId="4F6A180E">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[7] </w:t>
      </w:r>
      <w:r>
        <w:rPr>
          <w:rFonts w:ascii="Times New Roman" w:hAnsi="Times New Roman" w:eastAsia="Calibri" w:cs="Times New Roman"/>
          <w:sz w:val="24"/>
          <w:szCs w:val="24"/>
        </w:rPr>
        <w:t>Goredema, R. (2022). "A legal-realist assessment of the Zimbabwean cor</w:t>
      </w:r>
      <w:bookmarkStart w:id="101" w:name="_GoBack"/>
      <w:bookmarkEnd w:id="101"/>
      <w:r>
        <w:rPr>
          <w:rFonts w:ascii="Times New Roman" w:hAnsi="Times New Roman" w:eastAsia="Calibri" w:cs="Times New Roman"/>
          <w:sz w:val="24"/>
          <w:szCs w:val="24"/>
        </w:rPr>
        <w:t xml:space="preserve">rectional system response to COVID-19 during state disaster measures." International Journal of Prisoner Health. (Published May 2022; Vol 18: Issue 2). </w:t>
      </w:r>
    </w:p>
    <w:p w14:paraId="16726088">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[8] </w:t>
      </w:r>
      <w:r>
        <w:rPr>
          <w:rFonts w:ascii="Times New Roman" w:hAnsi="Times New Roman" w:eastAsia="Calibri" w:cs="Times New Roman"/>
          <w:sz w:val="24"/>
          <w:szCs w:val="24"/>
        </w:rPr>
        <w:t>Gunter, H. M., et al. (2020). "Children’s Rights and Residential Care: A Study of European Countries." Childhood, 27(3), pp. 369-385.</w:t>
      </w:r>
    </w:p>
    <w:p w14:paraId="043299D3">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[9] </w:t>
      </w:r>
      <w:r>
        <w:rPr>
          <w:rFonts w:ascii="Times New Roman" w:hAnsi="Times New Roman" w:eastAsia="Calibri" w:cs="Times New Roman"/>
          <w:sz w:val="24"/>
          <w:szCs w:val="24"/>
        </w:rPr>
        <w:t>Hill, M., &amp; Prout, A. (2021). Participatory Research with Children. In Child Welfare Research in the 21</w:t>
      </w:r>
      <w:r>
        <w:rPr>
          <w:rFonts w:ascii="Times New Roman" w:hAnsi="Times New Roman" w:eastAsia="Calibri" w:cs="Times New Roman"/>
          <w:sz w:val="24"/>
          <w:szCs w:val="24"/>
          <w:vertAlign w:val="superscript"/>
        </w:rPr>
        <w:t>st</w:t>
      </w:r>
      <w:r>
        <w:rPr>
          <w:rFonts w:ascii="Times New Roman" w:hAnsi="Times New Roman" w:eastAsia="Calibri" w:cs="Times New Roman"/>
          <w:sz w:val="24"/>
          <w:szCs w:val="24"/>
        </w:rPr>
        <w:t xml:space="preserve"> Century. Routledge, pp. 135-150.</w:t>
      </w:r>
    </w:p>
    <w:p w14:paraId="45E2A42D">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[10] </w:t>
      </w:r>
      <w:r>
        <w:rPr>
          <w:rFonts w:ascii="Times New Roman" w:hAnsi="Times New Roman" w:eastAsia="Calibri" w:cs="Times New Roman"/>
          <w:sz w:val="24"/>
          <w:szCs w:val="24"/>
        </w:rPr>
        <w:t>Human Rights Commission of Zambia. (2021). "The State of Human Rights in Zambia: Focus on Vulnerable Groups." Human Rights Commission, pp. 54-68.</w:t>
      </w:r>
    </w:p>
    <w:p w14:paraId="6D77FB33">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[11] </w:t>
      </w:r>
      <w:r>
        <w:rPr>
          <w:rFonts w:ascii="Times New Roman" w:hAnsi="Times New Roman" w:eastAsia="Calibri" w:cs="Times New Roman"/>
          <w:sz w:val="24"/>
          <w:szCs w:val="24"/>
        </w:rPr>
        <w:t>Human Rights Watch. (2020). Children in Conflict with the Law: An Assessment of the Human Rights Situation in Sierra Leone. p. 54.</w:t>
      </w:r>
    </w:p>
    <w:p w14:paraId="278DC73C">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[12] </w:t>
      </w:r>
      <w:r>
        <w:rPr>
          <w:rFonts w:ascii="Times New Roman" w:hAnsi="Times New Roman" w:eastAsia="Calibri" w:cs="Times New Roman"/>
          <w:sz w:val="24"/>
          <w:szCs w:val="24"/>
        </w:rPr>
        <w:t>Human Rights Watch. (2020). Children in Detention: A Study on the Impact of Policies on Rights Violations in Malaysia. p. 32.</w:t>
      </w:r>
    </w:p>
    <w:p w14:paraId="63F13DEC">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[13] </w:t>
      </w:r>
      <w:r>
        <w:rPr>
          <w:rFonts w:ascii="Times New Roman" w:hAnsi="Times New Roman" w:eastAsia="Calibri" w:cs="Times New Roman"/>
          <w:sz w:val="24"/>
          <w:szCs w:val="24"/>
        </w:rPr>
        <w:t>Human Rights Watch. (2021). “No Place for Children: Abuses in Juvenile Justice Systems.” Human Rights Watch, pp. 10-45.</w:t>
      </w:r>
    </w:p>
    <w:p w14:paraId="7E8C7A75">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[14] </w:t>
      </w:r>
      <w:r>
        <w:rPr>
          <w:rFonts w:ascii="Times New Roman" w:hAnsi="Times New Roman" w:eastAsia="Calibri" w:cs="Times New Roman"/>
          <w:sz w:val="24"/>
          <w:szCs w:val="24"/>
        </w:rPr>
        <w:t>Institute for Security Studies. (2020). “Youth and Juvenile Justice in Africa: A Review of Trends and Responses.” ISS Africa, pp. 33-67.</w:t>
      </w:r>
    </w:p>
    <w:p w14:paraId="52FF8F96">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[15] </w:t>
      </w:r>
      <w:r>
        <w:rPr>
          <w:rFonts w:ascii="Times New Roman" w:hAnsi="Times New Roman" w:eastAsia="Calibri" w:cs="Times New Roman"/>
          <w:sz w:val="24"/>
          <w:szCs w:val="24"/>
        </w:rPr>
        <w:t>International Journal of Child Rights. (2023). “Mental Health Implications of Detention for Children.” International Journal of Child Rights, 30(1), 75-90.</w:t>
      </w:r>
    </w:p>
    <w:p w14:paraId="4F5B3968">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[16] </w:t>
      </w:r>
      <w:r>
        <w:rPr>
          <w:rFonts w:ascii="Times New Roman" w:hAnsi="Times New Roman" w:eastAsia="Calibri" w:cs="Times New Roman"/>
          <w:sz w:val="24"/>
          <w:szCs w:val="24"/>
        </w:rPr>
        <w:t xml:space="preserve">International Organization for Migration (IOM). (2024). Analysing Migrant Detention Legal Frameworks: Perspectives from West and Central Africa. IOM Publications. </w:t>
      </w:r>
    </w:p>
    <w:p w14:paraId="0C8B362E">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[17] </w:t>
      </w:r>
      <w:r>
        <w:rPr>
          <w:rFonts w:ascii="Times New Roman" w:hAnsi="Times New Roman" w:eastAsia="Calibri" w:cs="Times New Roman"/>
          <w:sz w:val="24"/>
          <w:szCs w:val="24"/>
        </w:rPr>
        <w:t>Khalid, A. (2019). "Children and the Law: Addressing Human Rights Violations of Detained Youth in Pakistan." Publisher: Journal of Law and Society, Volume 41, Pages 73-90].</w:t>
      </w:r>
    </w:p>
    <w:p w14:paraId="04043899">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[18] </w:t>
      </w:r>
      <w:r>
        <w:rPr>
          <w:rFonts w:ascii="Times New Roman" w:hAnsi="Times New Roman" w:eastAsia="Calibri" w:cs="Times New Roman"/>
          <w:sz w:val="24"/>
          <w:szCs w:val="24"/>
        </w:rPr>
        <w:t>Khan, A., &amp; Fatima, S. (2019). "Understanding the Mental Health Impacts of Juvenile Detention in Pakistan." Asian Journal of Psychiatry, 45, 180-185.</w:t>
      </w:r>
    </w:p>
    <w:p w14:paraId="2B75DA66">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[19] </w:t>
      </w:r>
      <w:r>
        <w:rPr>
          <w:rFonts w:ascii="Times New Roman" w:hAnsi="Times New Roman" w:eastAsia="Calibri" w:cs="Times New Roman"/>
          <w:sz w:val="24"/>
          <w:szCs w:val="24"/>
        </w:rPr>
        <w:t>Khumalo, I. &amp; Nkosi, Z. (2021). "Exploring the Psychological Impact of Detention on Adolescents in South Africa." South African Journal of Psychology, 51(4), 576-589.</w:t>
      </w:r>
    </w:p>
    <w:p w14:paraId="3CAB0792">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[20] </w:t>
      </w:r>
      <w:r>
        <w:rPr>
          <w:rFonts w:ascii="Times New Roman" w:hAnsi="Times New Roman" w:eastAsia="Calibri" w:cs="Times New Roman"/>
          <w:sz w:val="24"/>
          <w:szCs w:val="24"/>
        </w:rPr>
        <w:t>McEwen, S. (2018). "The Mental Health Needs of Children in Detention." [Publisher: International Journal of Prisoner Health, Volume 14, Pages 123-135.</w:t>
      </w:r>
    </w:p>
    <w:p w14:paraId="524F9403">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[21] </w:t>
      </w:r>
      <w:r>
        <w:rPr>
          <w:rFonts w:ascii="Times New Roman" w:hAnsi="Times New Roman" w:eastAsia="Calibri" w:cs="Times New Roman"/>
          <w:sz w:val="24"/>
          <w:szCs w:val="24"/>
        </w:rPr>
        <w:t>McGowan, J. (2019). Child Welfare Policy and Practice. In The Handbook of Child Welfare (2nd ed.). Wiley, pp. 72-84.</w:t>
      </w:r>
    </w:p>
    <w:p w14:paraId="3DB59D0A">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[22] </w:t>
      </w:r>
      <w:r>
        <w:rPr>
          <w:rFonts w:ascii="Times New Roman" w:hAnsi="Times New Roman" w:eastAsia="Calibri" w:cs="Times New Roman"/>
          <w:sz w:val="24"/>
          <w:szCs w:val="24"/>
        </w:rPr>
        <w:t>Mutasa, S., &amp; Dube, T. (2020). "Understanding Emotional Distress in Detained Youths: Lessons from Zimbabwe." Zimbabwean Journal of Social Work, 7(3), 225-240.</w:t>
      </w:r>
    </w:p>
    <w:p w14:paraId="75835A5E">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[23] </w:t>
      </w:r>
      <w:r>
        <w:rPr>
          <w:rFonts w:ascii="Times New Roman" w:hAnsi="Times New Roman" w:eastAsia="Calibri" w:cs="Times New Roman"/>
          <w:sz w:val="24"/>
          <w:szCs w:val="24"/>
        </w:rPr>
        <w:t xml:space="preserve">Nkambule, E., Wella, K., &amp; Mbakaya, B.C. (2023). "Voice of incarcerated male youths in Malawi's semi-urban prisons: a qualitative study." BMJ Open. (Published October 12, 2023; Vol 13: e075925). </w:t>
      </w:r>
    </w:p>
    <w:p w14:paraId="49425FF5">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[24] </w:t>
      </w:r>
      <w:r>
        <w:rPr>
          <w:rFonts w:ascii="Times New Roman" w:hAnsi="Times New Roman" w:eastAsia="Calibri" w:cs="Times New Roman"/>
          <w:sz w:val="24"/>
          <w:szCs w:val="24"/>
        </w:rPr>
        <w:t>Nkosi, T. (2021). International Journal of Children's Rights. Publisher: Brill, pp. 115-130.</w:t>
      </w:r>
    </w:p>
    <w:p w14:paraId="5A91189D">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[25] </w:t>
      </w:r>
      <w:r>
        <w:rPr>
          <w:rFonts w:ascii="Times New Roman" w:hAnsi="Times New Roman" w:eastAsia="Calibri" w:cs="Times New Roman"/>
          <w:sz w:val="24"/>
          <w:szCs w:val="24"/>
        </w:rPr>
        <w:t>Oduor, A. (2020). Journal of Child Rights and Welfare. Publisher: African Child Policy Forum, pp. 35-50.</w:t>
      </w:r>
    </w:p>
    <w:p w14:paraId="23B273C4">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[26] </w:t>
      </w:r>
      <w:r>
        <w:rPr>
          <w:rFonts w:ascii="Times New Roman" w:hAnsi="Times New Roman" w:eastAsia="Calibri" w:cs="Times New Roman"/>
          <w:sz w:val="24"/>
          <w:szCs w:val="24"/>
        </w:rPr>
        <w:t>Save the Children. (2021). Juvenile Justice in West Africa: A Study on the Treatment and Rights of Detained Children. p. 45.</w:t>
      </w:r>
    </w:p>
    <w:p w14:paraId="0C6E644F">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[27] </w:t>
      </w:r>
      <w:r>
        <w:rPr>
          <w:rFonts w:ascii="Times New Roman" w:hAnsi="Times New Roman" w:eastAsia="Calibri" w:cs="Times New Roman"/>
          <w:sz w:val="24"/>
          <w:szCs w:val="24"/>
        </w:rPr>
        <w:t xml:space="preserve">Save the Children. (2023). Children's Rights in Education: Ensuring Awareness and Participation. London: Save the Children. </w:t>
      </w:r>
    </w:p>
    <w:p w14:paraId="31BC8DD6">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[28] </w:t>
      </w:r>
      <w:r>
        <w:rPr>
          <w:rFonts w:ascii="Times New Roman" w:hAnsi="Times New Roman" w:eastAsia="Calibri" w:cs="Times New Roman"/>
          <w:sz w:val="24"/>
          <w:szCs w:val="24"/>
        </w:rPr>
        <w:t xml:space="preserve">Sibisi, N.N., Masuku, M.M. &amp; Mphatheni, M.R. (2024). "Bars of Suffocation: A Critical Review of the Covid-19 Pandemic and its Effect on Correctional Facilities in South Africa." E-Journal of Humanities, Arts and Social Sciences. (Published March 13, 2026; Pages: 1352–1365). </w:t>
      </w:r>
    </w:p>
    <w:p w14:paraId="6131C928">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[29] </w:t>
      </w:r>
      <w:r>
        <w:rPr>
          <w:rFonts w:ascii="Times New Roman" w:hAnsi="Times New Roman" w:eastAsia="Calibri" w:cs="Times New Roman"/>
          <w:sz w:val="24"/>
          <w:szCs w:val="24"/>
        </w:rPr>
        <w:t>Torres, M. A., &amp; Rojas, F. J. (2021). "Youth Detention and Mental Health: Analyzing the Experiences of Colombian Children." Colombian Journal of Psychiatry, 50(3), 230-238.</w:t>
      </w:r>
    </w:p>
    <w:p w14:paraId="62D999E4">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[30] </w:t>
      </w:r>
      <w:r>
        <w:rPr>
          <w:rFonts w:ascii="Times New Roman" w:hAnsi="Times New Roman" w:eastAsia="Calibri" w:cs="Times New Roman"/>
          <w:sz w:val="24"/>
          <w:szCs w:val="24"/>
        </w:rPr>
        <w:t>UK Ministry of Justice, The impact of overcrowding on assaults in closed adult public prisons, Published June 19, 2025, pp. 1-10.</w:t>
      </w:r>
    </w:p>
    <w:p w14:paraId="35DFADDD">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[31] </w:t>
      </w:r>
      <w:r>
        <w:rPr>
          <w:rFonts w:ascii="Times New Roman" w:hAnsi="Times New Roman" w:eastAsia="Calibri" w:cs="Times New Roman"/>
          <w:sz w:val="24"/>
          <w:szCs w:val="24"/>
        </w:rPr>
        <w:t xml:space="preserve">UNICEF. (2020). The Rights of the Child in Zambia: An Overview. UNICEF Zambia. </w:t>
      </w:r>
    </w:p>
    <w:p w14:paraId="4BDD0ECA">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[32] </w:t>
      </w:r>
      <w:r>
        <w:rPr>
          <w:rFonts w:ascii="Times New Roman" w:hAnsi="Times New Roman" w:eastAsia="Calibri" w:cs="Times New Roman"/>
          <w:sz w:val="24"/>
          <w:szCs w:val="24"/>
        </w:rPr>
        <w:t>UNICEF. (2021). "Children’s Rights Awareness Among Adolescents in Lusaka." UNICEF Zambia: Lusaka.</w:t>
      </w:r>
    </w:p>
    <w:p w14:paraId="29B65FFD">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[33] </w:t>
      </w:r>
      <w:r>
        <w:rPr>
          <w:rFonts w:ascii="Times New Roman" w:hAnsi="Times New Roman" w:eastAsia="Calibri" w:cs="Times New Roman"/>
          <w:sz w:val="24"/>
          <w:szCs w:val="24"/>
        </w:rPr>
        <w:t>UNICEF. (2021). The Rights of the Child in Detention: A Zambia Perspective. Publisher: UNICEF</w:t>
      </w:r>
    </w:p>
    <w:p w14:paraId="516170B0">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[34] </w:t>
      </w:r>
      <w:r>
        <w:rPr>
          <w:rFonts w:ascii="Times New Roman" w:hAnsi="Times New Roman" w:eastAsia="Calibri" w:cs="Times New Roman"/>
          <w:sz w:val="24"/>
          <w:szCs w:val="24"/>
        </w:rPr>
        <w:t>United Nations Children's Fund (UNICEF). (2021). “The State of the World’s Children 2021: Children in Crisis.” UNICEF, pp. 55-90.</w:t>
      </w:r>
    </w:p>
    <w:p w14:paraId="71E5C80D">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[35] </w:t>
      </w:r>
      <w:r>
        <w:rPr>
          <w:rFonts w:ascii="Times New Roman" w:hAnsi="Times New Roman" w:eastAsia="Calibri" w:cs="Times New Roman"/>
          <w:sz w:val="24"/>
          <w:szCs w:val="24"/>
        </w:rPr>
        <w:t>United Nations Office on Drugs and Crime (UNODC). (2022). "Global Study on Children Deprived of Liberty." UNODC, pp. 85-97.</w:t>
      </w:r>
    </w:p>
    <w:p w14:paraId="177BB93E">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[36] </w:t>
      </w:r>
      <w:r>
        <w:rPr>
          <w:rFonts w:ascii="Times New Roman" w:hAnsi="Times New Roman" w:eastAsia="Calibri" w:cs="Times New Roman"/>
          <w:sz w:val="24"/>
          <w:szCs w:val="24"/>
        </w:rPr>
        <w:t>United Nations. (2022). “The State of the World's Children 2022: Children in Conflict.” UNICEF, pp. 52-78.</w:t>
      </w:r>
    </w:p>
    <w:p w14:paraId="10388F73">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[37] </w:t>
      </w:r>
      <w:r>
        <w:rPr>
          <w:rFonts w:ascii="Times New Roman" w:hAnsi="Times New Roman" w:eastAsia="Calibri" w:cs="Times New Roman"/>
          <w:sz w:val="24"/>
          <w:szCs w:val="24"/>
        </w:rPr>
        <w:t>World Health Organization. (2020). “Health of Adolescents: A Global Perspective on Youth in Detention.” WHO, pp. 10-30.</w:t>
      </w:r>
    </w:p>
    <w:p w14:paraId="32C8F1D8">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[38] </w:t>
      </w:r>
      <w:r>
        <w:rPr>
          <w:rFonts w:ascii="Times New Roman" w:hAnsi="Times New Roman" w:eastAsia="Calibri" w:cs="Times New Roman"/>
          <w:sz w:val="24"/>
          <w:szCs w:val="24"/>
        </w:rPr>
        <w:t>World Health Organization. (2021). "Mental Health in Children and Adolescents Detained: A Review of Needs and Services." WHO, pp. 18-29.</w:t>
      </w:r>
    </w:p>
    <w:p w14:paraId="41A5FED5">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[39] </w:t>
      </w:r>
      <w:r>
        <w:rPr>
          <w:rFonts w:ascii="Times New Roman" w:hAnsi="Times New Roman" w:eastAsia="Calibri" w:cs="Times New Roman"/>
          <w:sz w:val="24"/>
          <w:szCs w:val="24"/>
        </w:rPr>
        <w:t>Zambia Correctional Service (2023). Prison Audit Report presentation.</w:t>
      </w:r>
    </w:p>
    <w:p w14:paraId="2944B795">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[40] </w:t>
      </w:r>
      <w:r>
        <w:rPr>
          <w:rFonts w:ascii="Times New Roman" w:hAnsi="Times New Roman" w:eastAsia="Calibri" w:cs="Times New Roman"/>
          <w:sz w:val="24"/>
          <w:szCs w:val="24"/>
        </w:rPr>
        <w:t>Zambia Human Rights Commission. (2022). Annual Report on the Human Rights Situation in Zambia. Publisher: ZHRC</w:t>
      </w:r>
    </w:p>
    <w:p w14:paraId="4FBF6B09">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[41] </w:t>
      </w:r>
      <w:r>
        <w:rPr>
          <w:rFonts w:ascii="Times New Roman" w:hAnsi="Times New Roman" w:eastAsia="Calibri" w:cs="Times New Roman"/>
          <w:sz w:val="24"/>
          <w:szCs w:val="24"/>
        </w:rPr>
        <w:t>Zambia National Youth Policy. (2021). "National Youth Development Policy: Addressing Youth Crime and Incarceration." Zambia Government, pp. 22-36.</w:t>
      </w:r>
    </w:p>
    <w:sectPr>
      <w:footerReference r:id="rId5" w:type="default"/>
      <w:pgSz w:w="12240" w:h="15840"/>
      <w:pgMar w:top="108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821552"/>
    </w:sdtPr>
    <w:sdtContent>
      <w:p w14:paraId="0CC89256">
        <w:pPr>
          <w:pStyle w:val="5"/>
          <w:jc w:val="center"/>
        </w:pPr>
        <w:r>
          <w:fldChar w:fldCharType="begin"/>
        </w:r>
        <w:r>
          <w:instrText xml:space="preserve"> PAGE   \* MERGEFORMAT </w:instrText>
        </w:r>
        <w:r>
          <w:fldChar w:fldCharType="separate"/>
        </w:r>
        <w:r>
          <w:t>18</w:t>
        </w:r>
        <w:r>
          <w:fldChar w:fldCharType="end"/>
        </w:r>
      </w:p>
    </w:sdtContent>
  </w:sdt>
  <w:p w14:paraId="0CDFFCCB">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822050"/>
    <w:multiLevelType w:val="multilevel"/>
    <w:tmpl w:val="6882205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96B526E"/>
    <w:multiLevelType w:val="multilevel"/>
    <w:tmpl w:val="796B526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0C8"/>
    <w:rsid w:val="00015138"/>
    <w:rsid w:val="00032AB1"/>
    <w:rsid w:val="00036D5F"/>
    <w:rsid w:val="00080D53"/>
    <w:rsid w:val="000A40C9"/>
    <w:rsid w:val="000A7E1B"/>
    <w:rsid w:val="00105B51"/>
    <w:rsid w:val="0012198B"/>
    <w:rsid w:val="0012241F"/>
    <w:rsid w:val="00130388"/>
    <w:rsid w:val="00151F71"/>
    <w:rsid w:val="00154C4F"/>
    <w:rsid w:val="00167EB7"/>
    <w:rsid w:val="00177C72"/>
    <w:rsid w:val="001C55DD"/>
    <w:rsid w:val="001C5E5F"/>
    <w:rsid w:val="001C72FC"/>
    <w:rsid w:val="0023331D"/>
    <w:rsid w:val="00251EB6"/>
    <w:rsid w:val="002670AD"/>
    <w:rsid w:val="002704EE"/>
    <w:rsid w:val="00277E83"/>
    <w:rsid w:val="00286BA7"/>
    <w:rsid w:val="00295CD5"/>
    <w:rsid w:val="002C25ED"/>
    <w:rsid w:val="002E5680"/>
    <w:rsid w:val="002F0FCF"/>
    <w:rsid w:val="003108FF"/>
    <w:rsid w:val="00336663"/>
    <w:rsid w:val="00340B69"/>
    <w:rsid w:val="003473C9"/>
    <w:rsid w:val="00386064"/>
    <w:rsid w:val="00397E59"/>
    <w:rsid w:val="003E1AB4"/>
    <w:rsid w:val="003E6B7C"/>
    <w:rsid w:val="004046C2"/>
    <w:rsid w:val="004143E4"/>
    <w:rsid w:val="004203E6"/>
    <w:rsid w:val="00431DDF"/>
    <w:rsid w:val="00434573"/>
    <w:rsid w:val="004434B8"/>
    <w:rsid w:val="00452745"/>
    <w:rsid w:val="00482A7B"/>
    <w:rsid w:val="004A7654"/>
    <w:rsid w:val="005070FC"/>
    <w:rsid w:val="00530552"/>
    <w:rsid w:val="00532A68"/>
    <w:rsid w:val="00563B08"/>
    <w:rsid w:val="00573E72"/>
    <w:rsid w:val="00586D1C"/>
    <w:rsid w:val="005E1C1F"/>
    <w:rsid w:val="006140C8"/>
    <w:rsid w:val="00620906"/>
    <w:rsid w:val="00660606"/>
    <w:rsid w:val="0066169B"/>
    <w:rsid w:val="006A0097"/>
    <w:rsid w:val="006A1DC0"/>
    <w:rsid w:val="006E5E3E"/>
    <w:rsid w:val="0070105C"/>
    <w:rsid w:val="0072170B"/>
    <w:rsid w:val="00726931"/>
    <w:rsid w:val="00767505"/>
    <w:rsid w:val="00773B80"/>
    <w:rsid w:val="00773CB3"/>
    <w:rsid w:val="0077729A"/>
    <w:rsid w:val="00782103"/>
    <w:rsid w:val="00794C0B"/>
    <w:rsid w:val="007A16A2"/>
    <w:rsid w:val="007A5469"/>
    <w:rsid w:val="007B328E"/>
    <w:rsid w:val="007B475E"/>
    <w:rsid w:val="007C0B61"/>
    <w:rsid w:val="008071D1"/>
    <w:rsid w:val="00811020"/>
    <w:rsid w:val="0082352E"/>
    <w:rsid w:val="00845E40"/>
    <w:rsid w:val="00891FBE"/>
    <w:rsid w:val="008A35D6"/>
    <w:rsid w:val="008B71D0"/>
    <w:rsid w:val="00903175"/>
    <w:rsid w:val="0090689E"/>
    <w:rsid w:val="009140CC"/>
    <w:rsid w:val="00924E0B"/>
    <w:rsid w:val="00931D64"/>
    <w:rsid w:val="0096425F"/>
    <w:rsid w:val="0096615A"/>
    <w:rsid w:val="00991E08"/>
    <w:rsid w:val="009A41B1"/>
    <w:rsid w:val="009B4BDA"/>
    <w:rsid w:val="009B61A4"/>
    <w:rsid w:val="009C2D9C"/>
    <w:rsid w:val="009E6216"/>
    <w:rsid w:val="009F6ACF"/>
    <w:rsid w:val="00A27FE7"/>
    <w:rsid w:val="00A732CE"/>
    <w:rsid w:val="00A8244A"/>
    <w:rsid w:val="00A92984"/>
    <w:rsid w:val="00AB5504"/>
    <w:rsid w:val="00AC16E4"/>
    <w:rsid w:val="00AC6103"/>
    <w:rsid w:val="00AF432B"/>
    <w:rsid w:val="00AF7CC3"/>
    <w:rsid w:val="00B006CD"/>
    <w:rsid w:val="00B03B08"/>
    <w:rsid w:val="00B07A3D"/>
    <w:rsid w:val="00B473B8"/>
    <w:rsid w:val="00B6262F"/>
    <w:rsid w:val="00B83D27"/>
    <w:rsid w:val="00B963AF"/>
    <w:rsid w:val="00B96543"/>
    <w:rsid w:val="00BE3C14"/>
    <w:rsid w:val="00C0718C"/>
    <w:rsid w:val="00C142A6"/>
    <w:rsid w:val="00C260B3"/>
    <w:rsid w:val="00C53174"/>
    <w:rsid w:val="00C71801"/>
    <w:rsid w:val="00C77E8A"/>
    <w:rsid w:val="00C910DF"/>
    <w:rsid w:val="00CE4830"/>
    <w:rsid w:val="00CF1491"/>
    <w:rsid w:val="00CF686B"/>
    <w:rsid w:val="00D15954"/>
    <w:rsid w:val="00D161CE"/>
    <w:rsid w:val="00D21F28"/>
    <w:rsid w:val="00DA50CC"/>
    <w:rsid w:val="00DC6D36"/>
    <w:rsid w:val="00DD652E"/>
    <w:rsid w:val="00DF6039"/>
    <w:rsid w:val="00E52D19"/>
    <w:rsid w:val="00EA0495"/>
    <w:rsid w:val="00EE7672"/>
    <w:rsid w:val="00EF1166"/>
    <w:rsid w:val="00EF2418"/>
    <w:rsid w:val="00F421FB"/>
    <w:rsid w:val="00FC4041"/>
    <w:rsid w:val="57940691"/>
    <w:rsid w:val="6AC44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0"/>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680"/>
        <w:tab w:val="right" w:pos="9360"/>
      </w:tabs>
      <w:spacing w:after="0" w:line="240" w:lineRule="auto"/>
    </w:pPr>
  </w:style>
  <w:style w:type="character" w:styleId="6">
    <w:name w:val="Hyperlink"/>
    <w:basedOn w:val="3"/>
    <w:unhideWhenUsed/>
    <w:qFormat/>
    <w:uiPriority w:val="99"/>
    <w:rPr>
      <w:color w:val="0563C1" w:themeColor="hyperlink"/>
      <w:u w:val="single"/>
      <w14:textFill>
        <w14:solidFill>
          <w14:schemeClr w14:val="hlink"/>
        </w14:solidFill>
      </w14:textFill>
    </w:r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8">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9">
    <w:name w:val="toc 1"/>
    <w:basedOn w:val="1"/>
    <w:next w:val="1"/>
    <w:autoRedefine/>
    <w:unhideWhenUsed/>
    <w:qFormat/>
    <w:uiPriority w:val="39"/>
    <w:pPr>
      <w:spacing w:after="100"/>
    </w:pPr>
  </w:style>
  <w:style w:type="character" w:customStyle="1" w:styleId="10">
    <w:name w:val="Heading 1 Char"/>
    <w:basedOn w:val="3"/>
    <w:link w:val="2"/>
    <w:qFormat/>
    <w:uiPriority w:val="9"/>
    <w:rPr>
      <w:rFonts w:asciiTheme="majorHAnsi" w:hAnsiTheme="majorHAnsi" w:eastAsiaTheme="majorEastAsia" w:cstheme="majorBidi"/>
      <w:color w:val="2E75B6" w:themeColor="accent1" w:themeShade="BF"/>
      <w:sz w:val="32"/>
      <w:szCs w:val="32"/>
    </w:rPr>
  </w:style>
  <w:style w:type="character" w:customStyle="1" w:styleId="11">
    <w:name w:val="Footer Char"/>
    <w:basedOn w:val="3"/>
    <w:link w:val="5"/>
    <w:uiPriority w:val="99"/>
  </w:style>
  <w:style w:type="paragraph" w:styleId="12">
    <w:name w:val="List Paragraph"/>
    <w:basedOn w:val="1"/>
    <w:qFormat/>
    <w:uiPriority w:val="34"/>
    <w:pPr>
      <w:ind w:left="720"/>
      <w:contextualSpacing/>
    </w:pPr>
  </w:style>
  <w:style w:type="paragraph" w:customStyle="1" w:styleId="13">
    <w:name w:val="TOC Heading1"/>
    <w:basedOn w:val="2"/>
    <w:next w:val="1"/>
    <w:unhideWhenUsed/>
    <w:qFormat/>
    <w:uiPriority w:val="39"/>
    <w:pPr>
      <w:outlineLvl w:val="9"/>
    </w:pPr>
  </w:style>
  <w:style w:type="paragraph" w:customStyle="1" w:styleId="14">
    <w:name w:val="Default"/>
    <w:uiPriority w:val="0"/>
    <w:pPr>
      <w:autoSpaceDE w:val="0"/>
      <w:autoSpaceDN w:val="0"/>
      <w:adjustRightInd w:val="0"/>
    </w:pPr>
    <w:rPr>
      <w:rFonts w:ascii="Times New Roman" w:hAnsi="Times New Roman" w:cs="Times New Roman" w:eastAsiaTheme="minorHAnsi"/>
      <w:color w:val="000000"/>
      <w:sz w:val="24"/>
      <w:szCs w:val="24"/>
      <w:lang w:val="en-ZA" w:eastAsia="en-US" w:bidi="ar-SA"/>
    </w:rPr>
  </w:style>
  <w:style w:type="character" w:customStyle="1" w:styleId="15">
    <w:name w:val="Subtle Emphasis1"/>
    <w:basedOn w:val="3"/>
    <w:qFormat/>
    <w:uiPriority w:val="19"/>
    <w:rPr>
      <w:i/>
      <w:iCs/>
      <w:color w:val="404040"/>
    </w:rPr>
  </w:style>
  <w:style w:type="paragraph" w:customStyle="1" w:styleId="16">
    <w:name w:val="TOC 21"/>
    <w:basedOn w:val="1"/>
    <w:next w:val="1"/>
    <w:autoRedefine/>
    <w:unhideWhenUsed/>
    <w:qFormat/>
    <w:uiPriority w:val="39"/>
    <w:pPr>
      <w:spacing w:after="100"/>
      <w:ind w:left="220"/>
    </w:pPr>
    <w:rPr>
      <w:rFonts w:eastAsia="SimSun"/>
    </w:rPr>
  </w:style>
  <w:style w:type="paragraph" w:customStyle="1" w:styleId="17">
    <w:name w:val="TOC 31"/>
    <w:basedOn w:val="1"/>
    <w:next w:val="1"/>
    <w:autoRedefine/>
    <w:unhideWhenUsed/>
    <w:uiPriority w:val="39"/>
    <w:pPr>
      <w:spacing w:after="100"/>
      <w:ind w:left="440"/>
    </w:pPr>
    <w:rPr>
      <w:rFonts w:eastAsia="SimSun"/>
    </w:rPr>
  </w:style>
  <w:style w:type="paragraph" w:customStyle="1" w:styleId="18">
    <w:name w:val="TOC 41"/>
    <w:basedOn w:val="1"/>
    <w:next w:val="1"/>
    <w:autoRedefine/>
    <w:unhideWhenUsed/>
    <w:uiPriority w:val="39"/>
    <w:pPr>
      <w:spacing w:after="100"/>
      <w:ind w:left="660"/>
    </w:pPr>
    <w:rPr>
      <w:rFonts w:eastAsia="SimSun"/>
    </w:rPr>
  </w:style>
  <w:style w:type="paragraph" w:customStyle="1" w:styleId="19">
    <w:name w:val="TOC 51"/>
    <w:basedOn w:val="1"/>
    <w:next w:val="1"/>
    <w:autoRedefine/>
    <w:unhideWhenUsed/>
    <w:uiPriority w:val="39"/>
    <w:pPr>
      <w:spacing w:after="100"/>
      <w:ind w:left="880"/>
    </w:pPr>
    <w:rPr>
      <w:rFonts w:eastAsia="SimSun"/>
    </w:rPr>
  </w:style>
  <w:style w:type="paragraph" w:customStyle="1" w:styleId="20">
    <w:name w:val="TOC 61"/>
    <w:basedOn w:val="1"/>
    <w:next w:val="1"/>
    <w:autoRedefine/>
    <w:unhideWhenUsed/>
    <w:uiPriority w:val="39"/>
    <w:pPr>
      <w:spacing w:after="100"/>
      <w:ind w:left="1100"/>
    </w:pPr>
    <w:rPr>
      <w:rFonts w:eastAsia="SimSun"/>
    </w:rPr>
  </w:style>
  <w:style w:type="paragraph" w:customStyle="1" w:styleId="21">
    <w:name w:val="TOC 71"/>
    <w:basedOn w:val="1"/>
    <w:next w:val="1"/>
    <w:autoRedefine/>
    <w:unhideWhenUsed/>
    <w:uiPriority w:val="39"/>
    <w:pPr>
      <w:spacing w:after="100"/>
      <w:ind w:left="1320"/>
    </w:pPr>
    <w:rPr>
      <w:rFonts w:eastAsia="SimSun"/>
    </w:rPr>
  </w:style>
  <w:style w:type="paragraph" w:customStyle="1" w:styleId="22">
    <w:name w:val="TOC 81"/>
    <w:basedOn w:val="1"/>
    <w:next w:val="1"/>
    <w:autoRedefine/>
    <w:unhideWhenUsed/>
    <w:qFormat/>
    <w:uiPriority w:val="39"/>
    <w:pPr>
      <w:spacing w:after="100"/>
      <w:ind w:left="1540"/>
    </w:pPr>
    <w:rPr>
      <w:rFonts w:eastAsia="SimSun"/>
    </w:rPr>
  </w:style>
  <w:style w:type="paragraph" w:customStyle="1" w:styleId="23">
    <w:name w:val="TOC 91"/>
    <w:basedOn w:val="1"/>
    <w:next w:val="1"/>
    <w:autoRedefine/>
    <w:unhideWhenUsed/>
    <w:uiPriority w:val="39"/>
    <w:pPr>
      <w:spacing w:after="100"/>
      <w:ind w:left="1760"/>
    </w:pPr>
    <w:rPr>
      <w:rFonts w:eastAsia="SimSu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5287</Words>
  <Characters>30140</Characters>
  <Lines>251</Lines>
  <Paragraphs>70</Paragraphs>
  <TotalTime>358</TotalTime>
  <ScaleCrop>false</ScaleCrop>
  <LinksUpToDate>false</LinksUpToDate>
  <CharactersWithSpaces>35357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2026-03-30T08:05:00Z</dcterms:created>
  <dc:creator>THE GREAT MG</dc:creator>
  <cp:lastModifiedBy>mwankupili</cp:lastModifiedBy>
  <dcterms:modified xsi:type="dcterms:W3CDTF">2026-04-16T11:43:55Z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169C4F981FC14D18A5902C7433AED5E8_13</vt:lpwstr>
  </property>
  <property fmtid="{D5CDD505-2E9C-101B-9397-08002B2CF9AE}" pid="4" name="GrammarlyDocumentId">
    <vt:lpwstr>a634935c-96e8-468b-8ebb-98e9f1552b21</vt:lpwstr>
  </property>
</Properties>
</file>