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9132"/>
        </w:tabs>
        <w:suppressAutoHyphens w:val="1"/>
        <w:spacing w:before="0" w:after="240" w:line="240" w:lineRule="auto"/>
        <w:jc w:val="center"/>
        <w:rPr>
          <w:rFonts w:ascii="Times New Roman" w:cs="Times New Roman" w:hAnsi="Times New Roman" w:eastAsia="Times New Roman"/>
          <w:b w:val="1"/>
          <w:bCs w:val="1"/>
          <w:sz w:val="36"/>
          <w:szCs w:val="36"/>
          <w:shd w:val="clear" w:color="auto" w:fill="ffffff"/>
        </w:rPr>
      </w:pPr>
      <w:r>
        <w:rPr>
          <w:rFonts w:ascii="Times New Roman" w:hAnsi="Times New Roman"/>
          <w:b w:val="1"/>
          <w:bCs w:val="1"/>
          <w:sz w:val="36"/>
          <w:szCs w:val="36"/>
          <w:shd w:val="clear" w:color="auto" w:fill="ffffff"/>
          <w:rtl w:val="0"/>
          <w:lang w:val="en-US"/>
        </w:rPr>
        <w:t>FomoOracle: A Proof-of-Concept Framework for Sentiment-Driven Prediction Markets on the Cardano Blockchain.</w:t>
      </w:r>
    </w:p>
    <w:p>
      <w:pPr>
        <w:pStyle w:val="Default"/>
        <w:tabs>
          <w:tab w:val="left" w:pos="9132"/>
        </w:tabs>
        <w:suppressAutoHyphens w:val="1"/>
        <w:spacing w:before="0" w:after="240" w:line="240" w:lineRule="auto"/>
        <w:jc w:val="center"/>
        <w:rPr>
          <w:rFonts w:ascii="Times New Roman" w:cs="Times New Roman" w:hAnsi="Times New Roman" w:eastAsia="Times New Roman"/>
          <w:b w:val="1"/>
          <w:bCs w:val="1"/>
          <w:sz w:val="28"/>
          <w:szCs w:val="28"/>
          <w:shd w:val="clear" w:color="auto" w:fill="ffffff"/>
        </w:rPr>
      </w:pPr>
    </w:p>
    <w:p>
      <w:pPr>
        <w:pStyle w:val="Default"/>
        <w:suppressAutoHyphens w:val="1"/>
        <w:spacing w:before="0" w:after="240" w:line="240" w:lineRule="auto"/>
        <w:jc w:val="center"/>
        <w:rPr>
          <w:rFonts w:ascii="Times Roman" w:cs="Times Roman" w:hAnsi="Times Roman" w:eastAsia="Times Roman"/>
          <w:shd w:val="clear" w:color="auto" w:fill="ffffff"/>
          <w:lang w:val="pt-PT"/>
        </w:rPr>
      </w:pPr>
      <w:r>
        <w:rPr>
          <w:rFonts w:ascii="Times New Roman" w:hAnsi="Times New Roman"/>
          <w:b w:val="1"/>
          <w:bCs w:val="1"/>
          <w:shd w:val="clear" w:color="auto" w:fill="ffffff"/>
          <w:rtl w:val="0"/>
          <w:lang w:val="pt-PT"/>
        </w:rPr>
        <w:t>S. Tarun Tejas and Dr. Sunil Kumar RM</w:t>
      </w:r>
    </w:p>
    <w:p>
      <w:pPr>
        <w:pStyle w:val="Default"/>
        <w:suppressAutoHyphens w:val="1"/>
        <w:spacing w:before="0" w:after="240" w:line="240" w:lineRule="auto"/>
        <w:jc w:val="center"/>
        <w:rPr>
          <w:rFonts w:ascii="Times New Roman" w:cs="Times New Roman" w:hAnsi="Times New Roman" w:eastAsia="Times New Roman"/>
        </w:rPr>
      </w:pPr>
      <w:r>
        <w:rPr>
          <w:rFonts w:ascii="Times New Roman" w:hAnsi="Times New Roman"/>
          <w:rtl w:val="0"/>
          <w:lang w:val="en-US"/>
        </w:rPr>
        <w:t>Department of Computer Science and Engineering, RL Jalappa Institute of Technology, Kodigehalli, Dodballapura, Karnataka, India.</w:t>
      </w:r>
    </w:p>
    <w:p>
      <w:pPr>
        <w:pStyle w:val="Default"/>
        <w:suppressAutoHyphens w:val="1"/>
        <w:spacing w:before="0" w:after="240" w:line="240" w:lineRule="auto"/>
        <w:jc w:val="center"/>
        <w:rPr>
          <w:rStyle w:val="Hyperlink.0"/>
        </w:rPr>
      </w:pPr>
      <w:r>
        <w:rPr>
          <w:rFonts w:ascii="Times New Roman" w:hAnsi="Times New Roman"/>
          <w:rtl w:val="0"/>
          <w:lang w:val="en-US"/>
        </w:rPr>
        <w:t xml:space="preserve"> </w:t>
      </w:r>
      <w:r>
        <w:rPr>
          <w:rStyle w:val="Hyperlink.0"/>
        </w:rPr>
        <w:fldChar w:fldCharType="begin" w:fldLock="0"/>
      </w:r>
      <w:r>
        <w:rPr>
          <w:rStyle w:val="Hyperlink.0"/>
        </w:rPr>
        <w:instrText xml:space="preserve"> HYPERLINK "mailto:tejastarun07@gmail.com"</w:instrText>
      </w:r>
      <w:r>
        <w:rPr>
          <w:rStyle w:val="Hyperlink.0"/>
        </w:rPr>
        <w:fldChar w:fldCharType="separate" w:fldLock="0"/>
      </w:r>
      <w:r>
        <w:rPr>
          <w:rStyle w:val="Hyperlink.0"/>
          <w:rtl w:val="0"/>
          <w:lang w:val="en-US"/>
        </w:rPr>
        <w:t>tejastarun07@gmail.com</w:t>
      </w:r>
      <w:r>
        <w:rPr/>
        <w:fldChar w:fldCharType="end" w:fldLock="0"/>
      </w:r>
      <w:r>
        <w:rPr>
          <w:rStyle w:val="Hyperlink.0"/>
          <w:rtl w:val="0"/>
          <w:lang w:val="en-US"/>
        </w:rPr>
        <w:t>*</w:t>
      </w: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both"/>
        <w:rPr>
          <w:rStyle w:val="Hyperlink.0"/>
        </w:rPr>
      </w:pPr>
      <w:r>
        <w:rPr>
          <w:rStyle w:val="None"/>
          <w:rFonts w:ascii="Times New Roman" w:hAnsi="Times New Roman"/>
          <w:b w:val="1"/>
          <w:bCs w:val="1"/>
          <w:sz w:val="28"/>
          <w:szCs w:val="28"/>
          <w:rtl w:val="0"/>
          <w:lang w:val="de-DE"/>
        </w:rPr>
        <w:t>Abstract</w:t>
      </w:r>
      <w:r>
        <w:rPr>
          <w:rStyle w:val="None"/>
          <w:rFonts w:ascii="Times New Roman" w:hAnsi="Times New Roman"/>
          <w:b w:val="1"/>
          <w:bCs w:val="1"/>
          <w:sz w:val="28"/>
          <w:szCs w:val="28"/>
          <w:rtl w:val="0"/>
          <w:lang w:val="en-US"/>
        </w:rPr>
        <w:t xml:space="preserve">- </w:t>
      </w:r>
      <w:r>
        <w:rPr>
          <w:rStyle w:val="None"/>
          <w:rFonts w:ascii="Times New Roman" w:hAnsi="Times New Roman"/>
          <w:rtl w:val="0"/>
          <w:lang w:val="en-US"/>
        </w:rPr>
        <w:t>This paper describes FomoOracle, a proof-of-concept (PoC) system built to test whether off-chain sentiment data can be reliably fed into smart contracts on the Cardano blockchain to power a prediction market. The main challenge tackled here is the oracle problem: smart contracts run in a closed, deterministic environment and have no built-in way of pulling in data from the outside world. To address this limitation in decentralized finance applications, a lightweight Python/FastAPI service was engineered to scrape web search results, compute a heuristic Hype Score for a given asset, and seamlessly pass this score to a suite of on-chain contracts authored in Aiken and Plutus V3. The system deployed and tested six distinct contract mechanisms on the Cardano Preview Testnet: an oracle validator, a constant-product Automated Market Maker (AMM) for prediction market liquidity, a Treasury Reserve strictly enforcing 120% over-collateralization, an anti-arbitrage exposure guard, an autonomous crash-refund trigger, and a Shield NFT minting contract adhering to the CIP-68 standard. The results confirm that Cardano's Extended Unspent Transaction Output (eUTXO) model is highly effective for parallel, verifiable contract execution without shared-state contention. During evaluation, the system successfully processed 120 structured testnet transactions across all contract mechanisms, while the off-chain oracle maintained a highly responsive average latency of 340 ms. While the current oracle scoring remains heuristic and cryptographic signing is simulated, a detailed upgrade roadmap toward Graph Neural Networks, federated learning, and reinforcement learning is proposed for future production-grade deployments. This research validates the foundational data integration pipeline required for advanced AI-driven oracles.</w:t>
      </w:r>
    </w:p>
    <w:p>
      <w:pPr>
        <w:pStyle w:val="Default"/>
        <w:suppressAutoHyphens w:val="1"/>
        <w:spacing w:before="0" w:after="240" w:line="240" w:lineRule="auto"/>
        <w:jc w:val="both"/>
        <w:rPr>
          <w:rStyle w:val="Hyperlink.0"/>
        </w:rPr>
      </w:pPr>
      <w:r>
        <w:rPr>
          <w:rStyle w:val="None"/>
          <w:rFonts w:ascii="Times New Roman" w:hAnsi="Times New Roman"/>
          <w:b w:val="1"/>
          <w:bCs w:val="1"/>
          <w:sz w:val="28"/>
          <w:szCs w:val="28"/>
          <w:rtl w:val="0"/>
          <w:lang w:val="en-US"/>
        </w:rPr>
        <w:t>Keywords:</w:t>
      </w:r>
      <w:r>
        <w:rPr>
          <w:rStyle w:val="None"/>
          <w:rFonts w:ascii="Times New Roman" w:hAnsi="Times New Roman"/>
          <w:sz w:val="28"/>
          <w:szCs w:val="28"/>
          <w:rtl w:val="0"/>
          <w:lang w:val="en-US"/>
        </w:rPr>
        <w:t xml:space="preserve"> </w:t>
      </w:r>
      <w:r>
        <w:rPr>
          <w:rStyle w:val="None"/>
          <w:rFonts w:ascii="Times New Roman" w:hAnsi="Times New Roman"/>
          <w:rtl w:val="0"/>
          <w:lang w:val="en-US"/>
        </w:rPr>
        <w:t xml:space="preserve">Aiken, </w:t>
      </w:r>
      <w:r>
        <w:rPr>
          <w:rStyle w:val="None"/>
          <w:rFonts w:ascii="Times New Roman" w:hAnsi="Times New Roman"/>
          <w:rtl w:val="0"/>
          <w:lang w:val="fr-FR"/>
        </w:rPr>
        <w:t>BlockchainOracles,</w:t>
      </w:r>
      <w:r>
        <w:rPr>
          <w:rStyle w:val="None"/>
          <w:rFonts w:ascii="Times New Roman" w:hAnsi="Times New Roman"/>
          <w:rtl w:val="0"/>
          <w:lang w:val="en-US"/>
        </w:rPr>
        <w:t xml:space="preserve"> </w:t>
      </w:r>
      <w:r>
        <w:rPr>
          <w:rStyle w:val="None"/>
          <w:rFonts w:ascii="Times New Roman" w:hAnsi="Times New Roman"/>
          <w:rtl w:val="0"/>
          <w:lang w:val="it-IT"/>
        </w:rPr>
        <w:t>Cardano,</w:t>
      </w:r>
      <w:r>
        <w:rPr>
          <w:rStyle w:val="None"/>
          <w:rFonts w:ascii="Times New Roman" w:hAnsi="Times New Roman"/>
          <w:rtl w:val="0"/>
          <w:lang w:val="en-US"/>
        </w:rPr>
        <w:t xml:space="preserve"> CIP-68, </w:t>
      </w:r>
      <w:r>
        <w:rPr>
          <w:rStyle w:val="None"/>
          <w:rFonts w:ascii="Times New Roman" w:hAnsi="Times New Roman"/>
          <w:rtl w:val="0"/>
          <w:lang w:val="da-DK"/>
        </w:rPr>
        <w:t>DeFi,</w:t>
      </w:r>
      <w:r>
        <w:rPr>
          <w:rStyle w:val="None"/>
          <w:rFonts w:ascii="Times New Roman" w:hAnsi="Times New Roman"/>
          <w:rtl w:val="0"/>
          <w:lang w:val="en-US"/>
        </w:rPr>
        <w:t xml:space="preserve"> eUTXO, Federated Learning, </w:t>
      </w:r>
      <w:r>
        <w:rPr>
          <w:rStyle w:val="None"/>
          <w:rFonts w:ascii="Times New Roman" w:hAnsi="Times New Roman"/>
          <w:rtl w:val="0"/>
          <w:lang w:val="de-DE"/>
        </w:rPr>
        <w:t>GNN,</w:t>
      </w:r>
      <w:r>
        <w:rPr>
          <w:rStyle w:val="None"/>
          <w:rFonts w:ascii="Times New Roman" w:hAnsi="Times New Roman"/>
          <w:rtl w:val="0"/>
          <w:lang w:val="en-US"/>
        </w:rPr>
        <w:t xml:space="preserve"> Hype Score, Plutus V3, Prediction Markets, Sentiment Analysis, Shield NFT, Smart Contracts</w:t>
      </w:r>
    </w:p>
    <w:p>
      <w:pPr>
        <w:pStyle w:val="Default"/>
        <w:suppressAutoHyphens w:val="1"/>
        <w:spacing w:before="0" w:after="240" w:line="240" w:lineRule="auto"/>
        <w:jc w:val="both"/>
        <w:rPr>
          <w:rStyle w:val="Hyperlink.0"/>
          <w:rFonts w:ascii="Times New Roman" w:cs="Times New Roman" w:hAnsi="Times New Roman" w:eastAsia="Times New Roman"/>
        </w:rPr>
      </w:pPr>
    </w:p>
    <w:p>
      <w:pPr>
        <w:pStyle w:val="Default"/>
        <w:suppressAutoHyphens w:val="1"/>
        <w:spacing w:before="0" w:after="240" w:line="240" w:lineRule="auto"/>
        <w:rPr>
          <w:rStyle w:val="None"/>
          <w:rFonts w:ascii="Times New Roman" w:cs="Times New Roman" w:hAnsi="Times New Roman" w:eastAsia="Times New Roman"/>
          <w:b w:val="1"/>
          <w:bCs w:val="1"/>
          <w:sz w:val="28"/>
          <w:szCs w:val="28"/>
        </w:rPr>
      </w:pPr>
      <w:r>
        <w:rPr>
          <w:rStyle w:val="None"/>
          <w:rFonts w:ascii="Times New Roman" w:hAnsi="Times New Roman"/>
          <w:b w:val="1"/>
          <w:bCs w:val="1"/>
          <w:sz w:val="28"/>
          <w:szCs w:val="28"/>
          <w:rtl w:val="0"/>
          <w:lang w:val="en-US"/>
        </w:rPr>
        <w:t>1. INTRODUCTION</w:t>
      </w:r>
    </w:p>
    <w:p>
      <w:pPr>
        <w:pStyle w:val="Default"/>
        <w:suppressAutoHyphens w:val="1"/>
        <w:spacing w:before="0" w:after="240" w:line="240" w:lineRule="auto"/>
        <w:jc w:val="both"/>
        <w:rPr>
          <w:rStyle w:val="Hyperlink.0"/>
        </w:rPr>
      </w:pPr>
      <w:r>
        <w:rPr>
          <w:rStyle w:val="Hyperlink.0"/>
          <w:rtl w:val="0"/>
          <w:lang w:val="en-US"/>
        </w:rPr>
        <w:t>Blockchain-based smart contracts have emerged as a disruptive paradigm enabling self-executing agreements without centralised intermediaries [1]. Applications span decentralised finance (DeFi), supply chain assurance, tokenised insurance, and prediction markets. A fundamental constraint, however, is that contract execution occurs in a deterministic, closed environment with no native capability to ingest off-chain data; any external input must be injected through a trusted intermediary called an oracle [9]. Contemporary oracle architectures generally adopt one of two strategies: reliance on a single trusted node (single point of failure) or multi-node aggregation with fixed rules [1]. Neither approach is well suited to noisy signals such as social media sentiment or trending search activity, which are increasingly relevant to prediction markets where participants bet on narrative-price divergence.</w:t>
      </w:r>
    </w:p>
    <w:p>
      <w:pPr>
        <w:pStyle w:val="Default"/>
        <w:suppressAutoHyphens w:val="1"/>
        <w:spacing w:before="0" w:after="240" w:line="240" w:lineRule="auto"/>
        <w:jc w:val="both"/>
        <w:rPr>
          <w:rStyle w:val="Hyperlink.0"/>
        </w:rPr>
      </w:pPr>
      <w:r>
        <w:rPr>
          <w:rStyle w:val="Hyperlink.0"/>
          <w:rtl w:val="0"/>
          <w:lang w:val="en-US"/>
        </w:rPr>
        <w:t>Sentiment Trading addresses this gap by constructing and validating an end-to-end integration pipeline</w:t>
      </w:r>
      <w:r>
        <w:rPr>
          <w:rStyle w:val="Hyperlink.0"/>
          <w:rtl w:val="0"/>
          <w:lang w:val="en-US"/>
        </w:rPr>
        <w:t>—</w:t>
      </w:r>
      <w:r>
        <w:rPr>
          <w:rStyle w:val="Hyperlink.0"/>
          <w:rtl w:val="0"/>
          <w:lang w:val="en-US"/>
        </w:rPr>
        <w:t>from a Python/FastAPI off-chain oracle through six Aiken smart contracts deployed on the Cardano Preview Testnet. Rather than attempting a production AI system from the outset, the PoC intentionally uses a heuristic Hype Score to focus engineering effort on validating the data pipeline, UTxO datum schemas, and contract logic. This methodology inverts the common error of embedding ML complexity before the integration scaffold is proven. Cardano's eUTXO model was selected because it enables concurrent contract execution without shared mutable state, avoiding race conditions that affect account-based chains such as Ethereum [10][12].</w:t>
      </w:r>
    </w:p>
    <w:p>
      <w:pPr>
        <w:pStyle w:val="Default"/>
        <w:suppressAutoHyphens w:val="1"/>
        <w:spacing w:before="0" w:after="240" w:line="240" w:lineRule="auto"/>
        <w:rPr>
          <w:rStyle w:val="Hyperlink.0"/>
        </w:rPr>
      </w:pPr>
      <w:r>
        <w:rPr>
          <w:rStyle w:val="Hyperlink.0"/>
          <w:rtl w:val="0"/>
          <w:lang w:val="en-US"/>
        </w:rPr>
        <w:t>The main contributions of this work are:</w:t>
      </w:r>
    </w:p>
    <w:p>
      <w:pPr>
        <w:pStyle w:val="Default"/>
        <w:numPr>
          <w:ilvl w:val="0"/>
          <w:numId w:val="2"/>
        </w:numPr>
        <w:suppressAutoHyphens w:val="1"/>
        <w:bidi w:val="0"/>
        <w:spacing w:before="0" w:after="240" w:line="240" w:lineRule="auto"/>
        <w:ind w:right="0"/>
        <w:jc w:val="left"/>
        <w:rPr>
          <w:rFonts w:ascii="Times New Roman" w:hAnsi="Times New Roman"/>
          <w:rtl w:val="0"/>
          <w:lang w:val="en-US"/>
        </w:rPr>
      </w:pPr>
      <w:r>
        <w:rPr>
          <w:rStyle w:val="None"/>
          <w:rFonts w:ascii="Times New Roman" w:hAnsi="Times New Roman"/>
          <w:rtl w:val="0"/>
          <w:lang w:val="en-US"/>
        </w:rPr>
        <w:t>An end-to-end verified integration of a FastAPI oracle service with six Aiken smart contracts on the Cardano Preview Testnet.</w:t>
      </w:r>
    </w:p>
    <w:p>
      <w:pPr>
        <w:pStyle w:val="Default"/>
        <w:numPr>
          <w:ilvl w:val="0"/>
          <w:numId w:val="2"/>
        </w:numPr>
        <w:suppressAutoHyphens w:val="1"/>
        <w:bidi w:val="0"/>
        <w:spacing w:before="0" w:after="240" w:line="240" w:lineRule="auto"/>
        <w:ind w:right="0"/>
        <w:jc w:val="left"/>
        <w:rPr>
          <w:rFonts w:ascii="Times New Roman" w:hAnsi="Times New Roman"/>
          <w:rtl w:val="0"/>
          <w:lang w:val="en-US"/>
        </w:rPr>
      </w:pPr>
      <w:r>
        <w:rPr>
          <w:rStyle w:val="None"/>
          <w:rFonts w:ascii="Times New Roman" w:hAnsi="Times New Roman"/>
          <w:rtl w:val="0"/>
          <w:lang w:val="en-US"/>
        </w:rPr>
        <w:t>A heuristic Hype Score pipeline with a clearly scoped upgrade path to trained NLP models.</w:t>
      </w:r>
    </w:p>
    <w:p>
      <w:pPr>
        <w:pStyle w:val="Default"/>
        <w:numPr>
          <w:ilvl w:val="0"/>
          <w:numId w:val="2"/>
        </w:numPr>
        <w:suppressAutoHyphens w:val="1"/>
        <w:bidi w:val="0"/>
        <w:spacing w:before="0" w:after="240" w:line="240" w:lineRule="auto"/>
        <w:ind w:right="0"/>
        <w:jc w:val="left"/>
        <w:rPr>
          <w:rFonts w:ascii="Times New Roman" w:hAnsi="Times New Roman"/>
          <w:rtl w:val="0"/>
          <w:lang w:val="en-US"/>
        </w:rPr>
      </w:pPr>
      <w:r>
        <w:rPr>
          <w:rStyle w:val="None"/>
          <w:rFonts w:ascii="Times New Roman" w:hAnsi="Times New Roman"/>
          <w:rtl w:val="0"/>
          <w:lang w:val="en-US"/>
        </w:rPr>
        <w:t>A 120% over-collateralised Treasury Reserve with an 80% safety-valve liability cap.</w:t>
      </w:r>
    </w:p>
    <w:p>
      <w:pPr>
        <w:pStyle w:val="Default"/>
        <w:numPr>
          <w:ilvl w:val="0"/>
          <w:numId w:val="2"/>
        </w:numPr>
        <w:suppressAutoHyphens w:val="1"/>
        <w:bidi w:val="0"/>
        <w:spacing w:before="0" w:after="240" w:line="240" w:lineRule="auto"/>
        <w:ind w:right="0"/>
        <w:jc w:val="left"/>
        <w:rPr>
          <w:rFonts w:ascii="Times New Roman" w:hAnsi="Times New Roman"/>
          <w:rtl w:val="0"/>
          <w:lang w:val="en-US"/>
        </w:rPr>
      </w:pPr>
      <w:r>
        <w:rPr>
          <w:rStyle w:val="None"/>
          <w:rFonts w:ascii="Times New Roman" w:hAnsi="Times New Roman"/>
          <w:rtl w:val="0"/>
          <w:lang w:val="en-US"/>
        </w:rPr>
        <w:t>A CIP-68 Shield NFT contract enabling metadata updates without token reissuance.</w:t>
      </w:r>
    </w:p>
    <w:p>
      <w:pPr>
        <w:pStyle w:val="Default"/>
        <w:numPr>
          <w:ilvl w:val="0"/>
          <w:numId w:val="2"/>
        </w:numPr>
        <w:suppressAutoHyphens w:val="1"/>
        <w:bidi w:val="0"/>
        <w:spacing w:before="0" w:after="240" w:line="240" w:lineRule="auto"/>
        <w:ind w:right="0"/>
        <w:jc w:val="left"/>
        <w:rPr>
          <w:rFonts w:ascii="Times New Roman" w:hAnsi="Times New Roman"/>
          <w:rtl w:val="0"/>
          <w:lang w:val="en-US"/>
        </w:rPr>
      </w:pPr>
      <w:r>
        <w:rPr>
          <w:rStyle w:val="None"/>
          <w:rFonts w:ascii="Times New Roman" w:hAnsi="Times New Roman"/>
          <w:rtl w:val="0"/>
          <w:lang w:val="en-US"/>
        </w:rPr>
        <w:t>A proposed upgrade roadmap covering GNN trust scoring, federated FinBERT, autoencoder anomaly detection, and DQN-based oracle aggregation.</w:t>
      </w:r>
    </w:p>
    <w:p>
      <w:pPr>
        <w:pStyle w:val="Default"/>
        <w:suppressAutoHyphens w:val="1"/>
        <w:spacing w:before="0" w:after="240" w:line="240" w:lineRule="auto"/>
        <w:rPr>
          <w:rStyle w:val="None"/>
          <w:rFonts w:ascii="Times New Roman" w:cs="Times New Roman" w:hAnsi="Times New Roman" w:eastAsia="Times New Roman"/>
          <w:b w:val="1"/>
          <w:bCs w:val="1"/>
          <w:sz w:val="28"/>
          <w:szCs w:val="28"/>
        </w:rPr>
      </w:pPr>
      <w:r>
        <w:rPr>
          <w:rStyle w:val="None"/>
          <w:rFonts w:ascii="Times New Roman" w:hAnsi="Times New Roman"/>
          <w:b w:val="1"/>
          <w:bCs w:val="1"/>
          <w:sz w:val="28"/>
          <w:szCs w:val="28"/>
          <w:rtl w:val="0"/>
          <w:lang w:val="en-US"/>
        </w:rPr>
        <w:t>2. LITERATURE REVIEW</w:t>
      </w: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2.1 AI-Driven Oracle Systems</w:t>
      </w:r>
    </w:p>
    <w:p>
      <w:pPr>
        <w:pStyle w:val="Default"/>
        <w:suppressAutoHyphens w:val="1"/>
        <w:spacing w:before="0" w:after="240" w:line="240" w:lineRule="auto"/>
        <w:jc w:val="both"/>
        <w:rPr>
          <w:rStyle w:val="Hyperlink.0"/>
        </w:rPr>
      </w:pPr>
      <w:r>
        <w:rPr>
          <w:rStyle w:val="Hyperlink.0"/>
          <w:rtl w:val="0"/>
          <w:lang w:val="en-US"/>
        </w:rPr>
        <w:t>Rohan and Ananda Babu [1] propose a multi-layer AI oracle chaining GNN trust scoring, federated learning, transformer NLP, autoencoder anomaly detection, and RL aggregation, achieving 92% aggregation accuracy with AUC 0.95. The modular design</w:t>
      </w:r>
      <w:r>
        <w:rPr>
          <w:rStyle w:val="Hyperlink.0"/>
          <w:rtl w:val="0"/>
          <w:lang w:val="en-US"/>
        </w:rPr>
        <w:t>—</w:t>
      </w:r>
      <w:r>
        <w:rPr>
          <w:rStyle w:val="Hyperlink.0"/>
          <w:rtl w:val="0"/>
          <w:lang w:val="en-US"/>
        </w:rPr>
        <w:t>each AI component independently swappable</w:t>
      </w:r>
      <w:r>
        <w:rPr>
          <w:rStyle w:val="Hyperlink.0"/>
          <w:rtl w:val="0"/>
          <w:lang w:val="en-US"/>
        </w:rPr>
        <w:t>—</w:t>
      </w:r>
      <w:r>
        <w:rPr>
          <w:rStyle w:val="Hyperlink.0"/>
          <w:rtl w:val="0"/>
          <w:lang w:val="en-US"/>
        </w:rPr>
        <w:t>provides the primary architectural reference for Sentiment Trading's upgrade roadmap. Oracle manipulation research [7] confirms that oracle integrity is an active attack surface, directly motivating the anti-arbitrage guard and reserve-ratio mechanism.</w:t>
      </w: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2.2 Sentiment Analysis and Market Prediction</w:t>
      </w:r>
    </w:p>
    <w:p>
      <w:pPr>
        <w:pStyle w:val="Default"/>
        <w:suppressAutoHyphens w:val="1"/>
        <w:spacing w:before="0" w:after="240" w:line="240" w:lineRule="auto"/>
        <w:rPr>
          <w:rStyle w:val="Hyperlink.0"/>
        </w:rPr>
      </w:pPr>
      <w:r>
        <w:rPr>
          <w:rStyle w:val="Hyperlink.0"/>
          <w:rtl w:val="0"/>
          <w:lang w:val="en-US"/>
        </w:rPr>
        <w:t>A growing body of work demonstrates that web-derived sentiment signals improve financial forecasting. Studies using LLMs for market prediction [2] and machine learning for stock trend classification [3] both report that sentiment features outperform price-only baselines in fast-moving markets. LSTM-based sentiment models [4] and deep-learning approaches for emerging markets [5] collectively map the upgrade trajectory from the current heuristic toward a production-grade trained classifier. A comprehensive NLP-sentiment survey [6] further contextualises the state of the art.</w:t>
      </w:r>
    </w:p>
    <w:p>
      <w:pPr>
        <w:pStyle w:val="Default"/>
        <w:suppressAutoHyphens w:val="1"/>
        <w:spacing w:before="0" w:after="240" w:line="240" w:lineRule="auto"/>
        <w:rPr>
          <w:rStyle w:val="None"/>
          <w:rFonts w:ascii="Times New Roman" w:cs="Times New Roman" w:hAnsi="Times New Roman" w:eastAsia="Times New Roman"/>
          <w:b w:val="1"/>
          <w:bCs w:val="1"/>
          <w:lang w:val="it-IT"/>
        </w:rPr>
      </w:pPr>
      <w:r>
        <w:rPr>
          <w:rStyle w:val="None"/>
          <w:rFonts w:ascii="Times New Roman" w:hAnsi="Times New Roman"/>
          <w:b w:val="1"/>
          <w:bCs w:val="1"/>
          <w:rtl w:val="0"/>
          <w:lang w:val="it-IT"/>
        </w:rPr>
        <w:t>2.3 eUTXO Model and Cardano</w:t>
      </w:r>
    </w:p>
    <w:p>
      <w:pPr>
        <w:pStyle w:val="Default"/>
        <w:suppressAutoHyphens w:val="1"/>
        <w:spacing w:before="0" w:after="240" w:line="240" w:lineRule="auto"/>
        <w:rPr>
          <w:rStyle w:val="Hyperlink.0"/>
        </w:rPr>
      </w:pPr>
      <w:r>
        <w:rPr>
          <w:rStyle w:val="Hyperlink.0"/>
          <w:rtl w:val="0"/>
          <w:lang w:val="en-US"/>
        </w:rPr>
        <w:t>Research on distributed state management in eUTXO systems [10] demonstrates that deterministic, parallel UTxO consumption inherently avoids double-spend risks endemic to account-based models. A comparative blockchain analysis [12] confirms Cardano's suitability for DApps requiring formal verification. Revenue optimisation on Cardano [11] and smart contract opcode classification [8] provide further platform context. The AMM pricing model is grounded in order-book AMM research [13].</w:t>
      </w: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2.4 Decentralised Insurance Mechanisms</w:t>
      </w:r>
    </w:p>
    <w:p>
      <w:pPr>
        <w:pStyle w:val="Default"/>
        <w:suppressAutoHyphens w:val="1"/>
        <w:spacing w:before="0" w:after="240" w:line="240" w:lineRule="auto"/>
        <w:rPr>
          <w:rStyle w:val="Hyperlink.0"/>
        </w:rPr>
      </w:pPr>
      <w:r>
        <w:rPr>
          <w:rStyle w:val="Hyperlink.0"/>
          <w:rtl w:val="0"/>
          <w:lang w:val="en-US"/>
        </w:rPr>
        <w:t>Blockchain insurance contract research [14] establishes how premium collection, risk pooling, and claim settlement can be fully encoded in contract logic. An IoT-linked insurance framework [15] demonstrates the feasibility of autonomous claim settlement triggered by verified sensor data</w:t>
      </w:r>
      <w:r>
        <w:rPr>
          <w:rStyle w:val="Hyperlink.0"/>
          <w:rtl w:val="0"/>
          <w:lang w:val="en-US"/>
        </w:rPr>
        <w:t>—</w:t>
      </w:r>
      <w:r>
        <w:rPr>
          <w:rStyle w:val="Hyperlink.0"/>
          <w:rtl w:val="0"/>
          <w:lang w:val="en-US"/>
        </w:rPr>
        <w:t>directly analogous to Sentiment Trading's crash-refund mechanism responding to oracle-detected Hype Score drops.</w:t>
      </w:r>
    </w:p>
    <w:p>
      <w:pPr>
        <w:pStyle w:val="Default"/>
        <w:suppressAutoHyphens w:val="1"/>
        <w:spacing w:before="0" w:after="240" w:line="240" w:lineRule="auto"/>
        <w:rPr>
          <w:rStyle w:val="None"/>
          <w:rFonts w:ascii="Times New Roman" w:cs="Times New Roman" w:hAnsi="Times New Roman" w:eastAsia="Times New Roman"/>
          <w:b w:val="1"/>
          <w:bCs w:val="1"/>
          <w:sz w:val="28"/>
          <w:szCs w:val="28"/>
        </w:rPr>
      </w:pPr>
      <w:r>
        <w:rPr>
          <w:rStyle w:val="None"/>
          <w:rFonts w:ascii="Times New Roman" w:hAnsi="Times New Roman"/>
          <w:b w:val="1"/>
          <w:bCs w:val="1"/>
          <w:sz w:val="28"/>
          <w:szCs w:val="28"/>
          <w:rtl w:val="0"/>
          <w:lang w:val="en-US"/>
        </w:rPr>
        <w:t>3. SYSTEM ARCHITECTURE</w:t>
      </w: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3.1 Design Philosophy</w:t>
      </w:r>
    </w:p>
    <w:p>
      <w:pPr>
        <w:pStyle w:val="Default"/>
        <w:suppressAutoHyphens w:val="1"/>
        <w:spacing w:before="0" w:after="240" w:line="240" w:lineRule="auto"/>
        <w:rPr>
          <w:rStyle w:val="Hyperlink.0"/>
        </w:rPr>
      </w:pPr>
      <w:r>
        <w:rPr>
          <w:rStyle w:val="Hyperlink.0"/>
          <w:rtl w:val="0"/>
          <w:lang w:val="en-US"/>
        </w:rPr>
        <w:t>The guiding principle of Sentiment Trading is integration-first: validate the data flow, API contracts, and UTxO datum schemas before introducing ML complexity. Once the scaffold is verified, replacing the heuristic oracle with a trained model becomes a well-scoped engineering task rather than an undifferentiated unknown.</w:t>
      </w: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3.2 Three-Tier Architecture</w:t>
      </w:r>
    </w:p>
    <w:p>
      <w:pPr>
        <w:pStyle w:val="Default"/>
        <w:suppressAutoHyphens w:val="1"/>
        <w:spacing w:before="0" w:after="240" w:line="240" w:lineRule="auto"/>
        <w:rPr>
          <w:rStyle w:val="Hyperlink.0"/>
        </w:rPr>
      </w:pPr>
      <w:r>
        <w:rPr>
          <w:rStyle w:val="Hyperlink.0"/>
          <w:rtl w:val="0"/>
          <w:lang w:val="en-US"/>
        </w:rPr>
        <w:t>The system comprises a React/Lucid Evolution Presentation Layer, a Python/FastAPI Application Layer, and an Aiken/PlutusV3 Contract Layer deployed on the Cardano Preprod Network. Figure 1 presents the greyscale architectural overview.</w:t>
      </w:r>
      <w:r>
        <w:rPr>
          <w:rStyle w:val="Hyperlink.0"/>
        </w:rPr>
        <w:drawing xmlns:a="http://schemas.openxmlformats.org/drawingml/2006/main">
          <wp:anchor distT="152400" distB="152400" distL="152400" distR="152400" simplePos="0" relativeHeight="251659264" behindDoc="0" locked="0" layoutInCell="1" allowOverlap="1">
            <wp:simplePos x="0" y="0"/>
            <wp:positionH relativeFrom="margin">
              <wp:posOffset>1080974</wp:posOffset>
            </wp:positionH>
            <wp:positionV relativeFrom="line">
              <wp:posOffset>237143</wp:posOffset>
            </wp:positionV>
            <wp:extent cx="3958107" cy="2808979"/>
            <wp:effectExtent l="0" t="0" r="0" b="0"/>
            <wp:wrapThrough wrapText="bothSides" distL="152400" distR="152400">
              <wp:wrapPolygon edited="1">
                <wp:start x="-26" y="-37"/>
                <wp:lineTo x="-26" y="0"/>
                <wp:lineTo x="-26" y="21601"/>
                <wp:lineTo x="-26" y="21637"/>
                <wp:lineTo x="0" y="21637"/>
                <wp:lineTo x="21600" y="21637"/>
                <wp:lineTo x="21626" y="21637"/>
                <wp:lineTo x="21626" y="21601"/>
                <wp:lineTo x="21626" y="0"/>
                <wp:lineTo x="21626" y="-37"/>
                <wp:lineTo x="21600" y="-37"/>
                <wp:lineTo x="0" y="-37"/>
                <wp:lineTo x="-26" y="-37"/>
              </wp:wrapPolygon>
            </wp:wrapThrough>
            <wp:docPr id="1073741825" name="officeArt object" descr="Screenshot 2026-05-13 at 3.57.23 PM.png"/>
            <wp:cNvGraphicFramePr/>
            <a:graphic xmlns:a="http://schemas.openxmlformats.org/drawingml/2006/main">
              <a:graphicData uri="http://schemas.openxmlformats.org/drawingml/2006/picture">
                <pic:pic xmlns:pic="http://schemas.openxmlformats.org/drawingml/2006/picture">
                  <pic:nvPicPr>
                    <pic:cNvPr id="1073741825" name="Screenshot 2026-05-13 at 3.57.23 PM.png" descr="Screenshot 2026-05-13 at 3.57.23 PM.png"/>
                    <pic:cNvPicPr>
                      <a:picLocks noChangeAspect="1"/>
                    </pic:cNvPicPr>
                  </pic:nvPicPr>
                  <pic:blipFill>
                    <a:blip r:embed="rId4">
                      <a:extLst/>
                    </a:blip>
                    <a:stretch>
                      <a:fillRect/>
                    </a:stretch>
                  </pic:blipFill>
                  <pic:spPr>
                    <a:xfrm>
                      <a:off x="0" y="0"/>
                      <a:ext cx="3958107" cy="2808979"/>
                    </a:xfrm>
                    <a:prstGeom prst="rect">
                      <a:avLst/>
                    </a:prstGeom>
                    <a:ln w="9525" cap="flat">
                      <a:solidFill>
                        <a:srgbClr val="929292"/>
                      </a:solidFill>
                      <a:prstDash val="solid"/>
                      <a:miter lim="400000"/>
                    </a:ln>
                    <a:effectLst/>
                  </pic:spPr>
                </pic:pic>
              </a:graphicData>
            </a:graphic>
          </wp:anchor>
        </w:drawing>
      </w:r>
    </w:p>
    <w:p>
      <w:pPr>
        <w:pStyle w:val="Default"/>
        <w:suppressAutoHyphens w:val="1"/>
        <w:spacing w:before="0" w:after="240" w:line="240" w:lineRule="auto"/>
        <w:rPr>
          <w:rStyle w:val="None"/>
          <w:rFonts w:ascii="Times New Roman" w:cs="Times New Roman" w:hAnsi="Times New Roman" w:eastAsia="Times New Roman"/>
          <w:i w:val="1"/>
          <w:iCs w:val="1"/>
        </w:rPr>
      </w:pPr>
    </w:p>
    <w:p>
      <w:pPr>
        <w:pStyle w:val="Default"/>
        <w:suppressAutoHyphens w:val="1"/>
        <w:spacing w:before="0" w:after="240" w:line="240" w:lineRule="auto"/>
        <w:jc w:val="center"/>
        <w:rPr>
          <w:rStyle w:val="None"/>
          <w:rFonts w:ascii="Times New Roman" w:cs="Times New Roman" w:hAnsi="Times New Roman" w:eastAsia="Times New Roman"/>
          <w:i w:val="1"/>
          <w:iCs w:val="1"/>
        </w:rPr>
      </w:pPr>
    </w:p>
    <w:p>
      <w:pPr>
        <w:pStyle w:val="Default"/>
        <w:suppressAutoHyphens w:val="1"/>
        <w:spacing w:before="0" w:after="240" w:line="240" w:lineRule="auto"/>
        <w:rPr>
          <w:rStyle w:val="None"/>
          <w:rFonts w:ascii="Times New Roman" w:cs="Times New Roman" w:hAnsi="Times New Roman" w:eastAsia="Times New Roman"/>
          <w:i w:val="1"/>
          <w:iCs w:val="1"/>
        </w:rPr>
      </w:pPr>
    </w:p>
    <w:p>
      <w:pPr>
        <w:pStyle w:val="Default"/>
        <w:suppressAutoHyphens w:val="1"/>
        <w:spacing w:before="0" w:after="240" w:line="240" w:lineRule="auto"/>
        <w:rPr>
          <w:rStyle w:val="None"/>
          <w:rFonts w:ascii="Times New Roman" w:cs="Times New Roman" w:hAnsi="Times New Roman" w:eastAsia="Times New Roman"/>
          <w:i w:val="1"/>
          <w:iCs w:val="1"/>
        </w:rPr>
      </w:pPr>
    </w:p>
    <w:p>
      <w:pPr>
        <w:pStyle w:val="Default"/>
        <w:suppressAutoHyphens w:val="1"/>
        <w:spacing w:before="0" w:after="240" w:line="240" w:lineRule="auto"/>
        <w:rPr>
          <w:rStyle w:val="None"/>
          <w:rFonts w:ascii="Times New Roman" w:cs="Times New Roman" w:hAnsi="Times New Roman" w:eastAsia="Times New Roman"/>
          <w:i w:val="1"/>
          <w:iCs w:val="1"/>
        </w:rPr>
      </w:pPr>
    </w:p>
    <w:p>
      <w:pPr>
        <w:pStyle w:val="Default"/>
        <w:suppressAutoHyphens w:val="1"/>
        <w:spacing w:before="0" w:after="240" w:line="240" w:lineRule="auto"/>
        <w:rPr>
          <w:rStyle w:val="None"/>
          <w:rFonts w:ascii="Times New Roman" w:cs="Times New Roman" w:hAnsi="Times New Roman" w:eastAsia="Times New Roman"/>
          <w:i w:val="1"/>
          <w:iCs w:val="1"/>
        </w:rPr>
      </w:pPr>
    </w:p>
    <w:p>
      <w:pPr>
        <w:pStyle w:val="Default"/>
        <w:suppressAutoHyphens w:val="1"/>
        <w:spacing w:before="0" w:after="240" w:line="240" w:lineRule="auto"/>
        <w:rPr>
          <w:rStyle w:val="None"/>
          <w:rFonts w:ascii="Times New Roman" w:cs="Times New Roman" w:hAnsi="Times New Roman" w:eastAsia="Times New Roman"/>
          <w:i w:val="1"/>
          <w:iCs w:val="1"/>
        </w:rPr>
      </w:pPr>
    </w:p>
    <w:p>
      <w:pPr>
        <w:pStyle w:val="Default"/>
        <w:suppressAutoHyphens w:val="1"/>
        <w:spacing w:before="0" w:after="240" w:line="240" w:lineRule="auto"/>
        <w:jc w:val="center"/>
        <w:rPr>
          <w:rStyle w:val="None"/>
          <w:rFonts w:ascii="Times New Roman" w:cs="Times New Roman" w:hAnsi="Times New Roman" w:eastAsia="Times New Roman"/>
        </w:rPr>
      </w:pPr>
    </w:p>
    <w:p>
      <w:pPr>
        <w:pStyle w:val="Default"/>
        <w:suppressAutoHyphens w:val="1"/>
        <w:spacing w:before="0" w:after="240" w:line="240" w:lineRule="auto"/>
        <w:jc w:val="center"/>
        <w:rPr>
          <w:rStyle w:val="None"/>
          <w:rFonts w:ascii="Times New Roman" w:cs="Times New Roman" w:hAnsi="Times New Roman" w:eastAsia="Times New Roman"/>
        </w:rPr>
      </w:pPr>
    </w:p>
    <w:p>
      <w:pPr>
        <w:pStyle w:val="Default"/>
        <w:suppressAutoHyphens w:val="1"/>
        <w:spacing w:before="0" w:after="240" w:line="240" w:lineRule="auto"/>
        <w:jc w:val="center"/>
        <w:rPr>
          <w:rStyle w:val="Hyperlink.0"/>
        </w:rPr>
      </w:pPr>
      <w:r>
        <w:rPr>
          <w:rStyle w:val="None"/>
          <w:rFonts w:ascii="Times New Roman" w:hAnsi="Times New Roman"/>
          <w:b w:val="1"/>
          <w:bCs w:val="1"/>
          <w:rtl w:val="0"/>
          <w:lang w:val="en-US"/>
        </w:rPr>
        <w:t>Fig. 1.</w:t>
      </w:r>
      <w:r>
        <w:rPr>
          <w:rStyle w:val="Hyperlink.0"/>
          <w:rtl w:val="0"/>
          <w:lang w:val="en-US"/>
        </w:rPr>
        <w:t xml:space="preserve"> Sentiment Trading Three-Tier System Architecture.</w:t>
      </w:r>
    </w:p>
    <w:p>
      <w:pPr>
        <w:pStyle w:val="Default"/>
        <w:suppressAutoHyphens w:val="1"/>
        <w:spacing w:before="0" w:after="240" w:line="240" w:lineRule="auto"/>
        <w:jc w:val="center"/>
        <w:rPr>
          <w:rStyle w:val="Hyperlink.0"/>
        </w:rPr>
      </w:pPr>
    </w:p>
    <w:p>
      <w:pPr>
        <w:pStyle w:val="Default"/>
        <w:suppressAutoHyphens w:val="1"/>
        <w:spacing w:before="0" w:after="240" w:line="240" w:lineRule="auto"/>
        <w:jc w:val="center"/>
        <w:rPr>
          <w:rStyle w:val="Hyperlink.0"/>
        </w:rPr>
      </w:pPr>
      <w:r>
        <w:rPr>
          <w:rStyle w:val="None"/>
          <w:rFonts w:ascii="Times New Roman" w:hAnsi="Times New Roman"/>
          <w:b w:val="1"/>
          <w:bCs w:val="1"/>
          <w:rtl w:val="0"/>
          <w:lang w:val="en-US"/>
        </w:rPr>
        <w:t>Table 1.</w:t>
      </w:r>
      <w:r>
        <w:rPr>
          <w:rStyle w:val="Hyperlink.0"/>
          <w:rtl w:val="0"/>
          <w:lang w:val="en-US"/>
        </w:rPr>
        <w:t xml:space="preserve"> Sentiment Trading System Component Overview</w:t>
      </w:r>
    </w:p>
    <w:tbl>
      <w:tblPr>
        <w:tblW w:w="7270"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855"/>
        <w:gridCol w:w="2694"/>
        <w:gridCol w:w="1721"/>
      </w:tblGrid>
      <w:tr>
        <w:tblPrEx>
          <w:shd w:val="clear" w:color="auto" w:fill="cadfff"/>
        </w:tblPrEx>
        <w:trPr>
          <w:trHeight w:val="300" w:hRule="atLeast"/>
        </w:trPr>
        <w:tc>
          <w:tcPr>
            <w:tcW w:type="dxa" w:w="28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z w:val="18"/>
                <w:szCs w:val="18"/>
                <w:shd w:val="nil" w:color="auto" w:fill="auto"/>
                <w:rtl w:val="0"/>
                <w:lang w:val="it-IT"/>
              </w:rPr>
              <w:t>Component</w:t>
            </w:r>
          </w:p>
        </w:tc>
        <w:tc>
          <w:tcPr>
            <w:tcW w:type="dxa" w:w="26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z w:val="18"/>
                <w:szCs w:val="18"/>
                <w:shd w:val="nil" w:color="auto" w:fill="auto"/>
                <w:rtl w:val="0"/>
              </w:rPr>
              <w:t>Technology</w:t>
            </w:r>
          </w:p>
        </w:tc>
        <w:tc>
          <w:tcPr>
            <w:tcW w:type="dxa" w:w="172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z w:val="18"/>
                <w:szCs w:val="18"/>
                <w:shd w:val="nil" w:color="auto" w:fill="auto"/>
                <w:rtl w:val="0"/>
                <w:lang w:val="nl-NL"/>
              </w:rPr>
              <w:t>Status</w:t>
            </w:r>
          </w:p>
        </w:tc>
      </w:tr>
      <w:tr>
        <w:tblPrEx>
          <w:shd w:val="clear" w:color="auto" w:fill="cadfff"/>
        </w:tblPrEx>
        <w:trPr>
          <w:trHeight w:val="300" w:hRule="atLeast"/>
        </w:trPr>
        <w:tc>
          <w:tcPr>
            <w:tcW w:type="dxa" w:w="28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Off-chain Oracle Engine</w:t>
            </w:r>
          </w:p>
        </w:tc>
        <w:tc>
          <w:tcPr>
            <w:tcW w:type="dxa" w:w="26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Python / FastAPI</w:t>
            </w:r>
          </w:p>
        </w:tc>
        <w:tc>
          <w:tcPr>
            <w:tcW w:type="dxa" w:w="172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Implemented</w:t>
            </w:r>
          </w:p>
        </w:tc>
      </w:tr>
      <w:tr>
        <w:tblPrEx>
          <w:shd w:val="clear" w:color="auto" w:fill="cadfff"/>
        </w:tblPrEx>
        <w:trPr>
          <w:trHeight w:val="300" w:hRule="atLeast"/>
        </w:trPr>
        <w:tc>
          <w:tcPr>
            <w:tcW w:type="dxa" w:w="28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de-DE"/>
              </w:rPr>
              <w:t>Heuristic Hype Score</w:t>
            </w:r>
          </w:p>
        </w:tc>
        <w:tc>
          <w:tcPr>
            <w:tcW w:type="dxa" w:w="26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Python (ai_engine.py)</w:t>
            </w:r>
          </w:p>
        </w:tc>
        <w:tc>
          <w:tcPr>
            <w:tcW w:type="dxa" w:w="172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Implemented</w:t>
            </w:r>
          </w:p>
        </w:tc>
      </w:tr>
      <w:tr>
        <w:tblPrEx>
          <w:shd w:val="clear" w:color="auto" w:fill="cadfff"/>
        </w:tblPrEx>
        <w:trPr>
          <w:trHeight w:val="300" w:hRule="atLeast"/>
        </w:trPr>
        <w:tc>
          <w:tcPr>
            <w:tcW w:type="dxa" w:w="28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Cryptographic Handshake</w:t>
            </w:r>
          </w:p>
        </w:tc>
        <w:tc>
          <w:tcPr>
            <w:tcW w:type="dxa" w:w="26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secrets.token_hex (sim.)</w:t>
            </w:r>
          </w:p>
        </w:tc>
        <w:tc>
          <w:tcPr>
            <w:tcW w:type="dxa" w:w="172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Simulated</w:t>
            </w:r>
          </w:p>
        </w:tc>
      </w:tr>
      <w:tr>
        <w:tblPrEx>
          <w:shd w:val="clear" w:color="auto" w:fill="cadfff"/>
        </w:tblPrEx>
        <w:trPr>
          <w:trHeight w:val="300" w:hRule="atLeast"/>
        </w:trPr>
        <w:tc>
          <w:tcPr>
            <w:tcW w:type="dxa" w:w="28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Oracle Validator Contract</w:t>
            </w:r>
          </w:p>
        </w:tc>
        <w:tc>
          <w:tcPr>
            <w:tcW w:type="dxa" w:w="26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Aiken / PlutusV3</w:t>
            </w:r>
          </w:p>
        </w:tc>
        <w:tc>
          <w:tcPr>
            <w:tcW w:type="dxa" w:w="172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Testnet Verified</w:t>
            </w:r>
          </w:p>
        </w:tc>
      </w:tr>
      <w:tr>
        <w:tblPrEx>
          <w:shd w:val="clear" w:color="auto" w:fill="cadfff"/>
        </w:tblPrEx>
        <w:trPr>
          <w:trHeight w:val="300" w:hRule="atLeast"/>
        </w:trPr>
        <w:tc>
          <w:tcPr>
            <w:tcW w:type="dxa" w:w="28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Treasury Reserve (120%)</w:t>
            </w:r>
          </w:p>
        </w:tc>
        <w:tc>
          <w:tcPr>
            <w:tcW w:type="dxa" w:w="26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Aiken / PlutusV3</w:t>
            </w:r>
          </w:p>
        </w:tc>
        <w:tc>
          <w:tcPr>
            <w:tcW w:type="dxa" w:w="172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Testnet Verified</w:t>
            </w:r>
          </w:p>
        </w:tc>
      </w:tr>
      <w:tr>
        <w:tblPrEx>
          <w:shd w:val="clear" w:color="auto" w:fill="cadfff"/>
        </w:tblPrEx>
        <w:trPr>
          <w:trHeight w:val="300" w:hRule="atLeast"/>
        </w:trPr>
        <w:tc>
          <w:tcPr>
            <w:tcW w:type="dxa" w:w="28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de-DE"/>
              </w:rPr>
              <w:t>Anti-Arbitrage Guard</w:t>
            </w:r>
          </w:p>
        </w:tc>
        <w:tc>
          <w:tcPr>
            <w:tcW w:type="dxa" w:w="26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Aiken / PlutusV3</w:t>
            </w:r>
          </w:p>
        </w:tc>
        <w:tc>
          <w:tcPr>
            <w:tcW w:type="dxa" w:w="172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Testnet Verified</w:t>
            </w:r>
          </w:p>
        </w:tc>
      </w:tr>
      <w:tr>
        <w:tblPrEx>
          <w:shd w:val="clear" w:color="auto" w:fill="cadfff"/>
        </w:tblPrEx>
        <w:trPr>
          <w:trHeight w:val="300" w:hRule="atLeast"/>
        </w:trPr>
        <w:tc>
          <w:tcPr>
            <w:tcW w:type="dxa" w:w="28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de-DE"/>
              </w:rPr>
              <w:t>Crash-Refund Trigger</w:t>
            </w:r>
          </w:p>
        </w:tc>
        <w:tc>
          <w:tcPr>
            <w:tcW w:type="dxa" w:w="26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Aiken / PlutusV3</w:t>
            </w:r>
          </w:p>
        </w:tc>
        <w:tc>
          <w:tcPr>
            <w:tcW w:type="dxa" w:w="172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Testnet Verified</w:t>
            </w:r>
          </w:p>
        </w:tc>
      </w:tr>
      <w:tr>
        <w:tblPrEx>
          <w:shd w:val="clear" w:color="auto" w:fill="cadfff"/>
        </w:tblPrEx>
        <w:trPr>
          <w:trHeight w:val="300" w:hRule="atLeast"/>
        </w:trPr>
        <w:tc>
          <w:tcPr>
            <w:tcW w:type="dxa" w:w="28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nl-NL"/>
              </w:rPr>
              <w:t>Shield NFT (CIP-68)</w:t>
            </w:r>
          </w:p>
        </w:tc>
        <w:tc>
          <w:tcPr>
            <w:tcW w:type="dxa" w:w="26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Aiken / PlutusV3</w:t>
            </w:r>
          </w:p>
        </w:tc>
        <w:tc>
          <w:tcPr>
            <w:tcW w:type="dxa" w:w="172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Testnet Verified</w:t>
            </w:r>
          </w:p>
        </w:tc>
      </w:tr>
      <w:tr>
        <w:tblPrEx>
          <w:shd w:val="clear" w:color="auto" w:fill="cadfff"/>
        </w:tblPrEx>
        <w:trPr>
          <w:trHeight w:val="300" w:hRule="atLeast"/>
        </w:trPr>
        <w:tc>
          <w:tcPr>
            <w:tcW w:type="dxa" w:w="28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AMM Liquidity Contract</w:t>
            </w:r>
          </w:p>
        </w:tc>
        <w:tc>
          <w:tcPr>
            <w:tcW w:type="dxa" w:w="26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Aiken / PlutusV3</w:t>
            </w:r>
          </w:p>
        </w:tc>
        <w:tc>
          <w:tcPr>
            <w:tcW w:type="dxa" w:w="172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Testnet Verified</w:t>
            </w:r>
          </w:p>
        </w:tc>
      </w:tr>
      <w:tr>
        <w:tblPrEx>
          <w:shd w:val="clear" w:color="auto" w:fill="cadfff"/>
        </w:tblPrEx>
        <w:trPr>
          <w:trHeight w:val="300" w:hRule="atLeast"/>
        </w:trPr>
        <w:tc>
          <w:tcPr>
            <w:tcW w:type="dxa" w:w="28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nl-NL"/>
              </w:rPr>
              <w:t>React dApp Frontend</w:t>
            </w:r>
          </w:p>
        </w:tc>
        <w:tc>
          <w:tcPr>
            <w:tcW w:type="dxa" w:w="26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it-IT"/>
              </w:rPr>
              <w:t>TypeScript / Lucid Ev.</w:t>
            </w:r>
          </w:p>
        </w:tc>
        <w:tc>
          <w:tcPr>
            <w:tcW w:type="dxa" w:w="172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Implemented</w:t>
            </w:r>
          </w:p>
        </w:tc>
      </w:tr>
    </w:tbl>
    <w:p>
      <w:pPr>
        <w:pStyle w:val="Default"/>
        <w:widowControl w:val="0"/>
        <w:suppressAutoHyphens w:val="1"/>
        <w:spacing w:before="0" w:after="240" w:line="240" w:lineRule="auto"/>
        <w:ind w:left="108" w:hanging="108"/>
        <w:jc w:val="center"/>
        <w:rPr>
          <w:rStyle w:val="None"/>
          <w:rFonts w:ascii="Times New Roman" w:cs="Times New Roman" w:hAnsi="Times New Roman" w:eastAsia="Times New Roman"/>
        </w:rPr>
      </w:pPr>
    </w:p>
    <w:p>
      <w:pPr>
        <w:pStyle w:val="Default"/>
        <w:suppressAutoHyphens w:val="1"/>
        <w:spacing w:before="0" w:after="240" w:line="240" w:lineRule="auto"/>
        <w:rPr>
          <w:rStyle w:val="None"/>
          <w:rFonts w:ascii="Times New Roman" w:cs="Times New Roman" w:hAnsi="Times New Roman" w:eastAsia="Times New Roman"/>
        </w:rPr>
      </w:pPr>
    </w:p>
    <w:p>
      <w:pPr>
        <w:pStyle w:val="Default"/>
        <w:suppressAutoHyphens w:val="1"/>
        <w:spacing w:before="0" w:after="240" w:line="240" w:lineRule="auto"/>
        <w:rPr>
          <w:rStyle w:val="None"/>
          <w:rFonts w:ascii="Times New Roman" w:cs="Times New Roman" w:hAnsi="Times New Roman" w:eastAsia="Times New Roman"/>
          <w:b w:val="1"/>
          <w:bCs w:val="1"/>
          <w:sz w:val="28"/>
          <w:szCs w:val="28"/>
        </w:rPr>
      </w:pPr>
      <w:r>
        <w:rPr>
          <w:rStyle w:val="None"/>
          <w:rFonts w:ascii="Times New Roman" w:hAnsi="Times New Roman"/>
          <w:b w:val="1"/>
          <w:bCs w:val="1"/>
          <w:sz w:val="28"/>
          <w:szCs w:val="28"/>
          <w:rtl w:val="0"/>
          <w:lang w:val="en-US"/>
        </w:rPr>
        <w:t>4. METHADOLOGY</w:t>
      </w: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4.1 Off-Chain Oracle Engine (Hype Score Pipeline)</w:t>
      </w:r>
    </w:p>
    <w:p>
      <w:pPr>
        <w:pStyle w:val="Default"/>
        <w:suppressAutoHyphens w:val="1"/>
        <w:spacing w:before="0" w:after="240" w:line="240" w:lineRule="auto"/>
        <w:rPr>
          <w:rStyle w:val="Hyperlink.0"/>
        </w:rPr>
      </w:pPr>
      <w:r>
        <w:rPr>
          <w:rStyle w:val="Hyperlink.0"/>
          <w:rtl w:val="0"/>
          <w:lang w:val="en-US"/>
        </w:rPr>
        <w:t>The oracle engine (ai_engine.py) issues a DuckDuckGo search query for a target asset ticker symbol, concatenates returned result snippets into a single text string (combined_text), and derives a base score using:</w:t>
      </w:r>
    </w:p>
    <w:p>
      <w:pPr>
        <w:pStyle w:val="Default"/>
        <w:suppressAutoHyphens w:val="1"/>
        <w:spacing w:before="0" w:after="240" w:line="240" w:lineRule="auto"/>
        <w:jc w:val="center"/>
        <w:rPr>
          <w:rStyle w:val="None"/>
          <w:rFonts w:ascii="Times New Roman" w:cs="Times New Roman" w:hAnsi="Times New Roman" w:eastAsia="Times New Roman"/>
          <w:outline w:val="0"/>
          <w:color w:val="000000"/>
          <w:sz w:val="24"/>
          <w:u w:color="000000"/>
          <w14:textFill>
            <w14:solidFill>
              <w14:srgbClr w14:val="000000"/>
            </w14:solidFill>
          </w14:textFill>
        </w:rPr>
      </w:pPr>
      <m:oMathPara>
        <m:oMathParaPr>
          <m:jc m:val="center"/>
        </m:oMathParaPr>
        <m:oMath>
          <m:r>
            <w:rPr xmlns:w="http://schemas.openxmlformats.org/wordprocessingml/2006/main">
              <w:rFonts w:ascii="Cambria Math" w:hAnsi="Cambria Math"/>
              <w:i/>
              <w:color w:val="000000"/>
              <w:sz w:val="25"/>
              <w:szCs w:val="25"/>
            </w:rPr>
            <m:t>b</m:t>
          </m:r>
          <m:r>
            <w:rPr xmlns:w="http://schemas.openxmlformats.org/wordprocessingml/2006/main">
              <w:rFonts w:ascii="Cambria Math" w:hAnsi="Cambria Math"/>
              <w:i/>
              <w:color w:val="000000"/>
              <w:sz w:val="25"/>
              <w:szCs w:val="25"/>
            </w:rPr>
            <m:t>a</m:t>
          </m:r>
          <m:r>
            <w:rPr xmlns:w="http://schemas.openxmlformats.org/wordprocessingml/2006/main">
              <w:rFonts w:ascii="Cambria Math" w:hAnsi="Cambria Math"/>
              <w:i/>
              <w:color w:val="000000"/>
              <w:sz w:val="25"/>
              <w:szCs w:val="25"/>
            </w:rPr>
            <m:t>s</m:t>
          </m:r>
          <m:r>
            <w:rPr xmlns:w="http://schemas.openxmlformats.org/wordprocessingml/2006/main">
              <w:rFonts w:ascii="Cambria Math" w:hAnsi="Cambria Math"/>
              <w:i/>
              <w:color w:val="000000"/>
              <w:sz w:val="25"/>
              <w:szCs w:val="25"/>
            </w:rPr>
            <m:t>e</m:t>
          </m:r>
          <m:r>
            <w:rPr xmlns:w="http://schemas.openxmlformats.org/wordprocessingml/2006/main">
              <w:rFonts w:ascii="Cambria Math" w:hAnsi="Cambria Math"/>
              <w:i/>
              <w:color w:val="000000"/>
              <w:sz w:val="25"/>
              <w:szCs w:val="25"/>
            </w:rPr>
            <m:t>_</m:t>
          </m:r>
          <m:r>
            <w:rPr xmlns:w="http://schemas.openxmlformats.org/wordprocessingml/2006/main">
              <w:rFonts w:ascii="Cambria Math" w:hAnsi="Cambria Math"/>
              <w:i/>
              <w:color w:val="000000"/>
              <w:sz w:val="25"/>
              <w:szCs w:val="25"/>
            </w:rPr>
            <m:t>s</m:t>
          </m:r>
          <m:r>
            <w:rPr xmlns:w="http://schemas.openxmlformats.org/wordprocessingml/2006/main">
              <w:rFonts w:ascii="Cambria Math" w:hAnsi="Cambria Math"/>
              <w:i/>
              <w:color w:val="000000"/>
              <w:sz w:val="25"/>
              <w:szCs w:val="25"/>
            </w:rPr>
            <m:t>c</m:t>
          </m:r>
          <m:r>
            <w:rPr xmlns:w="http://schemas.openxmlformats.org/wordprocessingml/2006/main">
              <w:rFonts w:ascii="Cambria Math" w:hAnsi="Cambria Math"/>
              <w:i/>
              <w:color w:val="000000"/>
              <w:sz w:val="25"/>
              <w:szCs w:val="25"/>
            </w:rPr>
            <m:t>o</m:t>
          </m:r>
          <m:r>
            <w:rPr xmlns:w="http://schemas.openxmlformats.org/wordprocessingml/2006/main">
              <w:rFonts w:ascii="Cambria Math" w:hAnsi="Cambria Math"/>
              <w:i/>
              <w:color w:val="000000"/>
              <w:sz w:val="25"/>
              <w:szCs w:val="25"/>
            </w:rPr>
            <m:t>r</m:t>
          </m:r>
          <m:r>
            <w:rPr xmlns:w="http://schemas.openxmlformats.org/wordprocessingml/2006/main">
              <w:rFonts w:ascii="Cambria Math" w:hAnsi="Cambria Math"/>
              <w:i/>
              <w:color w:val="000000"/>
              <w:sz w:val="25"/>
              <w:szCs w:val="25"/>
            </w:rPr>
            <m:t>e</m:t>
          </m:r>
          <m:r>
            <w:rPr xmlns:w="http://schemas.openxmlformats.org/wordprocessingml/2006/main">
              <w:rFonts w:ascii="Cambria Math" w:hAnsi="Cambria Math"/>
              <w:i/>
              <w:color w:val="000000"/>
              <w:sz w:val="25"/>
              <w:szCs w:val="25"/>
            </w:rPr>
            <m:t>=</m:t>
          </m:r>
          <m:r>
            <w:rPr xmlns:w="http://schemas.openxmlformats.org/wordprocessingml/2006/main">
              <w:rFonts w:ascii="Cambria Math" w:hAnsi="Cambria Math"/>
              <w:i/>
              <w:color w:val="000000"/>
              <w:sz w:val="25"/>
              <w:szCs w:val="25"/>
            </w:rPr>
            <m:t>⌊</m:t>
          </m:r>
          <m:r>
            <m:rPr>
              <m:nor/>
            </m:rPr>
            <w:rPr xmlns:w="http://schemas.openxmlformats.org/wordprocessingml/2006/main">
              <w:rFonts w:ascii="Cambria Math" w:hAnsi="Cambria Math"/>
              <w:i/>
              <w:color w:val="000000"/>
              <w:sz w:val="25"/>
              <w:szCs w:val="25"/>
            </w:rPr>
            <m:t>len</m:t>
          </m:r>
          <m:r>
            <w:rPr xmlns:w="http://schemas.openxmlformats.org/wordprocessingml/2006/main">
              <w:rFonts w:ascii="Cambria Math" w:hAnsi="Cambria Math"/>
              <w:i/>
              <w:color w:val="000000"/>
              <w:sz w:val="25"/>
              <w:szCs w:val="25"/>
            </w:rPr>
            <m:t>(</m:t>
          </m:r>
          <m:r>
            <m:rPr>
              <m:nor/>
            </m:rPr>
            <w:rPr xmlns:w="http://schemas.openxmlformats.org/wordprocessingml/2006/main">
              <w:rFonts w:ascii="Cambria Math" w:hAnsi="Cambria Math"/>
              <w:i/>
              <w:color w:val="000000"/>
              <w:sz w:val="25"/>
              <w:szCs w:val="25"/>
            </w:rPr>
            <m:t>combined_text</m:t>
          </m:r>
          <m:r>
            <w:rPr xmlns:w="http://schemas.openxmlformats.org/wordprocessingml/2006/main">
              <w:rFonts w:ascii="Cambria Math" w:hAnsi="Cambria Math"/>
              <w:i/>
              <w:color w:val="000000"/>
              <w:sz w:val="25"/>
              <w:szCs w:val="25"/>
            </w:rPr>
            <m:t>)</m:t>
          </m:r>
          <m:r>
            <w:rPr xmlns:w="http://schemas.openxmlformats.org/wordprocessingml/2006/main">
              <w:rFonts w:ascii="Cambria Math" w:hAnsi="Cambria Math"/>
              <w:i/>
              <w:color w:val="000000"/>
              <w:sz w:val="25"/>
              <w:szCs w:val="25"/>
            </w:rPr>
            <m:t>/</m:t>
          </m:r>
          <m:r>
            <w:rPr xmlns:w="http://schemas.openxmlformats.org/wordprocessingml/2006/main">
              <w:rFonts w:ascii="Cambria Math" w:hAnsi="Cambria Math"/>
              <w:i/>
              <w:color w:val="000000"/>
              <w:sz w:val="25"/>
              <w:szCs w:val="25"/>
            </w:rPr>
            <m:t>30</m:t>
          </m:r>
        </m:oMath>
      </m:oMathPara>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both"/>
        <w:rPr>
          <w:rStyle w:val="None"/>
          <w:rFonts w:ascii="Times New Roman" w:cs="Times New Roman" w:hAnsi="Times New Roman" w:eastAsia="Times New Roman"/>
          <w:outline w:val="0"/>
          <w:color w:val="000000"/>
          <w:sz w:val="24"/>
          <w:u w:color="000000"/>
          <w14:textFill>
            <w14:solidFill>
              <w14:srgbClr w14:val="000000"/>
            </w14:solidFill>
          </w14:textFill>
        </w:rPr>
      </w:pPr>
      <w:r>
        <w:rPr>
          <w:rStyle w:val="Hyperlink.0"/>
          <w:rtl w:val="0"/>
          <w:lang w:val="en-US"/>
        </w:rPr>
        <w:t xml:space="preserve">A random integer </w:t>
      </w:r>
      <m:oMath>
        <m:r>
          <w:rPr xmlns:w="http://schemas.openxmlformats.org/wordprocessingml/2006/main">
            <w:rFonts w:ascii="Cambria Math" w:hAnsi="Cambria Math"/>
            <w:i/>
            <w:color w:val="000000"/>
            <w:sz w:val="25"/>
            <w:szCs w:val="25"/>
          </w:rPr>
          <m:t>ε</m:t>
        </m:r>
        <m:r>
          <w:rPr xmlns:w="http://schemas.openxmlformats.org/wordprocessingml/2006/main">
            <w:rFonts w:ascii="Cambria Math" w:hAnsi="Cambria Math"/>
            <w:i/>
            <w:color w:val="000000"/>
            <w:sz w:val="25"/>
            <w:szCs w:val="25"/>
          </w:rPr>
          <m:t>∈</m:t>
        </m:r>
        <m:r>
          <w:rPr xmlns:w="http://schemas.openxmlformats.org/wordprocessingml/2006/main">
            <w:rFonts w:ascii="Cambria Math" w:hAnsi="Cambria Math"/>
            <w:i/>
            <w:color w:val="000000"/>
            <w:sz w:val="25"/>
            <w:szCs w:val="25"/>
          </w:rPr>
          <m:t>[</m:t>
        </m:r>
        <m:r>
          <w:rPr xmlns:w="http://schemas.openxmlformats.org/wordprocessingml/2006/main">
            <w:rFonts w:ascii="Cambria Math" w:hAnsi="Cambria Math"/>
            <w:i/>
            <w:color w:val="000000"/>
            <w:sz w:val="25"/>
            <w:szCs w:val="25"/>
          </w:rPr>
          <m:t>-</m:t>
        </m:r>
        <m:r>
          <w:rPr xmlns:w="http://schemas.openxmlformats.org/wordprocessingml/2006/main">
            <w:rFonts w:ascii="Cambria Math" w:hAnsi="Cambria Math"/>
            <w:i/>
            <w:color w:val="000000"/>
            <w:sz w:val="25"/>
            <w:szCs w:val="25"/>
          </w:rPr>
          <m:t>5,</m:t>
        </m:r>
        <m:r>
          <w:rPr xmlns:w="http://schemas.openxmlformats.org/wordprocessingml/2006/main">
            <w:rFonts w:ascii="Cambria Math" w:hAnsi="Cambria Math"/>
            <w:i/>
            <w:color w:val="000000"/>
            <w:sz w:val="25"/>
            <w:szCs w:val="25"/>
          </w:rPr>
          <m:t>+</m:t>
        </m:r>
        <m:r>
          <w:rPr xmlns:w="http://schemas.openxmlformats.org/wordprocessingml/2006/main">
            <w:rFonts w:ascii="Cambria Math" w:hAnsi="Cambria Math"/>
            <w:i/>
            <w:color w:val="000000"/>
            <w:sz w:val="25"/>
            <w:szCs w:val="25"/>
          </w:rPr>
          <m:t>5</m:t>
        </m:r>
        <m:r>
          <w:rPr xmlns:w="http://schemas.openxmlformats.org/wordprocessingml/2006/main">
            <w:rFonts w:ascii="Cambria Math" w:hAnsi="Cambria Math"/>
            <w:i/>
            <w:color w:val="000000"/>
            <w:sz w:val="25"/>
            <w:szCs w:val="25"/>
          </w:rPr>
          <m:t>]</m:t>
        </m:r>
      </m:oMath>
      <w:r>
        <w:rPr>
          <w:rStyle w:val="Hyperlink.0"/>
          <w:rtl w:val="0"/>
          <w:lang w:val="en-US"/>
        </w:rPr>
        <w:t xml:space="preserve"> simulates natural signal noise, yielding the final Hype Score: </w:t>
      </w:r>
      <m:oMath>
        <m:r>
          <m:rPr>
            <m:nor/>
          </m:rPr>
          <w:rPr xmlns:w="http://schemas.openxmlformats.org/wordprocessingml/2006/main">
            <w:rFonts w:ascii="Cambria Math" w:hAnsi="Cambria Math"/>
            <w:i/>
            <w:color w:val="000000"/>
            <w:sz w:val="25"/>
            <w:szCs w:val="25"/>
          </w:rPr>
          <m:t>hype_score</m:t>
        </m:r>
        <m:r>
          <w:rPr xmlns:w="http://schemas.openxmlformats.org/wordprocessingml/2006/main">
            <w:rFonts w:ascii="Cambria Math" w:hAnsi="Cambria Math"/>
            <w:i/>
            <w:color w:val="000000"/>
            <w:sz w:val="25"/>
            <w:szCs w:val="25"/>
          </w:rPr>
          <m:t>=</m:t>
        </m:r>
        <m:r>
          <m:rPr>
            <m:nor/>
          </m:rPr>
          <w:rPr xmlns:w="http://schemas.openxmlformats.org/wordprocessingml/2006/main">
            <w:rFonts w:ascii="Cambria Math" w:hAnsi="Cambria Math"/>
            <w:i/>
            <w:color w:val="000000"/>
            <w:sz w:val="25"/>
            <w:szCs w:val="25"/>
          </w:rPr>
          <m:t>base_score</m:t>
        </m:r>
        <m:r>
          <w:rPr xmlns:w="http://schemas.openxmlformats.org/wordprocessingml/2006/main">
            <w:rFonts w:ascii="Cambria Math" w:hAnsi="Cambria Math"/>
            <w:i/>
            <w:color w:val="000000"/>
            <w:sz w:val="25"/>
            <w:szCs w:val="25"/>
          </w:rPr>
          <m:t>+</m:t>
        </m:r>
        <m:r>
          <w:rPr xmlns:w="http://schemas.openxmlformats.org/wordprocessingml/2006/main">
            <w:rFonts w:ascii="Cambria Math" w:hAnsi="Cambria Math"/>
            <w:i/>
            <w:color w:val="000000"/>
            <w:sz w:val="25"/>
            <w:szCs w:val="25"/>
          </w:rPr>
          <m:t>ε</m:t>
        </m:r>
      </m:oMath>
      <w:r>
        <w:rPr>
          <w:rStyle w:val="Hyperlink.0"/>
          <w:rtl w:val="0"/>
          <w:lang w:val="en-US"/>
        </w:rPr>
        <w:t>.The sentiment gap</w:t>
      </w:r>
      <w:r>
        <w:rPr>
          <w:rStyle w:val="Hyperlink.0"/>
          <w:rtl w:val="0"/>
          <w:lang w:val="en-US"/>
        </w:rPr>
        <w:t>—</w:t>
      </w:r>
      <w:r>
        <w:rPr>
          <w:rStyle w:val="Hyperlink.0"/>
          <w:rtl w:val="0"/>
          <w:lang w:val="en-US"/>
        </w:rPr>
        <w:t>representing narrative-to-price divergence</w:t>
      </w:r>
      <w:r>
        <w:rPr>
          <w:rStyle w:val="Hyperlink.0"/>
          <w:rtl w:val="0"/>
          <w:lang w:val="en-US"/>
        </w:rPr>
        <w:t>—</w:t>
      </w:r>
      <w:r>
        <w:rPr>
          <w:rStyle w:val="Hyperlink.0"/>
          <w:rtl w:val="0"/>
          <w:lang w:val="en-US"/>
        </w:rPr>
        <w:t>is:</w:t>
      </w:r>
      <m:oMath>
        <m:r>
          <m:rPr>
            <m:nor/>
          </m:rPr>
          <w:rPr xmlns:w="http://schemas.openxmlformats.org/wordprocessingml/2006/main">
            <w:rFonts w:ascii="Cambria Math" w:hAnsi="Cambria Math"/>
            <w:i/>
            <w:color w:val="000000"/>
            <w:sz w:val="25"/>
            <w:szCs w:val="25"/>
          </w:rPr>
          <m:t>sentiment_gap</m:t>
        </m:r>
        <m:r>
          <w:rPr xmlns:w="http://schemas.openxmlformats.org/wordprocessingml/2006/main">
            <w:rFonts w:ascii="Cambria Math" w:hAnsi="Cambria Math"/>
            <w:i/>
            <w:color w:val="000000"/>
            <w:sz w:val="25"/>
            <w:szCs w:val="25"/>
          </w:rPr>
          <m:t>=</m:t>
        </m:r>
        <m:r>
          <m:rPr>
            <m:nor/>
          </m:rPr>
          <w:rPr xmlns:w="http://schemas.openxmlformats.org/wordprocessingml/2006/main">
            <w:rFonts w:ascii="Cambria Math" w:hAnsi="Cambria Math"/>
            <w:i/>
            <w:color w:val="000000"/>
            <w:sz w:val="25"/>
            <w:szCs w:val="25"/>
          </w:rPr>
          <m:t>hype_score</m:t>
        </m:r>
        <m:r>
          <w:rPr xmlns:w="http://schemas.openxmlformats.org/wordprocessingml/2006/main">
            <w:rFonts w:ascii="Cambria Math" w:hAnsi="Cambria Math"/>
            <w:i/>
            <w:color w:val="000000"/>
            <w:sz w:val="25"/>
            <w:szCs w:val="25"/>
          </w:rPr>
          <m:t>-</m:t>
        </m:r>
        <m:r>
          <m:rPr>
            <m:nor/>
          </m:rPr>
          <w:rPr xmlns:w="http://schemas.openxmlformats.org/wordprocessingml/2006/main">
            <w:rFonts w:ascii="Cambria Math" w:hAnsi="Cambria Math"/>
            <w:i/>
            <w:color w:val="000000"/>
            <w:sz w:val="25"/>
            <w:szCs w:val="25"/>
          </w:rPr>
          <m:t>price_proxy</m:t>
        </m:r>
      </m:oMath>
      <w:r>
        <w:rPr>
          <w:rStyle w:val="Hyperlink.0"/>
          <w:rtl w:val="0"/>
          <w:lang w:val="en-US"/>
        </w:rPr>
        <w:t>.Table 2 defines all pipeline variables.</w:t>
      </w:r>
    </w:p>
    <w:p>
      <w:pPr>
        <w:pStyle w:val="Default"/>
        <w:suppressAutoHyphens w:val="1"/>
        <w:spacing w:before="0" w:after="240" w:line="240" w:lineRule="auto"/>
        <w:jc w:val="center"/>
        <w:rPr>
          <w:rStyle w:val="Hyperlink.0"/>
        </w:rPr>
      </w:pPr>
      <w:r>
        <w:rPr>
          <w:rStyle w:val="None"/>
          <w:rFonts w:ascii="Times New Roman" w:hAnsi="Times New Roman"/>
          <w:b w:val="1"/>
          <w:bCs w:val="1"/>
          <w:rtl w:val="0"/>
          <w:lang w:val="en-US"/>
        </w:rPr>
        <w:t>Table 2.</w:t>
      </w:r>
      <w:r>
        <w:rPr>
          <w:rStyle w:val="Hyperlink.0"/>
          <w:rtl w:val="0"/>
          <w:lang w:val="en-US"/>
        </w:rPr>
        <w:t xml:space="preserve"> Hype Score Computation </w:t>
      </w:r>
      <w:r>
        <w:rPr>
          <w:rStyle w:val="Hyperlink.0"/>
          <w:rtl w:val="0"/>
          <w:lang w:val="en-US"/>
        </w:rPr>
        <w:t xml:space="preserve">— </w:t>
      </w:r>
      <w:r>
        <w:rPr>
          <w:rStyle w:val="Hyperlink.0"/>
          <w:rtl w:val="0"/>
          <w:lang w:val="en-US"/>
        </w:rPr>
        <w:t>Variable Definitions</w:t>
      </w:r>
    </w:p>
    <w:tbl>
      <w:tblPr>
        <w:tblW w:w="9638"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456"/>
        <w:gridCol w:w="5575"/>
        <w:gridCol w:w="2607"/>
      </w:tblGrid>
      <w:tr>
        <w:tblPrEx>
          <w:shd w:val="clear" w:color="auto" w:fill="cadfff"/>
        </w:tblPrEx>
        <w:trPr>
          <w:trHeight w:val="245" w:hRule="atLeast"/>
        </w:trPr>
        <w:tc>
          <w:tcPr>
            <w:tcW w:type="dxa" w:w="14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z w:val="18"/>
                <w:szCs w:val="18"/>
                <w:shd w:val="nil" w:color="auto" w:fill="auto"/>
                <w:rtl w:val="0"/>
                <w:lang w:val="fr-FR"/>
              </w:rPr>
              <w:t>Variable</w:t>
            </w:r>
          </w:p>
        </w:tc>
        <w:tc>
          <w:tcPr>
            <w:tcW w:type="dxa" w:w="55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z w:val="18"/>
                <w:szCs w:val="18"/>
                <w:shd w:val="nil" w:color="auto" w:fill="auto"/>
                <w:rtl w:val="0"/>
                <w:lang w:val="en-US"/>
              </w:rPr>
              <w:t>Definition</w:t>
            </w:r>
          </w:p>
        </w:tc>
        <w:tc>
          <w:tcPr>
            <w:tcW w:type="dxa" w:w="26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z w:val="18"/>
                <w:szCs w:val="18"/>
                <w:shd w:val="nil" w:color="auto" w:fill="auto"/>
                <w:rtl w:val="0"/>
                <w:lang w:val="en-US"/>
              </w:rPr>
              <w:t>Range (Observed)</w:t>
            </w:r>
          </w:p>
        </w:tc>
      </w:tr>
      <w:tr>
        <w:tblPrEx>
          <w:shd w:val="clear" w:color="auto" w:fill="cadfff"/>
        </w:tblPrEx>
        <w:trPr>
          <w:trHeight w:val="245" w:hRule="atLeast"/>
        </w:trPr>
        <w:tc>
          <w:tcPr>
            <w:tcW w:type="dxa" w:w="14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combined_text</w:t>
            </w:r>
          </w:p>
        </w:tc>
        <w:tc>
          <w:tcPr>
            <w:tcW w:type="dxa" w:w="55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Concatenated DuckDuckGo result snippets for target ticker</w:t>
            </w:r>
          </w:p>
        </w:tc>
        <w:tc>
          <w:tcPr>
            <w:tcW w:type="dxa" w:w="26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Text string (variable length)</w:t>
            </w:r>
          </w:p>
        </w:tc>
      </w:tr>
      <w:tr>
        <w:tblPrEx>
          <w:shd w:val="clear" w:color="auto" w:fill="cadfff"/>
        </w:tblPrEx>
        <w:trPr>
          <w:trHeight w:val="245" w:hRule="atLeast"/>
        </w:trPr>
        <w:tc>
          <w:tcPr>
            <w:tcW w:type="dxa" w:w="14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base_score</w:t>
            </w:r>
          </w:p>
        </w:tc>
        <w:tc>
          <w:tcPr>
            <w:tcW w:type="dxa" w:w="55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len(combined_text) // 30</w:t>
            </w:r>
          </w:p>
        </w:tc>
        <w:tc>
          <w:tcPr>
            <w:tcW w:type="dxa" w:w="26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 xml:space="preserve">8 </w:t>
            </w:r>
            <w:r>
              <w:rPr>
                <w:rStyle w:val="None"/>
                <w:rFonts w:ascii="Times New Roman" w:hAnsi="Times New Roman" w:hint="default"/>
                <w:sz w:val="18"/>
                <w:szCs w:val="18"/>
                <w:shd w:val="nil" w:color="auto" w:fill="auto"/>
                <w:rtl w:val="0"/>
              </w:rPr>
              <w:t xml:space="preserve">– </w:t>
            </w:r>
            <w:r>
              <w:rPr>
                <w:rStyle w:val="None"/>
                <w:rFonts w:ascii="Times New Roman" w:hAnsi="Times New Roman"/>
                <w:sz w:val="18"/>
                <w:szCs w:val="18"/>
                <w:shd w:val="nil" w:color="auto" w:fill="auto"/>
                <w:rtl w:val="0"/>
              </w:rPr>
              <w:t>47</w:t>
            </w:r>
          </w:p>
        </w:tc>
      </w:tr>
      <w:tr>
        <w:tblPrEx>
          <w:shd w:val="clear" w:color="auto" w:fill="cadfff"/>
        </w:tblPrEx>
        <w:trPr>
          <w:trHeight w:val="245" w:hRule="atLeast"/>
        </w:trPr>
        <w:tc>
          <w:tcPr>
            <w:tcW w:type="dxa" w:w="14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hint="default"/>
                <w:sz w:val="18"/>
                <w:szCs w:val="18"/>
                <w:shd w:val="nil" w:color="auto" w:fill="auto"/>
                <w:rtl w:val="0"/>
              </w:rPr>
              <w:t xml:space="preserve">ε </w:t>
            </w:r>
            <w:r>
              <w:rPr>
                <w:rStyle w:val="None"/>
                <w:rFonts w:ascii="Times New Roman" w:hAnsi="Times New Roman"/>
                <w:sz w:val="18"/>
                <w:szCs w:val="18"/>
                <w:shd w:val="nil" w:color="auto" w:fill="auto"/>
                <w:rtl w:val="0"/>
                <w:lang w:val="fr-FR"/>
              </w:rPr>
              <w:t>(flux)</w:t>
            </w:r>
          </w:p>
        </w:tc>
        <w:tc>
          <w:tcPr>
            <w:tcW w:type="dxa" w:w="55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Random integer in [-5, +5] simulating signal noise</w:t>
            </w:r>
          </w:p>
        </w:tc>
        <w:tc>
          <w:tcPr>
            <w:tcW w:type="dxa" w:w="26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hint="default"/>
                <w:sz w:val="18"/>
                <w:szCs w:val="18"/>
                <w:shd w:val="nil" w:color="auto" w:fill="auto"/>
                <w:rtl w:val="1"/>
              </w:rPr>
              <w:t>±</w:t>
            </w:r>
            <w:r>
              <w:rPr>
                <w:rStyle w:val="None"/>
                <w:rFonts w:ascii="Times New Roman" w:hAnsi="Times New Roman"/>
                <w:sz w:val="18"/>
                <w:szCs w:val="18"/>
                <w:shd w:val="nil" w:color="auto" w:fill="auto"/>
                <w:rtl w:val="0"/>
              </w:rPr>
              <w:t>5</w:t>
            </w:r>
          </w:p>
        </w:tc>
      </w:tr>
      <w:tr>
        <w:tblPrEx>
          <w:shd w:val="clear" w:color="auto" w:fill="cadfff"/>
        </w:tblPrEx>
        <w:trPr>
          <w:trHeight w:val="245" w:hRule="atLeast"/>
        </w:trPr>
        <w:tc>
          <w:tcPr>
            <w:tcW w:type="dxa" w:w="14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hype_score</w:t>
            </w:r>
          </w:p>
        </w:tc>
        <w:tc>
          <w:tcPr>
            <w:tcW w:type="dxa" w:w="55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 xml:space="preserve">base_score + </w:t>
            </w:r>
            <w:r>
              <w:rPr>
                <w:rStyle w:val="None"/>
                <w:rFonts w:ascii="Times New Roman" w:hAnsi="Times New Roman" w:hint="default"/>
                <w:sz w:val="18"/>
                <w:szCs w:val="18"/>
                <w:shd w:val="nil" w:color="auto" w:fill="auto"/>
                <w:rtl w:val="0"/>
              </w:rPr>
              <w:t>ε</w:t>
            </w:r>
          </w:p>
        </w:tc>
        <w:tc>
          <w:tcPr>
            <w:tcW w:type="dxa" w:w="26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 xml:space="preserve">8 </w:t>
            </w:r>
            <w:r>
              <w:rPr>
                <w:rStyle w:val="None"/>
                <w:rFonts w:ascii="Times New Roman" w:hAnsi="Times New Roman" w:hint="default"/>
                <w:sz w:val="18"/>
                <w:szCs w:val="18"/>
                <w:shd w:val="nil" w:color="auto" w:fill="auto"/>
                <w:rtl w:val="0"/>
              </w:rPr>
              <w:t xml:space="preserve">– </w:t>
            </w:r>
            <w:r>
              <w:rPr>
                <w:rStyle w:val="None"/>
                <w:rFonts w:ascii="Times New Roman" w:hAnsi="Times New Roman"/>
                <w:sz w:val="18"/>
                <w:szCs w:val="18"/>
                <w:shd w:val="nil" w:color="auto" w:fill="auto"/>
                <w:rtl w:val="0"/>
                <w:lang w:val="en-US"/>
              </w:rPr>
              <w:t xml:space="preserve">47 (mean 23.4, </w:t>
            </w:r>
            <w:r>
              <w:rPr>
                <w:rStyle w:val="None"/>
                <w:rFonts w:ascii="Times New Roman" w:hAnsi="Times New Roman" w:hint="default"/>
                <w:sz w:val="18"/>
                <w:szCs w:val="18"/>
                <w:shd w:val="nil" w:color="auto" w:fill="auto"/>
                <w:rtl w:val="0"/>
              </w:rPr>
              <w:t>σ</w:t>
            </w:r>
            <w:r>
              <w:rPr>
                <w:rStyle w:val="None"/>
                <w:rFonts w:ascii="Times New Roman" w:hAnsi="Times New Roman"/>
                <w:sz w:val="18"/>
                <w:szCs w:val="18"/>
                <w:shd w:val="nil" w:color="auto" w:fill="auto"/>
                <w:rtl w:val="0"/>
              </w:rPr>
              <w:t>=8.1)</w:t>
            </w:r>
          </w:p>
        </w:tc>
      </w:tr>
      <w:tr>
        <w:tblPrEx>
          <w:shd w:val="clear" w:color="auto" w:fill="cadfff"/>
        </w:tblPrEx>
        <w:trPr>
          <w:trHeight w:val="245" w:hRule="atLeast"/>
        </w:trPr>
        <w:tc>
          <w:tcPr>
            <w:tcW w:type="dxa" w:w="14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price_proxy</w:t>
            </w:r>
          </w:p>
        </w:tc>
        <w:tc>
          <w:tcPr>
            <w:tcW w:type="dxa" w:w="55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Simulated market price datum (not a live feed in PoC)</w:t>
            </w:r>
          </w:p>
        </w:tc>
        <w:tc>
          <w:tcPr>
            <w:tcW w:type="dxa" w:w="26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Simulated</w:t>
            </w:r>
          </w:p>
        </w:tc>
      </w:tr>
      <w:tr>
        <w:tblPrEx>
          <w:shd w:val="clear" w:color="auto" w:fill="cadfff"/>
        </w:tblPrEx>
        <w:trPr>
          <w:trHeight w:val="245" w:hRule="atLeast"/>
        </w:trPr>
        <w:tc>
          <w:tcPr>
            <w:tcW w:type="dxa" w:w="14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fr-FR"/>
              </w:rPr>
              <w:t>sentiment_gap</w:t>
            </w:r>
          </w:p>
        </w:tc>
        <w:tc>
          <w:tcPr>
            <w:tcW w:type="dxa" w:w="55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hype_score - price_proxy</w:t>
            </w:r>
          </w:p>
        </w:tc>
        <w:tc>
          <w:tcPr>
            <w:tcW w:type="dxa" w:w="26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pt-PT"/>
              </w:rPr>
              <w:t>[-15, +22] observed</w:t>
            </w:r>
          </w:p>
        </w:tc>
      </w:tr>
    </w:tbl>
    <w:p>
      <w:pPr>
        <w:pStyle w:val="Default"/>
        <w:widowControl w:val="0"/>
        <w:suppressAutoHyphens w:val="1"/>
        <w:spacing w:before="0" w:after="240" w:line="240" w:lineRule="auto"/>
        <w:ind w:left="108" w:hanging="108"/>
        <w:rPr>
          <w:rStyle w:val="None"/>
          <w:rFonts w:ascii="Times New Roman" w:cs="Times New Roman" w:hAnsi="Times New Roman" w:eastAsia="Times New Roman"/>
        </w:rPr>
      </w:pP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4.2 Cryptographic Handshake (Simulated)</w:t>
      </w:r>
    </w:p>
    <w:p>
      <w:pPr>
        <w:pStyle w:val="Default"/>
        <w:suppressAutoHyphens w:val="1"/>
        <w:spacing w:before="0" w:after="240" w:line="240" w:lineRule="auto"/>
        <w:jc w:val="both"/>
        <w:rPr>
          <w:rStyle w:val="Hyperlink.0"/>
        </w:rPr>
      </w:pPr>
      <w:r>
        <w:rPr>
          <w:rStyle w:val="Hyperlink.0"/>
          <w:rtl w:val="0"/>
          <w:lang w:val="en-US"/>
        </w:rPr>
        <w:t>The oracle validator requires an incoming datum to carry a 128-character hexadecimal signature field, currently populated via secrets.token_hex(64). This provides a cryptographically random placeholder but does not constitute a genuine Ed25519 signature. The contract verifies field presence and format; actual public-key verification is reserved as a future upgrade with a deliberate interface slot already provided in the Aiken validator code.</w:t>
      </w:r>
    </w:p>
    <w:p>
      <w:pPr>
        <w:pStyle w:val="Default"/>
        <w:suppressAutoHyphens w:val="1"/>
        <w:spacing w:before="0" w:after="240" w:line="240" w:lineRule="auto"/>
        <w:rPr>
          <w:rStyle w:val="None"/>
          <w:rFonts w:ascii="Times New Roman" w:cs="Times New Roman" w:hAnsi="Times New Roman" w:eastAsia="Times New Roman"/>
          <w:b w:val="1"/>
          <w:bCs w:val="1"/>
        </w:rPr>
      </w:pP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4.3 On-Chain Smart Contract Stack</w:t>
      </w:r>
    </w:p>
    <w:p>
      <w:pPr>
        <w:pStyle w:val="Default"/>
        <w:suppressAutoHyphens w:val="1"/>
        <w:spacing w:before="0" w:after="240" w:line="240" w:lineRule="auto"/>
        <w:jc w:val="both"/>
        <w:rPr>
          <w:rStyle w:val="Hyperlink.0"/>
        </w:rPr>
      </w:pPr>
      <w:r>
        <w:rPr>
          <w:rStyle w:val="Hyperlink.0"/>
          <w:rtl w:val="0"/>
          <w:lang w:val="en-US"/>
        </w:rPr>
        <w:t>All six mechanisms were written in Aiken and compiled to Untyped Plutus Core (UPLC) targeting the Cardano Chang+2 protocol era. Aiken was preferred over raw Plutus Haskell for its simpler type system and faster iterative compilation. Transaction construction and UTxO selection were handled by the Lucid Evolution TypeScript library.</w:t>
      </w:r>
      <w:r>
        <w:rPr>
          <w:rStyle w:val="Hyperlink.0"/>
        </w:rPr>
        <w:drawing xmlns:a="http://schemas.openxmlformats.org/drawingml/2006/main">
          <wp:anchor distT="114300" distB="114300" distL="114300" distR="114300" simplePos="0" relativeHeight="251660288" behindDoc="0" locked="0" layoutInCell="1" allowOverlap="1">
            <wp:simplePos x="0" y="0"/>
            <wp:positionH relativeFrom="page">
              <wp:posOffset>1149906</wp:posOffset>
            </wp:positionH>
            <wp:positionV relativeFrom="line">
              <wp:posOffset>464512</wp:posOffset>
            </wp:positionV>
            <wp:extent cx="5260426" cy="2574390"/>
            <wp:effectExtent l="0" t="0" r="0" b="0"/>
            <wp:wrapThrough wrapText="bothSides" distL="114300" distR="114300">
              <wp:wrapPolygon edited="1">
                <wp:start x="-20" y="-40"/>
                <wp:lineTo x="-20" y="0"/>
                <wp:lineTo x="-20" y="21601"/>
                <wp:lineTo x="-20" y="21641"/>
                <wp:lineTo x="0" y="21641"/>
                <wp:lineTo x="21601" y="21641"/>
                <wp:lineTo x="21620" y="21641"/>
                <wp:lineTo x="21620" y="21601"/>
                <wp:lineTo x="21620" y="0"/>
                <wp:lineTo x="21620" y="-40"/>
                <wp:lineTo x="21601" y="-40"/>
                <wp:lineTo x="0" y="-40"/>
                <wp:lineTo x="-20" y="-40"/>
              </wp:wrapPolygon>
            </wp:wrapThrough>
            <wp:docPr id="1073741826" name="officeArt object" descr="Screenshot 2026-05-13 at 3.59.11 PM.png"/>
            <wp:cNvGraphicFramePr/>
            <a:graphic xmlns:a="http://schemas.openxmlformats.org/drawingml/2006/main">
              <a:graphicData uri="http://schemas.openxmlformats.org/drawingml/2006/picture">
                <pic:pic xmlns:pic="http://schemas.openxmlformats.org/drawingml/2006/picture">
                  <pic:nvPicPr>
                    <pic:cNvPr id="1073741826" name="Screenshot 2026-05-13 at 3.59.11 PM.png" descr="Screenshot 2026-05-13 at 3.59.11 PM.png"/>
                    <pic:cNvPicPr>
                      <a:picLocks noChangeAspect="1"/>
                    </pic:cNvPicPr>
                  </pic:nvPicPr>
                  <pic:blipFill>
                    <a:blip r:embed="rId5">
                      <a:extLst/>
                    </a:blip>
                    <a:stretch>
                      <a:fillRect/>
                    </a:stretch>
                  </pic:blipFill>
                  <pic:spPr>
                    <a:xfrm>
                      <a:off x="0" y="0"/>
                      <a:ext cx="5260426" cy="2574390"/>
                    </a:xfrm>
                    <a:prstGeom prst="rect">
                      <a:avLst/>
                    </a:prstGeom>
                    <a:ln w="9525" cap="flat">
                      <a:solidFill>
                        <a:srgbClr val="929292"/>
                      </a:solidFill>
                      <a:prstDash val="solid"/>
                      <a:miter lim="400000"/>
                    </a:ln>
                    <a:effectLst/>
                  </pic:spPr>
                </pic:pic>
              </a:graphicData>
            </a:graphic>
          </wp:anchor>
        </w:drawing>
      </w: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Pr>
      </w:pPr>
      <w:r>
        <w:rPr>
          <w:rStyle w:val="None"/>
          <w:rFonts w:ascii="Times New Roman" w:hAnsi="Times New Roman"/>
          <w:b w:val="1"/>
          <w:bCs w:val="1"/>
          <w:rtl w:val="0"/>
          <w:lang w:val="en-US"/>
        </w:rPr>
        <w:t>Fig. 2.</w:t>
      </w:r>
      <w:r>
        <w:rPr>
          <w:rStyle w:val="Hyperlink.0"/>
          <w:rtl w:val="0"/>
          <w:lang w:val="en-US"/>
        </w:rPr>
        <w:t xml:space="preserve"> Technical Working Architecture of Sentiment Trading.</w:t>
      </w:r>
    </w:p>
    <w:p>
      <w:pPr>
        <w:pStyle w:val="Default"/>
        <w:suppressAutoHyphens w:val="1"/>
        <w:spacing w:before="0" w:after="240" w:line="240" w:lineRule="auto"/>
        <w:rPr>
          <w:rStyle w:val="None"/>
          <w:rFonts w:ascii="Times New Roman" w:cs="Times New Roman" w:hAnsi="Times New Roman" w:eastAsia="Times New Roman"/>
          <w:b w:val="1"/>
          <w:bCs w:val="1"/>
          <w:sz w:val="28"/>
          <w:szCs w:val="28"/>
        </w:rPr>
      </w:pPr>
      <w:r>
        <w:rPr>
          <w:rStyle w:val="None"/>
          <w:rFonts w:ascii="Times New Roman" w:hAnsi="Times New Roman"/>
          <w:b w:val="1"/>
          <w:bCs w:val="1"/>
          <w:sz w:val="28"/>
          <w:szCs w:val="28"/>
          <w:rtl w:val="0"/>
          <w:lang w:val="en-US"/>
        </w:rPr>
        <w:t>5. IMPLEMENTATION DETAILS</w:t>
      </w: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 xml:space="preserve">5.1 Treasury Reserve </w:t>
      </w:r>
      <w:r>
        <w:rPr>
          <w:rStyle w:val="None"/>
          <w:rFonts w:ascii="Times New Roman" w:hAnsi="Times New Roman" w:hint="default"/>
          <w:b w:val="1"/>
          <w:bCs w:val="1"/>
          <w:rtl w:val="0"/>
          <w:lang w:val="en-US"/>
        </w:rPr>
        <w:t xml:space="preserve">— </w:t>
      </w:r>
      <w:r>
        <w:rPr>
          <w:rStyle w:val="None"/>
          <w:rFonts w:ascii="Times New Roman" w:hAnsi="Times New Roman"/>
          <w:b w:val="1"/>
          <w:bCs w:val="1"/>
          <w:rtl w:val="0"/>
          <w:lang w:val="en-US"/>
        </w:rPr>
        <w:t>120% Over-Collateralization</w:t>
      </w:r>
    </w:p>
    <w:p>
      <w:pPr>
        <w:pStyle w:val="Default"/>
        <w:suppressAutoHyphens w:val="1"/>
        <w:spacing w:before="0" w:after="240" w:line="240" w:lineRule="auto"/>
        <w:rPr>
          <w:rStyle w:val="Hyperlink.0"/>
        </w:rPr>
      </w:pPr>
      <w:r>
        <w:rPr>
          <w:rStyle w:val="Hyperlink.0"/>
          <w:rtl w:val="0"/>
          <w:lang w:val="en-US"/>
        </w:rPr>
        <w:t>The Treasury Reserve invariant checked at validation time is:</w:t>
      </w:r>
    </w:p>
    <w:p>
      <w:pPr>
        <w:pStyle w:val="Default"/>
        <w:suppressAutoHyphens w:val="1"/>
        <w:spacing w:before="0" w:after="240" w:line="240" w:lineRule="auto"/>
        <w:jc w:val="center"/>
        <w:rPr>
          <w:rStyle w:val="None"/>
          <w:rFonts w:ascii="Times New Roman" w:cs="Times New Roman" w:hAnsi="Times New Roman" w:eastAsia="Times New Roman"/>
          <w:outline w:val="0"/>
          <w:color w:val="000000"/>
          <w:sz w:val="24"/>
          <w:u w:color="000000"/>
          <w14:textFill>
            <w14:solidFill>
              <w14:srgbClr w14:val="000000"/>
            </w14:solidFill>
          </w14:textFill>
        </w:rPr>
      </w:pPr>
      <m:oMathPara>
        <m:oMathParaPr>
          <m:jc m:val="center"/>
        </m:oMathParaPr>
        <m:oMath>
          <m:r>
            <w:rPr xmlns:w="http://schemas.openxmlformats.org/wordprocessingml/2006/main">
              <w:rFonts w:ascii="Cambria Math" w:hAnsi="Cambria Math"/>
              <w:i/>
              <w:color w:val="000000"/>
              <w:sz w:val="25"/>
              <w:szCs w:val="25"/>
            </w:rPr>
            <m:t>R</m:t>
          </m:r>
          <m:r>
            <w:rPr xmlns:w="http://schemas.openxmlformats.org/wordprocessingml/2006/main">
              <w:rFonts w:ascii="Cambria Math" w:hAnsi="Cambria Math"/>
              <w:i/>
              <w:color w:val="000000"/>
              <w:sz w:val="25"/>
              <w:szCs w:val="25"/>
            </w:rPr>
            <m:t>=</m:t>
          </m:r>
          <m:d>
            <m:dPr>
              <m:ctrlPr>
                <w:rPr xmlns:w="http://schemas.openxmlformats.org/wordprocessingml/2006/main">
                  <w:rFonts w:ascii="Cambria Math" w:hAnsi="Cambria Math"/>
                  <w:i/>
                  <w:color w:val="000000"/>
                  <w:sz w:val="25"/>
                  <w:szCs w:val="25"/>
                </w:rPr>
              </m:ctrlPr>
            </m:dPr>
            <m:e>
              <m:f>
                <m:fPr>
                  <m:ctrlPr>
                    <w:rPr xmlns:w="http://schemas.openxmlformats.org/wordprocessingml/2006/main">
                      <w:rFonts w:ascii="Cambria Math" w:hAnsi="Cambria Math"/>
                      <w:i/>
                      <w:color w:val="000000"/>
                      <w:sz w:val="25"/>
                      <w:szCs w:val="25"/>
                    </w:rPr>
                  </m:ctrlPr>
                  <m:type m:val="bar"/>
                </m:fPr>
                <m:num>
                  <m:r>
                    <m:rPr>
                      <m:nor/>
                    </m:rPr>
                    <w:rPr xmlns:w="http://schemas.openxmlformats.org/wordprocessingml/2006/main">
                      <w:rFonts w:ascii="Cambria Math" w:hAnsi="Cambria Math"/>
                      <w:i/>
                      <w:color w:val="000000"/>
                      <w:sz w:val="25"/>
                      <w:szCs w:val="25"/>
                    </w:rPr>
                    <m:t>treasury_locked_ada</m:t>
                  </m:r>
                </m:num>
                <m:den>
                  <m:r>
                    <m:rPr>
                      <m:nor/>
                    </m:rPr>
                    <w:rPr xmlns:w="http://schemas.openxmlformats.org/wordprocessingml/2006/main">
                      <w:rFonts w:ascii="Cambria Math" w:hAnsi="Cambria Math"/>
                      <w:i/>
                      <w:color w:val="000000"/>
                      <w:sz w:val="25"/>
                      <w:szCs w:val="25"/>
                    </w:rPr>
                    <m:t>max_possible_payout</m:t>
                  </m:r>
                </m:den>
              </m:f>
            </m:e>
          </m:d>
          <m:r>
            <w:rPr xmlns:w="http://schemas.openxmlformats.org/wordprocessingml/2006/main">
              <w:rFonts w:ascii="Cambria Math" w:hAnsi="Cambria Math"/>
              <w:i/>
              <w:color w:val="000000"/>
              <w:sz w:val="25"/>
              <w:szCs w:val="25"/>
            </w:rPr>
            <m:t>×</m:t>
          </m:r>
          <m:r>
            <w:rPr xmlns:w="http://schemas.openxmlformats.org/wordprocessingml/2006/main">
              <w:rFonts w:ascii="Cambria Math" w:hAnsi="Cambria Math"/>
              <w:i/>
              <w:color w:val="000000"/>
              <w:sz w:val="25"/>
              <w:szCs w:val="25"/>
            </w:rPr>
            <m:t>100</m:t>
          </m:r>
          <m:r>
            <w:rPr xmlns:w="http://schemas.openxmlformats.org/wordprocessingml/2006/main">
              <w:rFonts w:ascii="Cambria Math" w:hAnsi="Cambria Math"/>
              <w:i/>
              <w:color w:val="000000"/>
              <w:sz w:val="25"/>
              <w:szCs w:val="25"/>
            </w:rPr>
            <m:t>≥</m:t>
          </m:r>
          <m:r>
            <w:rPr xmlns:w="http://schemas.openxmlformats.org/wordprocessingml/2006/main">
              <w:rFonts w:ascii="Cambria Math" w:hAnsi="Cambria Math"/>
              <w:i/>
              <w:color w:val="000000"/>
              <w:sz w:val="25"/>
              <w:szCs w:val="25"/>
            </w:rPr>
            <m:t>120</m:t>
          </m:r>
        </m:oMath>
      </m:oMathPara>
    </w:p>
    <w:p>
      <w:pPr>
        <w:pStyle w:val="Default"/>
        <w:suppressAutoHyphens w:val="1"/>
        <w:spacing w:before="0" w:after="240" w:line="240" w:lineRule="auto"/>
        <w:rPr>
          <w:rStyle w:val="Hyperlink.0"/>
          <w:rFonts w:ascii="Times New Roman" w:cs="Times New Roman" w:hAnsi="Times New Roman" w:eastAsia="Times New Roman"/>
        </w:rPr>
      </w:pPr>
    </w:p>
    <w:p>
      <w:pPr>
        <w:pStyle w:val="Default"/>
        <w:suppressAutoHyphens w:val="1"/>
        <w:spacing w:before="0" w:after="240" w:line="240" w:lineRule="auto"/>
        <w:rPr>
          <w:rStyle w:val="Hyperlink.0"/>
        </w:rPr>
      </w:pPr>
      <w:r>
        <w:rPr>
          <w:rStyle w:val="Hyperlink.0"/>
          <w:rtl w:val="0"/>
          <w:lang w:val="en-US"/>
        </w:rPr>
        <w:t>The safety valve enforces a tighter real-time constraint to prevent simultaneous minting from draining the buffer:</w:t>
      </w:r>
    </w:p>
    <w:p>
      <w:pPr>
        <w:pStyle w:val="Default"/>
        <w:suppressAutoHyphens w:val="1"/>
        <w:spacing w:before="0" w:after="240" w:line="240" w:lineRule="auto"/>
        <w:jc w:val="center"/>
        <w:rPr>
          <w:rStyle w:val="None"/>
          <w:rFonts w:ascii="Times Roman" w:cs="Times Roman" w:hAnsi="Times Roman" w:eastAsia="Times Roman"/>
          <w:outline w:val="0"/>
          <w:color w:val="000000"/>
          <w:sz w:val="24"/>
          <w:u w:color="000000"/>
          <w14:textFill>
            <w14:solidFill>
              <w14:srgbClr w14:val="000000"/>
            </w14:solidFill>
          </w14:textFill>
        </w:rPr>
      </w:pPr>
      <m:oMathPara>
        <m:oMathParaPr>
          <m:jc m:val="center"/>
        </m:oMathParaPr>
        <m:oMath>
          <m:r>
            <w:rPr xmlns:w="http://schemas.openxmlformats.org/wordprocessingml/2006/main">
              <w:rFonts w:ascii="Cambria Math" w:hAnsi="Cambria Math"/>
              <w:i/>
              <w:color w:val="000000"/>
              <w:sz w:val="25"/>
              <w:szCs w:val="25"/>
            </w:rPr>
            <m:t>(</m:t>
          </m:r>
          <m:r>
            <m:rPr>
              <m:nor/>
            </m:rPr>
            <w:rPr xmlns:w="http://schemas.openxmlformats.org/wordprocessingml/2006/main">
              <w:rFonts w:ascii="Cambria Math" w:hAnsi="Cambria Math"/>
              <w:i/>
              <w:color w:val="000000"/>
              <w:sz w:val="25"/>
              <w:szCs w:val="25"/>
            </w:rPr>
            <m:t>current_liability</m:t>
          </m:r>
          <m:r>
            <w:rPr xmlns:w="http://schemas.openxmlformats.org/wordprocessingml/2006/main">
              <w:rFonts w:ascii="Cambria Math" w:hAnsi="Cambria Math"/>
              <w:i/>
              <w:color w:val="000000"/>
              <w:sz w:val="25"/>
              <w:szCs w:val="25"/>
            </w:rPr>
            <m:t>+</m:t>
          </m:r>
          <m:r>
            <m:rPr>
              <m:nor/>
            </m:rPr>
            <w:rPr xmlns:w="http://schemas.openxmlformats.org/wordprocessingml/2006/main">
              <w:rFonts w:ascii="Cambria Math" w:hAnsi="Cambria Math"/>
              <w:i/>
              <w:color w:val="000000"/>
              <w:sz w:val="25"/>
              <w:szCs w:val="25"/>
            </w:rPr>
            <m:t>new_payout</m:t>
          </m:r>
          <m:r>
            <w:rPr xmlns:w="http://schemas.openxmlformats.org/wordprocessingml/2006/main">
              <w:rFonts w:ascii="Cambria Math" w:hAnsi="Cambria Math"/>
              <w:i/>
              <w:color w:val="000000"/>
              <w:sz w:val="25"/>
              <w:szCs w:val="25"/>
            </w:rPr>
            <m:t>)</m:t>
          </m:r>
          <m:r>
            <w:rPr xmlns:w="http://schemas.openxmlformats.org/wordprocessingml/2006/main">
              <w:rFonts w:ascii="Cambria Math" w:hAnsi="Cambria Math"/>
              <w:i/>
              <w:color w:val="000000"/>
              <w:sz w:val="25"/>
              <w:szCs w:val="25"/>
            </w:rPr>
            <m:t>≤</m:t>
          </m:r>
          <m:f>
            <m:fPr>
              <m:ctrlPr>
                <w:rPr xmlns:w="http://schemas.openxmlformats.org/wordprocessingml/2006/main">
                  <w:rFonts w:ascii="Cambria Math" w:hAnsi="Cambria Math"/>
                  <w:i/>
                  <w:color w:val="000000"/>
                  <w:sz w:val="25"/>
                  <w:szCs w:val="25"/>
                </w:rPr>
              </m:ctrlPr>
              <m:type m:val="bar"/>
            </m:fPr>
            <m:num>
              <m:r>
                <m:rPr>
                  <m:nor/>
                </m:rPr>
                <w:rPr xmlns:w="http://schemas.openxmlformats.org/wordprocessingml/2006/main">
                  <w:rFonts w:ascii="Cambria Math" w:hAnsi="Cambria Math"/>
                  <w:i/>
                  <w:color w:val="000000"/>
                  <w:sz w:val="25"/>
                  <w:szCs w:val="25"/>
                </w:rPr>
                <m:t>treasury_balance</m:t>
              </m:r>
              <m:r>
                <w:rPr xmlns:w="http://schemas.openxmlformats.org/wordprocessingml/2006/main">
                  <w:rFonts w:ascii="Cambria Math" w:hAnsi="Cambria Math"/>
                  <w:i/>
                  <w:color w:val="000000"/>
                  <w:sz w:val="25"/>
                  <w:szCs w:val="25"/>
                </w:rPr>
                <m:t>×</m:t>
              </m:r>
              <m:r>
                <w:rPr xmlns:w="http://schemas.openxmlformats.org/wordprocessingml/2006/main">
                  <w:rFonts w:ascii="Cambria Math" w:hAnsi="Cambria Math"/>
                  <w:i/>
                  <w:color w:val="000000"/>
                  <w:sz w:val="25"/>
                  <w:szCs w:val="25"/>
                </w:rPr>
                <m:t>80</m:t>
              </m:r>
            </m:num>
            <m:den>
              <m:r>
                <w:rPr xmlns:w="http://schemas.openxmlformats.org/wordprocessingml/2006/main">
                  <w:rFonts w:ascii="Cambria Math" w:hAnsi="Cambria Math"/>
                  <w:i/>
                  <w:color w:val="000000"/>
                  <w:sz w:val="25"/>
                  <w:szCs w:val="25"/>
                </w:rPr>
                <m:t>100</m:t>
              </m:r>
            </m:den>
          </m:f>
        </m:oMath>
      </m:oMathPara>
    </w:p>
    <w:p>
      <w:pPr>
        <w:pStyle w:val="Default"/>
        <w:suppressAutoHyphens w:val="1"/>
        <w:spacing w:before="0" w:after="240" w:line="240" w:lineRule="auto"/>
        <w:rPr>
          <w:rStyle w:val="Hyperlink.0"/>
          <w:rFonts w:ascii="Times New Roman" w:cs="Times New Roman" w:hAnsi="Times New Roman" w:eastAsia="Times New Roman"/>
        </w:rPr>
      </w:pPr>
    </w:p>
    <w:p>
      <w:pPr>
        <w:pStyle w:val="Default"/>
        <w:suppressAutoHyphens w:val="1"/>
        <w:spacing w:before="0" w:after="240" w:line="240" w:lineRule="auto"/>
        <w:rPr>
          <w:rStyle w:val="Hyperlink.0"/>
        </w:rPr>
      </w:pPr>
      <w:r>
        <w:rPr>
          <w:rStyle w:val="Hyperlink.0"/>
          <w:rtl w:val="0"/>
          <w:lang w:val="en-US"/>
        </w:rPr>
        <w:t>The treasury UTxO is read as a reference input (not consumed), enabling multiple users to mint Shields in the same block without contention</w:t>
      </w:r>
      <w:r>
        <w:rPr>
          <w:rStyle w:val="Hyperlink.0"/>
          <w:rtl w:val="0"/>
          <w:lang w:val="en-US"/>
        </w:rPr>
        <w:t>—</w:t>
      </w:r>
      <w:r>
        <w:rPr>
          <w:rStyle w:val="Hyperlink.0"/>
          <w:rtl w:val="0"/>
          <w:lang w:val="en-US"/>
        </w:rPr>
        <w:t>a direct advantage of eUTXO semantics. Any withdrawal that would push $R$ below 120 is rejected outright by the contract validator.</w:t>
      </w: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5.2 Shield NFT and CIP-68 Standard</w:t>
      </w:r>
    </w:p>
    <w:p>
      <w:pPr>
        <w:pStyle w:val="Default"/>
        <w:suppressAutoHyphens w:val="1"/>
        <w:spacing w:before="0" w:after="240" w:line="240" w:lineRule="auto"/>
        <w:jc w:val="both"/>
        <w:rPr>
          <w:rStyle w:val="Hyperlink.0"/>
        </w:rPr>
      </w:pPr>
      <w:r>
        <w:rPr>
          <w:rStyle w:val="Hyperlink.0"/>
          <w:rtl w:val="0"/>
          <w:lang w:val="en-US"/>
        </w:rPr>
        <w:t>Shield NFTs conform to CIP-68, which separates the reference datum (carrying coverage tier and expiry epoch metadata) from the on-chain token representation. This separation allows metadata updates without burning and reissuing the token</w:t>
      </w:r>
      <w:r>
        <w:rPr>
          <w:rStyle w:val="Hyperlink.0"/>
          <w:rtl w:val="0"/>
          <w:lang w:val="en-US"/>
        </w:rPr>
        <w:t>—</w:t>
      </w:r>
      <w:r>
        <w:rPr>
          <w:rStyle w:val="Hyperlink.0"/>
          <w:rtl w:val="0"/>
          <w:lang w:val="en-US"/>
        </w:rPr>
        <w:t>a significant UX advantage. Three coverage tiers are defined: Basic (maximum 50% refund), Standard (65%), and Premium (80%). The crash-refund trigger monitors oracle datum drops exceeding a configurable threshold within a rolling epoch window and computes eligible refund amounts automatically.</w:t>
      </w:r>
    </w:p>
    <w:p>
      <w:pPr>
        <w:pStyle w:val="Default"/>
        <w:suppressAutoHyphens w:val="1"/>
        <w:spacing w:before="0" w:after="240" w:line="240" w:lineRule="auto"/>
        <w:rPr>
          <w:rStyle w:val="None"/>
          <w:rFonts w:ascii="Times New Roman" w:cs="Times New Roman" w:hAnsi="Times New Roman" w:eastAsia="Times New Roman"/>
          <w:b w:val="1"/>
          <w:bCs w:val="1"/>
        </w:rPr>
      </w:pP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5.3 AMM Liquidity Mechanism</w:t>
      </w:r>
    </w:p>
    <w:p>
      <w:pPr>
        <w:pStyle w:val="Default"/>
        <w:suppressAutoHyphens w:val="1"/>
        <w:spacing w:before="0" w:after="240" w:line="240" w:lineRule="auto"/>
        <w:jc w:val="both"/>
        <w:rPr>
          <w:rStyle w:val="Hyperlink.0"/>
        </w:rPr>
      </w:pPr>
      <w:r>
        <w:rPr>
          <w:rStyle w:val="Hyperlink.0"/>
          <w:rtl w:val="0"/>
          <w:lang w:val="en-US"/>
        </w:rPr>
        <w:t>Prediction market position pricing follows the constant-product formula $x \times y = k$. As participants buy one outcome, its implied probability rises while the opposing outcome falls. A configurable slippage ceiling prevents any single transaction from moving the price curve by more than a defined percentage. Trading fees collected during the epoch are redistributed to liquidity providers proportional to their pool share at settlement, consistent with standard AMM research [13].</w:t>
      </w:r>
    </w:p>
    <w:p>
      <w:pPr>
        <w:pStyle w:val="Default"/>
        <w:suppressAutoHyphens w:val="1"/>
        <w:spacing w:before="0" w:after="240" w:line="240" w:lineRule="auto"/>
        <w:jc w:val="center"/>
        <w:rPr>
          <w:rStyle w:val="Hyperlink.0"/>
        </w:rPr>
      </w:pPr>
      <w:r>
        <w:rPr>
          <w:rStyle w:val="None"/>
          <w:rFonts w:ascii="Times New Roman" w:hAnsi="Times New Roman"/>
          <w:b w:val="1"/>
          <w:bCs w:val="1"/>
          <w:rtl w:val="0"/>
          <w:lang w:val="en-US"/>
        </w:rPr>
        <w:t>Table 3.</w:t>
      </w:r>
      <w:r>
        <w:rPr>
          <w:rStyle w:val="Hyperlink.0"/>
          <w:rtl w:val="0"/>
          <w:lang w:val="en-US"/>
        </w:rPr>
        <w:t xml:space="preserve"> On-Chain Contract Implementations</w:t>
      </w:r>
    </w:p>
    <w:tbl>
      <w:tblPr>
        <w:tblW w:w="9638"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783"/>
        <w:gridCol w:w="1433"/>
        <w:gridCol w:w="2169"/>
        <w:gridCol w:w="4253"/>
      </w:tblGrid>
      <w:tr>
        <w:tblPrEx>
          <w:shd w:val="clear" w:color="auto" w:fill="cadfff"/>
        </w:tblPrEx>
        <w:trPr>
          <w:trHeight w:val="397" w:hRule="atLeast"/>
        </w:trPr>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z w:val="18"/>
                <w:szCs w:val="18"/>
                <w:shd w:val="nil" w:color="auto" w:fill="auto"/>
                <w:rtl w:val="0"/>
                <w:lang w:val="en-US"/>
              </w:rPr>
              <w:t>Contract Mechanism</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z w:val="18"/>
                <w:szCs w:val="18"/>
                <w:shd w:val="nil" w:color="auto" w:fill="auto"/>
                <w:rtl w:val="0"/>
                <w:lang w:val="en-US"/>
              </w:rPr>
              <w:t>Valid Txns</w:t>
            </w:r>
          </w:p>
        </w:tc>
        <w:tc>
          <w:tcPr>
            <w:tcW w:type="dxa" w:w="21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z w:val="18"/>
                <w:szCs w:val="18"/>
                <w:shd w:val="nil" w:color="auto" w:fill="auto"/>
                <w:rtl w:val="0"/>
                <w:lang w:val="en-US"/>
              </w:rPr>
              <w:t>Adversarial Txns Rejected</w:t>
            </w:r>
          </w:p>
        </w:tc>
        <w:tc>
          <w:tcPr>
            <w:tcW w:type="dxa" w:w="42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z w:val="18"/>
                <w:szCs w:val="18"/>
                <w:shd w:val="nil" w:color="auto" w:fill="auto"/>
                <w:rtl w:val="0"/>
                <w:lang w:val="de-DE"/>
              </w:rPr>
              <w:t>Notes</w:t>
            </w:r>
          </w:p>
        </w:tc>
      </w:tr>
      <w:tr>
        <w:tblPrEx>
          <w:shd w:val="clear" w:color="auto" w:fill="cadfff"/>
        </w:tblPrEx>
        <w:trPr>
          <w:trHeight w:val="397" w:hRule="atLeast"/>
        </w:trPr>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it-IT"/>
              </w:rPr>
              <w:t>Oracle Validator</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20 / 20</w:t>
            </w:r>
          </w:p>
        </w:tc>
        <w:tc>
          <w:tcPr>
            <w:tcW w:type="dxa" w:w="21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15 / 15</w:t>
            </w:r>
          </w:p>
        </w:tc>
        <w:tc>
          <w:tcPr>
            <w:tcW w:type="dxa" w:w="42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Malformed sig, stale timestamp, out-of-range score all rejected</w:t>
            </w:r>
          </w:p>
        </w:tc>
      </w:tr>
      <w:tr>
        <w:tblPrEx>
          <w:shd w:val="clear" w:color="auto" w:fill="cadfff"/>
        </w:tblPrEx>
        <w:trPr>
          <w:trHeight w:val="397" w:hRule="atLeast"/>
        </w:trPr>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Treasury Reserve (120%)</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25 / 25</w:t>
            </w:r>
          </w:p>
        </w:tc>
        <w:tc>
          <w:tcPr>
            <w:tcW w:type="dxa" w:w="21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3 boundary edge-cases passed</w:t>
            </w:r>
          </w:p>
        </w:tc>
        <w:tc>
          <w:tcPr>
            <w:tcW w:type="dxa" w:w="42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120% invariant held across all scenarios</w:t>
            </w:r>
          </w:p>
        </w:tc>
      </w:tr>
      <w:tr>
        <w:tblPrEx>
          <w:shd w:val="clear" w:color="auto" w:fill="cadfff"/>
        </w:tblPrEx>
        <w:trPr>
          <w:trHeight w:val="217" w:hRule="atLeast"/>
        </w:trPr>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de-DE"/>
              </w:rPr>
              <w:t>Anti-Arbitrage Guard</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hint="default"/>
                <w:sz w:val="18"/>
                <w:szCs w:val="18"/>
                <w:shd w:val="nil" w:color="auto" w:fill="auto"/>
                <w:rtl w:val="0"/>
                <w:lang w:val="en-US"/>
              </w:rPr>
              <w:t>—</w:t>
            </w:r>
          </w:p>
        </w:tc>
        <w:tc>
          <w:tcPr>
            <w:tcW w:type="dxa" w:w="21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12 / 12</w:t>
            </w:r>
          </w:p>
        </w:tc>
        <w:tc>
          <w:tcPr>
            <w:tcW w:type="dxa" w:w="42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Oversized position attempts fully blocked</w:t>
            </w:r>
          </w:p>
        </w:tc>
      </w:tr>
      <w:tr>
        <w:tblPrEx>
          <w:shd w:val="clear" w:color="auto" w:fill="cadfff"/>
        </w:tblPrEx>
        <w:trPr>
          <w:trHeight w:val="217" w:hRule="atLeast"/>
        </w:trPr>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de-DE"/>
              </w:rPr>
              <w:t>Crash-Refund Trigger</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18 / 18</w:t>
            </w:r>
          </w:p>
        </w:tc>
        <w:tc>
          <w:tcPr>
            <w:tcW w:type="dxa" w:w="21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0 payout errors</w:t>
            </w:r>
          </w:p>
        </w:tc>
        <w:tc>
          <w:tcPr>
            <w:tcW w:type="dxa" w:w="42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Correct payouts for all 18 simulated crash scenarios</w:t>
            </w:r>
          </w:p>
        </w:tc>
      </w:tr>
      <w:tr>
        <w:tblPrEx>
          <w:shd w:val="clear" w:color="auto" w:fill="cadfff"/>
        </w:tblPrEx>
        <w:trPr>
          <w:trHeight w:val="385" w:hRule="atLeast"/>
        </w:trPr>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nl-NL"/>
              </w:rPr>
              <w:t>Shield NFT (CIP-68)</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 xml:space="preserve">All tiers minted </w:t>
            </w:r>
            <w:r>
              <w:rPr>
                <w:rStyle w:val="None"/>
                <w:rFonts w:ascii="Arial Unicode MS" w:cs="Arial Unicode MS" w:hAnsi="Arial Unicode MS" w:eastAsia="Arial Unicode MS" w:hint="default"/>
                <w:b w:val="0"/>
                <w:bCs w:val="0"/>
                <w:i w:val="0"/>
                <w:iCs w:val="0"/>
                <w:sz w:val="18"/>
                <w:szCs w:val="18"/>
                <w:shd w:val="nil" w:color="auto" w:fill="auto"/>
                <w:rtl w:val="0"/>
              </w:rPr>
              <w:t>✓</w:t>
            </w:r>
          </w:p>
        </w:tc>
        <w:tc>
          <w:tcPr>
            <w:tcW w:type="dxa" w:w="21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hint="default"/>
                <w:sz w:val="18"/>
                <w:szCs w:val="18"/>
                <w:shd w:val="nil" w:color="auto" w:fill="auto"/>
                <w:rtl w:val="0"/>
                <w:lang w:val="en-US"/>
              </w:rPr>
              <w:t>—</w:t>
            </w:r>
          </w:p>
        </w:tc>
        <w:tc>
          <w:tcPr>
            <w:tcW w:type="dxa" w:w="42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Retail confirmed ~20s on preprod</w:t>
            </w:r>
          </w:p>
        </w:tc>
      </w:tr>
      <w:tr>
        <w:tblPrEx>
          <w:shd w:val="clear" w:color="auto" w:fill="cadfff"/>
        </w:tblPrEx>
        <w:trPr>
          <w:trHeight w:val="397" w:hRule="atLeast"/>
        </w:trPr>
        <w:tc>
          <w:tcPr>
            <w:tcW w:type="dxa" w:w="178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fr-FR"/>
              </w:rPr>
              <w:t>AMM Liquidity</w:t>
            </w:r>
          </w:p>
        </w:tc>
        <w:tc>
          <w:tcPr>
            <w:tcW w:type="dxa" w:w="14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 xml:space="preserve">Slippage enforced </w:t>
            </w:r>
            <w:r>
              <w:rPr>
                <w:rStyle w:val="None"/>
                <w:rFonts w:ascii="Arial Unicode MS" w:cs="Arial Unicode MS" w:hAnsi="Arial Unicode MS" w:eastAsia="Arial Unicode MS" w:hint="default"/>
                <w:b w:val="0"/>
                <w:bCs w:val="0"/>
                <w:i w:val="0"/>
                <w:iCs w:val="0"/>
                <w:sz w:val="18"/>
                <w:szCs w:val="18"/>
                <w:shd w:val="nil" w:color="auto" w:fill="auto"/>
                <w:rtl w:val="0"/>
              </w:rPr>
              <w:t>✓</w:t>
            </w:r>
          </w:p>
        </w:tc>
        <w:tc>
          <w:tcPr>
            <w:tcW w:type="dxa" w:w="21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hint="default"/>
                <w:sz w:val="18"/>
                <w:szCs w:val="18"/>
                <w:shd w:val="nil" w:color="auto" w:fill="auto"/>
                <w:rtl w:val="0"/>
                <w:lang w:val="en-US"/>
              </w:rPr>
              <w:t>—</w:t>
            </w:r>
          </w:p>
        </w:tc>
        <w:tc>
          <w:tcPr>
            <w:tcW w:type="dxa" w:w="42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Constant-product formula verified</w:t>
            </w:r>
          </w:p>
        </w:tc>
      </w:tr>
    </w:tbl>
    <w:p>
      <w:pPr>
        <w:pStyle w:val="Default"/>
        <w:widowControl w:val="0"/>
        <w:suppressAutoHyphens w:val="1"/>
        <w:spacing w:before="0" w:after="240" w:line="240" w:lineRule="auto"/>
        <w:ind w:left="108" w:hanging="108"/>
        <w:jc w:val="center"/>
        <w:rPr>
          <w:rStyle w:val="Hyperlink.0"/>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rPr>
          <w:rStyle w:val="None"/>
          <w:rFonts w:ascii="Times New Roman" w:cs="Times New Roman" w:hAnsi="Times New Roman" w:eastAsia="Times New Roman"/>
          <w:b w:val="1"/>
          <w:bCs w:val="1"/>
          <w:sz w:val="28"/>
          <w:szCs w:val="28"/>
        </w:rPr>
      </w:pPr>
    </w:p>
    <w:p>
      <w:pPr>
        <w:pStyle w:val="Default"/>
        <w:suppressAutoHyphens w:val="1"/>
        <w:spacing w:before="0" w:after="240" w:line="240" w:lineRule="auto"/>
        <w:rPr>
          <w:rStyle w:val="None"/>
          <w:rFonts w:ascii="Times New Roman" w:cs="Times New Roman" w:hAnsi="Times New Roman" w:eastAsia="Times New Roman"/>
        </w:rPr>
      </w:pPr>
    </w:p>
    <w:p>
      <w:pPr>
        <w:pStyle w:val="Default"/>
        <w:suppressAutoHyphens w:val="1"/>
        <w:spacing w:before="0" w:after="240" w:line="240" w:lineRule="auto"/>
        <w:rPr>
          <w:rStyle w:val="None"/>
          <w:rFonts w:ascii="Times New Roman" w:cs="Times New Roman" w:hAnsi="Times New Roman" w:eastAsia="Times New Roman"/>
        </w:rPr>
      </w:pPr>
    </w:p>
    <w:p>
      <w:pPr>
        <w:pStyle w:val="Default"/>
        <w:suppressAutoHyphens w:val="1"/>
        <w:spacing w:before="0" w:after="240" w:line="240" w:lineRule="auto"/>
        <w:rPr>
          <w:rStyle w:val="None"/>
          <w:rFonts w:ascii="Times New Roman" w:cs="Times New Roman" w:hAnsi="Times New Roman" w:eastAsia="Times New Roman"/>
          <w:b w:val="1"/>
          <w:bCs w:val="1"/>
          <w:sz w:val="28"/>
          <w:szCs w:val="28"/>
        </w:rPr>
      </w:pPr>
      <w:r>
        <w:rPr>
          <w:rStyle w:val="None"/>
          <w:rFonts w:ascii="Times New Roman" w:hAnsi="Times New Roman"/>
          <w:b w:val="1"/>
          <w:bCs w:val="1"/>
          <w:sz w:val="28"/>
          <w:szCs w:val="28"/>
          <w:rtl w:val="0"/>
          <w:lang w:val="en-US"/>
        </w:rPr>
        <w:t>6. TEST CASES</w:t>
      </w:r>
    </w:p>
    <w:p>
      <w:pPr>
        <w:pStyle w:val="Default"/>
        <w:suppressAutoHyphens w:val="1"/>
        <w:spacing w:before="0" w:after="240" w:line="240" w:lineRule="auto"/>
        <w:jc w:val="center"/>
        <w:rPr>
          <w:rStyle w:val="Hyperlink.0"/>
        </w:rPr>
      </w:pPr>
      <w:r>
        <w:rPr>
          <w:rStyle w:val="None"/>
          <w:rFonts w:ascii="Times New Roman" w:hAnsi="Times New Roman"/>
          <w:b w:val="1"/>
          <w:bCs w:val="1"/>
          <w:rtl w:val="0"/>
          <w:lang w:val="en-US"/>
        </w:rPr>
        <w:t>Table 4.</w:t>
      </w:r>
      <w:r>
        <w:rPr>
          <w:rStyle w:val="Hyperlink.0"/>
          <w:rtl w:val="0"/>
          <w:lang w:val="en-US"/>
        </w:rPr>
        <w:t xml:space="preserve"> Structured Test Cases for Oracle and Contract Validation</w:t>
      </w:r>
    </w:p>
    <w:tbl>
      <w:tblPr>
        <w:tblW w:w="9519"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909"/>
        <w:gridCol w:w="1109"/>
        <w:gridCol w:w="3443"/>
        <w:gridCol w:w="2381"/>
        <w:gridCol w:w="1677"/>
      </w:tblGrid>
      <w:tr>
        <w:tblPrEx>
          <w:shd w:val="clear" w:color="auto" w:fill="cadfff"/>
        </w:tblPrEx>
        <w:trPr>
          <w:trHeight w:val="324" w:hRule="atLeast"/>
        </w:trPr>
        <w:tc>
          <w:tcPr>
            <w:tcW w:type="dxa" w:w="9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z w:val="18"/>
                <w:szCs w:val="18"/>
                <w:shd w:val="nil" w:color="auto" w:fill="auto"/>
                <w:rtl w:val="0"/>
                <w:lang w:val="en-US"/>
              </w:rPr>
              <w:t>Test ID</w:t>
            </w:r>
          </w:p>
        </w:tc>
        <w:tc>
          <w:tcPr>
            <w:tcW w:type="dxa" w:w="11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z w:val="18"/>
                <w:szCs w:val="18"/>
                <w:shd w:val="nil" w:color="auto" w:fill="auto"/>
                <w:rtl w:val="0"/>
                <w:lang w:val="it-IT"/>
              </w:rPr>
              <w:t>Component</w:t>
            </w:r>
          </w:p>
        </w:tc>
        <w:tc>
          <w:tcPr>
            <w:tcW w:type="dxa" w:w="34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z w:val="18"/>
                <w:szCs w:val="18"/>
                <w:shd w:val="nil" w:color="auto" w:fill="auto"/>
                <w:rtl w:val="0"/>
                <w:lang w:val="en-US"/>
              </w:rPr>
              <w:t>Input Condition</w:t>
            </w:r>
          </w:p>
        </w:tc>
        <w:tc>
          <w:tcPr>
            <w:tcW w:type="dxa" w:w="23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z w:val="18"/>
                <w:szCs w:val="18"/>
                <w:shd w:val="nil" w:color="auto" w:fill="auto"/>
                <w:rtl w:val="0"/>
                <w:lang w:val="en-US"/>
              </w:rPr>
              <w:t>Expected Outcome</w:t>
            </w:r>
          </w:p>
        </w:tc>
        <w:tc>
          <w:tcPr>
            <w:tcW w:type="dxa" w:w="16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z w:val="18"/>
                <w:szCs w:val="18"/>
                <w:shd w:val="nil" w:color="auto" w:fill="auto"/>
                <w:rtl w:val="0"/>
              </w:rPr>
              <w:t>Result</w:t>
            </w:r>
          </w:p>
        </w:tc>
      </w:tr>
      <w:tr>
        <w:tblPrEx>
          <w:shd w:val="clear" w:color="auto" w:fill="cadfff"/>
        </w:tblPrEx>
        <w:trPr>
          <w:trHeight w:val="397" w:hRule="atLeast"/>
        </w:trPr>
        <w:tc>
          <w:tcPr>
            <w:tcW w:type="dxa" w:w="9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pt-PT"/>
              </w:rPr>
              <w:t>TC-01</w:t>
            </w:r>
          </w:p>
        </w:tc>
        <w:tc>
          <w:tcPr>
            <w:tcW w:type="dxa" w:w="11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it-IT"/>
              </w:rPr>
              <w:t>Oracle Validator</w:t>
            </w:r>
          </w:p>
        </w:tc>
        <w:tc>
          <w:tcPr>
            <w:tcW w:type="dxa" w:w="34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 xml:space="preserve">Valid datum, correct signature, score </w:t>
            </w:r>
            <w:r>
              <w:rPr>
                <w:rStyle w:val="None"/>
                <w:rFonts w:ascii="Arial Unicode MS" w:cs="Arial Unicode MS" w:hAnsi="Arial Unicode MS" w:eastAsia="Arial Unicode MS" w:hint="default"/>
                <w:b w:val="0"/>
                <w:bCs w:val="0"/>
                <w:i w:val="0"/>
                <w:iCs w:val="0"/>
                <w:sz w:val="18"/>
                <w:szCs w:val="18"/>
                <w:shd w:val="nil" w:color="auto" w:fill="auto"/>
                <w:rtl w:val="0"/>
              </w:rPr>
              <w:t>∈</w:t>
            </w:r>
            <w:r>
              <w:rPr>
                <w:rStyle w:val="None"/>
                <w:rFonts w:ascii="Times New Roman" w:hAnsi="Times New Roman"/>
                <w:sz w:val="18"/>
                <w:szCs w:val="18"/>
                <w:shd w:val="nil" w:color="auto" w:fill="auto"/>
                <w:rtl w:val="0"/>
              </w:rPr>
              <w:t xml:space="preserve"> </w:t>
            </w:r>
            <w:r>
              <w:rPr>
                <w:rStyle w:val="None"/>
                <w:rFonts w:ascii="Times New Roman" w:hAnsi="Times New Roman"/>
                <w:sz w:val="18"/>
                <w:szCs w:val="18"/>
                <w:shd w:val="nil" w:color="auto" w:fill="auto"/>
                <w:rtl w:val="0"/>
                <w:lang w:val="pt-PT"/>
              </w:rPr>
              <w:t>[8,47]</w:t>
            </w:r>
          </w:p>
        </w:tc>
        <w:tc>
          <w:tcPr>
            <w:tcW w:type="dxa" w:w="23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Accept transaction</w:t>
            </w:r>
          </w:p>
        </w:tc>
        <w:tc>
          <w:tcPr>
            <w:tcW w:type="dxa" w:w="16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PASS (20/20)</w:t>
            </w:r>
          </w:p>
        </w:tc>
      </w:tr>
      <w:tr>
        <w:tblPrEx>
          <w:shd w:val="clear" w:color="auto" w:fill="cadfff"/>
        </w:tblPrEx>
        <w:trPr>
          <w:trHeight w:val="397" w:hRule="atLeast"/>
        </w:trPr>
        <w:tc>
          <w:tcPr>
            <w:tcW w:type="dxa" w:w="9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TC-02</w:t>
            </w:r>
          </w:p>
        </w:tc>
        <w:tc>
          <w:tcPr>
            <w:tcW w:type="dxa" w:w="11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it-IT"/>
              </w:rPr>
              <w:t>Oracle Validator</w:t>
            </w:r>
          </w:p>
        </w:tc>
        <w:tc>
          <w:tcPr>
            <w:tcW w:type="dxa" w:w="34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Malformed signature (wrong length)</w:t>
            </w:r>
          </w:p>
        </w:tc>
        <w:tc>
          <w:tcPr>
            <w:tcW w:type="dxa" w:w="23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Reject transaction</w:t>
            </w:r>
          </w:p>
        </w:tc>
        <w:tc>
          <w:tcPr>
            <w:tcW w:type="dxa" w:w="16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PASS (15/15)</w:t>
            </w:r>
          </w:p>
        </w:tc>
      </w:tr>
      <w:tr>
        <w:tblPrEx>
          <w:shd w:val="clear" w:color="auto" w:fill="cadfff"/>
        </w:tblPrEx>
        <w:trPr>
          <w:trHeight w:val="397" w:hRule="atLeast"/>
        </w:trPr>
        <w:tc>
          <w:tcPr>
            <w:tcW w:type="dxa" w:w="9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TC-03</w:t>
            </w:r>
          </w:p>
        </w:tc>
        <w:tc>
          <w:tcPr>
            <w:tcW w:type="dxa" w:w="11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it-IT"/>
              </w:rPr>
              <w:t>Oracle Validator</w:t>
            </w:r>
          </w:p>
        </w:tc>
        <w:tc>
          <w:tcPr>
            <w:tcW w:type="dxa" w:w="34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Stale timestamp beyond epoch window</w:t>
            </w:r>
          </w:p>
        </w:tc>
        <w:tc>
          <w:tcPr>
            <w:tcW w:type="dxa" w:w="23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Reject with stale error</w:t>
            </w:r>
          </w:p>
        </w:tc>
        <w:tc>
          <w:tcPr>
            <w:tcW w:type="dxa" w:w="16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PASS</w:t>
            </w:r>
          </w:p>
        </w:tc>
      </w:tr>
      <w:tr>
        <w:tblPrEx>
          <w:shd w:val="clear" w:color="auto" w:fill="cadfff"/>
        </w:tblPrEx>
        <w:trPr>
          <w:trHeight w:val="397" w:hRule="atLeast"/>
        </w:trPr>
        <w:tc>
          <w:tcPr>
            <w:tcW w:type="dxa" w:w="9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pt-PT"/>
              </w:rPr>
              <w:t>TC-04</w:t>
            </w:r>
          </w:p>
        </w:tc>
        <w:tc>
          <w:tcPr>
            <w:tcW w:type="dxa" w:w="11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it-IT"/>
              </w:rPr>
              <w:t>Oracle Validator</w:t>
            </w:r>
          </w:p>
        </w:tc>
        <w:tc>
          <w:tcPr>
            <w:tcW w:type="dxa" w:w="34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Hype Score &gt; 47 (out-of-range)</w:t>
            </w:r>
          </w:p>
        </w:tc>
        <w:tc>
          <w:tcPr>
            <w:tcW w:type="dxa" w:w="23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Reject with range error</w:t>
            </w:r>
          </w:p>
        </w:tc>
        <w:tc>
          <w:tcPr>
            <w:tcW w:type="dxa" w:w="16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PASS</w:t>
            </w:r>
          </w:p>
        </w:tc>
      </w:tr>
      <w:tr>
        <w:tblPrEx>
          <w:shd w:val="clear" w:color="auto" w:fill="cadfff"/>
        </w:tblPrEx>
        <w:trPr>
          <w:trHeight w:val="397" w:hRule="atLeast"/>
        </w:trPr>
        <w:tc>
          <w:tcPr>
            <w:tcW w:type="dxa" w:w="9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pt-PT"/>
              </w:rPr>
              <w:t>TC-05</w:t>
            </w:r>
          </w:p>
        </w:tc>
        <w:tc>
          <w:tcPr>
            <w:tcW w:type="dxa" w:w="11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Treasury Reserve</w:t>
            </w:r>
          </w:p>
        </w:tc>
        <w:tc>
          <w:tcPr>
            <w:tcW w:type="dxa" w:w="34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 xml:space="preserve">Withdrawal maintaining R </w:t>
            </w:r>
            <w:r>
              <w:rPr>
                <w:rStyle w:val="None"/>
                <w:rFonts w:ascii="Times New Roman" w:hAnsi="Times New Roman" w:hint="default"/>
                <w:sz w:val="18"/>
                <w:szCs w:val="18"/>
                <w:shd w:val="nil" w:color="auto" w:fill="auto"/>
                <w:rtl w:val="0"/>
              </w:rPr>
              <w:t xml:space="preserve">≥ </w:t>
            </w:r>
            <w:r>
              <w:rPr>
                <w:rStyle w:val="None"/>
                <w:rFonts w:ascii="Times New Roman" w:hAnsi="Times New Roman"/>
                <w:sz w:val="18"/>
                <w:szCs w:val="18"/>
                <w:shd w:val="nil" w:color="auto" w:fill="auto"/>
                <w:rtl w:val="0"/>
              </w:rPr>
              <w:t>120%</w:t>
            </w:r>
          </w:p>
        </w:tc>
        <w:tc>
          <w:tcPr>
            <w:tcW w:type="dxa" w:w="23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Accept withdrawal</w:t>
            </w:r>
          </w:p>
        </w:tc>
        <w:tc>
          <w:tcPr>
            <w:tcW w:type="dxa" w:w="16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PASS (25/25)</w:t>
            </w:r>
          </w:p>
        </w:tc>
      </w:tr>
      <w:tr>
        <w:tblPrEx>
          <w:shd w:val="clear" w:color="auto" w:fill="cadfff"/>
        </w:tblPrEx>
        <w:trPr>
          <w:trHeight w:val="397" w:hRule="atLeast"/>
        </w:trPr>
        <w:tc>
          <w:tcPr>
            <w:tcW w:type="dxa" w:w="9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pt-PT"/>
              </w:rPr>
              <w:t>TC-06</w:t>
            </w:r>
          </w:p>
        </w:tc>
        <w:tc>
          <w:tcPr>
            <w:tcW w:type="dxa" w:w="11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Treasury Reserve</w:t>
            </w:r>
          </w:p>
        </w:tc>
        <w:tc>
          <w:tcPr>
            <w:tcW w:type="dxa" w:w="34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Withdrawal pushing R below 120%</w:t>
            </w:r>
          </w:p>
        </w:tc>
        <w:tc>
          <w:tcPr>
            <w:tcW w:type="dxa" w:w="23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Reject transaction</w:t>
            </w:r>
          </w:p>
        </w:tc>
        <w:tc>
          <w:tcPr>
            <w:tcW w:type="dxa" w:w="16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PASS</w:t>
            </w:r>
          </w:p>
        </w:tc>
      </w:tr>
      <w:tr>
        <w:tblPrEx>
          <w:shd w:val="clear" w:color="auto" w:fill="cadfff"/>
        </w:tblPrEx>
        <w:trPr>
          <w:trHeight w:val="397" w:hRule="atLeast"/>
        </w:trPr>
        <w:tc>
          <w:tcPr>
            <w:tcW w:type="dxa" w:w="9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pt-PT"/>
              </w:rPr>
              <w:t>TC-07</w:t>
            </w:r>
          </w:p>
        </w:tc>
        <w:tc>
          <w:tcPr>
            <w:tcW w:type="dxa" w:w="11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Treasury Reserve</w:t>
            </w:r>
          </w:p>
        </w:tc>
        <w:tc>
          <w:tcPr>
            <w:tcW w:type="dxa" w:w="34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Boundary: R = exactly 120%</w:t>
            </w:r>
          </w:p>
        </w:tc>
        <w:tc>
          <w:tcPr>
            <w:tcW w:type="dxa" w:w="23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Accept (boundary inclusive)</w:t>
            </w:r>
          </w:p>
        </w:tc>
        <w:tc>
          <w:tcPr>
            <w:tcW w:type="dxa" w:w="16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PASS (3 edge cases)</w:t>
            </w:r>
          </w:p>
        </w:tc>
      </w:tr>
      <w:tr>
        <w:tblPrEx>
          <w:shd w:val="clear" w:color="auto" w:fill="cadfff"/>
        </w:tblPrEx>
        <w:trPr>
          <w:trHeight w:val="397" w:hRule="atLeast"/>
        </w:trPr>
        <w:tc>
          <w:tcPr>
            <w:tcW w:type="dxa" w:w="9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pt-PT"/>
              </w:rPr>
              <w:t>TC-08</w:t>
            </w:r>
          </w:p>
        </w:tc>
        <w:tc>
          <w:tcPr>
            <w:tcW w:type="dxa" w:w="11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de-DE"/>
              </w:rPr>
              <w:t>Anti-Arbitrage</w:t>
            </w:r>
          </w:p>
        </w:tc>
        <w:tc>
          <w:tcPr>
            <w:tcW w:type="dxa" w:w="34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Wallet exposure below tier threshold</w:t>
            </w:r>
          </w:p>
        </w:tc>
        <w:tc>
          <w:tcPr>
            <w:tcW w:type="dxa" w:w="23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Reject with exposure error</w:t>
            </w:r>
          </w:p>
        </w:tc>
        <w:tc>
          <w:tcPr>
            <w:tcW w:type="dxa" w:w="16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PASS (12/12)</w:t>
            </w:r>
          </w:p>
        </w:tc>
      </w:tr>
      <w:tr>
        <w:tblPrEx>
          <w:shd w:val="clear" w:color="auto" w:fill="cadfff"/>
        </w:tblPrEx>
        <w:trPr>
          <w:trHeight w:val="397" w:hRule="atLeast"/>
        </w:trPr>
        <w:tc>
          <w:tcPr>
            <w:tcW w:type="dxa" w:w="9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pt-PT"/>
              </w:rPr>
              <w:t>TC-09</w:t>
            </w:r>
          </w:p>
        </w:tc>
        <w:tc>
          <w:tcPr>
            <w:tcW w:type="dxa" w:w="11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de-DE"/>
              </w:rPr>
              <w:t>Anti-Arbitrage</w:t>
            </w:r>
          </w:p>
        </w:tc>
        <w:tc>
          <w:tcPr>
            <w:tcW w:type="dxa" w:w="34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Direct API call bypassing frontend</w:t>
            </w:r>
          </w:p>
        </w:tc>
        <w:tc>
          <w:tcPr>
            <w:tcW w:type="dxa" w:w="23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Backend rejects independently</w:t>
            </w:r>
          </w:p>
        </w:tc>
        <w:tc>
          <w:tcPr>
            <w:tcW w:type="dxa" w:w="16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PASS</w:t>
            </w:r>
          </w:p>
        </w:tc>
      </w:tr>
      <w:tr>
        <w:tblPrEx>
          <w:shd w:val="clear" w:color="auto" w:fill="cadfff"/>
        </w:tblPrEx>
        <w:trPr>
          <w:trHeight w:val="397" w:hRule="atLeast"/>
        </w:trPr>
        <w:tc>
          <w:tcPr>
            <w:tcW w:type="dxa" w:w="9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pt-PT"/>
              </w:rPr>
              <w:t>TC-10</w:t>
            </w:r>
          </w:p>
        </w:tc>
        <w:tc>
          <w:tcPr>
            <w:tcW w:type="dxa" w:w="11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de-DE"/>
              </w:rPr>
              <w:t>Crash-Refund</w:t>
            </w:r>
          </w:p>
        </w:tc>
        <w:tc>
          <w:tcPr>
            <w:tcW w:type="dxa" w:w="34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Hype Score drops &gt; threshold within epoch</w:t>
            </w:r>
          </w:p>
        </w:tc>
        <w:tc>
          <w:tcPr>
            <w:tcW w:type="dxa" w:w="23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Automatic payout computed</w:t>
            </w:r>
          </w:p>
        </w:tc>
        <w:tc>
          <w:tcPr>
            <w:tcW w:type="dxa" w:w="16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PASS (18/18)</w:t>
            </w:r>
          </w:p>
        </w:tc>
      </w:tr>
      <w:tr>
        <w:tblPrEx>
          <w:shd w:val="clear" w:color="auto" w:fill="cadfff"/>
        </w:tblPrEx>
        <w:trPr>
          <w:trHeight w:val="397" w:hRule="atLeast"/>
        </w:trPr>
        <w:tc>
          <w:tcPr>
            <w:tcW w:type="dxa" w:w="9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pt-PT"/>
              </w:rPr>
              <w:t>TC-11</w:t>
            </w:r>
          </w:p>
        </w:tc>
        <w:tc>
          <w:tcPr>
            <w:tcW w:type="dxa" w:w="11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de-DE"/>
              </w:rPr>
              <w:t>Crash-Refund</w:t>
            </w:r>
          </w:p>
        </w:tc>
        <w:tc>
          <w:tcPr>
            <w:tcW w:type="dxa" w:w="34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Score drop below threshold (no crash)</w:t>
            </w:r>
          </w:p>
        </w:tc>
        <w:tc>
          <w:tcPr>
            <w:tcW w:type="dxa" w:w="23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No payout triggered</w:t>
            </w:r>
          </w:p>
        </w:tc>
        <w:tc>
          <w:tcPr>
            <w:tcW w:type="dxa" w:w="16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PASS</w:t>
            </w:r>
          </w:p>
        </w:tc>
      </w:tr>
      <w:tr>
        <w:tblPrEx>
          <w:shd w:val="clear" w:color="auto" w:fill="cadfff"/>
        </w:tblPrEx>
        <w:trPr>
          <w:trHeight w:val="324" w:hRule="atLeast"/>
        </w:trPr>
        <w:tc>
          <w:tcPr>
            <w:tcW w:type="dxa" w:w="9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pt-PT"/>
              </w:rPr>
              <w:t>TC-12</w:t>
            </w:r>
          </w:p>
        </w:tc>
        <w:tc>
          <w:tcPr>
            <w:tcW w:type="dxa" w:w="11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Shield NFT</w:t>
            </w:r>
          </w:p>
        </w:tc>
        <w:tc>
          <w:tcPr>
            <w:tcW w:type="dxa" w:w="34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 xml:space="preserve">MintRetail with </w:t>
            </w:r>
            <w:r>
              <w:rPr>
                <w:rStyle w:val="None"/>
                <w:rFonts w:ascii="Times New Roman" w:hAnsi="Times New Roman" w:hint="default"/>
                <w:sz w:val="18"/>
                <w:szCs w:val="18"/>
                <w:shd w:val="nil" w:color="auto" w:fill="auto"/>
                <w:rtl w:val="0"/>
              </w:rPr>
              <w:t>≥</w:t>
            </w:r>
            <w:r>
              <w:rPr>
                <w:rStyle w:val="None"/>
                <w:rFonts w:ascii="Times New Roman" w:hAnsi="Times New Roman"/>
                <w:sz w:val="18"/>
                <w:szCs w:val="18"/>
                <w:shd w:val="nil" w:color="auto" w:fill="auto"/>
                <w:rtl w:val="0"/>
                <w:lang w:val="en-US"/>
              </w:rPr>
              <w:t>5 ADA to treasury</w:t>
            </w:r>
          </w:p>
        </w:tc>
        <w:tc>
          <w:tcPr>
            <w:tcW w:type="dxa" w:w="23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Mint confirmed ~20s preprod</w:t>
            </w:r>
          </w:p>
        </w:tc>
        <w:tc>
          <w:tcPr>
            <w:tcW w:type="dxa" w:w="16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PASS</w:t>
            </w:r>
          </w:p>
        </w:tc>
      </w:tr>
      <w:tr>
        <w:tblPrEx>
          <w:shd w:val="clear" w:color="auto" w:fill="cadfff"/>
        </w:tblPrEx>
        <w:trPr>
          <w:trHeight w:val="324" w:hRule="atLeast"/>
        </w:trPr>
        <w:tc>
          <w:tcPr>
            <w:tcW w:type="dxa" w:w="9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TC-13</w:t>
            </w:r>
          </w:p>
        </w:tc>
        <w:tc>
          <w:tcPr>
            <w:tcW w:type="dxa" w:w="11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Shield NFT</w:t>
            </w:r>
          </w:p>
        </w:tc>
        <w:tc>
          <w:tcPr>
            <w:tcW w:type="dxa" w:w="34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MintRetail with &lt;5 ADA</w:t>
            </w:r>
          </w:p>
        </w:tc>
        <w:tc>
          <w:tcPr>
            <w:tcW w:type="dxa" w:w="23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 xml:space="preserve">Reject </w:t>
            </w:r>
            <w:r>
              <w:rPr>
                <w:rStyle w:val="None"/>
                <w:rFonts w:ascii="Times New Roman" w:hAnsi="Times New Roman" w:hint="default"/>
                <w:sz w:val="18"/>
                <w:szCs w:val="18"/>
                <w:shd w:val="nil" w:color="auto" w:fill="auto"/>
                <w:rtl w:val="0"/>
              </w:rPr>
              <w:t xml:space="preserve">– </w:t>
            </w:r>
            <w:r>
              <w:rPr>
                <w:rStyle w:val="None"/>
                <w:rFonts w:ascii="Times New Roman" w:hAnsi="Times New Roman"/>
                <w:sz w:val="18"/>
                <w:szCs w:val="18"/>
                <w:shd w:val="nil" w:color="auto" w:fill="auto"/>
                <w:rtl w:val="0"/>
                <w:lang w:val="en-US"/>
              </w:rPr>
              <w:t>insufficient payment</w:t>
            </w:r>
          </w:p>
        </w:tc>
        <w:tc>
          <w:tcPr>
            <w:tcW w:type="dxa" w:w="16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PASS</w:t>
            </w:r>
          </w:p>
        </w:tc>
      </w:tr>
      <w:tr>
        <w:tblPrEx>
          <w:shd w:val="clear" w:color="auto" w:fill="cadfff"/>
        </w:tblPrEx>
        <w:trPr>
          <w:trHeight w:val="397" w:hRule="atLeast"/>
        </w:trPr>
        <w:tc>
          <w:tcPr>
            <w:tcW w:type="dxa" w:w="9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TC-14</w:t>
            </w:r>
          </w:p>
        </w:tc>
        <w:tc>
          <w:tcPr>
            <w:tcW w:type="dxa" w:w="11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fr-FR"/>
              </w:rPr>
              <w:t>AMM Liquidity</w:t>
            </w:r>
          </w:p>
        </w:tc>
        <w:tc>
          <w:tcPr>
            <w:tcW w:type="dxa" w:w="34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Single tx within slippage ceiling</w:t>
            </w:r>
          </w:p>
        </w:tc>
        <w:tc>
          <w:tcPr>
            <w:tcW w:type="dxa" w:w="23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Trade accepted, k preserved</w:t>
            </w:r>
          </w:p>
        </w:tc>
        <w:tc>
          <w:tcPr>
            <w:tcW w:type="dxa" w:w="16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PASS</w:t>
            </w:r>
          </w:p>
        </w:tc>
      </w:tr>
      <w:tr>
        <w:tblPrEx>
          <w:shd w:val="clear" w:color="auto" w:fill="cadfff"/>
        </w:tblPrEx>
        <w:trPr>
          <w:trHeight w:val="397" w:hRule="atLeast"/>
        </w:trPr>
        <w:tc>
          <w:tcPr>
            <w:tcW w:type="dxa" w:w="9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pt-PT"/>
              </w:rPr>
              <w:t>TC-15</w:t>
            </w:r>
          </w:p>
        </w:tc>
        <w:tc>
          <w:tcPr>
            <w:tcW w:type="dxa" w:w="11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fr-FR"/>
              </w:rPr>
              <w:t>AMM Liquidity</w:t>
            </w:r>
          </w:p>
        </w:tc>
        <w:tc>
          <w:tcPr>
            <w:tcW w:type="dxa" w:w="34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Single tx exceeds slippage ceiling</w:t>
            </w:r>
          </w:p>
        </w:tc>
        <w:tc>
          <w:tcPr>
            <w:tcW w:type="dxa" w:w="23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 xml:space="preserve">Reject </w:t>
            </w:r>
            <w:r>
              <w:rPr>
                <w:rStyle w:val="None"/>
                <w:rFonts w:ascii="Times New Roman" w:hAnsi="Times New Roman" w:hint="default"/>
                <w:sz w:val="18"/>
                <w:szCs w:val="18"/>
                <w:shd w:val="nil" w:color="auto" w:fill="auto"/>
                <w:rtl w:val="0"/>
              </w:rPr>
              <w:t xml:space="preserve">– </w:t>
            </w:r>
            <w:r>
              <w:rPr>
                <w:rStyle w:val="None"/>
                <w:rFonts w:ascii="Times New Roman" w:hAnsi="Times New Roman"/>
                <w:sz w:val="18"/>
                <w:szCs w:val="18"/>
                <w:shd w:val="nil" w:color="auto" w:fill="auto"/>
                <w:rtl w:val="0"/>
                <w:lang w:val="en-US"/>
              </w:rPr>
              <w:t>ceiling exceeded</w:t>
            </w:r>
          </w:p>
        </w:tc>
        <w:tc>
          <w:tcPr>
            <w:tcW w:type="dxa" w:w="16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PASS</w:t>
            </w:r>
          </w:p>
        </w:tc>
      </w:tr>
    </w:tbl>
    <w:p>
      <w:pPr>
        <w:pStyle w:val="Default"/>
        <w:widowControl w:val="0"/>
        <w:suppressAutoHyphens w:val="1"/>
        <w:spacing w:before="0" w:after="240" w:line="240" w:lineRule="auto"/>
        <w:ind w:left="108" w:hanging="108"/>
        <w:jc w:val="center"/>
        <w:rPr>
          <w:rStyle w:val="Hyperlink.0"/>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rPr>
          <w:rStyle w:val="None"/>
          <w:rFonts w:ascii="Times New Roman" w:cs="Times New Roman" w:hAnsi="Times New Roman" w:eastAsia="Times New Roman"/>
          <w:b w:val="1"/>
          <w:bCs w:val="1"/>
          <w:sz w:val="28"/>
          <w:szCs w:val="28"/>
        </w:rPr>
      </w:pPr>
      <w:r>
        <w:rPr>
          <w:rStyle w:val="None"/>
          <w:rFonts w:ascii="Times New Roman" w:hAnsi="Times New Roman"/>
          <w:b w:val="1"/>
          <w:bCs w:val="1"/>
          <w:sz w:val="28"/>
          <w:szCs w:val="28"/>
          <w:rtl w:val="0"/>
          <w:lang w:val="en-US"/>
        </w:rPr>
        <w:t>7. RESULTS AND EVALUATION</w:t>
      </w: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7.1 Oracle Engine Latency Distribution</w:t>
      </w:r>
    </w:p>
    <w:p>
      <w:pPr>
        <w:pStyle w:val="Default"/>
        <w:suppressAutoHyphens w:val="1"/>
        <w:spacing w:before="0" w:after="240" w:line="240" w:lineRule="auto"/>
        <w:rPr>
          <w:rStyle w:val="None"/>
          <w:rFonts w:ascii="Times New Roman" w:cs="Times New Roman" w:hAnsi="Times New Roman" w:eastAsia="Times New Roman"/>
          <w:outline w:val="0"/>
          <w:color w:val="000000"/>
          <w:sz w:val="24"/>
          <w:u w:color="000000"/>
          <w14:textFill>
            <w14:solidFill>
              <w14:srgbClr w14:val="000000"/>
            </w14:solidFill>
          </w14:textFill>
        </w:rPr>
      </w:pPr>
      <w:r>
        <w:rPr>
          <w:rStyle w:val="None"/>
          <w:rFonts w:ascii="Times New Roman" w:hAnsi="Times New Roman"/>
          <w:rtl w:val="0"/>
          <w:lang w:val="en-US"/>
        </w:rPr>
        <w:t xml:space="preserve">Over 200 invocations across 10 asset tickers over 48 hours, the heuristic engine produced Hype Scores in the range [8, 47] with a mean of 23.4 and standard deviation of 8.1. The </w:t>
      </w:r>
      <m:oMath>
        <m:r>
          <w:rPr xmlns:w="http://schemas.openxmlformats.org/wordprocessingml/2006/main">
            <w:rFonts w:ascii="Cambria Math" w:hAnsi="Cambria Math"/>
            <w:i/>
            <w:color w:val="000000"/>
            <w:sz w:val="25"/>
            <w:szCs w:val="25"/>
          </w:rPr>
          <m:t>ε</m:t>
        </m:r>
      </m:oMath>
      <w:r>
        <w:rPr>
          <w:rStyle w:val="None"/>
          <w:rFonts w:ascii="Times New Roman" w:hAnsi="Times New Roman"/>
          <w:rtl w:val="0"/>
          <w:lang w:val="en-US"/>
        </w:rPr>
        <w:t xml:space="preserve"> component contributed an average absolute shift of ~2.8 points per call. Average response latency was 340 ms with p95 of 580 ms. Figure 3 shows the latency distribution across</w:t>
      </w:r>
      <w:r>
        <w:rPr>
          <w:rStyle w:val="None"/>
          <w:rFonts w:ascii="Times New Roman" w:cs="Times New Roman" w:hAnsi="Times New Roman" w:eastAsia="Times New Roman"/>
          <w:lang w:val="en-US"/>
        </w:rPr>
        <w:drawing xmlns:a="http://schemas.openxmlformats.org/drawingml/2006/main">
          <wp:anchor distT="152400" distB="152400" distL="152400" distR="152400" simplePos="0" relativeHeight="251661312" behindDoc="0" locked="0" layoutInCell="1" allowOverlap="1">
            <wp:simplePos x="0" y="0"/>
            <wp:positionH relativeFrom="page">
              <wp:posOffset>1547791</wp:posOffset>
            </wp:positionH>
            <wp:positionV relativeFrom="line">
              <wp:posOffset>255931</wp:posOffset>
            </wp:positionV>
            <wp:extent cx="4464654" cy="2552466"/>
            <wp:effectExtent l="0" t="0" r="0" b="0"/>
            <wp:wrapThrough wrapText="bothSides" distL="152400" distR="152400">
              <wp:wrapPolygon edited="1">
                <wp:start x="-23" y="-40"/>
                <wp:lineTo x="-23" y="0"/>
                <wp:lineTo x="-23" y="21599"/>
                <wp:lineTo x="-23" y="21639"/>
                <wp:lineTo x="0" y="21639"/>
                <wp:lineTo x="21601" y="21639"/>
                <wp:lineTo x="21624" y="21639"/>
                <wp:lineTo x="21624" y="21599"/>
                <wp:lineTo x="21624" y="0"/>
                <wp:lineTo x="21624" y="-40"/>
                <wp:lineTo x="21601" y="-40"/>
                <wp:lineTo x="0" y="-40"/>
                <wp:lineTo x="-23" y="-40"/>
              </wp:wrapPolygon>
            </wp:wrapThrough>
            <wp:docPr id="1073741827" name="officeArt object" descr="Screenshot 2026-05-13 at 4.01.29 PM.png"/>
            <wp:cNvGraphicFramePr/>
            <a:graphic xmlns:a="http://schemas.openxmlformats.org/drawingml/2006/main">
              <a:graphicData uri="http://schemas.openxmlformats.org/drawingml/2006/picture">
                <pic:pic xmlns:pic="http://schemas.openxmlformats.org/drawingml/2006/picture">
                  <pic:nvPicPr>
                    <pic:cNvPr id="1073741827" name="Screenshot 2026-05-13 at 4.01.29 PM.png" descr="Screenshot 2026-05-13 at 4.01.29 PM.png"/>
                    <pic:cNvPicPr>
                      <a:picLocks noChangeAspect="1"/>
                    </pic:cNvPicPr>
                  </pic:nvPicPr>
                  <pic:blipFill>
                    <a:blip r:embed="rId6">
                      <a:extLst/>
                    </a:blip>
                    <a:stretch>
                      <a:fillRect/>
                    </a:stretch>
                  </pic:blipFill>
                  <pic:spPr>
                    <a:xfrm>
                      <a:off x="0" y="0"/>
                      <a:ext cx="4464654" cy="2552466"/>
                    </a:xfrm>
                    <a:prstGeom prst="rect">
                      <a:avLst/>
                    </a:prstGeom>
                    <a:ln w="9525" cap="flat">
                      <a:solidFill>
                        <a:srgbClr val="929292"/>
                      </a:solidFill>
                      <a:prstDash val="solid"/>
                      <a:miter lim="400000"/>
                    </a:ln>
                    <a:effectLst/>
                  </pic:spPr>
                </pic:pic>
              </a:graphicData>
            </a:graphic>
          </wp:anchor>
        </w:drawing>
      </w:r>
      <w:r>
        <w:rPr>
          <w:rStyle w:val="None"/>
          <w:rFonts w:ascii="Times New Roman" w:hAnsi="Times New Roman"/>
          <w:rtl w:val="0"/>
          <w:lang w:val="it-IT"/>
        </w:rPr>
        <w:t xml:space="preserve"> percentiles.</w:t>
      </w: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Pr>
      </w:pPr>
      <w:r>
        <w:rPr>
          <w:rStyle w:val="None"/>
          <w:rFonts w:ascii="Times New Roman" w:hAnsi="Times New Roman"/>
          <w:b w:val="1"/>
          <w:bCs w:val="1"/>
          <w:rtl w:val="0"/>
          <w:lang w:val="en-US"/>
        </w:rPr>
        <w:t>Fig. 3.</w:t>
      </w:r>
      <w:r>
        <w:rPr>
          <w:rStyle w:val="Hyperlink.0"/>
          <w:rtl w:val="0"/>
          <w:lang w:val="en-US"/>
        </w:rPr>
        <w:t xml:space="preserve"> Oracle engine response latency distribution across invocation percentiles (n=200). Average: 340 ms; p95: 580 ms.</w:t>
      </w:r>
    </w:p>
    <w:p>
      <w:pPr>
        <w:pStyle w:val="Default"/>
        <w:suppressAutoHyphens w:val="1"/>
        <w:spacing w:before="0" w:after="240" w:line="240" w:lineRule="auto"/>
        <w:rPr>
          <w:rStyle w:val="Hyperlink.0"/>
        </w:rPr>
      </w:pPr>
      <w:r>
        <w:rPr>
          <w:rStyle w:val="Hyperlink.0"/>
          <w:rtl w:val="0"/>
          <w:lang w:val="en-US"/>
        </w:rPr>
        <w:t>The tail latency is attributed to DuckDuckGo rate-limiting and network variability on the testnet environment.</w:t>
      </w: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7.2 Hype Score Distribution</w:t>
      </w:r>
    </w:p>
    <w:p>
      <w:pPr>
        <w:pStyle w:val="Default"/>
        <w:suppressAutoHyphens w:val="1"/>
        <w:spacing w:before="0" w:after="240" w:line="240" w:lineRule="auto"/>
        <w:jc w:val="both"/>
        <w:rPr>
          <w:rStyle w:val="Hyperlink.0"/>
        </w:rPr>
      </w:pPr>
      <w:r>
        <w:rPr>
          <w:rStyle w:val="Hyperlink.0"/>
          <w:rtl w:val="0"/>
          <w:lang w:val="en-US"/>
        </w:rPr>
        <w:t>Figure 4 presents the observed Hype Score distribution across 200 oracle invocations. The approximately normal spread reflects genuine variation in web activity across different asset tickers at different times, with the $\varepsilon$ flux contributing a bounded perturbation. No AUC or precision/recall metrics are reported as the oracle engine is not a classifier.</w:t>
      </w:r>
      <w:r>
        <w:rPr>
          <w:rStyle w:val="Hyperlink.0"/>
        </w:rPr>
        <w:drawing xmlns:a="http://schemas.openxmlformats.org/drawingml/2006/main">
          <wp:anchor distT="114300" distB="114300" distL="114300" distR="114300" simplePos="0" relativeHeight="251662336" behindDoc="0" locked="0" layoutInCell="1" allowOverlap="1">
            <wp:simplePos x="0" y="0"/>
            <wp:positionH relativeFrom="margin">
              <wp:posOffset>827702</wp:posOffset>
            </wp:positionH>
            <wp:positionV relativeFrom="line">
              <wp:posOffset>406904</wp:posOffset>
            </wp:positionV>
            <wp:extent cx="4464652" cy="2999553"/>
            <wp:effectExtent l="0" t="0" r="0" b="0"/>
            <wp:wrapThrough wrapText="bothSides" distL="114300" distR="114300">
              <wp:wrapPolygon edited="1">
                <wp:start x="-23" y="-34"/>
                <wp:lineTo x="-23" y="0"/>
                <wp:lineTo x="-23" y="21600"/>
                <wp:lineTo x="-23" y="21634"/>
                <wp:lineTo x="0" y="21634"/>
                <wp:lineTo x="21601" y="21634"/>
                <wp:lineTo x="21624" y="21634"/>
                <wp:lineTo x="21624" y="21600"/>
                <wp:lineTo x="21624" y="0"/>
                <wp:lineTo x="21624" y="-34"/>
                <wp:lineTo x="21601" y="-34"/>
                <wp:lineTo x="0" y="-34"/>
                <wp:lineTo x="-23" y="-34"/>
              </wp:wrapPolygon>
            </wp:wrapThrough>
            <wp:docPr id="1073741828" name="officeArt object" descr="Screenshot 2026-05-13 at 4.02.15 PM.png"/>
            <wp:cNvGraphicFramePr/>
            <a:graphic xmlns:a="http://schemas.openxmlformats.org/drawingml/2006/main">
              <a:graphicData uri="http://schemas.openxmlformats.org/drawingml/2006/picture">
                <pic:pic xmlns:pic="http://schemas.openxmlformats.org/drawingml/2006/picture">
                  <pic:nvPicPr>
                    <pic:cNvPr id="1073741828" name="Screenshot 2026-05-13 at 4.02.15 PM.png" descr="Screenshot 2026-05-13 at 4.02.15 PM.png"/>
                    <pic:cNvPicPr>
                      <a:picLocks noChangeAspect="1"/>
                    </pic:cNvPicPr>
                  </pic:nvPicPr>
                  <pic:blipFill>
                    <a:blip r:embed="rId7">
                      <a:extLst/>
                    </a:blip>
                    <a:stretch>
                      <a:fillRect/>
                    </a:stretch>
                  </pic:blipFill>
                  <pic:spPr>
                    <a:xfrm>
                      <a:off x="0" y="0"/>
                      <a:ext cx="4464652" cy="2999553"/>
                    </a:xfrm>
                    <a:prstGeom prst="rect">
                      <a:avLst/>
                    </a:prstGeom>
                    <a:ln w="9525" cap="flat">
                      <a:solidFill>
                        <a:srgbClr val="929292"/>
                      </a:solidFill>
                      <a:prstDash val="solid"/>
                      <a:miter lim="400000"/>
                    </a:ln>
                    <a:effectLst/>
                  </pic:spPr>
                </pic:pic>
              </a:graphicData>
            </a:graphic>
          </wp:anchor>
        </w:drawing>
      </w:r>
    </w:p>
    <w:p>
      <w:pPr>
        <w:pStyle w:val="Default"/>
        <w:suppressAutoHyphens w:val="1"/>
        <w:spacing w:before="0" w:after="240" w:line="240" w:lineRule="auto"/>
        <w:rPr>
          <w:rStyle w:val="None"/>
          <w:rFonts w:ascii="Times New Roman" w:cs="Times New Roman" w:hAnsi="Times New Roman" w:eastAsia="Times New Roman"/>
          <w:i w:val="1"/>
          <w:iCs w:val="1"/>
        </w:rPr>
      </w:pPr>
    </w:p>
    <w:p>
      <w:pPr>
        <w:pStyle w:val="Default"/>
        <w:suppressAutoHyphens w:val="1"/>
        <w:spacing w:before="0" w:after="240" w:line="240" w:lineRule="auto"/>
        <w:rPr>
          <w:rStyle w:val="None"/>
          <w:rFonts w:ascii="Times New Roman" w:cs="Times New Roman" w:hAnsi="Times New Roman" w:eastAsia="Times New Roman"/>
          <w:i w:val="1"/>
          <w:iCs w:val="1"/>
        </w:rPr>
      </w:pPr>
    </w:p>
    <w:p>
      <w:pPr>
        <w:pStyle w:val="Default"/>
        <w:suppressAutoHyphens w:val="1"/>
        <w:spacing w:before="0" w:after="240" w:line="240" w:lineRule="auto"/>
        <w:rPr>
          <w:rStyle w:val="None"/>
          <w:rFonts w:ascii="Times New Roman" w:cs="Times New Roman" w:hAnsi="Times New Roman" w:eastAsia="Times New Roman"/>
          <w:i w:val="1"/>
          <w:iCs w:val="1"/>
        </w:rPr>
      </w:pPr>
    </w:p>
    <w:p>
      <w:pPr>
        <w:pStyle w:val="Default"/>
        <w:suppressAutoHyphens w:val="1"/>
        <w:spacing w:before="0" w:after="240" w:line="240" w:lineRule="auto"/>
        <w:rPr>
          <w:rStyle w:val="None"/>
          <w:rFonts w:ascii="Times New Roman" w:cs="Times New Roman" w:hAnsi="Times New Roman" w:eastAsia="Times New Roman"/>
          <w:i w:val="1"/>
          <w:iCs w:val="1"/>
        </w:rPr>
      </w:pPr>
    </w:p>
    <w:p>
      <w:pPr>
        <w:pStyle w:val="Default"/>
        <w:suppressAutoHyphens w:val="1"/>
        <w:spacing w:before="0" w:after="240" w:line="240" w:lineRule="auto"/>
        <w:rPr>
          <w:rStyle w:val="None"/>
          <w:rFonts w:ascii="Times New Roman" w:cs="Times New Roman" w:hAnsi="Times New Roman" w:eastAsia="Times New Roman"/>
          <w:i w:val="1"/>
          <w:iCs w:val="1"/>
        </w:rPr>
      </w:pPr>
    </w:p>
    <w:p>
      <w:pPr>
        <w:pStyle w:val="Default"/>
        <w:suppressAutoHyphens w:val="1"/>
        <w:spacing w:before="0" w:after="240" w:line="240" w:lineRule="auto"/>
        <w:rPr>
          <w:rStyle w:val="None"/>
          <w:rFonts w:ascii="Times New Roman" w:cs="Times New Roman" w:hAnsi="Times New Roman" w:eastAsia="Times New Roman"/>
          <w:i w:val="1"/>
          <w:iCs w:val="1"/>
        </w:rPr>
      </w:pPr>
    </w:p>
    <w:p>
      <w:pPr>
        <w:pStyle w:val="Default"/>
        <w:suppressAutoHyphens w:val="1"/>
        <w:spacing w:before="0" w:after="240" w:line="240" w:lineRule="auto"/>
        <w:rPr>
          <w:rStyle w:val="Hyperlink.0"/>
        </w:rPr>
      </w:pPr>
    </w:p>
    <w:p>
      <w:pPr>
        <w:pStyle w:val="Default"/>
        <w:suppressAutoHyphens w:val="1"/>
        <w:spacing w:before="0" w:after="240" w:line="240" w:lineRule="auto"/>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Pr>
      </w:pPr>
      <w:r>
        <w:rPr>
          <w:rStyle w:val="None"/>
          <w:rFonts w:ascii="Times New Roman" w:hAnsi="Times New Roman"/>
          <w:b w:val="1"/>
          <w:bCs w:val="1"/>
          <w:rtl w:val="0"/>
          <w:lang w:val="en-US"/>
        </w:rPr>
        <w:t>Fig. 4.</w:t>
      </w:r>
      <w:r>
        <w:rPr>
          <w:rStyle w:val="Hyperlink.0"/>
          <w:rtl w:val="0"/>
          <w:lang w:val="en-US"/>
        </w:rPr>
        <w:t xml:space="preserve"> Hype Score frequency distribution across 200 oracle invocations. Mean = 23.4, </w:t>
      </w:r>
      <w:r>
        <w:rPr>
          <w:rStyle w:val="Hyperlink.0"/>
          <w:rtl w:val="0"/>
          <w:lang w:val="en-US"/>
        </w:rPr>
        <w:t xml:space="preserve">σ </w:t>
      </w:r>
      <w:r>
        <w:rPr>
          <w:rStyle w:val="Hyperlink.0"/>
          <w:rtl w:val="0"/>
          <w:lang w:val="en-US"/>
        </w:rPr>
        <w:t>= 8.1.</w:t>
      </w: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7.3 Contract Transaction Validation Summary</w:t>
      </w:r>
    </w:p>
    <w:p>
      <w:pPr>
        <w:pStyle w:val="Default"/>
        <w:suppressAutoHyphens w:val="1"/>
        <w:spacing w:before="0" w:after="240" w:line="240" w:lineRule="auto"/>
        <w:jc w:val="both"/>
        <w:rPr>
          <w:rStyle w:val="Hyperlink.0"/>
        </w:rPr>
      </w:pPr>
      <w:r>
        <w:rPr>
          <w:rStyle w:val="Hyperlink.0"/>
          <w:rtl w:val="0"/>
          <w:lang w:val="en-US"/>
        </w:rPr>
        <w:t>A total of 120 structured transactions were submitted across all six mechanisms. Figure 5 presents a consolidated bar chart of valid versus adversarial transaction outcomes by contract mechanism.</w:t>
      </w:r>
      <w:r>
        <w:rPr>
          <w:rStyle w:val="Hyperlink.0"/>
        </w:rPr>
        <w:drawing xmlns:a="http://schemas.openxmlformats.org/drawingml/2006/main">
          <wp:anchor distT="0" distB="0" distL="0" distR="0" simplePos="0" relativeHeight="251663360" behindDoc="0" locked="0" layoutInCell="1" allowOverlap="1">
            <wp:simplePos x="0" y="0"/>
            <wp:positionH relativeFrom="margin">
              <wp:posOffset>301619</wp:posOffset>
            </wp:positionH>
            <wp:positionV relativeFrom="line">
              <wp:posOffset>427064</wp:posOffset>
            </wp:positionV>
            <wp:extent cx="5516818" cy="3108683"/>
            <wp:effectExtent l="0" t="0" r="0" b="0"/>
            <wp:wrapThrough wrapText="bothSides" distL="0" distR="0">
              <wp:wrapPolygon edited="1">
                <wp:start x="-19" y="-33"/>
                <wp:lineTo x="-19" y="0"/>
                <wp:lineTo x="-19" y="21600"/>
                <wp:lineTo x="-19" y="21633"/>
                <wp:lineTo x="0" y="21633"/>
                <wp:lineTo x="21601" y="21633"/>
                <wp:lineTo x="21619" y="21633"/>
                <wp:lineTo x="21619" y="21600"/>
                <wp:lineTo x="21619" y="0"/>
                <wp:lineTo x="21619" y="-33"/>
                <wp:lineTo x="21601" y="-33"/>
                <wp:lineTo x="0" y="-33"/>
                <wp:lineTo x="-19" y="-33"/>
              </wp:wrapPolygon>
            </wp:wrapThrough>
            <wp:docPr id="1073741829" name="officeArt object" descr="Screenshot 2026-05-13 at 4.03.16 PM.png"/>
            <wp:cNvGraphicFramePr/>
            <a:graphic xmlns:a="http://schemas.openxmlformats.org/drawingml/2006/main">
              <a:graphicData uri="http://schemas.openxmlformats.org/drawingml/2006/picture">
                <pic:pic xmlns:pic="http://schemas.openxmlformats.org/drawingml/2006/picture">
                  <pic:nvPicPr>
                    <pic:cNvPr id="1073741829" name="Screenshot 2026-05-13 at 4.03.16 PM.png" descr="Screenshot 2026-05-13 at 4.03.16 PM.png"/>
                    <pic:cNvPicPr>
                      <a:picLocks noChangeAspect="1"/>
                    </pic:cNvPicPr>
                  </pic:nvPicPr>
                  <pic:blipFill>
                    <a:blip r:embed="rId8">
                      <a:extLst/>
                    </a:blip>
                    <a:stretch>
                      <a:fillRect/>
                    </a:stretch>
                  </pic:blipFill>
                  <pic:spPr>
                    <a:xfrm>
                      <a:off x="0" y="0"/>
                      <a:ext cx="5516818" cy="3108683"/>
                    </a:xfrm>
                    <a:prstGeom prst="rect">
                      <a:avLst/>
                    </a:prstGeom>
                    <a:ln w="9525" cap="flat">
                      <a:solidFill>
                        <a:srgbClr val="929292"/>
                      </a:solidFill>
                      <a:prstDash val="solid"/>
                      <a:miter lim="400000"/>
                    </a:ln>
                    <a:effectLst/>
                  </pic:spPr>
                </pic:pic>
              </a:graphicData>
            </a:graphic>
          </wp:anchor>
        </w:drawing>
      </w:r>
    </w:p>
    <w:p>
      <w:pPr>
        <w:pStyle w:val="Default"/>
        <w:suppressAutoHyphens w:val="1"/>
        <w:spacing w:before="0" w:after="240" w:line="240" w:lineRule="auto"/>
        <w:jc w:val="both"/>
        <w:rPr>
          <w:rStyle w:val="Hyperlink.0"/>
          <w:rFonts w:ascii="Times New Roman" w:cs="Times New Roman" w:hAnsi="Times New Roman" w:eastAsia="Times New Roman"/>
        </w:rPr>
      </w:pPr>
    </w:p>
    <w:p>
      <w:pPr>
        <w:pStyle w:val="Default"/>
        <w:suppressAutoHyphens w:val="1"/>
        <w:spacing w:before="0" w:after="240" w:line="240" w:lineRule="auto"/>
        <w:jc w:val="both"/>
        <w:rPr>
          <w:rStyle w:val="Hyperlink.0"/>
          <w:rFonts w:ascii="Times New Roman" w:cs="Times New Roman" w:hAnsi="Times New Roman" w:eastAsia="Times New Roman"/>
        </w:rPr>
      </w:pPr>
    </w:p>
    <w:p>
      <w:pPr>
        <w:pStyle w:val="Default"/>
        <w:suppressAutoHyphens w:val="1"/>
        <w:spacing w:before="0" w:after="240" w:line="240" w:lineRule="auto"/>
        <w:jc w:val="both"/>
        <w:rPr>
          <w:rStyle w:val="Hyperlink.0"/>
          <w:rFonts w:ascii="Times New Roman" w:cs="Times New Roman" w:hAnsi="Times New Roman" w:eastAsia="Times New Roman"/>
        </w:rPr>
      </w:pPr>
    </w:p>
    <w:p>
      <w:pPr>
        <w:pStyle w:val="Default"/>
        <w:suppressAutoHyphens w:val="1"/>
        <w:spacing w:before="0" w:after="240" w:line="240" w:lineRule="auto"/>
        <w:jc w:val="both"/>
        <w:rPr>
          <w:rStyle w:val="Hyperlink.0"/>
          <w:rFonts w:ascii="Times New Roman" w:cs="Times New Roman" w:hAnsi="Times New Roman" w:eastAsia="Times New Roman"/>
        </w:rPr>
      </w:pPr>
    </w:p>
    <w:p>
      <w:pPr>
        <w:pStyle w:val="Default"/>
        <w:suppressAutoHyphens w:val="1"/>
        <w:spacing w:before="0" w:after="240" w:line="240" w:lineRule="auto"/>
        <w:jc w:val="both"/>
        <w:rPr>
          <w:rStyle w:val="Hyperlink.0"/>
          <w:rFonts w:ascii="Times New Roman" w:cs="Times New Roman" w:hAnsi="Times New Roman" w:eastAsia="Times New Roman"/>
        </w:rPr>
      </w:pPr>
    </w:p>
    <w:p>
      <w:pPr>
        <w:pStyle w:val="Default"/>
        <w:suppressAutoHyphens w:val="1"/>
        <w:spacing w:before="0" w:after="240" w:line="240" w:lineRule="auto"/>
        <w:jc w:val="both"/>
        <w:rPr>
          <w:rStyle w:val="Hyperlink.0"/>
          <w:rFonts w:ascii="Times New Roman" w:cs="Times New Roman" w:hAnsi="Times New Roman" w:eastAsia="Times New Roman"/>
        </w:rPr>
      </w:pPr>
    </w:p>
    <w:p>
      <w:pPr>
        <w:pStyle w:val="Default"/>
        <w:suppressAutoHyphens w:val="1"/>
        <w:spacing w:before="0" w:after="240" w:line="240" w:lineRule="auto"/>
        <w:jc w:val="both"/>
        <w:rPr>
          <w:rStyle w:val="Hyperlink.0"/>
          <w:rFonts w:ascii="Times New Roman" w:cs="Times New Roman" w:hAnsi="Times New Roman" w:eastAsia="Times New Roman"/>
        </w:rPr>
      </w:pPr>
    </w:p>
    <w:p>
      <w:pPr>
        <w:pStyle w:val="Default"/>
        <w:suppressAutoHyphens w:val="1"/>
        <w:spacing w:before="0" w:after="240" w:line="240" w:lineRule="auto"/>
        <w:jc w:val="both"/>
        <w:rPr>
          <w:rStyle w:val="Hyperlink.0"/>
          <w:rFonts w:ascii="Times New Roman" w:cs="Times New Roman" w:hAnsi="Times New Roman" w:eastAsia="Times New Roman"/>
        </w:rPr>
      </w:pPr>
    </w:p>
    <w:p>
      <w:pPr>
        <w:pStyle w:val="Default"/>
        <w:suppressAutoHyphens w:val="1"/>
        <w:spacing w:before="0" w:after="240" w:line="240" w:lineRule="auto"/>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Pr>
      </w:pPr>
    </w:p>
    <w:p>
      <w:pPr>
        <w:pStyle w:val="Default"/>
        <w:suppressAutoHyphens w:val="1"/>
        <w:spacing w:before="0" w:after="240" w:line="240" w:lineRule="auto"/>
        <w:jc w:val="center"/>
        <w:rPr>
          <w:rStyle w:val="Hyperlink.0"/>
        </w:rPr>
      </w:pPr>
    </w:p>
    <w:p>
      <w:pPr>
        <w:pStyle w:val="Default"/>
        <w:suppressAutoHyphens w:val="1"/>
        <w:spacing w:before="0" w:after="240" w:line="240" w:lineRule="auto"/>
        <w:jc w:val="center"/>
        <w:rPr>
          <w:rStyle w:val="Hyperlink.0"/>
        </w:rPr>
      </w:pPr>
      <w:r>
        <w:rPr>
          <w:rStyle w:val="None"/>
          <w:rFonts w:ascii="Times New Roman" w:hAnsi="Times New Roman"/>
          <w:b w:val="1"/>
          <w:bCs w:val="1"/>
          <w:rtl w:val="0"/>
          <w:lang w:val="en-US"/>
        </w:rPr>
        <w:t>Fig. 5.</w:t>
      </w:r>
      <w:r>
        <w:rPr>
          <w:rStyle w:val="Hyperlink.0"/>
          <w:rtl w:val="0"/>
          <w:lang w:val="en-US"/>
        </w:rPr>
        <w:t xml:space="preserve"> Consolidated contract validation results across six on-chain mechanisms.</w:t>
      </w:r>
    </w:p>
    <w:tbl>
      <w:tblPr>
        <w:tblW w:w="8980"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3850"/>
        <w:gridCol w:w="1528"/>
        <w:gridCol w:w="3602"/>
      </w:tblGrid>
      <w:tr>
        <w:tblPrEx>
          <w:shd w:val="clear" w:color="auto" w:fill="cadfff"/>
        </w:tblPrEx>
        <w:trPr>
          <w:trHeight w:val="245" w:hRule="atLeast"/>
        </w:trPr>
        <w:tc>
          <w:tcPr>
            <w:tcW w:type="dxa" w:w="38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hd w:val="nil" w:color="auto" w:fill="auto"/>
                <w:rtl w:val="0"/>
                <w:lang w:val="it-IT"/>
              </w:rPr>
              <w:t>Metric</w:t>
            </w:r>
          </w:p>
        </w:tc>
        <w:tc>
          <w:tcPr>
            <w:tcW w:type="dxa" w:w="15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hd w:val="nil" w:color="auto" w:fill="auto"/>
                <w:rtl w:val="0"/>
              </w:rPr>
              <w:t>Value</w:t>
            </w:r>
          </w:p>
        </w:tc>
        <w:tc>
          <w:tcPr>
            <w:tcW w:type="dxa" w:w="3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hd w:val="nil" w:color="auto" w:fill="auto"/>
                <w:rtl w:val="0"/>
                <w:lang w:val="fr-FR"/>
              </w:rPr>
              <w:t>Condition</w:t>
            </w:r>
          </w:p>
        </w:tc>
      </w:tr>
      <w:tr>
        <w:tblPrEx>
          <w:shd w:val="clear" w:color="auto" w:fill="cadfff"/>
        </w:tblPrEx>
        <w:trPr>
          <w:trHeight w:val="245" w:hRule="atLeast"/>
        </w:trPr>
        <w:tc>
          <w:tcPr>
            <w:tcW w:type="dxa" w:w="38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Total testnet transactions submitted</w:t>
            </w:r>
          </w:p>
        </w:tc>
        <w:tc>
          <w:tcPr>
            <w:tcW w:type="dxa" w:w="15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rPr>
              <w:t>120</w:t>
            </w:r>
          </w:p>
        </w:tc>
        <w:tc>
          <w:tcPr>
            <w:tcW w:type="dxa" w:w="3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All 6 contract mechanisms</w:t>
            </w:r>
          </w:p>
        </w:tc>
      </w:tr>
      <w:tr>
        <w:tblPrEx>
          <w:shd w:val="clear" w:color="auto" w:fill="cadfff"/>
        </w:tblPrEx>
        <w:trPr>
          <w:trHeight w:val="245" w:hRule="atLeast"/>
        </w:trPr>
        <w:tc>
          <w:tcPr>
            <w:tcW w:type="dxa" w:w="38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Oracle Validator acceptance rate</w:t>
            </w:r>
          </w:p>
        </w:tc>
        <w:tc>
          <w:tcPr>
            <w:tcW w:type="dxa" w:w="15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rPr>
              <w:t>100% (20/20)</w:t>
            </w:r>
          </w:p>
        </w:tc>
        <w:tc>
          <w:tcPr>
            <w:tcW w:type="dxa" w:w="3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Valid inputs</w:t>
            </w:r>
          </w:p>
        </w:tc>
      </w:tr>
      <w:tr>
        <w:tblPrEx>
          <w:shd w:val="clear" w:color="auto" w:fill="cadfff"/>
        </w:tblPrEx>
        <w:trPr>
          <w:trHeight w:val="245" w:hRule="atLeast"/>
        </w:trPr>
        <w:tc>
          <w:tcPr>
            <w:tcW w:type="dxa" w:w="38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Oracle Validator rejection rate</w:t>
            </w:r>
          </w:p>
        </w:tc>
        <w:tc>
          <w:tcPr>
            <w:tcW w:type="dxa" w:w="15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rPr>
              <w:t>100% (15/15)</w:t>
            </w:r>
          </w:p>
        </w:tc>
        <w:tc>
          <w:tcPr>
            <w:tcW w:type="dxa" w:w="3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it-IT"/>
              </w:rPr>
              <w:t>Adversarial inputs</w:t>
            </w:r>
          </w:p>
        </w:tc>
      </w:tr>
      <w:tr>
        <w:tblPrEx>
          <w:shd w:val="clear" w:color="auto" w:fill="cadfff"/>
        </w:tblPrEx>
        <w:trPr>
          <w:trHeight w:val="245" w:hRule="atLeast"/>
        </w:trPr>
        <w:tc>
          <w:tcPr>
            <w:tcW w:type="dxa" w:w="38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Treasury Reserve invariant holds</w:t>
            </w:r>
          </w:p>
        </w:tc>
        <w:tc>
          <w:tcPr>
            <w:tcW w:type="dxa" w:w="15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rPr>
              <w:t>100% (25/25)</w:t>
            </w:r>
          </w:p>
        </w:tc>
        <w:tc>
          <w:tcPr>
            <w:tcW w:type="dxa" w:w="3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Including 3 boundary edge cases</w:t>
            </w:r>
          </w:p>
        </w:tc>
      </w:tr>
      <w:tr>
        <w:tblPrEx>
          <w:shd w:val="clear" w:color="auto" w:fill="cadfff"/>
        </w:tblPrEx>
        <w:trPr>
          <w:trHeight w:val="245" w:hRule="atLeast"/>
        </w:trPr>
        <w:tc>
          <w:tcPr>
            <w:tcW w:type="dxa" w:w="38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de-DE"/>
              </w:rPr>
              <w:t>Anti-Arbitrage block rate</w:t>
            </w:r>
          </w:p>
        </w:tc>
        <w:tc>
          <w:tcPr>
            <w:tcW w:type="dxa" w:w="15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rPr>
              <w:t>100% (12/12)</w:t>
            </w:r>
          </w:p>
        </w:tc>
        <w:tc>
          <w:tcPr>
            <w:tcW w:type="dxa" w:w="3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Oversized position attempts</w:t>
            </w:r>
          </w:p>
        </w:tc>
      </w:tr>
      <w:tr>
        <w:tblPrEx>
          <w:shd w:val="clear" w:color="auto" w:fill="cadfff"/>
        </w:tblPrEx>
        <w:trPr>
          <w:trHeight w:val="245" w:hRule="atLeast"/>
        </w:trPr>
        <w:tc>
          <w:tcPr>
            <w:tcW w:type="dxa" w:w="38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Crash-Refund payout accuracy</w:t>
            </w:r>
          </w:p>
        </w:tc>
        <w:tc>
          <w:tcPr>
            <w:tcW w:type="dxa" w:w="15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rPr>
              <w:t>100% (18/18)</w:t>
            </w:r>
          </w:p>
        </w:tc>
        <w:tc>
          <w:tcPr>
            <w:tcW w:type="dxa" w:w="3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Zero payout errors</w:t>
            </w:r>
          </w:p>
        </w:tc>
      </w:tr>
      <w:tr>
        <w:tblPrEx>
          <w:shd w:val="clear" w:color="auto" w:fill="cadfff"/>
        </w:tblPrEx>
        <w:trPr>
          <w:trHeight w:val="245" w:hRule="atLeast"/>
        </w:trPr>
        <w:tc>
          <w:tcPr>
            <w:tcW w:type="dxa" w:w="38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Average oracle response latency</w:t>
            </w:r>
          </w:p>
        </w:tc>
        <w:tc>
          <w:tcPr>
            <w:tcW w:type="dxa" w:w="15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rPr>
              <w:t>340 ms</w:t>
            </w:r>
          </w:p>
        </w:tc>
        <w:tc>
          <w:tcPr>
            <w:tcW w:type="dxa" w:w="3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200 invocations, 10 tickers</w:t>
            </w:r>
          </w:p>
        </w:tc>
      </w:tr>
      <w:tr>
        <w:tblPrEx>
          <w:shd w:val="clear" w:color="auto" w:fill="cadfff"/>
        </w:tblPrEx>
        <w:trPr>
          <w:trHeight w:val="245" w:hRule="atLeast"/>
        </w:trPr>
        <w:tc>
          <w:tcPr>
            <w:tcW w:type="dxa" w:w="38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p95 oracle response latency</w:t>
            </w:r>
          </w:p>
        </w:tc>
        <w:tc>
          <w:tcPr>
            <w:tcW w:type="dxa" w:w="15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rPr>
              <w:t>580 ms</w:t>
            </w:r>
          </w:p>
        </w:tc>
        <w:tc>
          <w:tcPr>
            <w:tcW w:type="dxa" w:w="3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fr-FR"/>
              </w:rPr>
              <w:t>200 invocations</w:t>
            </w:r>
          </w:p>
        </w:tc>
      </w:tr>
      <w:tr>
        <w:tblPrEx>
          <w:shd w:val="clear" w:color="auto" w:fill="cadfff"/>
        </w:tblPrEx>
        <w:trPr>
          <w:trHeight w:val="245" w:hRule="atLeast"/>
        </w:trPr>
        <w:tc>
          <w:tcPr>
            <w:tcW w:type="dxa" w:w="38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Hype Score mean (observed)</w:t>
            </w:r>
          </w:p>
        </w:tc>
        <w:tc>
          <w:tcPr>
            <w:tcW w:type="dxa" w:w="15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rPr>
              <w:t>23.4 (</w:t>
            </w:r>
            <w:r>
              <w:rPr>
                <w:rStyle w:val="None"/>
                <w:rFonts w:ascii="Times New Roman" w:hAnsi="Times New Roman" w:hint="default"/>
                <w:shd w:val="nil" w:color="auto" w:fill="auto"/>
                <w:rtl w:val="0"/>
              </w:rPr>
              <w:t xml:space="preserve">σ </w:t>
            </w:r>
            <w:r>
              <w:rPr>
                <w:rStyle w:val="None"/>
                <w:rFonts w:ascii="Times New Roman" w:hAnsi="Times New Roman"/>
                <w:shd w:val="nil" w:color="auto" w:fill="auto"/>
                <w:rtl w:val="0"/>
              </w:rPr>
              <w:t>= 8.1)</w:t>
            </w:r>
          </w:p>
        </w:tc>
        <w:tc>
          <w:tcPr>
            <w:tcW w:type="dxa" w:w="3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Score range [8, 47]</w:t>
            </w:r>
          </w:p>
        </w:tc>
      </w:tr>
      <w:tr>
        <w:tblPrEx>
          <w:shd w:val="clear" w:color="auto" w:fill="cadfff"/>
        </w:tblPrEx>
        <w:trPr>
          <w:trHeight w:val="245" w:hRule="atLeast"/>
        </w:trPr>
        <w:tc>
          <w:tcPr>
            <w:tcW w:type="dxa" w:w="38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Shield NFT Retail mint confirmation</w:t>
            </w:r>
          </w:p>
        </w:tc>
        <w:tc>
          <w:tcPr>
            <w:tcW w:type="dxa" w:w="15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~20 seconds</w:t>
            </w:r>
          </w:p>
        </w:tc>
        <w:tc>
          <w:tcPr>
            <w:tcW w:type="dxa" w:w="3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it-IT"/>
              </w:rPr>
              <w:t>Cardano preprod network</w:t>
            </w:r>
          </w:p>
        </w:tc>
      </w:tr>
    </w:tbl>
    <w:p>
      <w:pPr>
        <w:pStyle w:val="Default"/>
        <w:widowControl w:val="0"/>
        <w:suppressAutoHyphens w:val="1"/>
        <w:spacing w:before="0" w:after="240" w:line="240" w:lineRule="auto"/>
        <w:ind w:left="108" w:hanging="108"/>
        <w:jc w:val="center"/>
        <w:rPr>
          <w:rStyle w:val="Hyperlink.0"/>
          <w:rFonts w:ascii="Times New Roman" w:cs="Times New Roman" w:hAnsi="Times New Roman" w:eastAsia="Times New Roman"/>
        </w:rPr>
      </w:pPr>
    </w:p>
    <w:p>
      <w:pPr>
        <w:pStyle w:val="Default"/>
        <w:suppressAutoHyphens w:val="1"/>
        <w:spacing w:before="0" w:after="240" w:line="240" w:lineRule="auto"/>
        <w:jc w:val="center"/>
        <w:rPr>
          <w:rStyle w:val="Hyperlink.0"/>
        </w:rPr>
      </w:pPr>
      <w:r>
        <w:rPr>
          <w:rStyle w:val="None"/>
          <w:rFonts w:ascii="Times New Roman" w:hAnsi="Times New Roman"/>
          <w:b w:val="1"/>
          <w:bCs w:val="1"/>
          <w:rtl w:val="0"/>
          <w:lang w:val="en-US"/>
        </w:rPr>
        <w:t>Table 5.</w:t>
      </w:r>
      <w:r>
        <w:rPr>
          <w:rStyle w:val="None"/>
          <w:rFonts w:ascii="Times New Roman" w:hAnsi="Times New Roman"/>
          <w:rtl w:val="0"/>
          <w:lang w:val="it-IT"/>
        </w:rPr>
        <w:t xml:space="preserve"> Quantitative Performance Metrics Summ</w:t>
      </w:r>
      <w:r>
        <w:rPr>
          <w:rStyle w:val="None"/>
          <w:rFonts w:ascii="Times New Roman" w:hAnsi="Times New Roman"/>
          <w:rtl w:val="0"/>
          <w:lang w:val="en-US"/>
        </w:rPr>
        <w:t>ary.</w:t>
      </w:r>
    </w:p>
    <w:p>
      <w:pPr>
        <w:pStyle w:val="Default"/>
        <w:suppressAutoHyphens w:val="1"/>
        <w:spacing w:before="0" w:after="240" w:line="240" w:lineRule="auto"/>
        <w:rPr>
          <w:rStyle w:val="None"/>
          <w:rFonts w:ascii="Times New Roman" w:cs="Times New Roman" w:hAnsi="Times New Roman" w:eastAsia="Times New Roman"/>
          <w:b w:val="1"/>
          <w:bCs w:val="1"/>
        </w:rPr>
      </w:pPr>
    </w:p>
    <w:p>
      <w:pPr>
        <w:pStyle w:val="Default"/>
        <w:suppressAutoHyphens w:val="1"/>
        <w:spacing w:before="0" w:after="240" w:line="240" w:lineRule="auto"/>
        <w:rPr>
          <w:rStyle w:val="None"/>
          <w:rFonts w:ascii="Times New Roman" w:cs="Times New Roman" w:hAnsi="Times New Roman" w:eastAsia="Times New Roman"/>
        </w:rPr>
      </w:pPr>
    </w:p>
    <w:p>
      <w:pPr>
        <w:pStyle w:val="Default"/>
        <w:suppressAutoHyphens w:val="1"/>
        <w:spacing w:before="0" w:after="240" w:line="240" w:lineRule="auto"/>
        <w:rPr>
          <w:rStyle w:val="None"/>
          <w:rFonts w:ascii="Times New Roman" w:cs="Times New Roman" w:hAnsi="Times New Roman" w:eastAsia="Times New Roman"/>
        </w:rPr>
      </w:pP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8. COMPARATIVE ANALYSIS</w:t>
      </w:r>
    </w:p>
    <w:p>
      <w:pPr>
        <w:pStyle w:val="Default"/>
        <w:suppressAutoHyphens w:val="1"/>
        <w:spacing w:before="0" w:after="240" w:line="240" w:lineRule="auto"/>
        <w:jc w:val="both"/>
        <w:rPr>
          <w:rStyle w:val="Hyperlink.0"/>
        </w:rPr>
      </w:pPr>
      <w:r>
        <w:rPr>
          <w:rStyle w:val="Hyperlink.0"/>
          <w:rtl w:val="0"/>
          <w:lang w:val="en-US"/>
        </w:rPr>
        <w:t>Table 6 benchmarks Sentiment Trading against three related systems from recent literature: the multi-layer AI oracle by Rohan and Ananda Babu [1], the AiRacleX oracle manipulation detection system [7], and Chainlink</w:t>
      </w:r>
      <w:r>
        <w:rPr>
          <w:rStyle w:val="Hyperlink.0"/>
          <w:rtl w:val="0"/>
          <w:lang w:val="en-US"/>
        </w:rPr>
        <w:t>—</w:t>
      </w:r>
      <w:r>
        <w:rPr>
          <w:rStyle w:val="Hyperlink.0"/>
          <w:rtl w:val="0"/>
          <w:lang w:val="en-US"/>
        </w:rPr>
        <w:t>the dominant production oracle network. Sentiment Trading intentionally occupies the PoC tier, providing full pipeline verification at low complexity cost.</w:t>
      </w:r>
    </w:p>
    <w:p>
      <w:pPr>
        <w:pStyle w:val="Default"/>
        <w:suppressAutoHyphens w:val="1"/>
        <w:spacing w:before="0" w:after="240" w:line="240" w:lineRule="auto"/>
        <w:jc w:val="center"/>
        <w:rPr>
          <w:rStyle w:val="Hyperlink.0"/>
        </w:rPr>
      </w:pPr>
      <w:r>
        <w:rPr>
          <w:rStyle w:val="None"/>
          <w:rFonts w:ascii="Times New Roman" w:hAnsi="Times New Roman"/>
          <w:b w:val="1"/>
          <w:bCs w:val="1"/>
          <w:rtl w:val="0"/>
          <w:lang w:val="en-US"/>
        </w:rPr>
        <w:t>Table 6.</w:t>
      </w:r>
      <w:r>
        <w:rPr>
          <w:rStyle w:val="Hyperlink.0"/>
          <w:rtl w:val="0"/>
          <w:lang w:val="en-US"/>
        </w:rPr>
        <w:t xml:space="preserve"> Comparative Analysis of Oracle Systems</w:t>
      </w:r>
      <w:r>
        <w:rPr>
          <w:rStyle w:val="Hyperlink.0"/>
        </w:rPr>
        <w:drawing xmlns:a="http://schemas.openxmlformats.org/drawingml/2006/main">
          <wp:anchor distT="152400" distB="152400" distL="152400" distR="152400" simplePos="0" relativeHeight="251664384" behindDoc="0" locked="0" layoutInCell="1" allowOverlap="1">
            <wp:simplePos x="0" y="0"/>
            <wp:positionH relativeFrom="margin">
              <wp:posOffset>1017848</wp:posOffset>
            </wp:positionH>
            <wp:positionV relativeFrom="line">
              <wp:posOffset>3771491</wp:posOffset>
            </wp:positionV>
            <wp:extent cx="3657457" cy="2940451"/>
            <wp:effectExtent l="0" t="0" r="0" b="0"/>
            <wp:wrapThrough wrapText="bothSides" distL="152400" distR="152400">
              <wp:wrapPolygon edited="1">
                <wp:start x="-28" y="-35"/>
                <wp:lineTo x="-28" y="0"/>
                <wp:lineTo x="-28" y="21600"/>
                <wp:lineTo x="-28" y="21635"/>
                <wp:lineTo x="0" y="21635"/>
                <wp:lineTo x="21601" y="21635"/>
                <wp:lineTo x="21629" y="21635"/>
                <wp:lineTo x="21629" y="21600"/>
                <wp:lineTo x="21629" y="0"/>
                <wp:lineTo x="21629" y="-35"/>
                <wp:lineTo x="21601" y="-35"/>
                <wp:lineTo x="0" y="-35"/>
                <wp:lineTo x="-28" y="-35"/>
              </wp:wrapPolygon>
            </wp:wrapThrough>
            <wp:docPr id="1073741830" name="officeArt object" descr="Screenshot 2026-05-13 at 4.06.04 PM.png"/>
            <wp:cNvGraphicFramePr/>
            <a:graphic xmlns:a="http://schemas.openxmlformats.org/drawingml/2006/main">
              <a:graphicData uri="http://schemas.openxmlformats.org/drawingml/2006/picture">
                <pic:pic xmlns:pic="http://schemas.openxmlformats.org/drawingml/2006/picture">
                  <pic:nvPicPr>
                    <pic:cNvPr id="1073741830" name="Screenshot 2026-05-13 at 4.06.04 PM.png" descr="Screenshot 2026-05-13 at 4.06.04 PM.png"/>
                    <pic:cNvPicPr>
                      <a:picLocks noChangeAspect="1"/>
                    </pic:cNvPicPr>
                  </pic:nvPicPr>
                  <pic:blipFill>
                    <a:blip r:embed="rId9">
                      <a:extLst/>
                    </a:blip>
                    <a:stretch>
                      <a:fillRect/>
                    </a:stretch>
                  </pic:blipFill>
                  <pic:spPr>
                    <a:xfrm>
                      <a:off x="0" y="0"/>
                      <a:ext cx="3657457" cy="2940451"/>
                    </a:xfrm>
                    <a:prstGeom prst="rect">
                      <a:avLst/>
                    </a:prstGeom>
                    <a:ln w="9525" cap="flat">
                      <a:solidFill>
                        <a:srgbClr val="929292"/>
                      </a:solidFill>
                      <a:prstDash val="solid"/>
                      <a:miter lim="400000"/>
                    </a:ln>
                    <a:effectLst/>
                  </pic:spPr>
                </pic:pic>
              </a:graphicData>
            </a:graphic>
          </wp:anchor>
        </w:drawing>
      </w:r>
    </w:p>
    <w:tbl>
      <w:tblPr>
        <w:tblW w:w="9638"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805"/>
        <w:gridCol w:w="2348"/>
        <w:gridCol w:w="2147"/>
        <w:gridCol w:w="1356"/>
        <w:gridCol w:w="1982"/>
      </w:tblGrid>
      <w:tr>
        <w:tblPrEx>
          <w:shd w:val="clear" w:color="auto" w:fill="cadfff"/>
        </w:tblPrEx>
        <w:trPr>
          <w:trHeight w:val="397" w:hRule="atLeast"/>
        </w:trPr>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z w:val="18"/>
                <w:szCs w:val="18"/>
                <w:shd w:val="nil" w:color="auto" w:fill="auto"/>
                <w:rtl w:val="0"/>
                <w:lang w:val="en-US"/>
              </w:rPr>
              <w:t>Feature</w:t>
            </w:r>
          </w:p>
        </w:tc>
        <w:tc>
          <w:tcPr>
            <w:tcW w:type="dxa" w:w="23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z w:val="18"/>
                <w:szCs w:val="18"/>
                <w:shd w:val="nil" w:color="auto" w:fill="auto"/>
                <w:rtl w:val="0"/>
                <w:lang w:val="en-US"/>
              </w:rPr>
              <w:t>Sentiment Trading (This Work)</w:t>
            </w:r>
          </w:p>
        </w:tc>
        <w:tc>
          <w:tcPr>
            <w:tcW w:type="dxa" w:w="21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z w:val="18"/>
                <w:szCs w:val="18"/>
                <w:shd w:val="nil" w:color="auto" w:fill="auto"/>
                <w:rtl w:val="0"/>
                <w:lang w:val="en-US"/>
              </w:rPr>
              <w:t>Rohan &amp; Babu [1]</w:t>
            </w:r>
          </w:p>
        </w:tc>
        <w:tc>
          <w:tcPr>
            <w:tcW w:type="dxa" w:w="13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z w:val="18"/>
                <w:szCs w:val="18"/>
                <w:shd w:val="nil" w:color="auto" w:fill="auto"/>
                <w:rtl w:val="0"/>
                <w:lang w:val="en-US"/>
              </w:rPr>
              <w:t>AiRacleX [7]</w:t>
            </w:r>
          </w:p>
        </w:tc>
        <w:tc>
          <w:tcPr>
            <w:tcW w:type="dxa" w:w="1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z w:val="18"/>
                <w:szCs w:val="18"/>
                <w:shd w:val="nil" w:color="auto" w:fill="auto"/>
                <w:rtl w:val="0"/>
                <w:lang w:val="en-US"/>
              </w:rPr>
              <w:t>Chainlink (Production)</w:t>
            </w:r>
          </w:p>
        </w:tc>
      </w:tr>
      <w:tr>
        <w:tblPrEx>
          <w:shd w:val="clear" w:color="auto" w:fill="cadfff"/>
        </w:tblPrEx>
        <w:trPr>
          <w:trHeight w:val="234" w:hRule="atLeast"/>
        </w:trPr>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Blockchain Target</w:t>
            </w:r>
          </w:p>
        </w:tc>
        <w:tc>
          <w:tcPr>
            <w:tcW w:type="dxa" w:w="23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it-IT"/>
              </w:rPr>
              <w:t>Cardano (eUTXO)</w:t>
            </w:r>
          </w:p>
        </w:tc>
        <w:tc>
          <w:tcPr>
            <w:tcW w:type="dxa" w:w="21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de-DE"/>
              </w:rPr>
              <w:t>Generic</w:t>
            </w:r>
          </w:p>
        </w:tc>
        <w:tc>
          <w:tcPr>
            <w:tcW w:type="dxa" w:w="13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Ethereum</w:t>
            </w:r>
          </w:p>
        </w:tc>
        <w:tc>
          <w:tcPr>
            <w:tcW w:type="dxa" w:w="1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fr-FR"/>
              </w:rPr>
              <w:t>Multi-chain</w:t>
            </w:r>
          </w:p>
        </w:tc>
      </w:tr>
      <w:tr>
        <w:tblPrEx>
          <w:shd w:val="clear" w:color="auto" w:fill="cadfff"/>
        </w:tblPrEx>
        <w:trPr>
          <w:trHeight w:val="234" w:hRule="atLeast"/>
        </w:trPr>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Sentiment Signal</w:t>
            </w:r>
          </w:p>
        </w:tc>
        <w:tc>
          <w:tcPr>
            <w:tcW w:type="dxa" w:w="23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Heuristic (web length)</w:t>
            </w:r>
          </w:p>
        </w:tc>
        <w:tc>
          <w:tcPr>
            <w:tcW w:type="dxa" w:w="21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Federated NLP</w:t>
            </w:r>
          </w:p>
        </w:tc>
        <w:tc>
          <w:tcPr>
            <w:tcW w:type="dxa" w:w="13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N/A (price only)</w:t>
            </w:r>
          </w:p>
        </w:tc>
        <w:tc>
          <w:tcPr>
            <w:tcW w:type="dxa" w:w="1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N/A</w:t>
            </w:r>
          </w:p>
        </w:tc>
      </w:tr>
      <w:tr>
        <w:tblPrEx>
          <w:shd w:val="clear" w:color="auto" w:fill="cadfff"/>
        </w:tblPrEx>
        <w:trPr>
          <w:trHeight w:val="397" w:hRule="atLeast"/>
        </w:trPr>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it-IT"/>
              </w:rPr>
              <w:t>ML Component</w:t>
            </w:r>
          </w:p>
        </w:tc>
        <w:tc>
          <w:tcPr>
            <w:tcW w:type="dxa" w:w="23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it-IT"/>
              </w:rPr>
              <w:t>None (PoC)</w:t>
            </w:r>
          </w:p>
        </w:tc>
        <w:tc>
          <w:tcPr>
            <w:tcW w:type="dxa" w:w="21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de-DE"/>
              </w:rPr>
              <w:t>GNN + FinBERT + AE + DQN</w:t>
            </w:r>
          </w:p>
        </w:tc>
        <w:tc>
          <w:tcPr>
            <w:tcW w:type="dxa" w:w="13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Anomaly detection</w:t>
            </w:r>
          </w:p>
        </w:tc>
        <w:tc>
          <w:tcPr>
            <w:tcW w:type="dxa" w:w="1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it-IT"/>
              </w:rPr>
              <w:t>None (median aggregation)</w:t>
            </w:r>
          </w:p>
        </w:tc>
      </w:tr>
      <w:tr>
        <w:tblPrEx>
          <w:shd w:val="clear" w:color="auto" w:fill="cadfff"/>
        </w:tblPrEx>
        <w:trPr>
          <w:trHeight w:val="234" w:hRule="atLeast"/>
        </w:trPr>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Cryptographic Auth</w:t>
            </w:r>
          </w:p>
        </w:tc>
        <w:tc>
          <w:tcPr>
            <w:tcW w:type="dxa" w:w="23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Simulated (CSPRNG)</w:t>
            </w:r>
          </w:p>
        </w:tc>
        <w:tc>
          <w:tcPr>
            <w:tcW w:type="dxa" w:w="21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Real Ed25519</w:t>
            </w:r>
          </w:p>
        </w:tc>
        <w:tc>
          <w:tcPr>
            <w:tcW w:type="dxa" w:w="13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Real signing</w:t>
            </w:r>
          </w:p>
        </w:tc>
        <w:tc>
          <w:tcPr>
            <w:tcW w:type="dxa" w:w="1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HSM-backed</w:t>
            </w:r>
          </w:p>
        </w:tc>
      </w:tr>
      <w:tr>
        <w:tblPrEx>
          <w:shd w:val="clear" w:color="auto" w:fill="cadfff"/>
        </w:tblPrEx>
        <w:trPr>
          <w:trHeight w:val="397" w:hRule="atLeast"/>
        </w:trPr>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Aggregation Accuracy</w:t>
            </w:r>
          </w:p>
        </w:tc>
        <w:tc>
          <w:tcPr>
            <w:tcW w:type="dxa" w:w="23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fr-FR"/>
              </w:rPr>
              <w:t>N/A (heuristic)</w:t>
            </w:r>
          </w:p>
        </w:tc>
        <w:tc>
          <w:tcPr>
            <w:tcW w:type="dxa" w:w="21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92% (AUC 0.95)</w:t>
            </w:r>
          </w:p>
        </w:tc>
        <w:tc>
          <w:tcPr>
            <w:tcW w:type="dxa" w:w="13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High (quantified)</w:t>
            </w:r>
          </w:p>
        </w:tc>
        <w:tc>
          <w:tcPr>
            <w:tcW w:type="dxa" w:w="1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Median-based</w:t>
            </w:r>
          </w:p>
        </w:tc>
      </w:tr>
      <w:tr>
        <w:tblPrEx>
          <w:shd w:val="clear" w:color="auto" w:fill="cadfff"/>
        </w:tblPrEx>
        <w:trPr>
          <w:trHeight w:val="234" w:hRule="atLeast"/>
        </w:trPr>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Prediction Market</w:t>
            </w:r>
          </w:p>
        </w:tc>
        <w:tc>
          <w:tcPr>
            <w:tcW w:type="dxa" w:w="23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Yes (AMM + Shield NFT)</w:t>
            </w:r>
          </w:p>
        </w:tc>
        <w:tc>
          <w:tcPr>
            <w:tcW w:type="dxa" w:w="21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No</w:t>
            </w:r>
          </w:p>
        </w:tc>
        <w:tc>
          <w:tcPr>
            <w:tcW w:type="dxa" w:w="13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No</w:t>
            </w:r>
          </w:p>
        </w:tc>
        <w:tc>
          <w:tcPr>
            <w:tcW w:type="dxa" w:w="1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No</w:t>
            </w:r>
          </w:p>
        </w:tc>
      </w:tr>
      <w:tr>
        <w:tblPrEx>
          <w:shd w:val="clear" w:color="auto" w:fill="cadfff"/>
        </w:tblPrEx>
        <w:trPr>
          <w:trHeight w:val="234" w:hRule="atLeast"/>
        </w:trPr>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Insurance Mechanism</w:t>
            </w:r>
          </w:p>
        </w:tc>
        <w:tc>
          <w:tcPr>
            <w:tcW w:type="dxa" w:w="23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Yes (CIP-68 Shield)</w:t>
            </w:r>
          </w:p>
        </w:tc>
        <w:tc>
          <w:tcPr>
            <w:tcW w:type="dxa" w:w="21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No</w:t>
            </w:r>
          </w:p>
        </w:tc>
        <w:tc>
          <w:tcPr>
            <w:tcW w:type="dxa" w:w="13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No</w:t>
            </w:r>
          </w:p>
        </w:tc>
        <w:tc>
          <w:tcPr>
            <w:tcW w:type="dxa" w:w="1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No</w:t>
            </w:r>
          </w:p>
        </w:tc>
      </w:tr>
      <w:tr>
        <w:tblPrEx>
          <w:shd w:val="clear" w:color="auto" w:fill="cadfff"/>
        </w:tblPrEx>
        <w:trPr>
          <w:trHeight w:val="234" w:hRule="atLeast"/>
        </w:trPr>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Formal Verification</w:t>
            </w:r>
          </w:p>
        </w:tc>
        <w:tc>
          <w:tcPr>
            <w:tcW w:type="dxa" w:w="23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Testnet verified (6 contracts)</w:t>
            </w:r>
          </w:p>
        </w:tc>
        <w:tc>
          <w:tcPr>
            <w:tcW w:type="dxa" w:w="21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Proposed</w:t>
            </w:r>
          </w:p>
        </w:tc>
        <w:tc>
          <w:tcPr>
            <w:tcW w:type="dxa" w:w="13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Proposed</w:t>
            </w:r>
          </w:p>
        </w:tc>
        <w:tc>
          <w:tcPr>
            <w:tcW w:type="dxa" w:w="1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Audited</w:t>
            </w:r>
          </w:p>
        </w:tc>
      </w:tr>
      <w:tr>
        <w:tblPrEx>
          <w:shd w:val="clear" w:color="auto" w:fill="cadfff"/>
        </w:tblPrEx>
        <w:trPr>
          <w:trHeight w:val="397" w:hRule="atLeast"/>
        </w:trPr>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Single-node dependency</w:t>
            </w:r>
          </w:p>
        </w:tc>
        <w:tc>
          <w:tcPr>
            <w:tcW w:type="dxa" w:w="23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Yes (current PoC)</w:t>
            </w:r>
          </w:p>
        </w:tc>
        <w:tc>
          <w:tcPr>
            <w:tcW w:type="dxa" w:w="21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No (decentralised)</w:t>
            </w:r>
          </w:p>
        </w:tc>
        <w:tc>
          <w:tcPr>
            <w:tcW w:type="dxa" w:w="13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No</w:t>
            </w:r>
          </w:p>
        </w:tc>
        <w:tc>
          <w:tcPr>
            <w:tcW w:type="dxa" w:w="1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rPr>
              <w:t>No</w:t>
            </w:r>
          </w:p>
        </w:tc>
      </w:tr>
      <w:tr>
        <w:tblPrEx>
          <w:shd w:val="clear" w:color="auto" w:fill="cadfff"/>
        </w:tblPrEx>
        <w:trPr>
          <w:trHeight w:val="234" w:hRule="atLeast"/>
        </w:trPr>
        <w:tc>
          <w:tcPr>
            <w:tcW w:type="dxa" w:w="180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Production-ready</w:t>
            </w:r>
          </w:p>
        </w:tc>
        <w:tc>
          <w:tcPr>
            <w:tcW w:type="dxa" w:w="23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No (PoC scaffold)</w:t>
            </w:r>
          </w:p>
        </w:tc>
        <w:tc>
          <w:tcPr>
            <w:tcW w:type="dxa" w:w="214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Partially</w:t>
            </w:r>
          </w:p>
        </w:tc>
        <w:tc>
          <w:tcPr>
            <w:tcW w:type="dxa" w:w="13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Partially</w:t>
            </w:r>
          </w:p>
        </w:tc>
        <w:tc>
          <w:tcPr>
            <w:tcW w:type="dxa" w:w="19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z w:val="18"/>
                <w:szCs w:val="18"/>
                <w:shd w:val="nil" w:color="auto" w:fill="auto"/>
                <w:rtl w:val="0"/>
                <w:lang w:val="en-US"/>
              </w:rPr>
              <w:t>Yes</w:t>
            </w:r>
          </w:p>
        </w:tc>
      </w:tr>
    </w:tbl>
    <w:p>
      <w:pPr>
        <w:pStyle w:val="Default"/>
        <w:widowControl w:val="0"/>
        <w:suppressAutoHyphens w:val="1"/>
        <w:spacing w:before="0" w:after="240" w:line="240" w:lineRule="auto"/>
        <w:ind w:left="108" w:hanging="108"/>
        <w:jc w:val="center"/>
        <w:rPr>
          <w:rStyle w:val="Hyperlink.0"/>
        </w:rPr>
      </w:pPr>
    </w:p>
    <w:p>
      <w:pPr>
        <w:pStyle w:val="Default"/>
        <w:suppressAutoHyphens w:val="1"/>
        <w:spacing w:before="0" w:after="240" w:line="240" w:lineRule="auto"/>
        <w:jc w:val="center"/>
        <w:rPr>
          <w:rStyle w:val="None"/>
          <w:rFonts w:ascii="Times New Roman" w:cs="Times New Roman" w:hAnsi="Times New Roman" w:eastAsia="Times New Roman"/>
          <w:i w:val="1"/>
          <w:iCs w:val="1"/>
        </w:rPr>
      </w:pPr>
    </w:p>
    <w:p>
      <w:pPr>
        <w:pStyle w:val="Default"/>
        <w:suppressAutoHyphens w:val="1"/>
        <w:spacing w:before="0" w:after="240" w:line="240" w:lineRule="auto"/>
        <w:rPr>
          <w:rStyle w:val="None"/>
          <w:rFonts w:ascii="Times New Roman" w:cs="Times New Roman" w:hAnsi="Times New Roman" w:eastAsia="Times New Roman"/>
          <w:i w:val="1"/>
          <w:iCs w:val="1"/>
        </w:rPr>
      </w:pPr>
    </w:p>
    <w:p>
      <w:pPr>
        <w:pStyle w:val="Default"/>
        <w:suppressAutoHyphens w:val="1"/>
        <w:spacing w:before="0" w:after="240" w:line="240" w:lineRule="auto"/>
        <w:rPr>
          <w:rStyle w:val="None"/>
          <w:rFonts w:ascii="Times New Roman" w:cs="Times New Roman" w:hAnsi="Times New Roman" w:eastAsia="Times New Roman"/>
          <w:i w:val="1"/>
          <w:iCs w:val="1"/>
        </w:rPr>
      </w:pPr>
    </w:p>
    <w:p>
      <w:pPr>
        <w:pStyle w:val="Default"/>
        <w:suppressAutoHyphens w:val="1"/>
        <w:spacing w:before="0" w:after="240" w:line="240" w:lineRule="auto"/>
        <w:rPr>
          <w:rStyle w:val="None"/>
          <w:rFonts w:ascii="Times New Roman" w:cs="Times New Roman" w:hAnsi="Times New Roman" w:eastAsia="Times New Roman"/>
          <w:i w:val="1"/>
          <w:iCs w:val="1"/>
        </w:rPr>
      </w:pPr>
    </w:p>
    <w:p>
      <w:pPr>
        <w:pStyle w:val="Default"/>
        <w:suppressAutoHyphens w:val="1"/>
        <w:spacing w:before="0" w:after="240" w:line="240" w:lineRule="auto"/>
        <w:rPr>
          <w:rStyle w:val="None"/>
          <w:rFonts w:ascii="Times New Roman" w:cs="Times New Roman" w:hAnsi="Times New Roman" w:eastAsia="Times New Roman"/>
          <w:i w:val="1"/>
          <w:iCs w:val="1"/>
        </w:rPr>
      </w:pPr>
    </w:p>
    <w:p>
      <w:pPr>
        <w:pStyle w:val="Default"/>
        <w:suppressAutoHyphens w:val="1"/>
        <w:spacing w:before="0" w:after="240" w:line="240" w:lineRule="auto"/>
        <w:rPr>
          <w:rStyle w:val="None"/>
          <w:rFonts w:ascii="Times New Roman" w:cs="Times New Roman" w:hAnsi="Times New Roman" w:eastAsia="Times New Roman"/>
          <w:i w:val="1"/>
          <w:iCs w:val="1"/>
        </w:rPr>
      </w:pPr>
    </w:p>
    <w:p>
      <w:pPr>
        <w:pStyle w:val="Default"/>
        <w:suppressAutoHyphens w:val="1"/>
        <w:spacing w:before="0" w:after="240" w:line="240" w:lineRule="auto"/>
        <w:rPr>
          <w:rStyle w:val="None"/>
          <w:rFonts w:ascii="Times New Roman" w:cs="Times New Roman" w:hAnsi="Times New Roman" w:eastAsia="Times New Roman"/>
          <w:i w:val="1"/>
          <w:iCs w:val="1"/>
        </w:rPr>
      </w:pPr>
    </w:p>
    <w:p>
      <w:pPr>
        <w:pStyle w:val="Default"/>
        <w:suppressAutoHyphens w:val="1"/>
        <w:spacing w:before="0" w:after="240" w:line="240" w:lineRule="auto"/>
        <w:rPr>
          <w:rStyle w:val="None"/>
          <w:rFonts w:ascii="Times New Roman" w:cs="Times New Roman" w:hAnsi="Times New Roman" w:eastAsia="Times New Roman"/>
          <w:i w:val="1"/>
          <w:iCs w:val="1"/>
        </w:rPr>
      </w:pPr>
    </w:p>
    <w:p>
      <w:pPr>
        <w:pStyle w:val="Default"/>
        <w:suppressAutoHyphens w:val="1"/>
        <w:spacing w:before="0" w:after="240" w:line="240" w:lineRule="auto"/>
        <w:rPr>
          <w:rStyle w:val="None"/>
          <w:rFonts w:ascii="Times New Roman" w:cs="Times New Roman" w:hAnsi="Times New Roman" w:eastAsia="Times New Roman"/>
          <w:i w:val="1"/>
          <w:iCs w:val="1"/>
        </w:rPr>
      </w:pPr>
    </w:p>
    <w:p>
      <w:pPr>
        <w:pStyle w:val="Default"/>
        <w:suppressAutoHyphens w:val="1"/>
        <w:spacing w:before="0" w:after="240" w:line="240" w:lineRule="auto"/>
        <w:rPr>
          <w:rStyle w:val="None"/>
          <w:rFonts w:ascii="Times New Roman" w:cs="Times New Roman" w:hAnsi="Times New Roman" w:eastAsia="Times New Roman"/>
          <w:i w:val="1"/>
          <w:iCs w:val="1"/>
        </w:rPr>
      </w:pPr>
    </w:p>
    <w:p>
      <w:pPr>
        <w:pStyle w:val="Default"/>
        <w:suppressAutoHyphens w:val="1"/>
        <w:spacing w:before="0" w:after="240" w:line="240" w:lineRule="auto"/>
        <w:jc w:val="center"/>
        <w:rPr>
          <w:rStyle w:val="Hyperlink.0"/>
        </w:rPr>
      </w:pPr>
      <w:r>
        <w:rPr>
          <w:rStyle w:val="None"/>
          <w:rFonts w:ascii="Times New Roman" w:hAnsi="Times New Roman"/>
          <w:b w:val="1"/>
          <w:bCs w:val="1"/>
          <w:rtl w:val="0"/>
          <w:lang w:val="en-US"/>
        </w:rPr>
        <w:t>Fig. 6.</w:t>
      </w:r>
      <w:r>
        <w:rPr>
          <w:rStyle w:val="Hyperlink.0"/>
          <w:rtl w:val="0"/>
          <w:lang w:val="en-US"/>
        </w:rPr>
        <w:t xml:space="preserve"> Radar chart comparing oracle system capability across five dimensions (scored 0</w:t>
      </w:r>
      <w:r>
        <w:rPr>
          <w:rStyle w:val="Hyperlink.0"/>
          <w:rtl w:val="0"/>
          <w:lang w:val="en-US"/>
        </w:rPr>
        <w:t>–</w:t>
      </w:r>
      <w:r>
        <w:rPr>
          <w:rStyle w:val="Hyperlink.0"/>
          <w:rtl w:val="0"/>
          <w:lang w:val="en-US"/>
        </w:rPr>
        <w:t>10): ML Sophistication, Cryptographic Security, Formal Verification, Prediction Market Features, and Anti-Manipulation Robustness.</w:t>
      </w:r>
    </w:p>
    <w:p>
      <w:pPr>
        <w:pStyle w:val="Default"/>
        <w:suppressAutoHyphens w:val="1"/>
        <w:spacing w:before="0" w:after="240" w:line="240" w:lineRule="auto"/>
        <w:jc w:val="both"/>
        <w:rPr>
          <w:rStyle w:val="Hyperlink.0"/>
        </w:rPr>
      </w:pPr>
      <w:r>
        <w:rPr>
          <w:rStyle w:val="Hyperlink.0"/>
          <w:rtl w:val="0"/>
          <w:lang w:val="en-US"/>
        </w:rPr>
        <w:t>Sentiment Trading's proposed future architecture achieves competitive scores across all dimensions.</w:t>
      </w:r>
    </w:p>
    <w:p>
      <w:pPr>
        <w:pStyle w:val="Default"/>
        <w:suppressAutoHyphens w:val="1"/>
        <w:spacing w:before="0" w:after="240" w:line="240" w:lineRule="auto"/>
        <w:rPr>
          <w:rStyle w:val="None"/>
          <w:rFonts w:ascii="Times New Roman" w:cs="Times New Roman" w:hAnsi="Times New Roman" w:eastAsia="Times New Roman"/>
          <w:b w:val="1"/>
          <w:bCs w:val="1"/>
          <w:sz w:val="28"/>
          <w:szCs w:val="28"/>
        </w:rPr>
      </w:pPr>
      <w:r>
        <w:rPr>
          <w:rStyle w:val="None"/>
          <w:rFonts w:ascii="Times New Roman" w:hAnsi="Times New Roman"/>
          <w:b w:val="1"/>
          <w:bCs w:val="1"/>
          <w:sz w:val="28"/>
          <w:szCs w:val="28"/>
          <w:rtl w:val="0"/>
          <w:lang w:val="en-US"/>
        </w:rPr>
        <w:t>9. PROPOSED FUTURE ARCHITECTURE AND ROADMAP</w:t>
      </w: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9.1 Component Upgrade Mapping</w:t>
      </w:r>
    </w:p>
    <w:p>
      <w:pPr>
        <w:pStyle w:val="Default"/>
        <w:suppressAutoHyphens w:val="1"/>
        <w:spacing w:before="0" w:after="240" w:line="240" w:lineRule="auto"/>
        <w:jc w:val="both"/>
        <w:rPr>
          <w:rStyle w:val="Hyperlink.0"/>
        </w:rPr>
      </w:pPr>
      <w:r>
        <w:rPr>
          <w:rStyle w:val="Hyperlink.0"/>
          <w:rtl w:val="0"/>
          <w:lang w:val="en-US"/>
        </w:rPr>
        <w:t>Table 7 maps each current PoC component to its proposed production replacement, providing a clear engineering roadmap from the validated integration scaffold to a production-grade AI oracle system.</w:t>
      </w:r>
    </w:p>
    <w:p>
      <w:pPr>
        <w:pStyle w:val="Default"/>
        <w:suppressAutoHyphens w:val="1"/>
        <w:spacing w:before="0" w:after="240" w:line="240" w:lineRule="auto"/>
        <w:jc w:val="center"/>
        <w:rPr>
          <w:rStyle w:val="Hyperlink.0"/>
        </w:rPr>
      </w:pPr>
      <w:r>
        <w:rPr>
          <w:rStyle w:val="None"/>
          <w:rFonts w:ascii="Times New Roman" w:hAnsi="Times New Roman"/>
          <w:b w:val="1"/>
          <w:bCs w:val="1"/>
          <w:rtl w:val="0"/>
          <w:lang w:val="en-US"/>
        </w:rPr>
        <w:t>Table 7.</w:t>
      </w:r>
      <w:r>
        <w:rPr>
          <w:rStyle w:val="Hyperlink.0"/>
          <w:rtl w:val="0"/>
          <w:lang w:val="en-US"/>
        </w:rPr>
        <w:t xml:space="preserve"> PoC Components vs. Proposed Production Replacements</w:t>
      </w:r>
    </w:p>
    <w:tbl>
      <w:tblPr>
        <w:tblW w:w="8991"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3081"/>
        <w:gridCol w:w="4669"/>
        <w:gridCol w:w="1241"/>
      </w:tblGrid>
      <w:tr>
        <w:tblPrEx>
          <w:shd w:val="clear" w:color="auto" w:fill="cadfff"/>
        </w:tblPrEx>
        <w:trPr>
          <w:trHeight w:val="334" w:hRule="atLeast"/>
        </w:trPr>
        <w:tc>
          <w:tcPr>
            <w:tcW w:type="dxa" w:w="30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hd w:val="nil" w:color="auto" w:fill="auto"/>
                <w:rtl w:val="0"/>
                <w:lang w:val="en-US"/>
              </w:rPr>
              <w:t>Current PoC Component</w:t>
            </w:r>
          </w:p>
        </w:tc>
        <w:tc>
          <w:tcPr>
            <w:tcW w:type="dxa" w:w="46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hd w:val="nil" w:color="auto" w:fill="auto"/>
                <w:rtl w:val="0"/>
                <w:lang w:val="en-US"/>
              </w:rPr>
              <w:t>Proposed Production Replacement</w:t>
            </w:r>
          </w:p>
        </w:tc>
        <w:tc>
          <w:tcPr>
            <w:tcW w:type="dxa" w:w="124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b w:val="1"/>
                <w:bCs w:val="1"/>
                <w:shd w:val="nil" w:color="auto" w:fill="auto"/>
                <w:rtl w:val="0"/>
                <w:lang w:val="en-US"/>
              </w:rPr>
              <w:t>Reference</w:t>
            </w:r>
          </w:p>
        </w:tc>
      </w:tr>
      <w:tr>
        <w:tblPrEx>
          <w:shd w:val="clear" w:color="auto" w:fill="cadfff"/>
        </w:tblPrEx>
        <w:trPr>
          <w:trHeight w:val="334" w:hRule="atLeast"/>
        </w:trPr>
        <w:tc>
          <w:tcPr>
            <w:tcW w:type="dxa" w:w="30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Single FastAPI oracle node</w:t>
            </w:r>
          </w:p>
        </w:tc>
        <w:tc>
          <w:tcPr>
            <w:tcW w:type="dxa" w:w="46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Decentralised GNN-scored oracle network</w:t>
            </w:r>
          </w:p>
        </w:tc>
        <w:tc>
          <w:tcPr>
            <w:tcW w:type="dxa" w:w="124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pt-PT"/>
              </w:rPr>
              <w:t>[1][16]</w:t>
            </w:r>
          </w:p>
        </w:tc>
      </w:tr>
      <w:tr>
        <w:tblPrEx>
          <w:shd w:val="clear" w:color="auto" w:fill="cadfff"/>
        </w:tblPrEx>
        <w:trPr>
          <w:trHeight w:val="334" w:hRule="atLeast"/>
        </w:trPr>
        <w:tc>
          <w:tcPr>
            <w:tcW w:type="dxa" w:w="30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Text-length heuristic score</w:t>
            </w:r>
          </w:p>
        </w:tc>
        <w:tc>
          <w:tcPr>
            <w:tcW w:type="dxa" w:w="46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de-DE"/>
              </w:rPr>
              <w:t>Fine-tuned FinBERT NLP classifier</w:t>
            </w:r>
          </w:p>
        </w:tc>
        <w:tc>
          <w:tcPr>
            <w:tcW w:type="dxa" w:w="124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pt-PT"/>
              </w:rPr>
              <w:t>[3][5]</w:t>
            </w:r>
          </w:p>
        </w:tc>
      </w:tr>
      <w:tr>
        <w:tblPrEx>
          <w:shd w:val="clear" w:color="auto" w:fill="cadfff"/>
        </w:tblPrEx>
        <w:trPr>
          <w:trHeight w:val="334" w:hRule="atLeast"/>
        </w:trPr>
        <w:tc>
          <w:tcPr>
            <w:tcW w:type="dxa" w:w="30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secrets.token_hex signature</w:t>
            </w:r>
          </w:p>
        </w:tc>
        <w:tc>
          <w:tcPr>
            <w:tcW w:type="dxa" w:w="46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Real Ed25519 HSM / threshold signing</w:t>
            </w:r>
          </w:p>
        </w:tc>
        <w:tc>
          <w:tcPr>
            <w:tcW w:type="dxa" w:w="124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pt-PT"/>
              </w:rPr>
              <w:t>[1][9]</w:t>
            </w:r>
          </w:p>
        </w:tc>
      </w:tr>
      <w:tr>
        <w:tblPrEx>
          <w:shd w:val="clear" w:color="auto" w:fill="cadfff"/>
        </w:tblPrEx>
        <w:trPr>
          <w:trHeight w:val="334" w:hRule="atLeast"/>
        </w:trPr>
        <w:tc>
          <w:tcPr>
            <w:tcW w:type="dxa" w:w="30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Static aggregation endpoint</w:t>
            </w:r>
          </w:p>
        </w:tc>
        <w:tc>
          <w:tcPr>
            <w:tcW w:type="dxa" w:w="46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Deep Q-Network (DQN) aggregation agent</w:t>
            </w:r>
          </w:p>
        </w:tc>
        <w:tc>
          <w:tcPr>
            <w:tcW w:type="dxa" w:w="124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pt-PT"/>
              </w:rPr>
              <w:t>[1]</w:t>
            </w:r>
          </w:p>
        </w:tc>
      </w:tr>
      <w:tr>
        <w:tblPrEx>
          <w:shd w:val="clear" w:color="auto" w:fill="cadfff"/>
        </w:tblPrEx>
        <w:trPr>
          <w:trHeight w:val="334" w:hRule="atLeast"/>
        </w:trPr>
        <w:tc>
          <w:tcPr>
            <w:tcW w:type="dxa" w:w="30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pt-PT"/>
              </w:rPr>
              <w:t>No anomaly detection</w:t>
            </w:r>
          </w:p>
        </w:tc>
        <w:tc>
          <w:tcPr>
            <w:tcW w:type="dxa" w:w="46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Autoencoder anomaly screening layer</w:t>
            </w:r>
          </w:p>
        </w:tc>
        <w:tc>
          <w:tcPr>
            <w:tcW w:type="dxa" w:w="124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pt-PT"/>
              </w:rPr>
              <w:t>[7]</w:t>
            </w:r>
          </w:p>
        </w:tc>
      </w:tr>
      <w:tr>
        <w:tblPrEx>
          <w:shd w:val="clear" w:color="auto" w:fill="cadfff"/>
        </w:tblPrEx>
        <w:trPr>
          <w:trHeight w:val="334" w:hRule="atLeast"/>
        </w:trPr>
        <w:tc>
          <w:tcPr>
            <w:tcW w:type="dxa" w:w="30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No federated training</w:t>
            </w:r>
          </w:p>
        </w:tc>
        <w:tc>
          <w:tcPr>
            <w:tcW w:type="dxa" w:w="46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Flower (flwr) federated learning framework</w:t>
            </w:r>
          </w:p>
        </w:tc>
        <w:tc>
          <w:tcPr>
            <w:tcW w:type="dxa" w:w="124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pt-PT"/>
              </w:rPr>
              <w:t>[3][5]</w:t>
            </w:r>
          </w:p>
        </w:tc>
      </w:tr>
      <w:tr>
        <w:tblPrEx>
          <w:shd w:val="clear" w:color="auto" w:fill="cadfff"/>
        </w:tblPrEx>
        <w:trPr>
          <w:trHeight w:val="334" w:hRule="atLeast"/>
        </w:trPr>
        <w:tc>
          <w:tcPr>
            <w:tcW w:type="dxa" w:w="308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it-IT"/>
              </w:rPr>
              <w:t>In-memory portfolio state</w:t>
            </w:r>
          </w:p>
        </w:tc>
        <w:tc>
          <w:tcPr>
            <w:tcW w:type="dxa" w:w="466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en-US"/>
              </w:rPr>
              <w:t>Persistent UTxO-backed state with Ogmios</w:t>
            </w:r>
          </w:p>
        </w:tc>
        <w:tc>
          <w:tcPr>
            <w:tcW w:type="dxa" w:w="124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Table Style 2"/>
              <w:suppressAutoHyphens w:val="1"/>
              <w:jc w:val="center"/>
            </w:pPr>
            <w:r>
              <w:rPr>
                <w:rStyle w:val="None"/>
                <w:rFonts w:ascii="Times New Roman" w:hAnsi="Times New Roman"/>
                <w:shd w:val="nil" w:color="auto" w:fill="auto"/>
                <w:rtl w:val="0"/>
                <w:lang w:val="pt-PT"/>
              </w:rPr>
              <w:t>[10]</w:t>
            </w:r>
          </w:p>
        </w:tc>
      </w:tr>
    </w:tbl>
    <w:p>
      <w:pPr>
        <w:pStyle w:val="Default"/>
        <w:widowControl w:val="0"/>
        <w:suppressAutoHyphens w:val="1"/>
        <w:spacing w:before="0" w:after="240" w:line="240" w:lineRule="auto"/>
        <w:ind w:left="108" w:hanging="108"/>
        <w:jc w:val="center"/>
        <w:rPr>
          <w:rStyle w:val="Hyperlink.0"/>
        </w:rPr>
      </w:pPr>
    </w:p>
    <w:p>
      <w:pPr>
        <w:pStyle w:val="Default"/>
        <w:suppressAutoHyphens w:val="1"/>
        <w:spacing w:before="0" w:after="240" w:line="240" w:lineRule="auto"/>
        <w:rPr>
          <w:rStyle w:val="None"/>
          <w:rFonts w:ascii="Times New Roman" w:cs="Times New Roman" w:hAnsi="Times New Roman" w:eastAsia="Times New Roman"/>
          <w:b w:val="1"/>
          <w:bCs w:val="1"/>
        </w:rPr>
      </w:pP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9.2 GNN-Based Trust Estimation</w:t>
      </w:r>
    </w:p>
    <w:p>
      <w:pPr>
        <w:pStyle w:val="Default"/>
        <w:suppressAutoHyphens w:val="1"/>
        <w:spacing w:before="0" w:after="240" w:line="240" w:lineRule="auto"/>
        <w:jc w:val="both"/>
        <w:rPr>
          <w:rStyle w:val="Hyperlink.0"/>
        </w:rPr>
      </w:pPr>
      <w:r>
        <w:rPr>
          <w:rStyle w:val="Hyperlink.0"/>
          <w:rtl w:val="0"/>
          <w:lang w:val="en-US"/>
        </w:rPr>
        <w:t>Production deployment would replace the single FastAPI node with a network of independent oracle nodes. A two-layer Graph Convolutional Network (GCN) would assign dynamic trust weights to each node based on historical agreement behaviour, with temporal decay ensuring recent misbehaviour is penalised more heavily [1][16]. Nodes below a configurable trust threshold would be excluded from aggregation, creating a self-correcting trust topology.</w:t>
      </w: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9.3 Federated Learning for Sentiment Modelling</w:t>
      </w:r>
    </w:p>
    <w:p>
      <w:pPr>
        <w:pStyle w:val="Default"/>
        <w:suppressAutoHyphens w:val="1"/>
        <w:spacing w:before="0" w:after="240" w:line="240" w:lineRule="auto"/>
        <w:jc w:val="both"/>
        <w:rPr>
          <w:rStyle w:val="Hyperlink.0"/>
        </w:rPr>
      </w:pPr>
      <w:r>
        <w:rPr>
          <w:rStyle w:val="Hyperlink.0"/>
          <w:rtl w:val="0"/>
          <w:lang w:val="en-US"/>
        </w:rPr>
        <w:t>Each trusted oracle node would train a local copy of a fine-tuned FinBERT sentiment model on its own scraped data without sharing raw text with any central server. The Flower (flwr) framework would coordinate trust-weighted gradient aggregation, so high-trust nodes contribute more to the global model update. Differential privacy would be applied during aggregation to prevent inference attacks [3][5].</w:t>
      </w:r>
    </w:p>
    <w:p>
      <w:pPr>
        <w:pStyle w:val="Default"/>
        <w:suppressAutoHyphens w:val="1"/>
        <w:spacing w:before="0" w:after="240" w:line="240" w:lineRule="auto"/>
        <w:rPr>
          <w:rStyle w:val="None"/>
          <w:rFonts w:ascii="Times New Roman" w:cs="Times New Roman" w:hAnsi="Times New Roman" w:eastAsia="Times New Roman"/>
          <w:b w:val="1"/>
          <w:bCs w:val="1"/>
          <w:lang w:val="pt-PT"/>
        </w:rPr>
      </w:pPr>
      <w:r>
        <w:rPr>
          <w:rStyle w:val="None"/>
          <w:rFonts w:ascii="Times New Roman" w:hAnsi="Times New Roman"/>
          <w:b w:val="1"/>
          <w:bCs w:val="1"/>
          <w:rtl w:val="0"/>
          <w:lang w:val="pt-PT"/>
        </w:rPr>
        <w:t>9.4 Autoencoder Anomaly Detection</w:t>
      </w:r>
    </w:p>
    <w:p>
      <w:pPr>
        <w:pStyle w:val="Default"/>
        <w:suppressAutoHyphens w:val="1"/>
        <w:spacing w:before="0" w:after="240" w:line="240" w:lineRule="auto"/>
        <w:jc w:val="both"/>
        <w:rPr>
          <w:rStyle w:val="Hyperlink.0"/>
        </w:rPr>
      </w:pPr>
      <w:r>
        <w:rPr>
          <w:rStyle w:val="Hyperlink.0"/>
          <w:rtl w:val="0"/>
          <w:lang w:val="en-US"/>
        </w:rPr>
        <w:t>Before any node's submission is included in the aggregated Hype Score, it would pass through an unsupervised autoencoder trained on historical normal-behaviour data. Submissions exceeding a dynamically adjusted reconstruction-error threshold would be flagged and excluded. Repeated flagging would feed back into the GNN trust layer as a penalty [7].</w:t>
      </w: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9.5 Reinforcement Learning Aggregation</w:t>
      </w:r>
    </w:p>
    <w:p>
      <w:pPr>
        <w:pStyle w:val="Default"/>
        <w:suppressAutoHyphens w:val="1"/>
        <w:spacing w:before="0" w:after="240" w:line="240" w:lineRule="auto"/>
        <w:jc w:val="both"/>
        <w:rPr>
          <w:rStyle w:val="Hyperlink.0"/>
        </w:rPr>
      </w:pPr>
      <w:r>
        <w:rPr>
          <w:rStyle w:val="Hyperlink.0"/>
          <w:rtl w:val="0"/>
          <w:lang w:val="en-US"/>
        </w:rPr>
        <w:t>A Deep Q-Network (DQN) agent would replace static median/mean aggregation by observing the distribution of node submissions and selecting among strategies (trust-weighted average, median filtering, top-k exclusion) to maximise a reward balancing accuracy, output variance, and on-chain execution cost [1].</w:t>
      </w: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9.6 Real Ed25519 Signing</w:t>
      </w:r>
    </w:p>
    <w:p>
      <w:pPr>
        <w:pStyle w:val="Default"/>
        <w:suppressAutoHyphens w:val="1"/>
        <w:spacing w:before="0" w:after="240" w:line="240" w:lineRule="auto"/>
        <w:jc w:val="both"/>
        <w:rPr>
          <w:rStyle w:val="Hyperlink.0"/>
        </w:rPr>
      </w:pPr>
      <w:r>
        <w:rPr>
          <w:rStyle w:val="Hyperlink.0"/>
          <w:rtl w:val="0"/>
          <w:lang w:val="en-US"/>
        </w:rPr>
        <w:t>The CSPRNG placeholder signature would be replaced by a genuine Ed25519 private key held in a Hardware Security Module (HSM) or a threshold signature scheme, enabling the oracle validator contract to perform actual public-key verification rather than format checking [9].</w:t>
      </w: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10. CONCLUSION</w:t>
      </w:r>
    </w:p>
    <w:p>
      <w:pPr>
        <w:pStyle w:val="Default"/>
        <w:suppressAutoHyphens w:val="1"/>
        <w:spacing w:before="0" w:after="240" w:line="240" w:lineRule="auto"/>
        <w:jc w:val="both"/>
        <w:rPr>
          <w:rStyle w:val="Hyperlink.0"/>
        </w:rPr>
      </w:pPr>
      <w:r>
        <w:rPr>
          <w:rStyle w:val="Hyperlink.0"/>
          <w:rtl w:val="0"/>
          <w:lang w:val="en-US"/>
        </w:rPr>
        <w:t>This paper presented Sentiment Trading, a proof-of-concept system for integrating off-chain sentiment signals with a decentralised prediction market on the Cardano blockchain. The primary contribution is an architectural proof: the data flow from web scraping through a Python/FastAPI oracle service into six Aiken/PlutusV3 smart contracts has been constructed, deployed, and end-to-end verified on the Cardano Preview Testnet. Six non-trivial financial contract mechanisms were implemented: a 120% over-collateralised Treasury Reserve with an 80% safety-valve liability cap, a dual-layer anti-arbitrage exposure guard, an autonomous crash-refund trigger, CIP-68-compliant Shield NFT insurance, a constant-product AMM, and an oracle validator. Across 120 structured testnet transactions, the system achieved 100% correct behaviour on both valid and adversarial inputs. The off-chain oracle maintained a mean response latency of 340 ms with a p95 of 580 ms across 200 invocations.</w:t>
      </w:r>
    </w:p>
    <w:p>
      <w:pPr>
        <w:pStyle w:val="Default"/>
        <w:suppressAutoHyphens w:val="1"/>
        <w:spacing w:before="0" w:after="240" w:line="240" w:lineRule="auto"/>
        <w:jc w:val="both"/>
        <w:rPr>
          <w:rStyle w:val="Hyperlink.0"/>
        </w:rPr>
      </w:pPr>
      <w:r>
        <w:rPr>
          <w:rStyle w:val="Hyperlink.0"/>
          <w:rtl w:val="0"/>
          <w:lang w:val="en-US"/>
        </w:rPr>
        <w:t>The current implementation is transparent about its limitations: heuristic Hype Score computation, simulated Ed25519 signing, single-node dependency, and in-memory portfolio state. These are clearly scoped engineering tasks rather than fundamental barriers, as the integration scaffold is now proven. The proposed upgrade roadmap</w:t>
      </w:r>
      <w:r>
        <w:rPr>
          <w:rStyle w:val="Hyperlink.0"/>
          <w:rtl w:val="0"/>
          <w:lang w:val="en-US"/>
        </w:rPr>
        <w:t>—</w:t>
      </w:r>
      <w:r>
        <w:rPr>
          <w:rStyle w:val="Hyperlink.0"/>
          <w:rtl w:val="0"/>
          <w:lang w:val="en-US"/>
        </w:rPr>
        <w:t>GNN trust scoring, federated FinBERT sentiment modelling, autoencoder anomaly screening, and DQN-based oracle aggregation</w:t>
      </w:r>
      <w:r>
        <w:rPr>
          <w:rStyle w:val="Hyperlink.0"/>
          <w:rtl w:val="0"/>
          <w:lang w:val="en-US"/>
        </w:rPr>
        <w:t>—</w:t>
      </w:r>
      <w:r>
        <w:rPr>
          <w:rStyle w:val="Hyperlink.0"/>
          <w:rtl w:val="0"/>
          <w:lang w:val="en-US"/>
        </w:rPr>
        <w:t>provides a literature-grounded path from the current PoC to a production-grade AI oracle. Each upgrade maps to an existing research precedent and slots into the verified interface boundaries established by this work. Sentiment Trading demonstrates that Cardano's eUTXO model is well-suited to parallelisable, formally verifiable DeFi contract suites, and that sentiment-driven oracle integration is technically feasible even with deliberately simple off-chain components. The integration-first methodology</w:t>
      </w:r>
      <w:r>
        <w:rPr>
          <w:rStyle w:val="Hyperlink.0"/>
          <w:rtl w:val="0"/>
          <w:lang w:val="en-US"/>
        </w:rPr>
        <w:t>—</w:t>
      </w:r>
      <w:r>
        <w:rPr>
          <w:rStyle w:val="Hyperlink.0"/>
          <w:rtl w:val="0"/>
          <w:lang w:val="en-US"/>
        </w:rPr>
        <w:t>validate the pipeline before embedding ML complexity</w:t>
      </w:r>
      <w:r>
        <w:rPr>
          <w:rStyle w:val="Hyperlink.0"/>
          <w:rtl w:val="0"/>
          <w:lang w:val="en-US"/>
        </w:rPr>
        <w:t>—</w:t>
      </w:r>
      <w:r>
        <w:rPr>
          <w:rStyle w:val="Hyperlink.0"/>
          <w:rtl w:val="0"/>
          <w:lang w:val="en-US"/>
        </w:rPr>
        <w:t>is proposed as a replicable approach for future blockchain oracle research.</w:t>
      </w:r>
    </w:p>
    <w:p>
      <w:pPr>
        <w:pStyle w:val="Default"/>
        <w:suppressAutoHyphens w:val="1"/>
        <w:spacing w:before="0" w:after="240" w:line="240" w:lineRule="auto"/>
        <w:rPr>
          <w:rStyle w:val="Hyperlink.0"/>
        </w:rPr>
      </w:pPr>
    </w:p>
    <w:p>
      <w:pPr>
        <w:pStyle w:val="Default"/>
        <w:suppressAutoHyphens w:val="1"/>
        <w:spacing w:before="0" w:after="240" w:line="240" w:lineRule="auto"/>
        <w:rPr>
          <w:rStyle w:val="Hyperlink.0"/>
        </w:rPr>
      </w:pPr>
    </w:p>
    <w:p>
      <w:pPr>
        <w:pStyle w:val="Default"/>
        <w:suppressAutoHyphens w:val="1"/>
        <w:spacing w:before="0" w:after="240" w:line="240" w:lineRule="auto"/>
        <w:rPr>
          <w:rStyle w:val="Hyperlink.0"/>
        </w:rPr>
      </w:pPr>
    </w:p>
    <w:p>
      <w:pPr>
        <w:pStyle w:val="Default"/>
        <w:suppressAutoHyphens w:val="1"/>
        <w:spacing w:before="0" w:after="240" w:line="240" w:lineRule="auto"/>
        <w:rPr>
          <w:rStyle w:val="Hyperlink.0"/>
        </w:rPr>
      </w:pPr>
    </w:p>
    <w:p>
      <w:pPr>
        <w:pStyle w:val="Default"/>
        <w:suppressAutoHyphens w:val="1"/>
        <w:spacing w:before="0" w:after="240" w:line="240" w:lineRule="auto"/>
        <w:rPr>
          <w:rStyle w:val="Hyperlink.0"/>
        </w:rPr>
      </w:pPr>
    </w:p>
    <w:p>
      <w:pPr>
        <w:pStyle w:val="Default"/>
        <w:suppressAutoHyphens w:val="1"/>
        <w:spacing w:before="0" w:after="240" w:line="240" w:lineRule="auto"/>
        <w:rPr>
          <w:rStyle w:val="Hyperlink.0"/>
        </w:rPr>
      </w:pPr>
    </w:p>
    <w:p>
      <w:pPr>
        <w:pStyle w:val="Default"/>
        <w:suppressAutoHyphens w:val="1"/>
        <w:spacing w:before="0" w:after="240" w:line="24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REFERENCE</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[1] S. Rohan and J. Ananda Babu, "Smart Contract Execution using AI-Driven Oracles," in </w:t>
      </w:r>
      <w:r>
        <w:rPr>
          <w:rStyle w:val="None"/>
          <w:rFonts w:ascii="Times New Roman" w:hAnsi="Times New Roman"/>
          <w:i w:val="1"/>
          <w:iCs w:val="1"/>
          <w:rtl w:val="0"/>
          <w:lang w:val="en-US"/>
        </w:rPr>
        <w:t>Proc. 2025 Int. Conf. on Communication, Computer, and Information Technology (IC3IT)</w:t>
      </w:r>
      <w:r>
        <w:rPr>
          <w:rStyle w:val="None"/>
          <w:rFonts w:ascii="Times New Roman" w:hAnsi="Times New Roman"/>
          <w:rtl w:val="0"/>
          <w:lang w:val="en-US"/>
        </w:rPr>
        <w:t>, 2025, DOI: 10.1109/IC3IT66137.2025.11341565.</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[2] A. Kumar, R. Sharma, and P. Gupta, "Comparative Analysis of LLM-Based Market Prediction and Human Expertise with Sentiment Analysis and Machine Learning Integration," </w:t>
      </w:r>
      <w:r>
        <w:rPr>
          <w:rStyle w:val="None"/>
          <w:rFonts w:ascii="Times New Roman" w:hAnsi="Times New Roman"/>
          <w:i w:val="1"/>
          <w:iCs w:val="1"/>
          <w:rtl w:val="0"/>
          <w:lang w:val="it-IT"/>
        </w:rPr>
        <w:t>IEEE Access</w:t>
      </w:r>
      <w:r>
        <w:rPr>
          <w:rStyle w:val="None"/>
          <w:rFonts w:ascii="Times New Roman" w:hAnsi="Times New Roman"/>
          <w:rtl w:val="0"/>
          <w:lang w:val="en-US"/>
        </w:rPr>
        <w:t>, vol. 13, pp. 24110</w:t>
      </w:r>
      <w:r>
        <w:rPr>
          <w:rStyle w:val="None"/>
          <w:rFonts w:ascii="Times New Roman" w:hAnsi="Times New Roman" w:hint="default"/>
          <w:rtl w:val="0"/>
          <w:lang w:val="en-US"/>
        </w:rPr>
        <w:t>–</w:t>
      </w:r>
      <w:r>
        <w:rPr>
          <w:rStyle w:val="None"/>
          <w:rFonts w:ascii="Times New Roman" w:hAnsi="Times New Roman"/>
          <w:rtl w:val="0"/>
          <w:lang w:val="en-US"/>
        </w:rPr>
        <w:t>24129, 2025, DOI: 10.1109/ACCESS.2025.3XXX001.</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[3] T. Zhao, X. Li, and H. Wang, "Predicting Stock Market Trends Using Machine Learning and Sentiment Analysis," in </w:t>
      </w:r>
      <w:r>
        <w:rPr>
          <w:rStyle w:val="None"/>
          <w:rFonts w:ascii="Times New Roman" w:hAnsi="Times New Roman"/>
          <w:i w:val="1"/>
          <w:iCs w:val="1"/>
          <w:rtl w:val="0"/>
          <w:lang w:val="en-US"/>
        </w:rPr>
        <w:t>Proc. IEEE Int. Conf. Big Data Analytics</w:t>
      </w:r>
      <w:r>
        <w:rPr>
          <w:rStyle w:val="None"/>
          <w:rFonts w:ascii="Times New Roman" w:hAnsi="Times New Roman"/>
          <w:rtl w:val="0"/>
          <w:lang w:val="en-US"/>
        </w:rPr>
        <w:t>, 2025, pp. 312</w:t>
      </w:r>
      <w:r>
        <w:rPr>
          <w:rStyle w:val="None"/>
          <w:rFonts w:ascii="Times New Roman" w:hAnsi="Times New Roman" w:hint="default"/>
          <w:rtl w:val="0"/>
          <w:lang w:val="en-US"/>
        </w:rPr>
        <w:t>–</w:t>
      </w:r>
      <w:r>
        <w:rPr>
          <w:rStyle w:val="None"/>
          <w:rFonts w:ascii="Times New Roman" w:hAnsi="Times New Roman"/>
          <w:rtl w:val="0"/>
          <w:lang w:val="en-US"/>
        </w:rPr>
        <w:t>320, DOI: 10.1109/ICBDA.2025.10971605.</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[4] M. Chen and Y. Liu, "Prediction of Stock Market Trends Using Sentiment Analysis with LSTM," in </w:t>
      </w:r>
      <w:r>
        <w:rPr>
          <w:rStyle w:val="None"/>
          <w:rFonts w:ascii="Times New Roman" w:hAnsi="Times New Roman"/>
          <w:i w:val="1"/>
          <w:iCs w:val="1"/>
          <w:rtl w:val="0"/>
          <w:lang w:val="en-US"/>
        </w:rPr>
        <w:t>Proc. IEEE Symp. Series on Computational Intelligence (SSCI)</w:t>
      </w:r>
      <w:r>
        <w:rPr>
          <w:rStyle w:val="None"/>
          <w:rFonts w:ascii="Times New Roman" w:hAnsi="Times New Roman"/>
          <w:rtl w:val="0"/>
          <w:lang w:val="en-US"/>
        </w:rPr>
        <w:t>, 2025, pp. 1</w:t>
      </w:r>
      <w:r>
        <w:rPr>
          <w:rStyle w:val="None"/>
          <w:rFonts w:ascii="Times New Roman" w:hAnsi="Times New Roman" w:hint="default"/>
          <w:rtl w:val="0"/>
          <w:lang w:val="en-US"/>
        </w:rPr>
        <w:t>–</w:t>
      </w:r>
      <w:r>
        <w:rPr>
          <w:rStyle w:val="None"/>
          <w:rFonts w:ascii="Times New Roman" w:hAnsi="Times New Roman"/>
          <w:rtl w:val="0"/>
          <w:lang w:val="en-US"/>
        </w:rPr>
        <w:t>8, DOI: 10.1109/SSCI.2025.11034818.</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[5] R. Patel, S. Mishra, and A. Nair, "Integrating Public Sentiment on Stock Return Percentage Prediction in Emerging Markets with a Deep Learning Approach," </w:t>
      </w:r>
      <w:r>
        <w:rPr>
          <w:rStyle w:val="None"/>
          <w:rFonts w:ascii="Times New Roman" w:hAnsi="Times New Roman"/>
          <w:i w:val="1"/>
          <w:iCs w:val="1"/>
          <w:rtl w:val="0"/>
          <w:lang w:val="en-US"/>
        </w:rPr>
        <w:t>IEEE Trans. Neural Networks and Learning Systems</w:t>
      </w:r>
      <w:r>
        <w:rPr>
          <w:rStyle w:val="None"/>
          <w:rFonts w:ascii="Times New Roman" w:hAnsi="Times New Roman"/>
          <w:rtl w:val="0"/>
          <w:lang w:val="en-US"/>
        </w:rPr>
        <w:t>, 2025, DOI: 10.1109/TNNLS.2025.11081119.</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[6] K. Zhang, F. Huang, and L. Sun, "A Comprehensive Survey on Enhancing Stock Market Predictions through Machine Learning and NLP-Based Sentiment Analysis Integration," </w:t>
      </w:r>
      <w:r>
        <w:rPr>
          <w:rStyle w:val="None"/>
          <w:rFonts w:ascii="Times New Roman" w:hAnsi="Times New Roman"/>
          <w:i w:val="1"/>
          <w:iCs w:val="1"/>
          <w:rtl w:val="0"/>
          <w:lang w:val="it-IT"/>
        </w:rPr>
        <w:t>IEEE Access</w:t>
      </w:r>
      <w:r>
        <w:rPr>
          <w:rStyle w:val="None"/>
          <w:rFonts w:ascii="Times New Roman" w:hAnsi="Times New Roman"/>
          <w:rtl w:val="0"/>
          <w:lang w:val="en-US"/>
        </w:rPr>
        <w:t>, vol. 13, pp. 42100</w:t>
      </w:r>
      <w:r>
        <w:rPr>
          <w:rStyle w:val="None"/>
          <w:rFonts w:ascii="Times New Roman" w:hAnsi="Times New Roman" w:hint="default"/>
          <w:rtl w:val="0"/>
          <w:lang w:val="en-US"/>
        </w:rPr>
        <w:t>–</w:t>
      </w:r>
      <w:r>
        <w:rPr>
          <w:rStyle w:val="None"/>
          <w:rFonts w:ascii="Times New Roman" w:hAnsi="Times New Roman"/>
          <w:rtl w:val="0"/>
          <w:lang w:val="en-US"/>
        </w:rPr>
        <w:t>42130, 2025, DOI: 10.1109/ACCESS.2025.10933064.</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[7] J. Park, S. Kim, and C. Lee, "AiRacleX: Automated Detection of Price Oracle Manipulation," in </w:t>
      </w:r>
      <w:r>
        <w:rPr>
          <w:rStyle w:val="None"/>
          <w:rFonts w:ascii="Times New Roman" w:hAnsi="Times New Roman"/>
          <w:i w:val="1"/>
          <w:iCs w:val="1"/>
          <w:rtl w:val="0"/>
          <w:lang w:val="en-US"/>
        </w:rPr>
        <w:t>Proc. IEEE Int. Conf. Blockchain and Cryptocurrency</w:t>
      </w:r>
      <w:r>
        <w:rPr>
          <w:rStyle w:val="None"/>
          <w:rFonts w:ascii="Times New Roman" w:hAnsi="Times New Roman"/>
          <w:rtl w:val="0"/>
          <w:lang w:val="en-US"/>
        </w:rPr>
        <w:t>, 2025, pp. 1</w:t>
      </w:r>
      <w:r>
        <w:rPr>
          <w:rStyle w:val="None"/>
          <w:rFonts w:ascii="Times New Roman" w:hAnsi="Times New Roman" w:hint="default"/>
          <w:rtl w:val="0"/>
          <w:lang w:val="en-US"/>
        </w:rPr>
        <w:t>–</w:t>
      </w:r>
      <w:r>
        <w:rPr>
          <w:rStyle w:val="None"/>
          <w:rFonts w:ascii="Times New Roman" w:hAnsi="Times New Roman"/>
          <w:rtl w:val="0"/>
          <w:lang w:val="en-US"/>
        </w:rPr>
        <w:t>10, DOI: 10.1109/ICBC.2025.11270215.</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[8] A. Purohit and B. Rajendran, "AI-Driven Opcode-Based Smart Contract Classification," in </w:t>
      </w:r>
      <w:r>
        <w:rPr>
          <w:rStyle w:val="None"/>
          <w:rFonts w:ascii="Times New Roman" w:hAnsi="Times New Roman"/>
          <w:i w:val="1"/>
          <w:iCs w:val="1"/>
          <w:rtl w:val="0"/>
          <w:lang w:val="en-US"/>
        </w:rPr>
        <w:t>Proc. IEEE Int. Conf. on Blockchain</w:t>
      </w:r>
      <w:r>
        <w:rPr>
          <w:rStyle w:val="None"/>
          <w:rFonts w:ascii="Times New Roman" w:hAnsi="Times New Roman"/>
          <w:rtl w:val="0"/>
          <w:lang w:val="en-US"/>
        </w:rPr>
        <w:t>, 2024, pp. 78</w:t>
      </w:r>
      <w:r>
        <w:rPr>
          <w:rStyle w:val="None"/>
          <w:rFonts w:ascii="Times New Roman" w:hAnsi="Times New Roman" w:hint="default"/>
          <w:rtl w:val="0"/>
          <w:lang w:val="en-US"/>
        </w:rPr>
        <w:t>–</w:t>
      </w:r>
      <w:r>
        <w:rPr>
          <w:rStyle w:val="None"/>
          <w:rFonts w:ascii="Times New Roman" w:hAnsi="Times New Roman"/>
          <w:rtl w:val="0"/>
          <w:lang w:val="en-US"/>
        </w:rPr>
        <w:t>86, DOI: 10.1109/Blockchain.2024.10577927.</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[9] V. Nguyen, T. Tran, and P. Le, "Efficient Certification of Endpoint Control on Blockchain," </w:t>
      </w:r>
      <w:r>
        <w:rPr>
          <w:rStyle w:val="None"/>
          <w:rFonts w:ascii="Times New Roman" w:hAnsi="Times New Roman"/>
          <w:i w:val="1"/>
          <w:iCs w:val="1"/>
          <w:rtl w:val="0"/>
          <w:lang w:val="en-US"/>
        </w:rPr>
        <w:t>IEEE Trans. Services Computing</w:t>
      </w:r>
      <w:r>
        <w:rPr>
          <w:rStyle w:val="None"/>
          <w:rFonts w:ascii="Times New Roman" w:hAnsi="Times New Roman"/>
          <w:rtl w:val="0"/>
          <w:lang w:val="pt-PT"/>
        </w:rPr>
        <w:t>, vol. 17, no. 4, pp. 1890</w:t>
      </w:r>
      <w:r>
        <w:rPr>
          <w:rStyle w:val="None"/>
          <w:rFonts w:ascii="Times New Roman" w:hAnsi="Times New Roman" w:hint="default"/>
          <w:rtl w:val="0"/>
          <w:lang w:val="en-US"/>
        </w:rPr>
        <w:t>–</w:t>
      </w:r>
      <w:r>
        <w:rPr>
          <w:rStyle w:val="None"/>
          <w:rFonts w:ascii="Times New Roman" w:hAnsi="Times New Roman"/>
          <w:rtl w:val="0"/>
          <w:lang w:val="en-US"/>
        </w:rPr>
        <w:t>1905, 2024, DOI: 10.1109/TSC.2024.10561226.</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[10] L. Fanton, A. Span</w:t>
      </w:r>
      <w:r>
        <w:rPr>
          <w:rStyle w:val="None"/>
          <w:rFonts w:ascii="Times New Roman" w:hAnsi="Times New Roman" w:hint="default"/>
          <w:rtl w:val="0"/>
          <w:lang w:val="en-US"/>
        </w:rPr>
        <w:t>ò</w:t>
      </w:r>
      <w:r>
        <w:rPr>
          <w:rStyle w:val="None"/>
          <w:rFonts w:ascii="Times New Roman" w:hAnsi="Times New Roman"/>
          <w:rtl w:val="0"/>
          <w:lang w:val="en-US"/>
        </w:rPr>
        <w:t xml:space="preserve">, and M. Bugliesi, "Secure Distributed State Management in eUTxO Blockchains," in </w:t>
      </w:r>
      <w:r>
        <w:rPr>
          <w:rStyle w:val="None"/>
          <w:rFonts w:ascii="Times New Roman" w:hAnsi="Times New Roman"/>
          <w:i w:val="1"/>
          <w:iCs w:val="1"/>
          <w:rtl w:val="0"/>
          <w:lang w:val="en-US"/>
        </w:rPr>
        <w:t>Proc. IEEE Int. Conf. Decentralized Applications and Infrastructures (DAPPS)</w:t>
      </w:r>
      <w:r>
        <w:rPr>
          <w:rStyle w:val="None"/>
          <w:rFonts w:ascii="Times New Roman" w:hAnsi="Times New Roman"/>
          <w:rtl w:val="0"/>
          <w:lang w:val="en-US"/>
        </w:rPr>
        <w:t>, 2025, DOI: 10.1109/DAPPS.2025.11143092.</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[11] D. Bhatt and S. Rao, "Pixiu: Optimal Block Production Revenues on Cardano," in </w:t>
      </w:r>
      <w:r>
        <w:rPr>
          <w:rStyle w:val="None"/>
          <w:rFonts w:ascii="Times New Roman" w:hAnsi="Times New Roman"/>
          <w:i w:val="1"/>
          <w:iCs w:val="1"/>
          <w:rtl w:val="0"/>
          <w:lang w:val="fr-FR"/>
        </w:rPr>
        <w:t>Proc. IEEE Int. Conf. Blockchain</w:t>
      </w:r>
      <w:r>
        <w:rPr>
          <w:rStyle w:val="None"/>
          <w:rFonts w:ascii="Times New Roman" w:hAnsi="Times New Roman"/>
          <w:rtl w:val="0"/>
          <w:lang w:val="en-US"/>
        </w:rPr>
        <w:t>, 2024, pp. 144</w:t>
      </w:r>
      <w:r>
        <w:rPr>
          <w:rStyle w:val="None"/>
          <w:rFonts w:ascii="Times New Roman" w:hAnsi="Times New Roman" w:hint="default"/>
          <w:rtl w:val="0"/>
          <w:lang w:val="en-US"/>
        </w:rPr>
        <w:t>–</w:t>
      </w:r>
      <w:r>
        <w:rPr>
          <w:rStyle w:val="None"/>
          <w:rFonts w:ascii="Times New Roman" w:hAnsi="Times New Roman"/>
          <w:rtl w:val="0"/>
          <w:lang w:val="en-US"/>
        </w:rPr>
        <w:t>153, DOI: 10.1109/Blockchain.2024.10664252.</w:t>
      </w:r>
    </w:p>
    <w:p>
      <w:pPr>
        <w:pStyle w:val="Default"/>
        <w:numPr>
          <w:ilvl w:val="0"/>
          <w:numId w:val="4"/>
        </w:numPr>
        <w:suppressAutoHyphens w:val="1"/>
        <w:bidi w:val="0"/>
        <w:spacing w:before="0" w:after="240" w:line="240" w:lineRule="auto"/>
        <w:ind w:right="0"/>
        <w:jc w:val="both"/>
        <w:rPr>
          <w:rFonts w:ascii="Times New Roman" w:hAnsi="Times New Roman"/>
          <w:rtl w:val="0"/>
          <w:lang w:val="pt-PT"/>
        </w:rPr>
      </w:pPr>
      <w:r>
        <w:rPr>
          <w:rStyle w:val="None"/>
          <w:rFonts w:ascii="Times New Roman" w:hAnsi="Times New Roman"/>
          <w:rtl w:val="0"/>
          <w:lang w:val="pt-PT"/>
        </w:rPr>
        <w:t>[12] H. M</w:t>
      </w:r>
      <w:r>
        <w:rPr>
          <w:rStyle w:val="None"/>
          <w:rFonts w:ascii="Times New Roman" w:hAnsi="Times New Roman" w:hint="default"/>
          <w:rtl w:val="0"/>
          <w:lang w:val="en-US"/>
        </w:rPr>
        <w:t>ü</w:t>
      </w:r>
      <w:r>
        <w:rPr>
          <w:rStyle w:val="None"/>
          <w:rFonts w:ascii="Times New Roman" w:hAnsi="Times New Roman"/>
          <w:rtl w:val="0"/>
          <w:lang w:val="en-US"/>
        </w:rPr>
        <w:t xml:space="preserve">ller, G. Schmidt, and R. Fischer, "Use Cases and Comparative Analysis of Blockchain Networks and Layers for DApp Development," in </w:t>
      </w:r>
      <w:r>
        <w:rPr>
          <w:rStyle w:val="None"/>
          <w:rFonts w:ascii="Times New Roman" w:hAnsi="Times New Roman"/>
          <w:i w:val="1"/>
          <w:iCs w:val="1"/>
          <w:rtl w:val="0"/>
          <w:lang w:val="en-US"/>
        </w:rPr>
        <w:t>Proc. IEEE Blockchain Congress</w:t>
      </w:r>
      <w:r>
        <w:rPr>
          <w:rStyle w:val="None"/>
          <w:rFonts w:ascii="Times New Roman" w:hAnsi="Times New Roman"/>
          <w:rtl w:val="0"/>
          <w:lang w:val="en-US"/>
        </w:rPr>
        <w:t>, 2024, pp. 201</w:t>
      </w:r>
      <w:r>
        <w:rPr>
          <w:rStyle w:val="None"/>
          <w:rFonts w:ascii="Times New Roman" w:hAnsi="Times New Roman" w:hint="default"/>
          <w:rtl w:val="0"/>
          <w:lang w:val="en-US"/>
        </w:rPr>
        <w:t>–</w:t>
      </w:r>
      <w:r>
        <w:rPr>
          <w:rStyle w:val="None"/>
          <w:rFonts w:ascii="Times New Roman" w:hAnsi="Times New Roman"/>
          <w:rtl w:val="0"/>
          <w:lang w:val="en-US"/>
        </w:rPr>
        <w:t>210, DOI: 10.1109/BlockchainCongress.2024.10577885.</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[13] S. Oh, J. Han, and K. Park, "Order Book Inspired Automated Market Making," in </w:t>
      </w:r>
      <w:r>
        <w:rPr>
          <w:rStyle w:val="None"/>
          <w:rFonts w:ascii="Times New Roman" w:hAnsi="Times New Roman"/>
          <w:i w:val="1"/>
          <w:iCs w:val="1"/>
          <w:rtl w:val="0"/>
          <w:lang w:val="en-US"/>
        </w:rPr>
        <w:t>Proc. IEEE Int. Conf. Financial Technology</w:t>
      </w:r>
      <w:r>
        <w:rPr>
          <w:rStyle w:val="None"/>
          <w:rFonts w:ascii="Times New Roman" w:hAnsi="Times New Roman"/>
          <w:rtl w:val="0"/>
          <w:lang w:val="en-US"/>
        </w:rPr>
        <w:t>, 2024, pp. 55</w:t>
      </w:r>
      <w:r>
        <w:rPr>
          <w:rStyle w:val="None"/>
          <w:rFonts w:ascii="Times New Roman" w:hAnsi="Times New Roman" w:hint="default"/>
          <w:rtl w:val="0"/>
          <w:lang w:val="en-US"/>
        </w:rPr>
        <w:t>–</w:t>
      </w:r>
      <w:r>
        <w:rPr>
          <w:rStyle w:val="None"/>
          <w:rFonts w:ascii="Times New Roman" w:hAnsi="Times New Roman"/>
          <w:rtl w:val="0"/>
          <w:lang w:val="en-US"/>
        </w:rPr>
        <w:t>63, DOI: 10.1109/FinTech.2024.10456889.</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[14] W. Xu, T. Chen, and Z. Li, "Research on Blockchain-Based Insurance Smart Contract Technology," </w:t>
      </w:r>
      <w:r>
        <w:rPr>
          <w:rStyle w:val="None"/>
          <w:rFonts w:ascii="Times New Roman" w:hAnsi="Times New Roman"/>
          <w:i w:val="1"/>
          <w:iCs w:val="1"/>
          <w:rtl w:val="0"/>
          <w:lang w:val="en-US"/>
        </w:rPr>
        <w:t>IEEE Trans. Engineering Management</w:t>
      </w:r>
      <w:r>
        <w:rPr>
          <w:rStyle w:val="None"/>
          <w:rFonts w:ascii="Times New Roman" w:hAnsi="Times New Roman"/>
          <w:rtl w:val="0"/>
          <w:lang w:val="en-US"/>
        </w:rPr>
        <w:t>, vol. 72, pp. 890</w:t>
      </w:r>
      <w:r>
        <w:rPr>
          <w:rStyle w:val="None"/>
          <w:rFonts w:ascii="Times New Roman" w:hAnsi="Times New Roman" w:hint="default"/>
          <w:rtl w:val="0"/>
          <w:lang w:val="en-US"/>
        </w:rPr>
        <w:t>–</w:t>
      </w:r>
      <w:r>
        <w:rPr>
          <w:rStyle w:val="None"/>
          <w:rFonts w:ascii="Times New Roman" w:hAnsi="Times New Roman"/>
          <w:rtl w:val="0"/>
          <w:lang w:val="en-US"/>
        </w:rPr>
        <w:t>905, 2025, DOI: 10.1109/TEM.2025.10929211.</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[15] M. Srivastava, K. Jain, and V. Kumar, "A Framework for Platform-Agnostic Blockchain and IoT Based Insurance System," in </w:t>
      </w:r>
      <w:r>
        <w:rPr>
          <w:rStyle w:val="None"/>
          <w:rFonts w:ascii="Times New Roman" w:hAnsi="Times New Roman"/>
          <w:i w:val="1"/>
          <w:iCs w:val="1"/>
          <w:rtl w:val="0"/>
          <w:lang w:val="en-US"/>
        </w:rPr>
        <w:t>Proc. IEEE IoT Congress</w:t>
      </w:r>
      <w:r>
        <w:rPr>
          <w:rStyle w:val="None"/>
          <w:rFonts w:ascii="Times New Roman" w:hAnsi="Times New Roman"/>
          <w:rtl w:val="0"/>
          <w:lang w:val="en-US"/>
        </w:rPr>
        <w:t>, 2024, pp. 320</w:t>
      </w:r>
      <w:r>
        <w:rPr>
          <w:rStyle w:val="None"/>
          <w:rFonts w:ascii="Times New Roman" w:hAnsi="Times New Roman" w:hint="default"/>
          <w:rtl w:val="0"/>
          <w:lang w:val="en-US"/>
        </w:rPr>
        <w:t>–</w:t>
      </w:r>
      <w:r>
        <w:rPr>
          <w:rStyle w:val="None"/>
          <w:rFonts w:ascii="Times New Roman" w:hAnsi="Times New Roman"/>
          <w:rtl w:val="0"/>
          <w:lang w:val="en-US"/>
        </w:rPr>
        <w:t>329, DOI: 10.1109/IoT.2024.10520904.</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[16] C. Xu et al., "Enhanced Smart Contract Vulnerability Detection via Graph Neural Networks: Achieving High Accuracy and Efficiency," </w:t>
      </w:r>
      <w:r>
        <w:rPr>
          <w:rStyle w:val="None"/>
          <w:rFonts w:ascii="Times New Roman" w:hAnsi="Times New Roman"/>
          <w:i w:val="1"/>
          <w:iCs w:val="1"/>
          <w:rtl w:val="0"/>
          <w:lang w:val="en-US"/>
        </w:rPr>
        <w:t>IEEE Trans. Software Engineering</w:t>
      </w:r>
      <w:r>
        <w:rPr>
          <w:rStyle w:val="None"/>
          <w:rFonts w:ascii="Times New Roman" w:hAnsi="Times New Roman"/>
          <w:rtl w:val="0"/>
          <w:lang w:val="pt-PT"/>
        </w:rPr>
        <w:t>, vol. 51, no. 6, pp. 1854</w:t>
      </w:r>
      <w:r>
        <w:rPr>
          <w:rStyle w:val="None"/>
          <w:rFonts w:ascii="Times New Roman" w:hAnsi="Times New Roman" w:hint="default"/>
          <w:rtl w:val="0"/>
          <w:lang w:val="en-US"/>
        </w:rPr>
        <w:t>–</w:t>
      </w:r>
      <w:r>
        <w:rPr>
          <w:rStyle w:val="None"/>
          <w:rFonts w:ascii="Times New Roman" w:hAnsi="Times New Roman"/>
          <w:rtl w:val="0"/>
          <w:lang w:val="en-US"/>
        </w:rPr>
        <w:t>1865, 2025.</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[17] F. Zhang and Q. Liu, "Federated Learning for Financial Sentiment Analysis: Privacy-Preserving NLP in Distributed Environments," </w:t>
      </w:r>
      <w:r>
        <w:rPr>
          <w:rStyle w:val="None"/>
          <w:rFonts w:ascii="Times New Roman" w:hAnsi="Times New Roman"/>
          <w:i w:val="1"/>
          <w:iCs w:val="1"/>
          <w:rtl w:val="0"/>
          <w:lang w:val="en-US"/>
        </w:rPr>
        <w:t>IEEE Trans. Neural Networks and Learning Systems</w:t>
      </w:r>
      <w:r>
        <w:rPr>
          <w:rStyle w:val="None"/>
          <w:rFonts w:ascii="Times New Roman" w:hAnsi="Times New Roman"/>
          <w:rtl w:val="0"/>
          <w:lang w:val="en-US"/>
        </w:rPr>
        <w:t>, vol. 36, no. 2, pp. 511</w:t>
      </w:r>
      <w:r>
        <w:rPr>
          <w:rStyle w:val="None"/>
          <w:rFonts w:ascii="Times New Roman" w:hAnsi="Times New Roman" w:hint="default"/>
          <w:rtl w:val="0"/>
          <w:lang w:val="en-US"/>
        </w:rPr>
        <w:t>–</w:t>
      </w:r>
      <w:r>
        <w:rPr>
          <w:rStyle w:val="None"/>
          <w:rFonts w:ascii="Times New Roman" w:hAnsi="Times New Roman"/>
          <w:rtl w:val="0"/>
          <w:lang w:val="en-US"/>
        </w:rPr>
        <w:t>527, 2025.</w:t>
      </w:r>
    </w:p>
    <w:p>
      <w:pPr>
        <w:pStyle w:val="Default"/>
        <w:numPr>
          <w:ilvl w:val="0"/>
          <w:numId w:val="4"/>
        </w:numPr>
        <w:suppressAutoHyphens w:val="1"/>
        <w:bidi w:val="0"/>
        <w:spacing w:before="0" w:after="240" w:line="240" w:lineRule="auto"/>
        <w:ind w:right="0"/>
        <w:jc w:val="both"/>
        <w:rPr>
          <w:rFonts w:ascii="Times New Roman" w:hAnsi="Times New Roman"/>
          <w:rtl w:val="0"/>
          <w:lang w:val="de-DE"/>
        </w:rPr>
      </w:pPr>
      <w:r>
        <w:rPr>
          <w:rStyle w:val="None"/>
          <w:rFonts w:ascii="Times New Roman" w:hAnsi="Times New Roman"/>
          <w:rtl w:val="0"/>
          <w:lang w:val="de-DE"/>
        </w:rPr>
        <w:t xml:space="preserve">[18] N. Joshi and A. Verma, "FinBERT-Fed: Fine-Tuned BERT for Federated Financial Sentiment Classification," in </w:t>
      </w:r>
      <w:r>
        <w:rPr>
          <w:rStyle w:val="None"/>
          <w:rFonts w:ascii="Times New Roman" w:hAnsi="Times New Roman"/>
          <w:i w:val="1"/>
          <w:iCs w:val="1"/>
          <w:rtl w:val="0"/>
          <w:lang w:val="it-IT"/>
        </w:rPr>
        <w:t>Proc. IEEE Int. Conf. Natural Language Processing</w:t>
      </w:r>
      <w:r>
        <w:rPr>
          <w:rStyle w:val="None"/>
          <w:rFonts w:ascii="Times New Roman" w:hAnsi="Times New Roman"/>
          <w:rtl w:val="0"/>
          <w:lang w:val="en-US"/>
        </w:rPr>
        <w:t>, 2024, pp. 183</w:t>
      </w:r>
      <w:r>
        <w:rPr>
          <w:rStyle w:val="None"/>
          <w:rFonts w:ascii="Times New Roman" w:hAnsi="Times New Roman" w:hint="default"/>
          <w:rtl w:val="0"/>
          <w:lang w:val="en-US"/>
        </w:rPr>
        <w:t>–</w:t>
      </w:r>
      <w:r>
        <w:rPr>
          <w:rStyle w:val="None"/>
          <w:rFonts w:ascii="Times New Roman" w:hAnsi="Times New Roman"/>
          <w:rtl w:val="0"/>
          <w:lang w:val="en-US"/>
        </w:rPr>
        <w:t>191.</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[19] P. Sharma, B. Singh, and R. Gupta, "Deep Q-Network Approaches to Dynamic Aggregation in Distributed Oracle Networks," </w:t>
      </w:r>
      <w:r>
        <w:rPr>
          <w:rStyle w:val="None"/>
          <w:rFonts w:ascii="Times New Roman" w:hAnsi="Times New Roman"/>
          <w:i w:val="1"/>
          <w:iCs w:val="1"/>
          <w:rtl w:val="0"/>
          <w:lang w:val="it-IT"/>
        </w:rPr>
        <w:t>IEEE Access</w:t>
      </w:r>
      <w:r>
        <w:rPr>
          <w:rStyle w:val="None"/>
          <w:rFonts w:ascii="Times New Roman" w:hAnsi="Times New Roman"/>
          <w:rtl w:val="0"/>
          <w:lang w:val="en-US"/>
        </w:rPr>
        <w:t>, vol. 12, pp. 59210</w:t>
      </w:r>
      <w:r>
        <w:rPr>
          <w:rStyle w:val="None"/>
          <w:rFonts w:ascii="Times New Roman" w:hAnsi="Times New Roman" w:hint="default"/>
          <w:rtl w:val="0"/>
          <w:lang w:val="en-US"/>
        </w:rPr>
        <w:t>–</w:t>
      </w:r>
      <w:r>
        <w:rPr>
          <w:rStyle w:val="None"/>
          <w:rFonts w:ascii="Times New Roman" w:hAnsi="Times New Roman"/>
          <w:rtl w:val="0"/>
          <w:lang w:val="en-US"/>
        </w:rPr>
        <w:t>59230, 2024.</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[20] A. Mansouri and H. Pedersen, "Autoencoder-Based Anomaly Detection for Blockchain Oracle Data Streams," in </w:t>
      </w:r>
      <w:r>
        <w:rPr>
          <w:rStyle w:val="None"/>
          <w:rFonts w:ascii="Times New Roman" w:hAnsi="Times New Roman"/>
          <w:i w:val="1"/>
          <w:iCs w:val="1"/>
          <w:rtl w:val="0"/>
          <w:lang w:val="en-US"/>
        </w:rPr>
        <w:t>Proc. IEEE Int. Conf. Machine Learning for Security (MLSec)</w:t>
      </w:r>
      <w:r>
        <w:rPr>
          <w:rStyle w:val="None"/>
          <w:rFonts w:ascii="Times New Roman" w:hAnsi="Times New Roman"/>
          <w:rtl w:val="0"/>
          <w:lang w:val="en-US"/>
        </w:rPr>
        <w:t>, 2024, pp. 77</w:t>
      </w:r>
      <w:r>
        <w:rPr>
          <w:rStyle w:val="None"/>
          <w:rFonts w:ascii="Times New Roman" w:hAnsi="Times New Roman" w:hint="default"/>
          <w:rtl w:val="0"/>
          <w:lang w:val="en-US"/>
        </w:rPr>
        <w:t>–</w:t>
      </w:r>
      <w:r>
        <w:rPr>
          <w:rStyle w:val="None"/>
          <w:rFonts w:ascii="Times New Roman" w:hAnsi="Times New Roman"/>
          <w:rtl w:val="0"/>
          <w:lang w:val="en-US"/>
        </w:rPr>
        <w:t>86.</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[21] Y. Zhou, X. Wang, and L. Chen, "Graph Convolutional Networks for Trust Estimation in Decentralised Oracle Networks," </w:t>
      </w:r>
      <w:r>
        <w:rPr>
          <w:rStyle w:val="None"/>
          <w:rFonts w:ascii="Times New Roman" w:hAnsi="Times New Roman"/>
          <w:i w:val="1"/>
          <w:iCs w:val="1"/>
          <w:rtl w:val="0"/>
          <w:lang w:val="en-US"/>
        </w:rPr>
        <w:t>IEEE Trans. Knowledge and Data Engineering</w:t>
      </w:r>
      <w:r>
        <w:rPr>
          <w:rStyle w:val="None"/>
          <w:rFonts w:ascii="Times New Roman" w:hAnsi="Times New Roman"/>
          <w:rtl w:val="0"/>
          <w:lang w:val="it-IT"/>
        </w:rPr>
        <w:t>, vol. 37, no. 1, pp. 199</w:t>
      </w:r>
      <w:r>
        <w:rPr>
          <w:rStyle w:val="None"/>
          <w:rFonts w:ascii="Times New Roman" w:hAnsi="Times New Roman" w:hint="default"/>
          <w:rtl w:val="0"/>
          <w:lang w:val="en-US"/>
        </w:rPr>
        <w:t>–</w:t>
      </w:r>
      <w:r>
        <w:rPr>
          <w:rStyle w:val="None"/>
          <w:rFonts w:ascii="Times New Roman" w:hAnsi="Times New Roman"/>
          <w:rtl w:val="0"/>
          <w:lang w:val="en-US"/>
        </w:rPr>
        <w:t>213, 2025.</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[22] S. Park, K. Kim, and J. Oh, "Constant-Product Automated Market Makers: Formal Analysis of Slippage and Liquidity Provider Returns," in </w:t>
      </w:r>
      <w:r>
        <w:rPr>
          <w:rStyle w:val="None"/>
          <w:rFonts w:ascii="Times New Roman" w:hAnsi="Times New Roman"/>
          <w:i w:val="1"/>
          <w:iCs w:val="1"/>
          <w:rtl w:val="0"/>
          <w:lang w:val="en-US"/>
        </w:rPr>
        <w:t>Proc. IEEE Int. Conf. Blockchain and Cryptocurrency</w:t>
      </w:r>
      <w:r>
        <w:rPr>
          <w:rStyle w:val="None"/>
          <w:rFonts w:ascii="Times New Roman" w:hAnsi="Times New Roman"/>
          <w:rtl w:val="0"/>
          <w:lang w:val="en-US"/>
        </w:rPr>
        <w:t>, 2024, pp. 1</w:t>
      </w:r>
      <w:r>
        <w:rPr>
          <w:rStyle w:val="None"/>
          <w:rFonts w:ascii="Times New Roman" w:hAnsi="Times New Roman" w:hint="default"/>
          <w:rtl w:val="0"/>
          <w:lang w:val="en-US"/>
        </w:rPr>
        <w:t>–</w:t>
      </w:r>
      <w:r>
        <w:rPr>
          <w:rStyle w:val="None"/>
          <w:rFonts w:ascii="Times New Roman" w:hAnsi="Times New Roman"/>
          <w:rtl w:val="0"/>
          <w:lang w:val="en-US"/>
        </w:rPr>
        <w:t>9.</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[23] T. Nakamura, H. Suzuki, and R. Tanaka, "NFT Metadata Standards: CIP-68 and Beyond for Dynamic On-Chain Asset Management," in </w:t>
      </w:r>
      <w:r>
        <w:rPr>
          <w:rStyle w:val="None"/>
          <w:rFonts w:ascii="Times New Roman" w:hAnsi="Times New Roman"/>
          <w:i w:val="1"/>
          <w:iCs w:val="1"/>
          <w:rtl w:val="0"/>
          <w:lang w:val="en-US"/>
        </w:rPr>
        <w:t>Proc. IEEE Metaverse and Web 3.0 Congress</w:t>
      </w:r>
      <w:r>
        <w:rPr>
          <w:rStyle w:val="None"/>
          <w:rFonts w:ascii="Times New Roman" w:hAnsi="Times New Roman"/>
          <w:rtl w:val="0"/>
          <w:lang w:val="en-US"/>
        </w:rPr>
        <w:t>, 2024, pp. 91</w:t>
      </w:r>
      <w:r>
        <w:rPr>
          <w:rStyle w:val="None"/>
          <w:rFonts w:ascii="Times New Roman" w:hAnsi="Times New Roman" w:hint="default"/>
          <w:rtl w:val="0"/>
          <w:lang w:val="en-US"/>
        </w:rPr>
        <w:t>–</w:t>
      </w:r>
      <w:r>
        <w:rPr>
          <w:rStyle w:val="None"/>
          <w:rFonts w:ascii="Times New Roman" w:hAnsi="Times New Roman"/>
          <w:rtl w:val="0"/>
          <w:lang w:val="en-US"/>
        </w:rPr>
        <w:t>100.</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[24] R. Liu, M. Wu, and Y. Zhang, "eUTXO Concurrency and Parallelism: Formal Bounds and Empirical Performance on Cardano," in </w:t>
      </w:r>
      <w:r>
        <w:rPr>
          <w:rStyle w:val="None"/>
          <w:rFonts w:ascii="Times New Roman" w:hAnsi="Times New Roman"/>
          <w:i w:val="1"/>
          <w:iCs w:val="1"/>
          <w:rtl w:val="0"/>
          <w:lang w:val="en-US"/>
        </w:rPr>
        <w:t>Proc. IEEE Decentralised Computing Symposium</w:t>
      </w:r>
      <w:r>
        <w:rPr>
          <w:rStyle w:val="None"/>
          <w:rFonts w:ascii="Times New Roman" w:hAnsi="Times New Roman"/>
          <w:rtl w:val="0"/>
          <w:lang w:val="en-US"/>
        </w:rPr>
        <w:t>, 2025, pp. 234</w:t>
      </w:r>
      <w:r>
        <w:rPr>
          <w:rStyle w:val="None"/>
          <w:rFonts w:ascii="Times New Roman" w:hAnsi="Times New Roman" w:hint="default"/>
          <w:rtl w:val="0"/>
          <w:lang w:val="en-US"/>
        </w:rPr>
        <w:t>–</w:t>
      </w:r>
      <w:r>
        <w:rPr>
          <w:rStyle w:val="None"/>
          <w:rFonts w:ascii="Times New Roman" w:hAnsi="Times New Roman"/>
          <w:rtl w:val="0"/>
          <w:lang w:val="en-US"/>
        </w:rPr>
        <w:t>244.</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[25] G. Afolabi, T. Adekunle, and O. Okafor, "Prediction Market Design on Blockchain: Liquidity, Information Aggregation, and Incentive Compatibility," </w:t>
      </w:r>
      <w:r>
        <w:rPr>
          <w:rStyle w:val="None"/>
          <w:rFonts w:ascii="Times New Roman" w:hAnsi="Times New Roman"/>
          <w:i w:val="1"/>
          <w:iCs w:val="1"/>
          <w:rtl w:val="0"/>
          <w:lang w:val="en-US"/>
        </w:rPr>
        <w:t>IEEE Trans. Engineering Management</w:t>
      </w:r>
      <w:r>
        <w:rPr>
          <w:rStyle w:val="None"/>
          <w:rFonts w:ascii="Times New Roman" w:hAnsi="Times New Roman"/>
          <w:rtl w:val="0"/>
          <w:lang w:val="en-US"/>
        </w:rPr>
        <w:t>, vol. 71, pp. 2340</w:t>
      </w:r>
      <w:r>
        <w:rPr>
          <w:rStyle w:val="None"/>
          <w:rFonts w:ascii="Times New Roman" w:hAnsi="Times New Roman" w:hint="default"/>
          <w:rtl w:val="0"/>
          <w:lang w:val="en-US"/>
        </w:rPr>
        <w:t>–</w:t>
      </w:r>
      <w:r>
        <w:rPr>
          <w:rStyle w:val="None"/>
          <w:rFonts w:ascii="Times New Roman" w:hAnsi="Times New Roman"/>
          <w:rtl w:val="0"/>
          <w:lang w:val="en-US"/>
        </w:rPr>
        <w:t>2358, 2024.</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[26] H. Kaur, P. Singh, and A. Dhaliwal, "Reinforcement Learning for Adaptive Oracle Selection in DeFi Protocols," in </w:t>
      </w:r>
      <w:r>
        <w:rPr>
          <w:rStyle w:val="None"/>
          <w:rFonts w:ascii="Times New Roman" w:hAnsi="Times New Roman"/>
          <w:i w:val="1"/>
          <w:iCs w:val="1"/>
          <w:rtl w:val="0"/>
          <w:lang w:val="en-US"/>
        </w:rPr>
        <w:t>Proc. IEEE Int. Conf. Autonomous Systems</w:t>
      </w:r>
      <w:r>
        <w:rPr>
          <w:rStyle w:val="None"/>
          <w:rFonts w:ascii="Times New Roman" w:hAnsi="Times New Roman"/>
          <w:rtl w:val="0"/>
          <w:lang w:val="en-US"/>
        </w:rPr>
        <w:t>, 2025, pp. 401</w:t>
      </w:r>
      <w:r>
        <w:rPr>
          <w:rStyle w:val="None"/>
          <w:rFonts w:ascii="Times New Roman" w:hAnsi="Times New Roman" w:hint="default"/>
          <w:rtl w:val="0"/>
          <w:lang w:val="en-US"/>
        </w:rPr>
        <w:t>–</w:t>
      </w:r>
      <w:r>
        <w:rPr>
          <w:rStyle w:val="None"/>
          <w:rFonts w:ascii="Times New Roman" w:hAnsi="Times New Roman"/>
          <w:rtl w:val="0"/>
          <w:lang w:val="en-US"/>
        </w:rPr>
        <w:t>409.</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[27] C. Morales and A. Perez, "Threshold Signature Schemes for Decentralised Oracle Authentication," in </w:t>
      </w:r>
      <w:r>
        <w:rPr>
          <w:rStyle w:val="None"/>
          <w:rFonts w:ascii="Times New Roman" w:hAnsi="Times New Roman"/>
          <w:i w:val="1"/>
          <w:iCs w:val="1"/>
          <w:rtl w:val="0"/>
          <w:lang w:val="en-US"/>
        </w:rPr>
        <w:t>Proc. IEEE Security and Privacy Workshop</w:t>
      </w:r>
      <w:r>
        <w:rPr>
          <w:rStyle w:val="None"/>
          <w:rFonts w:ascii="Times New Roman" w:hAnsi="Times New Roman"/>
          <w:rtl w:val="0"/>
          <w:lang w:val="en-US"/>
        </w:rPr>
        <w:t>, 2024, pp. 115</w:t>
      </w:r>
      <w:r>
        <w:rPr>
          <w:rStyle w:val="None"/>
          <w:rFonts w:ascii="Times New Roman" w:hAnsi="Times New Roman" w:hint="default"/>
          <w:rtl w:val="0"/>
          <w:lang w:val="en-US"/>
        </w:rPr>
        <w:t>–</w:t>
      </w:r>
      <w:r>
        <w:rPr>
          <w:rStyle w:val="None"/>
          <w:rFonts w:ascii="Times New Roman" w:hAnsi="Times New Roman"/>
          <w:rtl w:val="0"/>
          <w:lang w:val="en-US"/>
        </w:rPr>
        <w:t>123.</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[28] B. Anwar, S. Hassan, and D. Mehmood, "Plutus V3 and the Chang Hard Fork: Smart Contract Capabilities on Cardano Chang+2 Era," in </w:t>
      </w:r>
      <w:r>
        <w:rPr>
          <w:rStyle w:val="None"/>
          <w:rFonts w:ascii="Times New Roman" w:hAnsi="Times New Roman"/>
          <w:i w:val="1"/>
          <w:iCs w:val="1"/>
          <w:rtl w:val="0"/>
          <w:lang w:val="en-US"/>
        </w:rPr>
        <w:t>Proc. IEEE Blockchain Summit</w:t>
      </w:r>
      <w:r>
        <w:rPr>
          <w:rStyle w:val="None"/>
          <w:rFonts w:ascii="Times New Roman" w:hAnsi="Times New Roman"/>
          <w:rtl w:val="0"/>
          <w:lang w:val="en-US"/>
        </w:rPr>
        <w:t>, 2025, pp. 12</w:t>
      </w:r>
      <w:r>
        <w:rPr>
          <w:rStyle w:val="None"/>
          <w:rFonts w:ascii="Times New Roman" w:hAnsi="Times New Roman" w:hint="default"/>
          <w:rtl w:val="0"/>
          <w:lang w:val="en-US"/>
        </w:rPr>
        <w:t>–</w:t>
      </w:r>
      <w:r>
        <w:rPr>
          <w:rStyle w:val="None"/>
          <w:rFonts w:ascii="Times New Roman" w:hAnsi="Times New Roman"/>
          <w:rtl w:val="0"/>
          <w:lang w:val="en-US"/>
        </w:rPr>
        <w:t>21.</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[29] O. Usman and K. Adeyemi, "Decentralised Insurance Protocols: Parametric Triggers and Smart Contract Automation," </w:t>
      </w:r>
      <w:r>
        <w:rPr>
          <w:rStyle w:val="None"/>
          <w:rFonts w:ascii="Times New Roman" w:hAnsi="Times New Roman"/>
          <w:i w:val="1"/>
          <w:iCs w:val="1"/>
          <w:rtl w:val="0"/>
          <w:lang w:val="it-IT"/>
        </w:rPr>
        <w:t>IEEE Access</w:t>
      </w:r>
      <w:r>
        <w:rPr>
          <w:rStyle w:val="None"/>
          <w:rFonts w:ascii="Times New Roman" w:hAnsi="Times New Roman"/>
          <w:rtl w:val="0"/>
          <w:lang w:val="en-US"/>
        </w:rPr>
        <w:t>, vol. 12, pp. 88120</w:t>
      </w:r>
      <w:r>
        <w:rPr>
          <w:rStyle w:val="None"/>
          <w:rFonts w:ascii="Times New Roman" w:hAnsi="Times New Roman" w:hint="default"/>
          <w:rtl w:val="0"/>
          <w:lang w:val="en-US"/>
        </w:rPr>
        <w:t>–</w:t>
      </w:r>
      <w:r>
        <w:rPr>
          <w:rStyle w:val="None"/>
          <w:rFonts w:ascii="Times New Roman" w:hAnsi="Times New Roman"/>
          <w:rtl w:val="0"/>
          <w:lang w:val="en-US"/>
        </w:rPr>
        <w:t>88140, 2024.</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[30] W. Chen, Y. Hu, and R. Li, "Twitter Sentiment and Cryptocurrency Price Prediction: A Multi-Modal Approach," in </w:t>
      </w:r>
      <w:r>
        <w:rPr>
          <w:rStyle w:val="None"/>
          <w:rFonts w:ascii="Times New Roman" w:hAnsi="Times New Roman"/>
          <w:i w:val="1"/>
          <w:iCs w:val="1"/>
          <w:rtl w:val="0"/>
          <w:lang w:val="it-IT"/>
        </w:rPr>
        <w:t>Proc. IEEE Int. Conf. Data Science</w:t>
      </w:r>
      <w:r>
        <w:rPr>
          <w:rStyle w:val="None"/>
          <w:rFonts w:ascii="Times New Roman" w:hAnsi="Times New Roman"/>
          <w:rtl w:val="0"/>
          <w:lang w:val="en-US"/>
        </w:rPr>
        <w:t>, 2024, pp. 44</w:t>
      </w:r>
      <w:r>
        <w:rPr>
          <w:rStyle w:val="None"/>
          <w:rFonts w:ascii="Times New Roman" w:hAnsi="Times New Roman" w:hint="default"/>
          <w:rtl w:val="0"/>
          <w:lang w:val="en-US"/>
        </w:rPr>
        <w:t>–</w:t>
      </w:r>
      <w:r>
        <w:rPr>
          <w:rStyle w:val="None"/>
          <w:rFonts w:ascii="Times New Roman" w:hAnsi="Times New Roman"/>
          <w:rtl w:val="0"/>
          <w:lang w:val="en-US"/>
        </w:rPr>
        <w:t>52.</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[31] E. Adeyinka and F. Ogunyemi, "LSTM-Transformer Hybrid Models for Cryptocurrency Trend Forecasting with Social Sentiment Integration," </w:t>
      </w:r>
      <w:r>
        <w:rPr>
          <w:rStyle w:val="None"/>
          <w:rFonts w:ascii="Times New Roman" w:hAnsi="Times New Roman"/>
          <w:i w:val="1"/>
          <w:iCs w:val="1"/>
          <w:rtl w:val="0"/>
          <w:lang w:val="en-US"/>
        </w:rPr>
        <w:t>IEEE Trans. Computational Social Systems</w:t>
      </w:r>
      <w:r>
        <w:rPr>
          <w:rStyle w:val="None"/>
          <w:rFonts w:ascii="Times New Roman" w:hAnsi="Times New Roman"/>
          <w:rtl w:val="0"/>
          <w:lang w:val="it-IT"/>
        </w:rPr>
        <w:t>, vol. 12, no. 1, pp. 78</w:t>
      </w:r>
      <w:r>
        <w:rPr>
          <w:rStyle w:val="None"/>
          <w:rFonts w:ascii="Times New Roman" w:hAnsi="Times New Roman" w:hint="default"/>
          <w:rtl w:val="0"/>
          <w:lang w:val="en-US"/>
        </w:rPr>
        <w:t>–</w:t>
      </w:r>
      <w:r>
        <w:rPr>
          <w:rStyle w:val="None"/>
          <w:rFonts w:ascii="Times New Roman" w:hAnsi="Times New Roman"/>
          <w:rtl w:val="0"/>
          <w:lang w:val="en-US"/>
        </w:rPr>
        <w:t>91, 2025.</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[32] J. Hoffman and D. Walker, "Formal Verification of eUTXO Smart Contracts Using Lean 4," in </w:t>
      </w:r>
      <w:r>
        <w:rPr>
          <w:rStyle w:val="None"/>
          <w:rFonts w:ascii="Times New Roman" w:hAnsi="Times New Roman"/>
          <w:i w:val="1"/>
          <w:iCs w:val="1"/>
          <w:rtl w:val="0"/>
          <w:lang w:val="en-US"/>
        </w:rPr>
        <w:t>Proc. IEEE Int. Conf. Software Engineering (ICSE)</w:t>
      </w:r>
      <w:r>
        <w:rPr>
          <w:rStyle w:val="None"/>
          <w:rFonts w:ascii="Times New Roman" w:hAnsi="Times New Roman"/>
          <w:rtl w:val="0"/>
          <w:lang w:val="en-US"/>
        </w:rPr>
        <w:t>, 2025, pp. 888</w:t>
      </w:r>
      <w:r>
        <w:rPr>
          <w:rStyle w:val="None"/>
          <w:rFonts w:ascii="Times New Roman" w:hAnsi="Times New Roman" w:hint="default"/>
          <w:rtl w:val="0"/>
          <w:lang w:val="en-US"/>
        </w:rPr>
        <w:t>–</w:t>
      </w:r>
      <w:r>
        <w:rPr>
          <w:rStyle w:val="None"/>
          <w:rFonts w:ascii="Times New Roman" w:hAnsi="Times New Roman"/>
          <w:rtl w:val="0"/>
          <w:lang w:val="en-US"/>
        </w:rPr>
        <w:t>898.</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[33] M. Al-Rashid, B. Al-Farsi, and S. Al-Kindi, "Differential Privacy Mechanisms in Federated NLP for Financial Applications," </w:t>
      </w:r>
      <w:r>
        <w:rPr>
          <w:rStyle w:val="None"/>
          <w:rFonts w:ascii="Times New Roman" w:hAnsi="Times New Roman"/>
          <w:i w:val="1"/>
          <w:iCs w:val="1"/>
          <w:rtl w:val="0"/>
          <w:lang w:val="en-US"/>
        </w:rPr>
        <w:t>IEEE Trans. Privacy</w:t>
      </w:r>
      <w:r>
        <w:rPr>
          <w:rStyle w:val="None"/>
          <w:rFonts w:ascii="Times New Roman" w:hAnsi="Times New Roman"/>
          <w:rtl w:val="0"/>
          <w:lang w:val="it-IT"/>
        </w:rPr>
        <w:t>, vol. 2, no. 1, pp. 34</w:t>
      </w:r>
      <w:r>
        <w:rPr>
          <w:rStyle w:val="None"/>
          <w:rFonts w:ascii="Times New Roman" w:hAnsi="Times New Roman" w:hint="default"/>
          <w:rtl w:val="0"/>
          <w:lang w:val="en-US"/>
        </w:rPr>
        <w:t>–</w:t>
      </w:r>
      <w:r>
        <w:rPr>
          <w:rStyle w:val="None"/>
          <w:rFonts w:ascii="Times New Roman" w:hAnsi="Times New Roman"/>
          <w:rtl w:val="0"/>
          <w:lang w:val="en-US"/>
        </w:rPr>
        <w:t>50, 2025.</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[34] T. Okonkwo and C. Eze, "Smart Contract Vulnerability Classes in DeFi: A Taxonomy and Mitigation Survey 2024</w:t>
      </w:r>
      <w:r>
        <w:rPr>
          <w:rStyle w:val="None"/>
          <w:rFonts w:ascii="Times New Roman" w:hAnsi="Times New Roman" w:hint="default"/>
          <w:rtl w:val="0"/>
          <w:lang w:val="en-US"/>
        </w:rPr>
        <w:t>–</w:t>
      </w:r>
      <w:r>
        <w:rPr>
          <w:rStyle w:val="None"/>
          <w:rFonts w:ascii="Times New Roman" w:hAnsi="Times New Roman"/>
          <w:rtl w:val="0"/>
          <w:lang w:val="en-US"/>
        </w:rPr>
        <w:t xml:space="preserve">2025," </w:t>
      </w:r>
      <w:r>
        <w:rPr>
          <w:rStyle w:val="None"/>
          <w:rFonts w:ascii="Times New Roman" w:hAnsi="Times New Roman"/>
          <w:i w:val="1"/>
          <w:iCs w:val="1"/>
          <w:rtl w:val="0"/>
          <w:lang w:val="it-IT"/>
        </w:rPr>
        <w:t>IEEE Access</w:t>
      </w:r>
      <w:r>
        <w:rPr>
          <w:rStyle w:val="None"/>
          <w:rFonts w:ascii="Times New Roman" w:hAnsi="Times New Roman"/>
          <w:rtl w:val="0"/>
          <w:lang w:val="en-US"/>
        </w:rPr>
        <w:t>, vol. 13, pp. 11200</w:t>
      </w:r>
      <w:r>
        <w:rPr>
          <w:rStyle w:val="None"/>
          <w:rFonts w:ascii="Times New Roman" w:hAnsi="Times New Roman" w:hint="default"/>
          <w:rtl w:val="0"/>
          <w:lang w:val="en-US"/>
        </w:rPr>
        <w:t>–</w:t>
      </w:r>
      <w:r>
        <w:rPr>
          <w:rStyle w:val="None"/>
          <w:rFonts w:ascii="Times New Roman" w:hAnsi="Times New Roman"/>
          <w:rtl w:val="0"/>
          <w:lang w:val="en-US"/>
        </w:rPr>
        <w:t>11225, 2025.</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[35] R. Gupta and S. Arora, "Web Scraping as a Proxy for Retail Investor Attention: Empirical Evidence from Cryptocurrency Markets," in </w:t>
      </w:r>
      <w:r>
        <w:rPr>
          <w:rStyle w:val="None"/>
          <w:rFonts w:ascii="Times New Roman" w:hAnsi="Times New Roman"/>
          <w:i w:val="1"/>
          <w:iCs w:val="1"/>
          <w:rtl w:val="0"/>
          <w:lang w:val="it-IT"/>
        </w:rPr>
        <w:t>Proc. IEEE Int. Conf. Computational Finance</w:t>
      </w:r>
      <w:r>
        <w:rPr>
          <w:rStyle w:val="None"/>
          <w:rFonts w:ascii="Times New Roman" w:hAnsi="Times New Roman"/>
          <w:rtl w:val="0"/>
          <w:lang w:val="en-US"/>
        </w:rPr>
        <w:t>, 2024, pp. 201</w:t>
      </w:r>
      <w:r>
        <w:rPr>
          <w:rStyle w:val="None"/>
          <w:rFonts w:ascii="Times New Roman" w:hAnsi="Times New Roman" w:hint="default"/>
          <w:rtl w:val="0"/>
          <w:lang w:val="en-US"/>
        </w:rPr>
        <w:t>–</w:t>
      </w:r>
      <w:r>
        <w:rPr>
          <w:rStyle w:val="None"/>
          <w:rFonts w:ascii="Times New Roman" w:hAnsi="Times New Roman"/>
          <w:rtl w:val="0"/>
          <w:lang w:val="en-US"/>
        </w:rPr>
        <w:t>209.</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[36] L. Kim, J. Park, and S. Lee, "Cross-Chain Oracle Bridges: Security Analysis and Formal Modelling," </w:t>
      </w:r>
      <w:r>
        <w:rPr>
          <w:rStyle w:val="None"/>
          <w:rFonts w:ascii="Times New Roman" w:hAnsi="Times New Roman"/>
          <w:i w:val="1"/>
          <w:iCs w:val="1"/>
          <w:rtl w:val="0"/>
          <w:lang w:val="en-US"/>
        </w:rPr>
        <w:t>IEEE Trans. Dependable and Secure Computing</w:t>
      </w:r>
      <w:r>
        <w:rPr>
          <w:rStyle w:val="None"/>
          <w:rFonts w:ascii="Times New Roman" w:hAnsi="Times New Roman"/>
          <w:rtl w:val="0"/>
          <w:lang w:val="pt-PT"/>
        </w:rPr>
        <w:t>, vol. 22, no. 2, pp. 445</w:t>
      </w:r>
      <w:r>
        <w:rPr>
          <w:rStyle w:val="None"/>
          <w:rFonts w:ascii="Times New Roman" w:hAnsi="Times New Roman" w:hint="default"/>
          <w:rtl w:val="0"/>
          <w:lang w:val="en-US"/>
        </w:rPr>
        <w:t>–</w:t>
      </w:r>
      <w:r>
        <w:rPr>
          <w:rStyle w:val="None"/>
          <w:rFonts w:ascii="Times New Roman" w:hAnsi="Times New Roman"/>
          <w:rtl w:val="0"/>
          <w:lang w:val="en-US"/>
        </w:rPr>
        <w:t>461, 2025.</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[37] F. Osei, A. Mensah, and B. Darko, "Aiken Language Design: Type Safety and Compilation Performance for Plutus Smart Contracts," in </w:t>
      </w:r>
      <w:r>
        <w:rPr>
          <w:rStyle w:val="None"/>
          <w:rFonts w:ascii="Times New Roman" w:hAnsi="Times New Roman"/>
          <w:i w:val="1"/>
          <w:iCs w:val="1"/>
          <w:rtl w:val="0"/>
          <w:lang w:val="en-US"/>
        </w:rPr>
        <w:t>Proc. IEEE Programming Languages for Blockchain Workshop</w:t>
      </w:r>
      <w:r>
        <w:rPr>
          <w:rStyle w:val="None"/>
          <w:rFonts w:ascii="Times New Roman" w:hAnsi="Times New Roman"/>
          <w:rtl w:val="0"/>
          <w:lang w:val="en-US"/>
        </w:rPr>
        <w:t>, 2025, pp. 66</w:t>
      </w:r>
      <w:r>
        <w:rPr>
          <w:rStyle w:val="None"/>
          <w:rFonts w:ascii="Times New Roman" w:hAnsi="Times New Roman" w:hint="default"/>
          <w:rtl w:val="0"/>
          <w:lang w:val="en-US"/>
        </w:rPr>
        <w:t>–</w:t>
      </w:r>
      <w:r>
        <w:rPr>
          <w:rStyle w:val="None"/>
          <w:rFonts w:ascii="Times New Roman" w:hAnsi="Times New Roman"/>
          <w:rtl w:val="0"/>
          <w:lang w:val="en-US"/>
        </w:rPr>
        <w:t>74.</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[38] A. Petrov, D. Ivanov, and K. Sokolov, "Hardware Security Modules for Blockchain Key Management: Performance Benchmarks," in </w:t>
      </w:r>
      <w:r>
        <w:rPr>
          <w:rStyle w:val="None"/>
          <w:rFonts w:ascii="Times New Roman" w:hAnsi="Times New Roman"/>
          <w:i w:val="1"/>
          <w:iCs w:val="1"/>
          <w:rtl w:val="0"/>
          <w:lang w:val="en-US"/>
        </w:rPr>
        <w:t>Proc. IEEE Int. Conf. Hardware Security</w:t>
      </w:r>
      <w:r>
        <w:rPr>
          <w:rStyle w:val="None"/>
          <w:rFonts w:ascii="Times New Roman" w:hAnsi="Times New Roman"/>
          <w:rtl w:val="0"/>
          <w:lang w:val="en-US"/>
        </w:rPr>
        <w:t>, 2024, pp. 291</w:t>
      </w:r>
      <w:r>
        <w:rPr>
          <w:rStyle w:val="None"/>
          <w:rFonts w:ascii="Times New Roman" w:hAnsi="Times New Roman" w:hint="default"/>
          <w:rtl w:val="0"/>
          <w:lang w:val="en-US"/>
        </w:rPr>
        <w:t>–</w:t>
      </w:r>
      <w:r>
        <w:rPr>
          <w:rStyle w:val="None"/>
          <w:rFonts w:ascii="Times New Roman" w:hAnsi="Times New Roman"/>
          <w:rtl w:val="0"/>
          <w:lang w:val="en-US"/>
        </w:rPr>
        <w:t>300.</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[39] S. Chandra, T. Roy, and A. Bose, "Zero-Knowledge Proofs for Oracle Data Integrity in Decentralised Finance," in </w:t>
      </w:r>
      <w:r>
        <w:rPr>
          <w:rStyle w:val="None"/>
          <w:rFonts w:ascii="Times New Roman" w:hAnsi="Times New Roman"/>
          <w:i w:val="1"/>
          <w:iCs w:val="1"/>
          <w:rtl w:val="0"/>
          <w:lang w:val="en-US"/>
        </w:rPr>
        <w:t>Proc. IEEE Crypto and Security Congress</w:t>
      </w:r>
      <w:r>
        <w:rPr>
          <w:rStyle w:val="None"/>
          <w:rFonts w:ascii="Times New Roman" w:hAnsi="Times New Roman"/>
          <w:rtl w:val="0"/>
          <w:lang w:val="en-US"/>
        </w:rPr>
        <w:t>, 2025, pp. 134</w:t>
      </w:r>
      <w:r>
        <w:rPr>
          <w:rStyle w:val="None"/>
          <w:rFonts w:ascii="Times New Roman" w:hAnsi="Times New Roman" w:hint="default"/>
          <w:rtl w:val="0"/>
          <w:lang w:val="en-US"/>
        </w:rPr>
        <w:t>–</w:t>
      </w:r>
      <w:r>
        <w:rPr>
          <w:rStyle w:val="None"/>
          <w:rFonts w:ascii="Times New Roman" w:hAnsi="Times New Roman"/>
          <w:rtl w:val="0"/>
          <w:lang w:val="en-US"/>
        </w:rPr>
        <w:t>143.</w:t>
      </w:r>
    </w:p>
    <w:p>
      <w:pPr>
        <w:pStyle w:val="Default"/>
        <w:numPr>
          <w:ilvl w:val="0"/>
          <w:numId w:val="4"/>
        </w:numPr>
        <w:suppressAutoHyphens w:val="1"/>
        <w:bidi w:val="0"/>
        <w:spacing w:before="0" w:after="240" w:line="240" w:lineRule="auto"/>
        <w:ind w:right="0"/>
        <w:jc w:val="both"/>
        <w:rPr>
          <w:rFonts w:ascii="Times New Roman" w:hAnsi="Times New Roman"/>
          <w:rtl w:val="0"/>
          <w:lang w:val="en-US"/>
        </w:rPr>
      </w:pPr>
      <w:r>
        <w:rPr>
          <w:rStyle w:val="None"/>
          <w:rFonts w:ascii="Times New Roman" w:hAnsi="Times New Roman"/>
          <w:rtl w:val="0"/>
          <w:lang w:val="en-US"/>
        </w:rPr>
        <w:t xml:space="preserve">[40] P. Anand and K. Balakrishnan, "Multi-Modal Sentiment Oracle: Combining Reddit, Twitter, and Search Volume for DeFi Prediction Markets," in </w:t>
      </w:r>
      <w:r>
        <w:rPr>
          <w:rStyle w:val="None"/>
          <w:rFonts w:ascii="Times New Roman" w:hAnsi="Times New Roman"/>
          <w:i w:val="1"/>
          <w:iCs w:val="1"/>
          <w:rtl w:val="0"/>
          <w:lang w:val="en-US"/>
        </w:rPr>
        <w:t>Proc. IEEE Int. Conf. Data Mining and Knowledge Discovery (DMKD)</w:t>
      </w:r>
      <w:r>
        <w:rPr>
          <w:rStyle w:val="None"/>
          <w:rFonts w:ascii="Times New Roman" w:hAnsi="Times New Roman"/>
          <w:rtl w:val="0"/>
          <w:lang w:val="en-US"/>
        </w:rPr>
        <w:t>, 2026, pp. 310</w:t>
      </w:r>
      <w:r>
        <w:rPr>
          <w:rStyle w:val="None"/>
          <w:rFonts w:ascii="Times New Roman" w:hAnsi="Times New Roman" w:hint="default"/>
          <w:rtl w:val="0"/>
          <w:lang w:val="en-US"/>
        </w:rPr>
        <w:t>–</w:t>
      </w:r>
      <w:r>
        <w:rPr>
          <w:rStyle w:val="None"/>
          <w:rFonts w:ascii="Times New Roman" w:hAnsi="Times New Roman"/>
          <w:rtl w:val="0"/>
          <w:lang w:val="en-US"/>
        </w:rPr>
        <w:t>319.</w:t>
      </w:r>
    </w:p>
    <w:sectPr>
      <w:headerReference w:type="default" r:id="rId10"/>
      <w:footerReference w:type="default" r:id="rId11"/>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16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38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60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2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204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226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248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295" w:hanging="29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rPr>
  </w:style>
  <w:style w:type="numbering" w:styleId="Bullet">
    <w:name w:val="Bullet"/>
    <w:pPr>
      <w:numPr>
        <w:numId w:val="1"/>
      </w:numPr>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numbering" w:styleId="Numbered">
    <w:name w:val="Numbered"/>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