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THE PANTAWID PAMILYANG PILIPINO PROGRAM (4PS) AND ITS IMPACT ON THE FAMILY-BENEFICIARIES IN  DISTRICT 2, QUEZON CITY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2">
      <w:pPr>
        <w:widowControl w:val="0"/>
        <w:spacing w:before="206" w:line="240" w:lineRule="auto"/>
        <w:rPr>
          <w:b w:val="1"/>
          <w:bCs w:val="1"/>
          <w:sz w:val="28"/>
          <w:szCs w:val="28"/>
        </w:rPr>
      </w:pPr>
      <w:r w:rsidDel="00000000" w:rsidR="00000000" w:rsidRPr="00000000">
        <w:rPr>
          <w:rtl w:val="0"/>
        </w:rPr>
      </w:r>
    </w:p>
    <w:p w:rsidR="00000000" w:rsidDel="00000000" w:rsidP="00000000" w:rsidRDefault="00000000" w:rsidRPr="00000000" w14:paraId="00000003">
      <w:pPr>
        <w:widowControl w:val="0"/>
        <w:spacing w:line="240" w:lineRule="auto"/>
        <w:ind w:left="752" w:right="14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tl w:val="0"/>
        </w:rPr>
      </w:r>
    </w:p>
    <w:p w:rsidR="00000000" w:rsidDel="00000000" w:rsidP="00000000" w:rsidRDefault="00000000" w:rsidRPr="00000000" w14:paraId="00000004">
      <w:pPr>
        <w:widowControl w:val="0"/>
        <w:spacing w:line="240" w:lineRule="auto"/>
        <w:ind w:left="752" w:right="1400" w:firstLine="0"/>
        <w:jc w:val="center"/>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05">
      <w:pPr>
        <w:widowControl w:val="0"/>
        <w:spacing w:line="240" w:lineRule="auto"/>
        <w:ind w:left="752" w:right="14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
      </w:r>
      <w:r w:rsidDel="00000000" w:rsidR="00000000" w:rsidRPr="00000000">
        <w:rPr>
          <w:rFonts w:ascii="Times New Roman" w:cs="Times New Roman" w:eastAsia="Times New Roman" w:hAnsi="Times New Roman"/>
          <w:sz w:val="24"/>
          <w:szCs w:val="24"/>
          <w:rtl w:val="0"/>
        </w:rPr>
        <w:t xml:space="preserve"/>
      </w:r>
    </w:p>
    <w:p w:rsidR="00000000" w:rsidDel="00000000" w:rsidP="00000000" w:rsidRDefault="00000000" w:rsidRPr="00000000" w14:paraId="00000006">
      <w:pPr>
        <w:widowControl w:val="0"/>
        <w:spacing w:line="240" w:lineRule="auto"/>
        <w:ind w:left="2160" w:right="333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7">
      <w:pPr>
        <w:widowControl w:val="0"/>
        <w:spacing w:before="27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pStyle w:val="Heading3"/>
        <w:keepNext w:val="0"/>
        <w:keepLines w:val="0"/>
        <w:widowControl w:val="0"/>
        <w:spacing w:after="0" w:before="1" w:line="240" w:lineRule="auto"/>
        <w:ind w:right="647"/>
        <w:jc w:val="center"/>
        <w:rPr>
          <w:rFonts w:ascii="Times New Roman" w:cs="Times New Roman" w:eastAsia="Times New Roman" w:hAnsi="Times New Roman"/>
          <w:b w:val="1"/>
          <w:bCs w:val="1"/>
          <w:i w:val="1"/>
          <w:iCs w:val="1"/>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rtl w:val="0"/>
        </w:rPr>
        <w:t xml:space="preserve">ABSTRACT</w:t>
      </w:r>
    </w:p>
    <w:p w:rsidR="00000000" w:rsidDel="00000000" w:rsidP="00000000" w:rsidRDefault="00000000" w:rsidRPr="00000000" w14:paraId="00000009">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assesses the impact of the Pantawid Pamilyang Pilipino Program (4Ps), the Philippine government’s flagship poverty reduction initiative aimed at breaking intergenerational poverty. Implemented in 2008 as a Conditional Cash Transfer program and institutionalized through the 4Ps Act of 2019, the program has operated for over a decade. Despite substantial government funding, many beneficiaries remain in poverty, raising concerns about its long-term effectiveness.</w:t>
      </w:r>
    </w:p>
    <w:p w:rsidR="00000000" w:rsidDel="00000000" w:rsidP="00000000" w:rsidRDefault="00000000" w:rsidRPr="00000000" w14:paraId="0000000A">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quantitative approach, this research examines the program’s impact on health and education among beneficiaries in District 2 of Quezon City, covering five barangays. A total of 368 respondents were selected using Cochran’s Sample Size Formula, with data collected through self-designed questionnaires and analyzed using reliability tests and ANOVA.</w:t>
      </w:r>
    </w:p>
    <w:p w:rsidR="00000000" w:rsidDel="00000000" w:rsidP="00000000" w:rsidRDefault="00000000" w:rsidRPr="00000000" w14:paraId="0000000B">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show that the 4Ps has a significant positive impact on education and healthcare, improving school attendance, psychosocial well-being, and compliance with preventive health services. However, challenges such as delayed and insufficient grants, continued financial vulnerability, and inconsistent school retention and clinic visits persist. While the program demonstrates overall effectiveness, strengthened implementation, timely cash distribution, and added livelihood support are needed to achieve sustainable poverty reduction.</w:t>
      </w:r>
    </w:p>
    <w:p w:rsidR="00000000" w:rsidDel="00000000" w:rsidP="00000000" w:rsidRDefault="00000000" w:rsidRPr="00000000" w14:paraId="0000000C">
      <w:pPr>
        <w:spacing w:line="240" w:lineRule="auto"/>
        <w:ind w:left="0" w:firstLine="0"/>
        <w:jc w:val="both"/>
        <w:rPr/>
      </w:pPr>
      <w:r w:rsidDel="00000000" w:rsidR="00000000" w:rsidRPr="00000000">
        <w:rPr>
          <w:rtl w:val="0"/>
        </w:rPr>
      </w:r>
    </w:p>
    <w:p w:rsidR="00000000" w:rsidDel="00000000" w:rsidP="00000000" w:rsidRDefault="00000000" w:rsidRPr="00000000" w14:paraId="0000000D">
      <w:pPr>
        <w:spacing w:line="240" w:lineRule="auto"/>
        <w:ind w:left="0" w:firstLine="0"/>
        <w:jc w:val="both"/>
        <w:rPr>
          <w:rFonts w:ascii="Times New Roman" w:cs="Times New Roman" w:eastAsia="Times New Roman" w:hAnsi="Times New Roman"/>
          <w:b w:val="1"/>
          <w:bCs w:val="1"/>
          <w:sz w:val="24"/>
          <w:szCs w:val="24"/>
        </w:rPr>
        <w:sectPr>
          <w:footerReference r:id="rId6" w:type="default"/>
          <w:pgSz w:h="15840" w:w="12240" w:orient="portrait"/>
          <w:pgMar w:bottom="1440" w:top="1440" w:left="2160" w:right="1440" w:header="720" w:footer="720"/>
          <w:pgNumType w:start="1"/>
        </w:sectPr>
      </w:pPr>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Pantawid-Pamilyang Pilipino Program (4Ps), Health, Education, Poverty, Conditional Cash Transfer (CCT)</w:t>
      </w:r>
      <w:r w:rsidDel="00000000" w:rsidR="00000000" w:rsidRPr="00000000">
        <w:rPr>
          <w:rtl w:val="0"/>
        </w:rPr>
      </w:r>
    </w:p>
    <w:p w:rsidR="00000000" w:rsidDel="00000000" w:rsidP="00000000" w:rsidRDefault="00000000" w:rsidRPr="00000000" w14:paraId="0000000E">
      <w:pPr>
        <w:spacing w:line="240" w:lineRule="auto"/>
        <w:ind w:left="0" w:firstLine="0"/>
        <w:jc w:val="both"/>
        <w:rPr>
          <w:rFonts w:ascii="Times New Roman" w:cs="Times New Roman" w:eastAsia="Times New Roman" w:hAnsi="Times New Roman"/>
          <w:sz w:val="24"/>
          <w:szCs w:val="24"/>
        </w:rPr>
        <w:sectPr>
          <w:type w:val="continuous"/>
          <w:pgSz w:h="15840" w:w="12240" w:orient="portrait"/>
          <w:pgMar w:bottom="1440" w:top="1440" w:left="2160" w:right="1440" w:header="720" w:footer="720"/>
        </w:sectPr>
      </w:pPr>
      <w:r w:rsidDel="00000000" w:rsidR="00000000" w:rsidRPr="00000000">
        <w:rPr>
          <w:rtl w:val="0"/>
        </w:rPr>
      </w:r>
    </w:p>
    <w:p w:rsidR="00000000" w:rsidDel="00000000" w:rsidP="00000000" w:rsidRDefault="00000000" w:rsidRPr="00000000" w14:paraId="0000000F">
      <w:pPr>
        <w:widowControl w:val="0"/>
        <w:spacing w:before="55"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10">
      <w:pPr>
        <w:pStyle w:val="Heading1"/>
        <w:keepNext w:val="0"/>
        <w:keepLines w:val="0"/>
        <w:widowControl w:val="0"/>
        <w:numPr>
          <w:ilvl w:val="0"/>
          <w:numId w:val="1"/>
        </w:numPr>
        <w:tabs>
          <w:tab w:val="left" w:leader="none" w:pos="313"/>
        </w:tabs>
        <w:spacing w:before="1" w:line="240" w:lineRule="auto"/>
        <w:ind w:left="313" w:hanging="213"/>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000000"/>
          <w:sz w:val="24"/>
          <w:szCs w:val="24"/>
          <w:rtl w:val="0"/>
        </w:rPr>
        <w:t xml:space="preserve">INTRODUCTION</w:t>
      </w:r>
    </w:p>
    <w:p w:rsidR="00000000" w:rsidDel="00000000" w:rsidP="00000000" w:rsidRDefault="00000000" w:rsidRPr="00000000" w14:paraId="00000011">
      <w:pPr>
        <w:tabs>
          <w:tab w:val="left" w:leader="none" w:pos="313"/>
        </w:tabs>
        <w:ind w:left="313" w:firstLine="0"/>
        <w:rPr/>
      </w:pPr>
      <w:r w:rsidDel="00000000" w:rsidR="00000000" w:rsidRPr="00000000">
        <w:rPr>
          <w:rtl w:val="0"/>
        </w:rPr>
      </w:r>
    </w:p>
    <w:p w:rsidR="00000000" w:rsidDel="00000000" w:rsidP="00000000" w:rsidRDefault="00000000" w:rsidRPr="00000000" w14:paraId="00000012">
      <w:pPr>
        <w:spacing w:after="200" w:line="24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Poverty is a crisis that is experienced by various countries around the world, including the Philippines that is considered a third world country. World Bank (2024) 700 million live in extreme poverty around the world. It can have its different form not just lack of financial capacity, but also not having access to social services such as attaining education and health services, and not good living conditions.The World Vision (2024) describes poverty as being deprived of</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the essential resources and necessities such as:  water, education, and health. However, these necessities could not be bought, as income came in the form of workers' compensation, social security, pensions, interest or dividends, royalties, trusts, alimony, and other forms of government, public, or family financial assistance. All of these are important for people to live a dignified and healthy life. Extreme poverty is the most severe form of poverty, because they are the people who are deprived of basic human needs, they are also known as destitute. The majority of this 700 million can be found in the region of Sub-Saharah, Africa, South Asia. According to the World Bank (2022), there is a huge problem of poverty in Asia and 60% of all the world's malnourished lives in Asia as stated by the Food and Agricultural Organization under United Nation. Many people, especially the poor, are hungry on a daily basis, and the case of inequality in terms of economic growth is present. In fact, there are 320 million people in Asia who live in extreme poverty. In addition, four out five people in South Asia suffer from hunger, most of whom live in rural communities. As a strategy, people tend to migrate to urban communities for more opportunities. But this is not easy for everyone as jobs in urban areas require  training and education which many people, especially the poor, don't have access to. </w:t>
      </w:r>
    </w:p>
    <w:p w:rsidR="00000000" w:rsidDel="00000000" w:rsidP="00000000" w:rsidRDefault="00000000" w:rsidRPr="00000000" w14:paraId="00000013">
      <w:pPr>
        <w:spacing w:after="200" w:line="240" w:lineRule="auto"/>
        <w:ind w:hanging="5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ab/>
        <w:t xml:space="preserve">In the Capability Approach or Human Development Approach which was developed by Mahbub Ul Haq anchored to the work of Amartya Sen argued that in order to boost the economic growth of the state, there is a need to improve the lives of the people first. Income, health, and education are seen as a means to develop the lives of the people. N, Basiri (2024) In the Philippines, which can be found in Southeast Asia , poverty remains a persistent issue, in fact, according to the recent April 2025, SWS survey revealed that 55% of Filipino families consider themselves poor, highlighting the persistent issue of poverty in the country. In addition, the Commission on Audit (2022) reported that 90% of household-beneficiaries of the 4Ps program remained below the poverty threshold or continued to live in poverty, even after being part of the program for a significant period. </w:t>
      </w:r>
    </w:p>
    <w:p w:rsidR="00000000" w:rsidDel="00000000" w:rsidP="00000000" w:rsidRDefault="00000000" w:rsidRPr="00000000" w14:paraId="00000014">
      <w:pPr>
        <w:spacing w:after="200" w:line="240" w:lineRule="auto"/>
        <w:ind w:hanging="5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ab/>
        <w:t xml:space="preserve">P.A. Acosta, J, Abalos, and A, Zapanta (2021) The conditional cash transfer program is one strategy of other countries in alleviating poverty. It gives money to people on the condition that they need to carry out a specific activity or attain the agreed output. This may include attendance in educational sessions and regular attendance to school, etc. This kind of program aims to break intergenerational poverty by promoting access to education and health through monetary transfer. The conditional cash transfer program is not new for a country that wanted to address poverty in their area. This program was widely practised in Latin America, Africa, South Sudan and Brazil</w:t>
      </w:r>
      <w:r w:rsidDel="00000000" w:rsidR="00000000" w:rsidRPr="00000000">
        <w:rPr>
          <w:rFonts w:ascii="Times New Roman" w:cs="Times New Roman" w:eastAsia="Times New Roman" w:hAnsi="Times New Roman"/>
          <w:color w:val="bf9000"/>
          <w:rtl w:val="0"/>
        </w:rPr>
        <w:t xml:space="preserve">.</w:t>
      </w:r>
      <w:r w:rsidDel="00000000" w:rsidR="00000000" w:rsidRPr="00000000">
        <w:rPr>
          <w:rFonts w:ascii="Times New Roman" w:cs="Times New Roman" w:eastAsia="Times New Roman" w:hAnsi="Times New Roman"/>
          <w:rtl w:val="0"/>
        </w:rPr>
        <w:t xml:space="preserve"> It is proven to be effective and as a result it has been replicated in almost twenty (20) countries. In the Philippines, this kind of program was also adopted, back in the year 2008 of February, under the administration of former President Gloria Macapagal Arroyo. It has supported 6,000 households since its pilot testing. It is launched as a response to the food crisis. It transpired in the administration of Aquino, where the initiatives were expanded, covering children aged 0-18 years old.  The Philippines Conditional Cash Transfer Program is  called Pantawid Pamilyang Pilipino Program, a conditional cash transfer intended for poor households. The intention is to promote investment in the education and health of children while providing immediate financial support to the household. The CCT program of the country has specific objectives; (1) keep children in school, (2) keep children healthy, (3) invest in the future of children. The government aims to break the intergenerational transmission of poverty through this way. In 2008, it became the cornerstone of the government in terms of social protection efforts. It is aligned to the Millennium Development Goals (MDG’s) to eradicate extreme poverty and hunger, as well as to achieve universal primary education, improve maternal health, reduce child mortality, and lastly promote gender equality. The program in the year 2012 from its maiden launch in 2008 was able to cover three (3) million families. According to the impact evaluation of DSWD to the CCT program, the number of attendance among 6-17 years old increased as well as the enrollment among younger children (3-11 years old) increased. The DSWD assessment also revealed that the CCT program of 2008, was able to help poor children to be healthy as well as enabling their investment in meeting the health and education of their children. However, despite its remarkable achievement, many critique this program arguing that the CCT is a short-term human development measure and doesn't address the societal problem the country experiences. In the assessment of DSWD, it found that the program doesn't have a significant impact on the children aged 12-17 in terms of enrollment. COA (2012), there is a case of ineligible household and duplicate entries. R. Raymundo (2017) The World Bank also says that the CCT program 2008, has failed to break the cycle of intergenerational transmission of poverty. Despite the program having a lot of critiques and negative feedback specifically, the program's capability in breaking intergenerational poverty, exiting from this program is never an option, it needs to be improved to ensure that it will not promote corruption and money will not be used for drugs or salons. PIDS (2021). </w:t>
      </w:r>
    </w:p>
    <w:p w:rsidR="00000000" w:rsidDel="00000000" w:rsidP="00000000" w:rsidRDefault="00000000" w:rsidRPr="00000000" w14:paraId="00000015">
      <w:pPr>
        <w:spacing w:after="200" w:line="240" w:lineRule="auto"/>
        <w:ind w:hanging="5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ab/>
        <w:t xml:space="preserve">With that all being said, the new and improved 4PS program was launched through Republic Act No. 1130 (2019) signed by President Rodrigo Duterte. The  Pantawid Pamilyang Pilipino Program or (4PS) is the national strategy of the government to reduce the poverty and human capital investment program. This is not just a program of government to address poverty in our country but also to fulfill our obligation with the United Nations. The program is aligned with Sustainable Development Goal (SDG) 1 of the United Nations Development Program (UNDP), it focuses on ending poverty in all its forms everywhere. Among the objectives of the government is to attain its goal to ensure that children of the beneficiaries will continuously attend school, ensure that beneficiaries have access to health services, provide cash assistance, and attend family development sessions. Meanwhile accessibility to health services, livelihood, and education are part socio-economic parameters in assessing the result of 4Ps to its beneficiaries. According to the 2023 accomplishment report of DSWD, there are 4,419,785 actual beneficiaries of the program nationwide. In the NCR region alone, there are 192,936 actual beneficiaries. Although according to the statistics provided by the PSA the poverty incidence in Quezon City is 0.7%, the Poverty Child argues that the Barangay Payatas, which is situated in District 2 of Quezon is one of the largest and poorest slums in the Philippines. In fact, 40, 000 don't have enough access to health services, as they share a doctor for just two days a week. In addition, 68% of the children in Payatas are underweight, and 50% of the students didn't finish school for a living. Meanwhile in another barangay situated again in District 2 of Quezon City, according to the report provided by the Secretary of Barangay Commonwealth to the researchers the poverty rate in the Barangay is roughly 20% which is equivalent to 59,089 individuals considered poor. The statistics provided by the PSA doesn't reflect the situation of the some Barangays located in Quezon City. It is undoubtedly that the program has a lot of beneficiaries, and its aim is to help them to raise up from poverty. </w:t>
      </w:r>
    </w:p>
    <w:p w:rsidR="00000000" w:rsidDel="00000000" w:rsidP="00000000" w:rsidRDefault="00000000" w:rsidRPr="00000000" w14:paraId="00000016">
      <w:pPr>
        <w:spacing w:after="200" w:line="240" w:lineRule="auto"/>
        <w:ind w:hanging="45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ab/>
        <w:t xml:space="preserve">Dela Torre (2016) argued in his study that there were numerous threats to the program, including lapses in the selection processes, implementation, and monitoring that needed immediate attention from the government to enhance the program's efficiency. Pasuelo (2019) noted an absence of information regarding the challenges encountered by beneficiaries, which could provide insights into how effectively the program impacted their lives. Based on the findings of the conducted by Taguiam (2024), the program effect on the quality of life to its beneficiaries was deemed poor. The reasons were inadequate grants amount and issues about cash disbursement. PIDS (2024), the impact of the program in terms of key nutrition indicators was “negligible”. The study shows that there is a struggle on having nutritional outcomes because of food cost increase ultimately affecting in meeting the dietary requirements. Despite the huge number of beneficiaries, the majority of it still remains below poverty. </w:t>
      </w:r>
    </w:p>
    <w:p w:rsidR="00000000" w:rsidDel="00000000" w:rsidP="00000000" w:rsidRDefault="00000000" w:rsidRPr="00000000" w14:paraId="00000017">
      <w:pPr>
        <w:spacing w:after="200" w:line="240" w:lineRule="auto"/>
        <w:ind w:hanging="5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tab/>
        <w:tab/>
        <w:t xml:space="preserve">Because of the critique received by the Pantawid Pamilyang Pilipino Program (4Ps), this </w:t>
      </w:r>
      <w:r w:rsidDel="00000000" w:rsidR="00000000" w:rsidRPr="00000000">
        <w:rPr>
          <w:rFonts w:ascii="Times New Roman" w:cs="Times New Roman" w:eastAsia="Times New Roman" w:hAnsi="Times New Roman"/>
          <w:highlight w:val="white"/>
          <w:rtl w:val="0"/>
        </w:rPr>
        <w:t xml:space="preserve">research study assessed the 4Ps program particularly in terms of education health care services of the program and assessed its impact to the household beneficiaries. By assessing the 4ps program such as education, and access to health services, the study aims to provide insight on the weaknesses of the programs and areas that need improvement. The findings of this research contribute to the development of effective, and data driven strategies to ensure the concrete and right implementation of the program to  help in alleviating its beneficiaries within the barangays situated in District 2 of Quezon City from poverty.</w:t>
      </w:r>
      <w:r w:rsidDel="00000000" w:rsidR="00000000" w:rsidRPr="00000000">
        <w:rPr>
          <w:rtl w:val="0"/>
        </w:rPr>
      </w:r>
    </w:p>
    <w:p w:rsidR="00000000" w:rsidDel="00000000" w:rsidP="00000000" w:rsidRDefault="00000000" w:rsidRPr="00000000" w14:paraId="00000018">
      <w:pPr>
        <w:spacing w:after="240" w:before="240" w:line="240" w:lineRule="auto"/>
        <w:ind w:firstLine="72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This study seeks to assess the impact of the Pantawid Pamilyang Pilipino Program (4Ps) on family beneficiaries in Barangay Commonwealth,  Batasan Hills, Bagong Silangan,  Holy Spirit, and Payatas Quezon City. Specifically, it aims to answer the following questions:</w:t>
      </w:r>
      <w:r w:rsidDel="00000000" w:rsidR="00000000" w:rsidRPr="00000000">
        <w:rPr>
          <w:rtl w:val="0"/>
        </w:rPr>
      </w:r>
    </w:p>
    <w:p w:rsidR="00000000" w:rsidDel="00000000" w:rsidP="00000000" w:rsidRDefault="00000000" w:rsidRPr="00000000" w14:paraId="00000019">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What is the Socio-demographic profile of the respondents in terms of; </w:t>
      </w:r>
    </w:p>
    <w:p w:rsidR="00000000" w:rsidDel="00000000" w:rsidP="00000000" w:rsidRDefault="00000000" w:rsidRPr="00000000" w14:paraId="0000001A">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Age </w:t>
      </w:r>
    </w:p>
    <w:p w:rsidR="00000000" w:rsidDel="00000000" w:rsidP="00000000" w:rsidRDefault="00000000" w:rsidRPr="00000000" w14:paraId="0000001B">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Sex</w:t>
      </w:r>
    </w:p>
    <w:p w:rsidR="00000000" w:rsidDel="00000000" w:rsidP="00000000" w:rsidRDefault="00000000" w:rsidRPr="00000000" w14:paraId="0000001C">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Educational Attainment  </w:t>
      </w:r>
    </w:p>
    <w:p w:rsidR="00000000" w:rsidDel="00000000" w:rsidP="00000000" w:rsidRDefault="00000000" w:rsidRPr="00000000" w14:paraId="0000001D">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Marital Status </w:t>
      </w:r>
    </w:p>
    <w:p w:rsidR="00000000" w:rsidDel="00000000" w:rsidP="00000000" w:rsidRDefault="00000000" w:rsidRPr="00000000" w14:paraId="0000001E">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Number of Family Members</w:t>
      </w:r>
    </w:p>
    <w:p w:rsidR="00000000" w:rsidDel="00000000" w:rsidP="00000000" w:rsidRDefault="00000000" w:rsidRPr="00000000" w14:paraId="0000001F">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Employment Status</w:t>
      </w:r>
    </w:p>
    <w:p w:rsidR="00000000" w:rsidDel="00000000" w:rsidP="00000000" w:rsidRDefault="00000000" w:rsidRPr="00000000" w14:paraId="00000020">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1.6.1 Regular/Full-time</w:t>
      </w:r>
    </w:p>
    <w:p w:rsidR="00000000" w:rsidDel="00000000" w:rsidP="00000000" w:rsidRDefault="00000000" w:rsidRPr="00000000" w14:paraId="00000021">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1.6.2 Part-time</w:t>
      </w:r>
    </w:p>
    <w:p w:rsidR="00000000" w:rsidDel="00000000" w:rsidP="00000000" w:rsidRDefault="00000000" w:rsidRPr="00000000" w14:paraId="00000022">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1.6.3 Contractual</w:t>
      </w:r>
    </w:p>
    <w:p w:rsidR="00000000" w:rsidDel="00000000" w:rsidP="00000000" w:rsidRDefault="00000000" w:rsidRPr="00000000" w14:paraId="00000023">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1.6.4 Seasonal/Temporary</w:t>
      </w:r>
    </w:p>
    <w:p w:rsidR="00000000" w:rsidDel="00000000" w:rsidP="00000000" w:rsidRDefault="00000000" w:rsidRPr="00000000" w14:paraId="00000024">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1.6.5 Self-employed </w:t>
      </w:r>
    </w:p>
    <w:p w:rsidR="00000000" w:rsidDel="00000000" w:rsidP="00000000" w:rsidRDefault="00000000" w:rsidRPr="00000000" w14:paraId="00000025">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1.6.6 No work </w:t>
      </w:r>
    </w:p>
    <w:p w:rsidR="00000000" w:rsidDel="00000000" w:rsidP="00000000" w:rsidRDefault="00000000" w:rsidRPr="00000000" w14:paraId="00000026">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Number of family members in the household that currently working</w:t>
      </w:r>
    </w:p>
    <w:p w:rsidR="00000000" w:rsidDel="00000000" w:rsidP="00000000" w:rsidRDefault="00000000" w:rsidRPr="00000000" w14:paraId="00000027">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Monthly salary per household</w:t>
      </w:r>
    </w:p>
    <w:p w:rsidR="00000000" w:rsidDel="00000000" w:rsidP="00000000" w:rsidRDefault="00000000" w:rsidRPr="00000000" w14:paraId="00000028">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Number of Pantawid Pamilyang Pilipino Program (4Ps) beneficiaries within the family </w:t>
      </w:r>
    </w:p>
    <w:p w:rsidR="00000000" w:rsidDel="00000000" w:rsidP="00000000" w:rsidRDefault="00000000" w:rsidRPr="00000000" w14:paraId="00000029">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  Cash grant received per household for 1 period</w:t>
      </w:r>
    </w:p>
    <w:p w:rsidR="00000000" w:rsidDel="00000000" w:rsidP="00000000" w:rsidRDefault="00000000" w:rsidRPr="00000000" w14:paraId="0000002A">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 Monthly expenditure per household </w:t>
      </w:r>
    </w:p>
    <w:p w:rsidR="00000000" w:rsidDel="00000000" w:rsidP="00000000" w:rsidRDefault="00000000" w:rsidRPr="00000000" w14:paraId="0000002B">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What is the level of awareness of respondents on the Pantawid Pamilyang Pilipino Program?</w:t>
      </w:r>
    </w:p>
    <w:p w:rsidR="00000000" w:rsidDel="00000000" w:rsidP="00000000" w:rsidRDefault="00000000" w:rsidRPr="00000000" w14:paraId="0000002C">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What is the level of understanding of respondents on the Pantawid Pamilyang Pilipino Program (4Ps)  </w:t>
      </w:r>
    </w:p>
    <w:p w:rsidR="00000000" w:rsidDel="00000000" w:rsidP="00000000" w:rsidRDefault="00000000" w:rsidRPr="00000000" w14:paraId="0000002D">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What is the level of attainment of Pantawid Pamilyang Pilipino Program (4Ps) in term of;</w:t>
      </w:r>
    </w:p>
    <w:p w:rsidR="00000000" w:rsidDel="00000000" w:rsidP="00000000" w:rsidRDefault="00000000" w:rsidRPr="00000000" w14:paraId="0000002E">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Education</w:t>
      </w:r>
    </w:p>
    <w:p w:rsidR="00000000" w:rsidDel="00000000" w:rsidP="00000000" w:rsidRDefault="00000000" w:rsidRPr="00000000" w14:paraId="0000002F">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 Healthcare services </w:t>
      </w:r>
    </w:p>
    <w:p w:rsidR="00000000" w:rsidDel="00000000" w:rsidP="00000000" w:rsidRDefault="00000000" w:rsidRPr="00000000" w14:paraId="00000030">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What is the impact of Pantawid Pamilyang Pilipino Program (4Ps) to the family-beneficiaries</w:t>
      </w:r>
    </w:p>
    <w:p w:rsidR="00000000" w:rsidDel="00000000" w:rsidP="00000000" w:rsidRDefault="00000000" w:rsidRPr="00000000" w14:paraId="00000031">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What are the challenges and support system encountered by the respondents on the  implementation of Pangtawid Pamilyang Pilipino Program (4Ps) </w:t>
      </w:r>
    </w:p>
    <w:p w:rsidR="00000000" w:rsidDel="00000000" w:rsidP="00000000" w:rsidRDefault="00000000" w:rsidRPr="00000000" w14:paraId="00000032">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What are the recommendations can be made to improve the implementation of Pangtawid Pamilyang Pilipino Program</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(4Ps) </w:t>
      </w:r>
    </w:p>
    <w:p w:rsidR="00000000" w:rsidDel="00000000" w:rsidP="00000000" w:rsidRDefault="00000000" w:rsidRPr="00000000" w14:paraId="00000033">
      <w:pPr>
        <w:spacing w:after="200" w:line="240" w:lineRule="auto"/>
        <w:ind w:firstLine="720"/>
        <w:jc w:val="both"/>
        <w:rPr>
          <w:rFonts w:ascii="Times New Roman" w:cs="Times New Roman" w:eastAsia="Times New Roman" w:hAnsi="Times New Roman"/>
          <w:color w:val="050505"/>
        </w:rPr>
      </w:pPr>
      <w:r w:rsidDel="00000000" w:rsidR="00000000" w:rsidRPr="00000000">
        <w:rPr>
          <w:rFonts w:ascii="Times New Roman" w:cs="Times New Roman" w:eastAsia="Times New Roman" w:hAnsi="Times New Roman"/>
          <w:rtl w:val="0"/>
        </w:rPr>
        <w:t xml:space="preserve">8. Is their a significant difference of the demographic profile the respondents to the 4Ps. </w:t>
      </w:r>
      <w:r w:rsidDel="00000000" w:rsidR="00000000" w:rsidRPr="00000000">
        <w:rPr>
          <w:rtl w:val="0"/>
        </w:rPr>
      </w:r>
    </w:p>
    <w:p w:rsidR="00000000" w:rsidDel="00000000" w:rsidP="00000000" w:rsidRDefault="00000000" w:rsidRPr="00000000" w14:paraId="00000034">
      <w:pPr>
        <w:widowControl w:val="0"/>
        <w:spacing w:before="27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Style w:val="Heading2"/>
        <w:keepNext w:val="0"/>
        <w:keepLines w:val="0"/>
        <w:widowControl w:val="0"/>
        <w:spacing w:after="0" w:before="1" w:line="240" w:lineRule="auto"/>
        <w:ind w:left="10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Theoretical Framework</w:t>
      </w:r>
    </w:p>
    <w:p w:rsidR="00000000" w:rsidDel="00000000" w:rsidP="00000000" w:rsidRDefault="00000000" w:rsidRPr="00000000" w14:paraId="00000036">
      <w:pPr>
        <w:spacing w:after="200" w:line="240" w:lineRule="auto"/>
        <w:ind w:firstLine="720"/>
        <w:jc w:val="both"/>
        <w:rPr>
          <w:rFonts w:ascii="Times New Roman" w:cs="Times New Roman" w:eastAsia="Times New Roman" w:hAnsi="Times New Roman"/>
          <w:sz w:val="24"/>
          <w:szCs w:val="24"/>
        </w:rPr>
        <w:sectPr>
          <w:type w:val="nextPage"/>
          <w:pgSz w:h="15840" w:w="12240" w:orient="portrait"/>
          <w:pgMar w:bottom="1220" w:top="1820" w:left="1340" w:right="1320" w:header="0" w:footer="1032"/>
        </w:sectPr>
      </w:pPr>
      <w:r w:rsidDel="00000000" w:rsidR="00000000" w:rsidRPr="00000000">
        <w:rPr>
          <w:rFonts w:ascii="Times New Roman" w:cs="Times New Roman" w:eastAsia="Times New Roman" w:hAnsi="Times New Roman"/>
          <w:rtl w:val="0"/>
        </w:rPr>
        <w:t xml:space="preserve">In the foundation of this study, the researchers utilized the two theories namely Human Capital Theory which was developed by economists Gary Becker and Theodore Schultz, and the Capability Approach or Human Development Approach which was developed by Mahbub Ul Haq anchored to the work of Amartiya Sen. Both theories argue that education and health play vital roles to the individual productivity, economic potential, freedom of choices, and overall wellbeing. These theories directly link to the study which aims to assess the impact of the Pantawid Pamilyang Pilipino Program particularly in education and health, how these services are able to impact the family-beneficiaries’individual productivity, economic potential, freedom of choices and overall wellbeing</w:t>
      </w:r>
      <w:r w:rsidDel="00000000" w:rsidR="00000000" w:rsidRPr="00000000">
        <w:rPr>
          <w:rtl w:val="0"/>
        </w:rPr>
      </w:r>
    </w:p>
    <w:p w:rsidR="00000000" w:rsidDel="00000000" w:rsidP="00000000" w:rsidRDefault="00000000" w:rsidRPr="00000000" w14:paraId="00000037">
      <w:pPr>
        <w:pStyle w:val="Heading2"/>
        <w:keepNext w:val="0"/>
        <w:keepLines w:val="0"/>
        <w:widowControl w:val="0"/>
        <w:spacing w:after="0" w:before="1" w:line="24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Conceptual Framework</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paradigm used by the researchers to assess the impact of the  Pamilyang Pilipino Program (4Ps) on the family-beneficiaries in five Barangay in District 2, Quezon City,  namely Barangay  Batasan Hills, Barangay Commonwealth, Barangay Holy Spirit, Barangay Payatas, and Barangay Bagong Silangan. </w:t>
      </w:r>
    </w:p>
    <w:p w:rsidR="00000000" w:rsidDel="00000000" w:rsidP="00000000" w:rsidRDefault="00000000" w:rsidRPr="00000000" w14:paraId="0000003A">
      <w:pPr>
        <w:spacing w:after="200" w:line="480" w:lineRule="auto"/>
        <w:ind w:left="1080" w:hanging="720"/>
        <w:jc w:val="center"/>
        <w:rPr>
          <w:rFonts w:ascii="Times New Roman" w:cs="Times New Roman" w:eastAsia="Times New Roman" w:hAnsi="Times New Roman"/>
          <w:b w:val="1"/>
          <w:bCs w:val="1"/>
          <w:i w:val="1"/>
          <w:iCs w:val="1"/>
          <w:color w:val="000000"/>
          <w:sz w:val="24"/>
          <w:szCs w:val="24"/>
        </w:rPr>
      </w:pPr>
      <w:r w:rsidDel="00000000" w:rsidR="00000000" w:rsidRPr="00000000">
        <w:rPr/>
        <w:drawing>
          <wp:inline distB="114300" distT="114300" distL="114300" distR="114300">
            <wp:extent cx="2984443" cy="210719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84443" cy="210719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3"/>
        <w:keepNext w:val="0"/>
        <w:keepLines w:val="0"/>
        <w:widowControl w:val="0"/>
        <w:spacing w:after="0" w:before="0" w:line="240" w:lineRule="auto"/>
        <w:ind w:left="100" w:firstLine="0"/>
        <w:jc w:val="center"/>
        <w:rPr>
          <w:rFonts w:ascii="Times New Roman" w:cs="Times New Roman" w:eastAsia="Times New Roman" w:hAnsi="Times New Roman"/>
          <w:b w:val="1"/>
          <w:bCs w:val="1"/>
          <w:i w:val="1"/>
          <w:iCs w:val="1"/>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rtl w:val="0"/>
        </w:rPr>
        <w:t xml:space="preserve">Figure 1: Conceptual Framework</w:t>
      </w:r>
    </w:p>
    <w:p w:rsidR="00000000" w:rsidDel="00000000" w:rsidP="00000000" w:rsidRDefault="00000000" w:rsidRPr="00000000" w14:paraId="0000003C">
      <w:pPr>
        <w:spacing w:after="200" w:line="240" w:lineRule="auto"/>
        <w:ind w:hanging="720"/>
        <w:jc w:val="both"/>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Figure 1 shows the paradigm of the study. Preceding the theories that support this study, the researchers utilized the conceptual framework presented above. The researchers use two theories to conceptualize the aim of this study. The Pantawid Pamilyang Pilipino Program (4Ps) serves the country and serves as a human capital investment program. This is not just a program of government to address poverty in our country but also to fulfill our obligation with the United Nations. (IRR of R.A. 11310 ). </w:t>
      </w:r>
    </w:p>
    <w:p w:rsidR="00000000" w:rsidDel="00000000" w:rsidP="00000000" w:rsidRDefault="00000000" w:rsidRPr="00000000" w14:paraId="0000003D">
      <w:pPr>
        <w:spacing w:after="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Education and health serves as the main components of the program to achieve its intention to alleviate poverty. The research aims to assess these two components aligned to the key features of the two theories: Capability Approach and Human Capital Theory, how it plays a role towards the family-beneficiaries' individual productivity, economic potential, freedom of choices, and overall wellbeing.  As stated by (Bernard, 2025; and Kapur 2022), the family is a collective unit of individuals who are bound together. Among the challenges households currently facing is poverty according to the study of (Baker, 2017). Through the 4Ps program the well being and socio-economic status of the family-beneficiaries have improved according to the study of Diaz (2022).</w:t>
      </w:r>
    </w:p>
    <w:p w:rsidR="00000000" w:rsidDel="00000000" w:rsidP="00000000" w:rsidRDefault="00000000" w:rsidRPr="00000000" w14:paraId="0000003E">
      <w:pPr>
        <w:spacing w:after="20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after="240" w:before="240" w:line="240" w:lineRule="auto"/>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Hypothesis</w:t>
      </w:r>
    </w:p>
    <w:p w:rsidR="00000000" w:rsidDel="00000000" w:rsidP="00000000" w:rsidRDefault="00000000" w:rsidRPr="00000000" w14:paraId="00000040">
      <w:pPr>
        <w:spacing w:after="240" w:before="240" w:line="24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Pantawid Pamilyang Pilipino Program (4Ps) has no significant difference on the family beneficiaries </w:t>
      </w:r>
    </w:p>
    <w:p w:rsidR="00000000" w:rsidDel="00000000" w:rsidP="00000000" w:rsidRDefault="00000000" w:rsidRPr="00000000" w14:paraId="00000041">
      <w:pPr>
        <w:spacing w:after="240" w:before="240" w:line="240" w:lineRule="auto"/>
        <w:ind w:left="0" w:firstLine="720"/>
        <w:rPr>
          <w:b w:val="1"/>
          <w:bCs w:val="1"/>
          <w:sz w:val="24"/>
          <w:szCs w:val="24"/>
        </w:rPr>
      </w:pPr>
      <w:r w:rsidDel="00000000" w:rsidR="00000000" w:rsidRPr="00000000">
        <w:rPr>
          <w:rtl w:val="0"/>
        </w:rPr>
      </w:r>
    </w:p>
    <w:p w:rsidR="00000000" w:rsidDel="00000000" w:rsidP="00000000" w:rsidRDefault="00000000" w:rsidRPr="00000000" w14:paraId="00000042">
      <w:pPr>
        <w:spacing w:after="240" w:before="240" w:line="240" w:lineRule="auto"/>
        <w:ind w:left="0" w:firstLine="720"/>
        <w:rPr>
          <w:b w:val="1"/>
          <w:bCs w:val="1"/>
          <w:sz w:val="24"/>
          <w:szCs w:val="24"/>
        </w:rPr>
      </w:pPr>
      <w:r w:rsidDel="00000000" w:rsidR="00000000" w:rsidRPr="00000000">
        <w:rPr>
          <w:rtl w:val="0"/>
        </w:rPr>
      </w:r>
    </w:p>
    <w:p w:rsidR="00000000" w:rsidDel="00000000" w:rsidP="00000000" w:rsidRDefault="00000000" w:rsidRPr="00000000" w14:paraId="00000043">
      <w:pPr>
        <w:spacing w:after="240" w:before="240" w:line="240" w:lineRule="auto"/>
        <w:ind w:left="0" w:firstLine="720"/>
        <w:rPr>
          <w:b w:val="1"/>
          <w:bCs w:val="1"/>
          <w:sz w:val="24"/>
          <w:szCs w:val="24"/>
        </w:rPr>
      </w:pPr>
      <w:r w:rsidDel="00000000" w:rsidR="00000000" w:rsidRPr="00000000">
        <w:rPr>
          <w:rtl w:val="0"/>
        </w:rPr>
      </w:r>
    </w:p>
    <w:p w:rsidR="00000000" w:rsidDel="00000000" w:rsidP="00000000" w:rsidRDefault="00000000" w:rsidRPr="00000000" w14:paraId="00000044">
      <w:pPr>
        <w:spacing w:after="240" w:before="240" w:line="240" w:lineRule="auto"/>
        <w:ind w:left="0" w:firstLine="720"/>
        <w:rPr>
          <w:b w:val="1"/>
          <w:bCs w:val="1"/>
          <w:sz w:val="24"/>
          <w:szCs w:val="24"/>
        </w:rPr>
      </w:pPr>
      <w:r w:rsidDel="00000000" w:rsidR="00000000" w:rsidRPr="00000000">
        <w:rPr>
          <w:rtl w:val="0"/>
        </w:rPr>
      </w:r>
    </w:p>
    <w:p w:rsidR="00000000" w:rsidDel="00000000" w:rsidP="00000000" w:rsidRDefault="00000000" w:rsidRPr="00000000" w14:paraId="00000045">
      <w:pPr>
        <w:spacing w:after="240" w:before="240" w:line="240" w:lineRule="auto"/>
        <w:ind w:left="0" w:firstLine="720"/>
        <w:rPr>
          <w:b w:val="1"/>
          <w:bCs w:val="1"/>
          <w:sz w:val="24"/>
          <w:szCs w:val="24"/>
        </w:rPr>
      </w:pPr>
      <w:r w:rsidDel="00000000" w:rsidR="00000000" w:rsidRPr="00000000">
        <w:rPr>
          <w:rtl w:val="0"/>
        </w:rPr>
      </w:r>
    </w:p>
    <w:p w:rsidR="00000000" w:rsidDel="00000000" w:rsidP="00000000" w:rsidRDefault="00000000" w:rsidRPr="00000000" w14:paraId="00000046">
      <w:pPr>
        <w:spacing w:after="240" w:before="240" w:line="240" w:lineRule="auto"/>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Definition of Terms</w:t>
      </w:r>
    </w:p>
    <w:p w:rsidR="00000000" w:rsidDel="00000000" w:rsidP="00000000" w:rsidRDefault="00000000" w:rsidRPr="00000000" w14:paraId="00000047">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Family Development Sessions (FDS)</w:t>
      </w:r>
      <w:r w:rsidDel="00000000" w:rsidR="00000000" w:rsidRPr="00000000">
        <w:rPr>
          <w:rFonts w:ascii="Times New Roman" w:cs="Times New Roman" w:eastAsia="Times New Roman" w:hAnsi="Times New Roman"/>
          <w:rtl w:val="0"/>
        </w:rPr>
        <w:t xml:space="preserve"> – This refers to a parent session conducted every month that tackles 4Ps programs, do and do’s while in the programs, parenting, and information dissemination of government programs and services. </w:t>
      </w:r>
    </w:p>
    <w:p w:rsidR="00000000" w:rsidDel="00000000" w:rsidP="00000000" w:rsidRDefault="00000000" w:rsidRPr="00000000" w14:paraId="00000048">
      <w:pPr>
        <w:spacing w:after="240" w:before="240" w:line="240" w:lineRule="auto"/>
        <w:ind w:firstLine="72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General Appropriations Act (GAA)</w:t>
      </w:r>
      <w:r w:rsidDel="00000000" w:rsidR="00000000" w:rsidRPr="00000000">
        <w:rPr>
          <w:rFonts w:ascii="Times New Roman" w:cs="Times New Roman" w:eastAsia="Times New Roman" w:hAnsi="Times New Roman"/>
          <w:rtl w:val="0"/>
        </w:rPr>
        <w:t xml:space="preserve"> - A law that refers to the source of funds of the government for its day-to-day operations and programs such as the 4Ps program. </w:t>
      </w:r>
      <w:r w:rsidDel="00000000" w:rsidR="00000000" w:rsidRPr="00000000">
        <w:rPr>
          <w:rFonts w:ascii="Times New Roman" w:cs="Times New Roman" w:eastAsia="Times New Roman" w:hAnsi="Times New Roman"/>
          <w:b w:val="1"/>
          <w:bCs w:val="1"/>
          <w:rtl w:val="0"/>
        </w:rPr>
        <w:t xml:space="preserve">Listahanan </w:t>
      </w:r>
      <w:r w:rsidDel="00000000" w:rsidR="00000000" w:rsidRPr="00000000">
        <w:rPr>
          <w:rFonts w:ascii="Times New Roman" w:cs="Times New Roman" w:eastAsia="Times New Roman" w:hAnsi="Times New Roman"/>
          <w:rtl w:val="0"/>
        </w:rPr>
        <w:t xml:space="preserve">- This refers to the National Household Targeting System that identifies who is eligible, especially the poorest of the poor, to the government programs and services like this 4Ps Program. </w:t>
      </w:r>
      <w:r w:rsidDel="00000000" w:rsidR="00000000" w:rsidRPr="00000000">
        <w:rPr>
          <w:rtl w:val="0"/>
        </w:rPr>
      </w:r>
    </w:p>
    <w:p w:rsidR="00000000" w:rsidDel="00000000" w:rsidP="00000000" w:rsidRDefault="00000000" w:rsidRPr="00000000" w14:paraId="0000004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Pantawid Pamilyang Pilipino Program (4Ps)</w:t>
      </w:r>
      <w:r w:rsidDel="00000000" w:rsidR="00000000" w:rsidRPr="00000000">
        <w:rPr>
          <w:rFonts w:ascii="Times New Roman" w:cs="Times New Roman" w:eastAsia="Times New Roman" w:hAnsi="Times New Roman"/>
          <w:rtl w:val="0"/>
        </w:rPr>
        <w:t xml:space="preserve"> - This refers to the government program under the Department of Social Welfare and Development (DSWD) for poverty reduction. The beneficiary is required to meet the requirements of the program on health and education.</w:t>
      </w:r>
    </w:p>
    <w:p w:rsidR="00000000" w:rsidDel="00000000" w:rsidP="00000000" w:rsidRDefault="00000000" w:rsidRPr="00000000" w14:paraId="0000004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Parents-beneficiary</w:t>
      </w:r>
      <w:r w:rsidDel="00000000" w:rsidR="00000000" w:rsidRPr="00000000">
        <w:rPr>
          <w:rFonts w:ascii="Times New Roman" w:cs="Times New Roman" w:eastAsia="Times New Roman" w:hAnsi="Times New Roman"/>
          <w:rtl w:val="0"/>
        </w:rPr>
        <w:t xml:space="preserve"> - the most responsible and adult member within the family, which can be a parent or guardian. They also serve as the grantee of the household. </w:t>
      </w:r>
    </w:p>
    <w:p w:rsidR="00000000" w:rsidDel="00000000" w:rsidP="00000000" w:rsidRDefault="00000000" w:rsidRPr="00000000" w14:paraId="0000004B">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Republic Act No. 11310</w:t>
      </w:r>
      <w:r w:rsidDel="00000000" w:rsidR="00000000" w:rsidRPr="00000000">
        <w:rPr>
          <w:rFonts w:ascii="Times New Roman" w:cs="Times New Roman" w:eastAsia="Times New Roman" w:hAnsi="Times New Roman"/>
          <w:rtl w:val="0"/>
        </w:rPr>
        <w:t xml:space="preserve"> - This law is also known as 4Ps Act that institutionalized the 4Ps program with an objective is a Social Protection Measure and Poverty Reduction Strategy that focuses on Human Capital Investment.</w:t>
      </w:r>
    </w:p>
    <w:p w:rsidR="00000000" w:rsidDel="00000000" w:rsidP="00000000" w:rsidRDefault="00000000" w:rsidRPr="00000000" w14:paraId="0000004C">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Solo Parent</w:t>
      </w:r>
      <w:r w:rsidDel="00000000" w:rsidR="00000000" w:rsidRPr="00000000">
        <w:rPr>
          <w:rFonts w:ascii="Times New Roman" w:cs="Times New Roman" w:eastAsia="Times New Roman" w:hAnsi="Times New Roman"/>
          <w:rtl w:val="0"/>
        </w:rPr>
        <w:t xml:space="preserve"> - a parent who provides sole parental care and support to the child due to birth as a consequence of rape, death of the spouse, detention of the spouse, physical or mental incapacity of the spouse as certified by a public or private medical practitioner, legal separation or de facto separation, annulment, abandonment by the spouse, or the spouse of an OFW, provided that the OFW belongs to the low/semi-skilled worker, an unmarried mother or father who keeps the rear of the children, or a pregnant woman who provides sole care to her child.</w:t>
      </w:r>
    </w:p>
    <w:p w:rsidR="00000000" w:rsidDel="00000000" w:rsidP="00000000" w:rsidRDefault="00000000" w:rsidRPr="00000000" w14:paraId="0000004D">
      <w:pPr>
        <w:spacing w:after="240" w:before="240" w:line="240" w:lineRule="auto"/>
        <w:ind w:left="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after="240" w:before="240" w:line="240" w:lineRule="auto"/>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F">
      <w:pPr>
        <w:spacing w:after="240" w:before="240" w:line="240" w:lineRule="auto"/>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0">
      <w:pPr>
        <w:spacing w:after="240" w:before="240" w:line="240" w:lineRule="auto"/>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1">
      <w:pPr>
        <w:spacing w:after="240" w:before="240" w:line="240" w:lineRule="auto"/>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2">
      <w:pPr>
        <w:spacing w:after="240" w:before="240" w:line="240" w:lineRule="auto"/>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3">
      <w:pPr>
        <w:spacing w:after="240" w:before="240" w:line="240" w:lineRule="auto"/>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4">
      <w:pPr>
        <w:spacing w:after="240" w:before="240" w:line="240" w:lineRule="auto"/>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5">
      <w:pPr>
        <w:spacing w:after="20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widowControl w:val="0"/>
        <w:spacing w:before="44" w:line="240" w:lineRule="auto"/>
        <w:rPr>
          <w:rFonts w:ascii="Times New Roman" w:cs="Times New Roman" w:eastAsia="Times New Roman" w:hAnsi="Times New Roman"/>
          <w:color w:val="050505"/>
          <w:sz w:val="24"/>
          <w:szCs w:val="24"/>
        </w:rPr>
      </w:pPr>
      <w:r w:rsidDel="00000000" w:rsidR="00000000" w:rsidRPr="00000000">
        <w:rPr>
          <w:rtl w:val="0"/>
        </w:rPr>
      </w:r>
    </w:p>
    <w:p w:rsidR="00000000" w:rsidDel="00000000" w:rsidP="00000000" w:rsidRDefault="00000000" w:rsidRPr="00000000" w14:paraId="00000057">
      <w:pPr>
        <w:widowControl w:val="0"/>
        <w:spacing w:before="44" w:line="240" w:lineRule="auto"/>
        <w:rPr>
          <w:rFonts w:ascii="Times New Roman" w:cs="Times New Roman" w:eastAsia="Times New Roman" w:hAnsi="Times New Roman"/>
          <w:color w:val="050505"/>
          <w:sz w:val="24"/>
          <w:szCs w:val="24"/>
        </w:rPr>
      </w:pPr>
      <w:r w:rsidDel="00000000" w:rsidR="00000000" w:rsidRPr="00000000">
        <w:rPr>
          <w:rtl w:val="0"/>
        </w:rPr>
      </w:r>
    </w:p>
    <w:p w:rsidR="00000000" w:rsidDel="00000000" w:rsidP="00000000" w:rsidRDefault="00000000" w:rsidRPr="00000000" w14:paraId="00000058">
      <w:pPr>
        <w:widowControl w:val="0"/>
        <w:spacing w:before="44" w:line="240" w:lineRule="auto"/>
        <w:rPr>
          <w:rFonts w:ascii="Times New Roman" w:cs="Times New Roman" w:eastAsia="Times New Roman" w:hAnsi="Times New Roman"/>
          <w:color w:val="050505"/>
          <w:sz w:val="24"/>
          <w:szCs w:val="24"/>
        </w:rPr>
      </w:pPr>
      <w:r w:rsidDel="00000000" w:rsidR="00000000" w:rsidRPr="00000000">
        <w:rPr>
          <w:rtl w:val="0"/>
        </w:rPr>
      </w:r>
    </w:p>
    <w:p w:rsidR="00000000" w:rsidDel="00000000" w:rsidP="00000000" w:rsidRDefault="00000000" w:rsidRPr="00000000" w14:paraId="00000059">
      <w:pPr>
        <w:pStyle w:val="Heading1"/>
        <w:keepNext w:val="0"/>
        <w:keepLines w:val="0"/>
        <w:widowControl w:val="0"/>
        <w:numPr>
          <w:ilvl w:val="0"/>
          <w:numId w:val="1"/>
        </w:numPr>
        <w:tabs>
          <w:tab w:val="left" w:leader="none" w:pos="406"/>
        </w:tabs>
        <w:spacing w:line="240" w:lineRule="auto"/>
        <w:ind w:left="406" w:hanging="306"/>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000000"/>
          <w:sz w:val="24"/>
          <w:szCs w:val="24"/>
          <w:rtl w:val="0"/>
        </w:rPr>
        <w:t xml:space="preserve">METHODOLOGY</w:t>
      </w:r>
    </w:p>
    <w:p w:rsidR="00000000" w:rsidDel="00000000" w:rsidP="00000000" w:rsidRDefault="00000000" w:rsidRPr="00000000" w14:paraId="0000005A">
      <w:pPr>
        <w:widowControl w:val="0"/>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B">
      <w:pPr>
        <w:pStyle w:val="Heading2"/>
        <w:keepNext w:val="0"/>
        <w:keepLines w:val="0"/>
        <w:widowControl w:val="0"/>
        <w:spacing w:after="0" w:before="0"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Research Method</w:t>
      </w:r>
    </w:p>
    <w:p w:rsidR="00000000" w:rsidDel="00000000" w:rsidP="00000000" w:rsidRDefault="00000000" w:rsidRPr="00000000" w14:paraId="0000005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researchers used a quantitative research approach in gathering data and obtaining intended answers to the research questions. According to Rana, J. et al.,(2021), the quantitative approach is a method used to collect and analyze numerical data. This kind of method helps  the researchers to quantify the effect of the variables included in the study. This method is aligned to the aim of the researchers in conducting this study which is to trace and assess the effect of the 4Ps program particularly in health care and education to its beneficiaries. </w:t>
      </w:r>
    </w:p>
    <w:p w:rsidR="00000000" w:rsidDel="00000000" w:rsidP="00000000" w:rsidRDefault="00000000" w:rsidRPr="00000000" w14:paraId="0000005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 achieve the aim of the study a correlational research design is adopted. The correlational research design aims to assess the relationship between or among selected variables Dulock, H (2024). In this study, the researchers wanted to assess the relationship of 4Ps and its relationship to household beneficiaries. The correlational research design is appropriate in the researchers study which aims to assess the gaps  based on the ongoing implementation of 4Ps by tracing the impact of the implementation of the program to the household-beneficiaries providing facts in a precise and systematic way.</w:t>
      </w:r>
    </w:p>
    <w:p w:rsidR="00000000" w:rsidDel="00000000" w:rsidP="00000000" w:rsidRDefault="00000000" w:rsidRPr="00000000" w14:paraId="0000005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line="240" w:lineRule="auto"/>
        <w:ind w:firstLine="720"/>
        <w:jc w:val="both"/>
        <w:rPr>
          <w:rFonts w:ascii="Times New Roman" w:cs="Times New Roman" w:eastAsia="Times New Roman" w:hAnsi="Times New Roman"/>
          <w:b w:val="1"/>
          <w:bCs w:val="1"/>
          <w:highlight w:val="yellow"/>
        </w:rPr>
      </w:pPr>
      <w:r w:rsidDel="00000000" w:rsidR="00000000" w:rsidRPr="00000000">
        <w:rPr>
          <w:rFonts w:ascii="Times New Roman" w:cs="Times New Roman" w:eastAsia="Times New Roman" w:hAnsi="Times New Roman"/>
          <w:rtl w:val="0"/>
        </w:rPr>
        <w:t xml:space="preserve">The study also aims to assess  the impact of the 4Ps program to the education , health care and income  of the household-beneficiaries. At the end of this study, the researchers are able to propose policy recommendations for the better implementation of the program. Adopting this research design is appropriate to have data which is systematic and concrete.</w:t>
      </w:r>
      <w:r w:rsidDel="00000000" w:rsidR="00000000" w:rsidRPr="00000000">
        <w:rPr>
          <w:rtl w:val="0"/>
        </w:rPr>
      </w:r>
    </w:p>
    <w:p w:rsidR="00000000" w:rsidDel="00000000" w:rsidP="00000000" w:rsidRDefault="00000000" w:rsidRPr="00000000" w14:paraId="00000061">
      <w:pPr>
        <w:pStyle w:val="Heading2"/>
        <w:keepNext w:val="0"/>
        <w:keepLines w:val="0"/>
        <w:widowControl w:val="0"/>
        <w:spacing w:after="0" w:before="0" w:line="240" w:lineRule="auto"/>
        <w:ind w:left="0" w:firstLine="0"/>
        <w:jc w:val="both"/>
        <w:rPr>
          <w:rFonts w:ascii="Times New Roman" w:cs="Times New Roman" w:eastAsia="Times New Roman" w:hAnsi="Times New Roman"/>
          <w:b w:val="1"/>
          <w:bCs w:val="1"/>
          <w:sz w:val="24"/>
          <w:szCs w:val="24"/>
          <w:shd w:fill="b6d7a8" w:val="clear"/>
        </w:rPr>
      </w:pPr>
      <w:r w:rsidDel="00000000" w:rsidR="00000000" w:rsidRPr="00000000">
        <w:rPr>
          <w:rtl w:val="0"/>
        </w:rPr>
      </w:r>
    </w:p>
    <w:p w:rsidR="00000000" w:rsidDel="00000000" w:rsidP="00000000" w:rsidRDefault="00000000" w:rsidRPr="00000000" w14:paraId="00000062">
      <w:pPr>
        <w:pStyle w:val="Heading2"/>
        <w:keepNext w:val="0"/>
        <w:keepLines w:val="0"/>
        <w:widowControl w:val="0"/>
        <w:spacing w:after="0" w:before="0"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Description of Participants</w:t>
      </w:r>
    </w:p>
    <w:p w:rsidR="00000000" w:rsidDel="00000000" w:rsidP="00000000" w:rsidRDefault="00000000" w:rsidRPr="00000000" w14:paraId="00000063">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Respondents are the main source of evidence and ensures that the research reflects actual facts and perspectives, making the findings more valid, applicable, and reliable. The respondents who participated in this research are the 4Ps household-beneficiaries residing at District 2 of Quezon City.We selected it as the respondents group to provide accurate representations. The respondents have a minimum of 3 years of experience as a beneficiary of the program, considering that this is a reasonable time frame to track and measure impact based on UNICEF. However, having more than 3 years since the maiden launch of the program in 2019 is still considerable. It is a reasonable time-frame to determine whether the 4Ps program is effective, since it allows us to see accumulation of benefits, sustained behavior, and measurable improvements in well-being. It can also help to compare before and after conditions and to trace not only the short-term conditions, but to measure long-term effects. </w:t>
      </w:r>
    </w:p>
    <w:p w:rsidR="00000000" w:rsidDel="00000000" w:rsidP="00000000" w:rsidRDefault="00000000" w:rsidRPr="00000000" w14:paraId="00000064">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typical 4Ps beneficiaries are women, and majority are married with an age ranging between 31 years old to 50 years old and above. Majority of the beneficiaries are high school graduates and currently have no employment. In addition, the typical family size of the household beneficiaries are 4-6 members, where mostly only one member of the family is working, having a monthly income of below ₱ 6,000- ₱ 9,000, and monthly expenditure of below ₱ 19,000. </w:t>
      </w:r>
    </w:p>
    <w:p w:rsidR="00000000" w:rsidDel="00000000" w:rsidP="00000000" w:rsidRDefault="00000000" w:rsidRPr="00000000" w14:paraId="00000066">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used a sample size of 368 respondents using stratified random sampling technique which provides a statistically acceptable margin of error and just sufficient to ensure 95% confidence level. A total of 368 respondents are  chosen across different Barangays in District 2 to ensure geographic and demographic diversity and to ensure representativeness to draw meaningful conclusions. These barangays vary in terms of income level, education, cultural practices, and access to services which can assure that we get a more accurate picture of the population for the study. Thus, correct respondents are those who have direct knowledge, long experiences, and involvement with the research topic to boost credibility. To recommend improvements, the data should come from the people who are actually affected by the issue or otherwise, recommendations may not be relevant, useful, or applicable.</w:t>
      </w:r>
    </w:p>
    <w:p w:rsidR="00000000" w:rsidDel="00000000" w:rsidP="00000000" w:rsidRDefault="00000000" w:rsidRPr="00000000" w14:paraId="00000068">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pStyle w:val="Heading2"/>
        <w:keepNext w:val="0"/>
        <w:keepLines w:val="0"/>
        <w:widowControl w:val="0"/>
        <w:spacing w:after="0" w:before="0"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Sampling Method</w:t>
      </w:r>
    </w:p>
    <w:p w:rsidR="00000000" w:rsidDel="00000000" w:rsidP="00000000" w:rsidRDefault="00000000" w:rsidRPr="00000000" w14:paraId="0000006B">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population of the study came from the 4P’s household beneficiaries currently residing at District 2 of Quezon City. Accurate representations are the main reason why the researchers choose them as the respondents. In order to identify the minimum sample size for tracing the 4Ps program particularly in its services; education and healthcare and its impact to its beneficiaries in District 2, Quezon City, the researchers used Cochran Method for finite population. This method is suitable in this study because the population is defined and large. With that using a confidence level of 95% ( Z= 1.96), a 50% population proportion (p= 0.5), population of the household beneficiaries in District 2 in Quezon City is (N=8,701), and a precision level (e= 0.05), the required minimum sample size is 368. </w:t>
      </w:r>
    </w:p>
    <w:p w:rsidR="00000000" w:rsidDel="00000000" w:rsidP="00000000" w:rsidRDefault="00000000" w:rsidRPr="00000000" w14:paraId="0000006C">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reliability and accurate representation, the researchers used stratified random sampling to  get an accurate sample from the household population of each barangay. It is a sampling technique that allows the researchers to divide the population into subgroups called strata. The researchers  get the sample proportion. </w:t>
      </w:r>
    </w:p>
    <w:p w:rsidR="00000000" w:rsidDel="00000000" w:rsidP="00000000" w:rsidRDefault="00000000" w:rsidRPr="00000000" w14:paraId="0000006E">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There are five (5) barangays in District 2 of Quezon City namely: Commonwealth, Batasan Hills and Holy Spirit, Bagong Silangan, and Payatas.  Therefore, the researchers will get 116 household beneficiary respondents in Barangay Payatas, 80 in Barangay Commonwealth, 59 in Barangay Bagong Silangan, 57 in Barangay Batasan Hills and lastly, 56 in Barangay Holy Spirit, a total of 368 household beneficiaries respondents. </w:t>
      </w:r>
      <w:r w:rsidDel="00000000" w:rsidR="00000000" w:rsidRPr="00000000">
        <w:rPr>
          <w:rtl w:val="0"/>
        </w:rPr>
      </w:r>
    </w:p>
    <w:p w:rsidR="00000000" w:rsidDel="00000000" w:rsidP="00000000" w:rsidRDefault="00000000" w:rsidRPr="00000000" w14:paraId="00000070">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pStyle w:val="Heading2"/>
        <w:keepNext w:val="0"/>
        <w:keepLines w:val="0"/>
        <w:widowControl w:val="0"/>
        <w:spacing w:after="0" w:before="60" w:line="240" w:lineRule="auto"/>
        <w:jc w:val="both"/>
        <w:rPr>
          <w:rFonts w:ascii="Times New Roman" w:cs="Times New Roman" w:eastAsia="Times New Roman" w:hAnsi="Times New Roman"/>
          <w:b w:val="1"/>
          <w:bCs w:val="1"/>
          <w:sz w:val="24"/>
          <w:szCs w:val="24"/>
        </w:rPr>
      </w:pPr>
      <w:bookmarkStart w:colFirst="0" w:colLast="0" w:name="_o12vsn2dt2gh" w:id="0"/>
      <w:bookmarkEnd w:id="0"/>
      <w:r w:rsidDel="00000000" w:rsidR="00000000" w:rsidRPr="00000000">
        <w:rPr>
          <w:rFonts w:ascii="Times New Roman" w:cs="Times New Roman" w:eastAsia="Times New Roman" w:hAnsi="Times New Roman"/>
          <w:b w:val="1"/>
          <w:bCs w:val="1"/>
          <w:sz w:val="24"/>
          <w:szCs w:val="24"/>
          <w:rtl w:val="0"/>
        </w:rPr>
        <w:t xml:space="preserve">Tradition of Inquiry and Data-Generation Method</w:t>
      </w:r>
    </w:p>
    <w:p w:rsidR="00000000" w:rsidDel="00000000" w:rsidP="00000000" w:rsidRDefault="00000000" w:rsidRPr="00000000" w14:paraId="00000072">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of this study used survey data questionnaires in collecting crucial information. With this, data collection is guided by legal provision under Republic Act No. 10173 or known as the Data Privacy Act that protects the privacy of an individual's personal information. Based on the respondent's ability to respond to the questions, this approach would be a paper survey. The questionnaires are developed from the Review of Related Literature (RRL) of the study and aligned with the Statement of the Problem (SOP). The purpose of this type of survey is to gather structured information and more specific answers from a targeted group of respondents in a standardized and consistent manner. After getting approval for the content of the questionnaire, copies are distributed to 368 respondents designated in District 2 of Quezon City.</w:t>
      </w:r>
    </w:p>
    <w:p w:rsidR="00000000" w:rsidDel="00000000" w:rsidP="00000000" w:rsidRDefault="00000000" w:rsidRPr="00000000" w14:paraId="00000073">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also joined in one of Family Development Sessions (FDS) which is a monthly gathering of 4ps beneficiaries where they are educated in various topics to ensure the well-being of their families. Joining this gathering will help the researchers gain a clearer picture by observing how the program is implemented in a real setting— socially, culturally, and logistically— to interpret the responses more accurately. The data gathered from this research instrument are tallied and analyzed. Along with the primary data, the researchers also made use of secondary resources in the form of collecting data from DSWD, to be able to lay down the socio-economic impact of 4Ps to the household beneficiaries and to be able to create data driven policy recommendations for the better implementation of the program.</w:t>
      </w:r>
    </w:p>
    <w:p w:rsidR="00000000" w:rsidDel="00000000" w:rsidP="00000000" w:rsidRDefault="00000000" w:rsidRPr="00000000" w14:paraId="00000075">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pStyle w:val="Heading2"/>
        <w:keepNext w:val="0"/>
        <w:keepLines w:val="0"/>
        <w:widowControl w:val="0"/>
        <w:spacing w:after="0" w:before="0" w:line="240" w:lineRule="auto"/>
        <w:ind w:left="100" w:firstLine="0"/>
        <w:jc w:val="both"/>
        <w:rPr/>
      </w:pPr>
      <w:r w:rsidDel="00000000" w:rsidR="00000000" w:rsidRPr="00000000">
        <w:rPr>
          <w:rFonts w:ascii="Times New Roman" w:cs="Times New Roman" w:eastAsia="Times New Roman" w:hAnsi="Times New Roman"/>
          <w:b w:val="1"/>
          <w:bCs w:val="1"/>
          <w:sz w:val="24"/>
          <w:szCs w:val="24"/>
          <w:rtl w:val="0"/>
        </w:rPr>
        <w:t xml:space="preserve">Research Instrument</w:t>
      </w:r>
      <w:r w:rsidDel="00000000" w:rsidR="00000000" w:rsidRPr="00000000">
        <w:rPr>
          <w:rtl w:val="0"/>
        </w:rPr>
      </w:r>
    </w:p>
    <w:p w:rsidR="00000000" w:rsidDel="00000000" w:rsidP="00000000" w:rsidRDefault="00000000" w:rsidRPr="00000000" w14:paraId="0000007B">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The researchers developed a self-constructed survey questionnaire consisting of systematically arranged questions designed to measure the perceptions and experiences of beneficiaries of the Pantawid Pamilyang Pilipino Program across five selected barangays. The instrument was carefully designed to ensure relevance, clarity, and cultural sensitivity, particularly in capturing the challenges and opportunities encountered by beneficiaries, as well as the role of the Department of Social Welfare and Development in the implementation of social welfare programs. The questionnaire was derived from the statement of the problem and reflected the specific dimensions that the study aimed to examine.</w:t>
      </w:r>
    </w:p>
    <w:p w:rsidR="00000000" w:rsidDel="00000000" w:rsidP="00000000" w:rsidRDefault="00000000" w:rsidRPr="00000000" w14:paraId="0000007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research instrument underwent content validation on October 23, 2025, by four faculty members from the Polytechnic University of the Philippines (PUP) Quezon City Campus. Two validators were from the Public Administration faculty: Instructor Francisco Calingasan  and Assistant Professor Rodrigo Dolorosa, Master in Public Administration, both recognized for their expertise in public policy and governance. The other two validators were from the Faculty of Education: Assistant Professor Mark Anthony Aribon, an expert in structure and grammar, and **Instructor Joana Marie Oliquino**, who specializes in Filipino literature and grammar. Their evaluation ensured that the instrument was academically sound, coherent, and appropriate for the target respondents.</w:t>
      </w:r>
    </w:p>
    <w:p w:rsidR="00000000" w:rsidDel="00000000" w:rsidP="00000000" w:rsidRDefault="00000000" w:rsidRPr="00000000" w14:paraId="0000007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establish reliability, the instrument was subjected to statistical testing and was cleared on December 8, 2025, by Sir Jerwin P. Ablay, a statistician. The results of the reliability test indicated that the instrument demonstrated a satisfactory level of consistency, confirming that it was a reliable tool for measuring the intended constructs of the study. Prior to the conduct of the study, the researchers coordinated with the Department of Social Welfare and Development to secure the necessary approvals. Initial consultation was conducted on November 4, 2025, and the research instrument was formally validated and approved on November 28, 2025, by the DSWD Research Unit under the supervision of pRoselle Rentoza, Planning Officer IV and Officer-in-Charge of the Policy and Plans Division.</w:t>
      </w:r>
    </w:p>
    <w:p w:rsidR="00000000" w:rsidDel="00000000" w:rsidP="00000000" w:rsidRDefault="00000000" w:rsidRPr="00000000" w14:paraId="0000007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researchers ensured that all ethical considerations were observed before the conduct of data gathering. Ethical clearance was granted on January 20, 2026, which marked the formal commencement of the data collection process. Data gathering was conducted across five barangays in District 2 of Quezon City. Specifically, the researchers collected data in Barangay Commonwealth on January 22, 2026, with 80 respondents; Barangay Holy Spirit on January 23, 2026, with 57 respondents; Barangay Bagong Silangan on January 26, 2026, with 58 respondents; Barangay Payatas on January 27, 2026, with 115 respondents; and Barangay Batasan Hills on January 28, 2026, with 59 respondents. Throughout the data collection process, the researchers were assisted by the respective barangay officials and a designated focal person from the DSWD to ensure safety and proper coordination. During the administration of the survey, the researchers closely supervised the respondents to ensure the accuracy and completeness of their responses. All collected data were treated with strict confidentiality in compliance with Republic Act No. 10173.</w:t>
      </w:r>
    </w:p>
    <w:p w:rsidR="00000000" w:rsidDel="00000000" w:rsidP="00000000" w:rsidRDefault="00000000" w:rsidRPr="00000000" w14:paraId="0000007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responses were measured using a 4-point Likert scale adapted from Bakar and Ismail (2020), where 1.00–1.74 was interpreted as Low, 1.75–2.49 as Moderate-Low, 2.50–3.24 as Moderate-High, and 3.25–4.00 as High, accompanied by corresponding verbal interpretations. This scaling method was deemed appropriate as it provided a systematic and quantifiable means of assessing the perceptions, attitudes, and experiences of the respondents regarding the 4Ps program, thereby enabling a more precise evaluation of its impact on beneficiary families.</w:t>
      </w:r>
    </w:p>
    <w:p w:rsidR="00000000" w:rsidDel="00000000" w:rsidP="00000000" w:rsidRDefault="00000000" w:rsidRPr="00000000" w14:paraId="0000008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pStyle w:val="Heading1"/>
        <w:keepNext w:val="0"/>
        <w:keepLines w:val="0"/>
        <w:widowControl w:val="0"/>
        <w:numPr>
          <w:ilvl w:val="0"/>
          <w:numId w:val="1"/>
        </w:numPr>
        <w:tabs>
          <w:tab w:val="left" w:leader="none" w:pos="500"/>
        </w:tabs>
        <w:spacing w:line="240" w:lineRule="auto"/>
        <w:ind w:left="500" w:hanging="400"/>
        <w:jc w:val="left"/>
        <w:rPr>
          <w:rFonts w:ascii="Times New Roman" w:cs="Times New Roman" w:eastAsia="Times New Roman" w:hAnsi="Times New Roman"/>
          <w:b w:val="1"/>
          <w:bCs w:val="1"/>
          <w:color w:val="050505"/>
          <w:sz w:val="24"/>
          <w:szCs w:val="24"/>
        </w:rPr>
      </w:pPr>
      <w:bookmarkStart w:colFirst="0" w:colLast="0" w:name="_7jixrbezld3n" w:id="1"/>
      <w:bookmarkEnd w:id="1"/>
      <w:r w:rsidDel="00000000" w:rsidR="00000000" w:rsidRPr="00000000">
        <w:rPr>
          <w:rFonts w:ascii="Times New Roman" w:cs="Times New Roman" w:eastAsia="Times New Roman" w:hAnsi="Times New Roman"/>
          <w:color w:val="000000"/>
          <w:sz w:val="24"/>
          <w:szCs w:val="24"/>
          <w:rtl w:val="0"/>
        </w:rPr>
        <w:t xml:space="preserve">RESULTS AND DISCUSSIONS</w:t>
      </w:r>
    </w:p>
    <w:p w:rsidR="00000000" w:rsidDel="00000000" w:rsidP="00000000" w:rsidRDefault="00000000" w:rsidRPr="00000000" w14:paraId="00000082">
      <w:pPr>
        <w:spacing w:after="240" w:before="240" w:line="240" w:lineRule="auto"/>
        <w:ind w:firstLine="720"/>
        <w:jc w:val="both"/>
        <w:rPr/>
      </w:pPr>
      <w:r w:rsidDel="00000000" w:rsidR="00000000" w:rsidRPr="00000000">
        <w:rPr>
          <w:rFonts w:ascii="Times New Roman" w:cs="Times New Roman" w:eastAsia="Times New Roman" w:hAnsi="Times New Roman"/>
          <w:sz w:val="24"/>
          <w:szCs w:val="24"/>
          <w:rtl w:val="0"/>
        </w:rPr>
        <w:t xml:space="preserve">This chapter covers the presentation of the data gathered through survey, the analysis of every consolidated findings and the interpretation of the indicated results. This study seeks to assess the impact of Pantawid Pamilyang Pilipino Program (4Ps) particularly on Education and Health Services on the family-beneficiaries of Brgy. Bagong Silangan, Batasan, Commonwealth, Holy Spirit, and Payatas of District 2, Quezon City. Thus, the data presented here is in a tabular form, analyzed correspondingly and interpreted based on the Literature presented on the Chapter II of this study. </w:t>
      </w:r>
      <w:r w:rsidDel="00000000" w:rsidR="00000000" w:rsidRPr="00000000">
        <w:rPr>
          <w:rtl w:val="0"/>
        </w:rPr>
      </w:r>
    </w:p>
    <w:p w:rsidR="00000000" w:rsidDel="00000000" w:rsidP="00000000" w:rsidRDefault="00000000" w:rsidRPr="00000000" w14:paraId="00000083">
      <w:pPr>
        <w:pStyle w:val="Heading2"/>
        <w:keepNext w:val="0"/>
        <w:keepLines w:val="0"/>
        <w:widowControl w:val="0"/>
        <w:tabs>
          <w:tab w:val="left" w:leader="none" w:pos="820"/>
        </w:tabs>
        <w:spacing w:after="0" w:before="0" w:line="240" w:lineRule="auto"/>
        <w:rPr>
          <w:rFonts w:ascii="Times New Roman" w:cs="Times New Roman" w:eastAsia="Times New Roman" w:hAnsi="Times New Roman"/>
          <w:sz w:val="24"/>
          <w:szCs w:val="24"/>
        </w:rPr>
      </w:pPr>
      <w:bookmarkStart w:colFirst="0" w:colLast="0" w:name="_2xpkvuc9z29o" w:id="2"/>
      <w:bookmarkEnd w:id="2"/>
      <w:r w:rsidDel="00000000" w:rsidR="00000000" w:rsidRPr="00000000">
        <w:rPr>
          <w:rFonts w:ascii="Times New Roman" w:cs="Times New Roman" w:eastAsia="Times New Roman" w:hAnsi="Times New Roman"/>
          <w:b w:val="1"/>
          <w:bCs w:val="1"/>
          <w:sz w:val="24"/>
          <w:szCs w:val="24"/>
          <w:rtl w:val="0"/>
        </w:rPr>
        <w:t xml:space="preserve">Demographic Profile of the Participants</w:t>
      </w:r>
      <w:r w:rsidDel="00000000" w:rsidR="00000000" w:rsidRPr="00000000">
        <w:rPr>
          <w:rtl w:val="0"/>
        </w:rPr>
      </w:r>
    </w:p>
    <w:p w:rsidR="00000000" w:rsidDel="00000000" w:rsidP="00000000" w:rsidRDefault="00000000" w:rsidRPr="00000000" w14:paraId="00000084">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chapter covers the presentation of the data gathered through the survey, the analysis of every consolidated finding, and the interpretation of the indicated results. This study seeks to assess the impact of the Pantawid Pamilyang Pilipino Program (4Ps), particularly on education and health services, on the family-beneficiaries of Brgy. Bagong Silangan, Batasan, Commonwealth, Holy Spirit, and Payatas of District 2, Quezon City. Thus, the data presented here is in a tabular form, analyzed correspondingly, and interpreted based on the literature presented in Chapter II of this study. </w:t>
      </w:r>
    </w:p>
    <w:p w:rsidR="00000000" w:rsidDel="00000000" w:rsidP="00000000" w:rsidRDefault="00000000" w:rsidRPr="00000000" w14:paraId="00000085">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results, the socio-economic states of the respondents were largely middle-aged, ranging from 31 to 50 years old and above, garnering a total of 94.57%. Most are also female, aligned to the general rule indicated in the Operational Manual of 4Ps, where mothers should be the grant recipients of the cash grant received by the household. In terms of educational attainment, the majority of the respondents are either at the high school level or are high school graduates. There is a small fraction of college-level or college-graduate respondents and limited elementary-level or elementary-graduate respondents.</w:t>
      </w:r>
    </w:p>
    <w:p w:rsidR="00000000" w:rsidDel="00000000" w:rsidP="00000000" w:rsidRDefault="00000000" w:rsidRPr="00000000" w14:paraId="0000008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addition, in terms of marital status, the majority are married, having 66%.94 of the sample. It was also revealed in this study that the average family size of 4P’s household beneficiaries is 4-6 members, garnering the percentage of 57%.72. Talking about their employment status, it shows that it was also diverse. However, many of the respondents still don't have work (35.50%, or 131). Furthermore, many of the respondents either have 1 or 2 working family members. The data shows that having 1 working family member is no longer sustainable; that's the reason why some families have dual earners to have a safety net. </w:t>
      </w:r>
    </w:p>
    <w:p w:rsidR="00000000" w:rsidDel="00000000" w:rsidP="00000000" w:rsidRDefault="00000000" w:rsidRPr="00000000" w14:paraId="0000008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 top of that, the majority of the respondents are still within the poverty threshold and a minimum wage earner having a monthly income of below ₱ 6,000- ₱ 9,000.  Many of the respondents also have a low expenditure. It was revealed that the daily expenditure of a household is not congruent with their daily income. On the positive note, the number of the respondents in the family is diverse and they reportedly have high monthly grants. This just shows that, although many are still financially vulnerable, the 4ps cash assistance they receive covers most of their daily needs.</w:t>
      </w:r>
    </w:p>
    <w:p w:rsidR="00000000" w:rsidDel="00000000" w:rsidP="00000000" w:rsidRDefault="00000000" w:rsidRPr="00000000" w14:paraId="00000088">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Awareness to the Pantawid Pamilyang Pilipino Program (4Ps)</w:t>
      </w:r>
    </w:p>
    <w:p w:rsidR="00000000" w:rsidDel="00000000" w:rsidP="00000000" w:rsidRDefault="00000000" w:rsidRPr="00000000" w14:paraId="0000008A">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indicate that respondents demonstrate a generally high level of awareness of the Pantawid Pamilyang Pilipino Program (4Ps). Information about the program is primarily accessed through campaign postings and flyers distributed by the Department of Social Welfare and Development (DSWD), as well as announcements from local government units and barangay officials. This suggests that formal institutional channels and community-based communication remain the most effective means of disseminating information about the program.  However, despite the overall high level of awareness, some uneven exposure among beneficiaries was observed, indicating the need to further expand and strengthen information dissemination through both traditional and digital communication platforms to ensure consistent awareness among all beneficiaries.</w:t>
      </w:r>
    </w:p>
    <w:p w:rsidR="00000000" w:rsidDel="00000000" w:rsidP="00000000" w:rsidRDefault="00000000" w:rsidRPr="00000000" w14:paraId="0000008B">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terms of program knowledge, respondents show a strong understanding of the program’s purpose, implementing agencies, and major eligibility requirements. Most beneficiaries are aware that the program targets poor households, particularly those with children aged 0–18 years old, and that it operates as a conditional cash transfer program. Nonetheless, awareness of certain eligibility criteria, such as pregnancy at the time of registration, was relatively lower compared with other indicators. This suggests the presence of minor information gaps, highlighting the need for clearer communication of less-emphasized eligibility provisions to ensure that beneficiaries possess a complete understanding of the program.</w:t>
      </w:r>
    </w:p>
    <w:p w:rsidR="00000000" w:rsidDel="00000000" w:rsidP="00000000" w:rsidRDefault="00000000" w:rsidRPr="00000000" w14:paraId="0000008C">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the results reveal a high level of awareness regarding compliance with program conditions. Beneficiaries are generally knowledgeable about key requirements, including participation in Family Development Sessions (FDS), children’s school enrollment, and compliance with health and nutrition services. However, awareness of the program’s seven-year participation limit was comparatively lower, indicating that program duration and exit policies may not be as clearly communicated. Strengthening orientations and information campaigns regarding these aspects may help beneficiaries better prepare for eventual program graduation and promote transparency in program implementation.</w:t>
      </w:r>
    </w:p>
    <w:p w:rsidR="00000000" w:rsidDel="00000000" w:rsidP="00000000" w:rsidRDefault="00000000" w:rsidRPr="00000000" w14:paraId="0000008D">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of differences in awareness across socio-demographic characteristics further revealed that awareness levels are largely consistent across most groups. Variables such as location, age, sex, civil status, household income, monthly expenditures, number of working family members, and the number of beneficiaries within the household did not show statistically significant differences in awareness indicators. This finding suggests that information about the program has been broadly disseminated across communities regardless of respondents’ basic demographic and economic characteristics. However, educational attainment emerged as a significant factor influencing awareness across all indicators, including platform used, program awareness, awareness of responsibilities, and overall awareness. This indicates that respondents with higher levels of education tend to have a deeper understanding of the program and its requirements. In addition, family size showed a significant difference in awareness of program responsibilities, implying that household composition may influence how beneficiaries perceive and comply with program conditions. Moreover, the amount of monthly cash grant received was also found to significantly affect program awareness, responsibility awareness, and overall awareness, suggesting that differences in grant levels may shape how beneficiaries engage with program information and obligations.</w:t>
      </w:r>
    </w:p>
    <w:p w:rsidR="00000000" w:rsidDel="00000000" w:rsidP="00000000" w:rsidRDefault="00000000" w:rsidRPr="00000000" w14:paraId="0000008E">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results imply that awareness of the 4Ps program is broadly uniform across most socio-demographic groups, reflecting the program’s extensive community-level dissemination. Nevertheless, the consistent influence of educational attainment highlights the importance of adopting more education-sensitive and simplified communication strategies. Enhancing these strategies may help ensure that all beneficiaries, regardless of educational background or household characteristics, can fully understand the program’s eligibility requirements, compliance conditions, and long-term objectives.</w:t>
      </w:r>
    </w:p>
    <w:p w:rsidR="00000000" w:rsidDel="00000000" w:rsidP="00000000" w:rsidRDefault="00000000" w:rsidRPr="00000000" w14:paraId="0000008F">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Understanding of the 4Ps Program </w:t>
      </w:r>
    </w:p>
    <w:p w:rsidR="00000000" w:rsidDel="00000000" w:rsidP="00000000" w:rsidRDefault="00000000" w:rsidRPr="00000000" w14:paraId="0000009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findings indicate that family-beneficiaries demonstrate a high level of understanding of the Pantawid Pamilyang Pilipino Program (4Ps), particularly in terms of beneficiary selection, program objectives, conditionalities of grants, and the inclusion of vulnerable sectors. This suggests that the program’s information dissemination and orientation mechanisms are generally effective in communicating its purpose and requirements. For instance, the statement that the 4Ps aims to help poor households achieve key human development outcomes in health, nutrition, and education, indicating that beneficiaries clearly recognize the program’s primary goal of assisting families who struggle to meet basic needs, especially those related to child development.  The low standard deviation further implies that this understanding is consistently shared among respondents.</w:t>
      </w:r>
    </w:p>
    <w:p w:rsidR="00000000" w:rsidDel="00000000" w:rsidP="00000000" w:rsidRDefault="00000000" w:rsidRPr="00000000" w14:paraId="00000091">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terms of specific program components, beneficiaries show strong familiarity with the education grants and the required compliance, such as maintaining regular school attendance and preventing dropouts. This indicates that recipients are not only aware of the benefits they receive but also understand the responsibilities attached to them. Similarly, respondents demonstrate clear knowledge of health and nutrition requirements, including maternal care, child health check-ups, immunization, and deworming, which ensures that children receive essential medical attention and that families follow preventive healthcare measures promoted by the program. Beneficiaries also show awareness of additional program components, such as the rice subsidy and post-program support or referral services provided by the Department of Social Welfare and Development (DSWD), recognizing that assistance may continue through livelihood and support services even after graduating from the program.</w:t>
      </w:r>
    </w:p>
    <w:p w:rsidR="00000000" w:rsidDel="00000000" w:rsidP="00000000" w:rsidRDefault="00000000" w:rsidRPr="00000000" w14:paraId="00000092">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analysis examining differences in the level of understanding across socio-demographic characteristics shows that most demographic variables—such as sex, civil status, family size, average monthly income, monthly expenditures, and number of family members working—do not produce significant differences in beneficiaries’ understanding of the program. This indicates that the core knowledge of the program is generally consistent across these groups. However, significant differences emerge when respondents are grouped by age and educational attainment, particularly in relation to education, health, other program components, and overall understanding.</w:t>
      </w:r>
    </w:p>
    <w:p w:rsidR="00000000" w:rsidDel="00000000" w:rsidP="00000000" w:rsidRDefault="00000000" w:rsidRPr="00000000" w14:paraId="00000093">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These findings suggest that comprehension of program rules and benefits may vary depending on beneficiaries’ age groups and levels of education. In addition, location shows a significant difference only in relation to other program components, implying that local context may influence beneficiaries’ knowledge of supplementary provisions more than the core program rules.</w:t>
      </w:r>
    </w:p>
    <w:p w:rsidR="00000000" w:rsidDel="00000000" w:rsidP="00000000" w:rsidRDefault="00000000" w:rsidRPr="00000000" w14:paraId="00000094">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Among the different program dimensions, the “other components” category—including rice subsidies and referral or support services—shows the most variation across socio-demographic groups. Significant differences are observed based on location, age, educational attainment, cash grant amount, and the number of 4Ps beneficiaries in the household, indicating that this aspect of the program is the most unevenly understood among respondents. Despite this, the overall results confirm that beneficiaries generally possess a strong understanding of the 4Ps program, its objectives, and compliance requirements, which supports effective participation and contributes to the proper implementation of the program at the household level. Nevertheless, the presence of minor gaps in understanding suggests the need for more targeted, simplified, and context-specific orientation strategies—particularly regarding the program’s additional components and eligibility-related details—to ensure that all beneficiaries fully understand the scope and benefits of the program.</w:t>
      </w:r>
    </w:p>
    <w:p w:rsidR="00000000" w:rsidDel="00000000" w:rsidP="00000000" w:rsidRDefault="00000000" w:rsidRPr="00000000" w14:paraId="00000095">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4Ps Program Attainment </w:t>
      </w:r>
    </w:p>
    <w:p w:rsidR="00000000" w:rsidDel="00000000" w:rsidP="00000000" w:rsidRDefault="00000000" w:rsidRPr="00000000" w14:paraId="0000009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findings of the study reveal that the Pantawid Pamilyang Pilipino Program (4Ps) demonstrates notable attainment in both education and healthcare services among its beneficiaries. Results indicate that the program’s conditional cash transfer mechanism effectively supports compliance with education and health-related requirements, contributing to positive outcomes for children and families. In terms of education, one of the highest-rated indicators is children’s improved school attendance, which obtained a mean score of 3.82 with a standard deviation of 0.49. This suggests that beneficiaries consistently observe that the program encourages children to attend school regularly. The relatively low standard deviation also indicates that respondents share similar experiences regarding this outcome, affirming that the program plays a significant role in promoting regular school participation and reducing absenteeism among children.</w:t>
      </w:r>
    </w:p>
    <w:p w:rsidR="00000000" w:rsidDel="00000000" w:rsidP="00000000" w:rsidRDefault="00000000" w:rsidRPr="00000000" w14:paraId="00000097">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indicator concerning the reduction of children’s likelihood of dropping out of school received the lowest mean within the education category. Although the result still falls within the “attained” level, the relatively higher variability in responses suggests that some families continue to face challenges that may increase the risk of school dropout, such as economic pressures or household responsibilities.</w:t>
      </w:r>
    </w:p>
    <w:p w:rsidR="00000000" w:rsidDel="00000000" w:rsidP="00000000" w:rsidRDefault="00000000" w:rsidRPr="00000000" w14:paraId="00000098">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relation to healthcare services, the study also found significant attainment across several indicators involving access, utilization, and compliance with health requirements. The highest-rated indicator relates to children’s compliance with health check-ups and immunizations, reflecting active participation of beneficiaries in preventive healthcare measures required by the program. Conversely, the lowest-rated healthcare indicator concerns the frequency of clinic or doctor visits. While still interpreted as attained, the higher variation in responses indicates that some beneficiaries encounter difficulties in consistently accessing healthcare facilities. Such challenges may be associated with supply-side factors, including distance to health centers, limited availability of medical personnel, or constraints in local health infrastructure.</w:t>
      </w:r>
    </w:p>
    <w:p w:rsidR="00000000" w:rsidDel="00000000" w:rsidP="00000000" w:rsidRDefault="00000000" w:rsidRPr="00000000" w14:paraId="00000099">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analysis examining differences in respondents’ level of attainment of the 4Ps in terms of education, health services, and overall outcomes when grouped according to their socio-demographic profile revealed no statistically significant differences across all variables. Specifically, attainment did not significantly vary by location, age, sex, educational attainment, civil status, family size, employment status, average monthly income, monthly expenditures, number of family members working, or the number of 4Ps beneficiaries within the household, as all p-values exceeded the .05 level of significance. These findings indicate that beneficiaries generally perceive similar levels of program attainment regardless of their demographic characteristics.</w:t>
      </w:r>
    </w:p>
    <w:p w:rsidR="00000000" w:rsidDel="00000000" w:rsidP="00000000" w:rsidRDefault="00000000" w:rsidRPr="00000000" w14:paraId="0000009A">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closest to statistical significance were observed in relation to the amount of monthly cash grant received, which approached but did not reach the threshold for significance in education attainment, health services attainment, and overall attainment. This suggests only a slight indication that perceived program outcomes may differ across varying levels of cash assistance. </w:t>
      </w:r>
    </w:p>
    <w:p w:rsidR="00000000" w:rsidDel="00000000" w:rsidP="00000000" w:rsidRDefault="00000000" w:rsidRPr="00000000" w14:paraId="0000009B">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findings suggest that the 4Ps program is generally attained in promoting educational participation and healthcare compliance among beneficiaries and that these perceived benefits are broadly consistent across different socio-demographic groups. Nevertheless, variations in certain indicators—particularly those related to school dropout risks and regular access to healthcare facilities—indicate that contextual challenges remain. Addressing these gaps may further strengthen the effectiveness of the program in achieving its intended outcomes for beneficiary families.</w:t>
      </w:r>
    </w:p>
    <w:p w:rsidR="00000000" w:rsidDel="00000000" w:rsidP="00000000" w:rsidRDefault="00000000" w:rsidRPr="00000000" w14:paraId="0000009C">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Impact of the 4Ps program on the Family</w:t>
      </w:r>
    </w:p>
    <w:p w:rsidR="00000000" w:rsidDel="00000000" w:rsidP="00000000" w:rsidRDefault="00000000" w:rsidRPr="00000000" w14:paraId="0000009D">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findings indicate that the Pantawid Pamilyang Pilipino Program (4Ps) has a generally positive impact on beneficiary families, particularly in parenting, education, health awareness, and access to government services. The program’s conditional components appear to influence family behavior and improve overall well-being.</w:t>
      </w:r>
    </w:p>
    <w:p w:rsidR="00000000" w:rsidDel="00000000" w:rsidP="00000000" w:rsidRDefault="00000000" w:rsidRPr="00000000" w14:paraId="0000009E">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Among the indicators, the statement “The Family Development Sessions (FDS) help me become a better parent”indicates that beneficiaries strongly perceive the sessions as helpful in improving parenting skills and family relationships. Respondents also reported improvements in children’s school attendance and academic engagement due to the financial assistance and education-related conditions of the program. In terms of health and nutrition, beneficiaries indicated increased awareness of proper nutrition and greater access to healthcare services.</w:t>
      </w:r>
    </w:p>
    <w:p w:rsidR="00000000" w:rsidDel="00000000" w:rsidP="00000000" w:rsidRDefault="00000000" w:rsidRPr="00000000" w14:paraId="0000009F">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also show that the perceived impact of the program is generally consistent across most socio-demographic groups. Variables such as location, age, sex, civil status, family size, income, household expenditures, and number of working family members did not show significant differences in perceived impact. </w:t>
      </w:r>
    </w:p>
    <w:p w:rsidR="00000000" w:rsidDel="00000000" w:rsidP="00000000" w:rsidRDefault="00000000" w:rsidRPr="00000000" w14:paraId="000000A0">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educational attainment and employment status showed statistically significant differences, suggesting that respondents with different educational backgrounds and employment conditions may experience the program’s benefits differently. </w:t>
      </w:r>
    </w:p>
    <w:p w:rsidR="00000000" w:rsidDel="00000000" w:rsidP="00000000" w:rsidRDefault="00000000" w:rsidRPr="00000000" w14:paraId="000000A1">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positive outcomes, some challenges were identified. The lowest  score was recorded for perceptions of fairness in community-level implementation, indicating concerns about beneficiary selection and local program administration. Some respondents perceived issues such as selectivity and possible exclusion of eligible families.</w:t>
      </w:r>
    </w:p>
    <w:p w:rsidR="00000000" w:rsidDel="00000000" w:rsidP="00000000" w:rsidRDefault="00000000" w:rsidRPr="00000000" w14:paraId="000000A2">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while the program demonstrates positive impacts on beneficiary households, the findings highlight the need to strengthen transparency and fairness in program implementation to ensure that benefits are equitably distributed among intended recipients.</w:t>
      </w:r>
    </w:p>
    <w:p w:rsidR="00000000" w:rsidDel="00000000" w:rsidP="00000000" w:rsidRDefault="00000000" w:rsidRPr="00000000" w14:paraId="000000A3">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Challenges of the family-beneficiary in the 4Ps Program</w:t>
      </w:r>
    </w:p>
    <w:p w:rsidR="00000000" w:rsidDel="00000000" w:rsidP="00000000" w:rsidRDefault="00000000" w:rsidRPr="00000000" w14:paraId="000000A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findings indicate that, despite the successes of the 4P’s Program, several challenges may still arise throughout its implementation. Addressing these issues is essential to ensure that the program’s benefits are delivered consistently and effectively to all intended beneficiaries. Among the challenges, the most notable concerns were insufficient cash grants for education and health, with 1.12% and delayed cash grants, with 1.13%, implying moderately low encounters. This small percentage is still meaningful in policymaking, because delays or insufficient grants, even if experienced by few, can have serious consequences for those affected.</w:t>
      </w:r>
    </w:p>
    <w:p w:rsidR="00000000" w:rsidDel="00000000" w:rsidP="00000000" w:rsidRDefault="00000000" w:rsidRPr="00000000" w14:paraId="000000A5">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Other implementation concerns were also rated moderately low, such as difficulty complying with conditionalities, gathering 1.17% , administrative or bureaucratic problems with 1.10%, and issues in selection or monitoring with 1.09%. Although these results are not constant, these issues are still present for a meaningful portion of beneficiaries.  This indicates that program processes are generally manageable but can still create barriers for some households. </w:t>
      </w:r>
    </w:p>
    <w:p w:rsidR="00000000" w:rsidDel="00000000" w:rsidP="00000000" w:rsidRDefault="00000000" w:rsidRPr="00000000" w14:paraId="000000A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study also reveals that respondents largely denied engaging in behaviors that violate the intended use of grants. The items in the misuse of grants were consistently rated low, indicating that beneficiaries are generally responsible in utilizing the financial support provided to them. This finding suggests that the program not only provides assistance but also fosters accountability among recipients, reinforcing the positive outcomes of the 4P’s Program.</w:t>
      </w:r>
    </w:p>
    <w:p w:rsidR="00000000" w:rsidDel="00000000" w:rsidP="00000000" w:rsidRDefault="00000000" w:rsidRPr="00000000" w14:paraId="000000A7">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general, the findings suggest that major challenges are only minimal, yet enhancements are still needed. Enhancing the timeliness of payouts and ensuring grant adequacy could further improve the program’s effectiveness. In addition, sustaining and formalizing support systems may help buffer compliance burdens and improve beneficiaries’ program experience. Lastly, sustaining structured support systems may alleviate compliance difficulties and contribute to a better program experience for recipients. </w:t>
      </w:r>
    </w:p>
    <w:p w:rsidR="00000000" w:rsidDel="00000000" w:rsidP="00000000" w:rsidRDefault="00000000" w:rsidRPr="00000000" w14:paraId="000000A8">
      <w:pPr>
        <w:spacing w:after="240" w:before="240"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Recommendations to improve the 4Ps Program </w:t>
      </w:r>
    </w:p>
    <w:p w:rsidR="00000000" w:rsidDel="00000000" w:rsidP="00000000" w:rsidRDefault="00000000" w:rsidRPr="00000000" w14:paraId="000000A9">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survey results indicate that most respondents perceive a need for enhancements to the program. A large majority, 86.18% indicates that most respondents prioritize longer-term income generation beyond cash grants. Respondents view it as a more sustainable and empowering alternative to short-term cash assistance. Increasing the amount of financial grants was also a major concern, cited by 82.66% of respondents, emphasizing the rising living costs, household needs, and the erosion of grant value over time. As inflation continues to erode the real value of cash grants, households struggle to meet their basic needs despite being enrolled in the program.</w:t>
      </w:r>
    </w:p>
    <w:p w:rsidR="00000000" w:rsidDel="00000000" w:rsidP="00000000" w:rsidRDefault="00000000" w:rsidRPr="00000000" w14:paraId="000000AA">
      <w:pPr>
        <w:spacing w:after="240" w:before="240"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Enhancing and expanding access to health services is an additional concern, as 82.38% of respondents voted, suggesting that both the adequacy of assistance and service accessibility remain central concerns. Without addressing both adequacy and accessibility, health outcomes could remain poor, and inequality in healthcare could persist or worsen.</w:t>
      </w:r>
    </w:p>
    <w:p w:rsidR="00000000" w:rsidDel="00000000" w:rsidP="00000000" w:rsidRDefault="00000000" w:rsidRPr="00000000" w14:paraId="000000AB">
      <w:pPr>
        <w:spacing w:after="240" w:before="240"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increasing support for educational materials and supplies was also highlighted with 81.57%, signaling  that improving access to educational supplies is a high-priority area for policymakers, schools, or community programs. Strengthening program monitoring and evaluation gathering comes next with 78.59%. This reflects a need for both learning-related support and stronger accountability mechanisms. Timely delivery also remains a pressing issue, as 76.15% call to ensure the timely distribution of financial grants, while 74.80% highlight providing better information and awareness about the program and its benefits. </w:t>
      </w:r>
    </w:p>
    <w:p w:rsidR="00000000" w:rsidDel="00000000" w:rsidP="00000000" w:rsidRDefault="00000000" w:rsidRPr="00000000" w14:paraId="000000AC">
      <w:pPr>
        <w:spacing w:after="240" w:before="240"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Meanwhile, 63.96% of respondents pointed to reducing administrative and bureaucratic processes to make any process easier and faster. While 4Ps remains an essential program for low-income households, these findings highlight several key areas requiring strengthening to enhance its long-term impact.</w:t>
      </w:r>
    </w:p>
    <w:p w:rsidR="00000000" w:rsidDel="00000000" w:rsidP="00000000" w:rsidRDefault="00000000" w:rsidRPr="00000000" w14:paraId="000000AD">
      <w:pPr>
        <w:spacing w:after="240" w:before="240"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Significance Difference of the demographic profile to the respondents</w:t>
      </w:r>
    </w:p>
    <w:p w:rsidR="00000000" w:rsidDel="00000000" w:rsidP="00000000" w:rsidRDefault="00000000" w:rsidRPr="00000000" w14:paraId="000000AE">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findings imply that awareness of 4Ps is broadly uniform across most socio-demographic groups, supporting the idea that information about the program is widely disseminated in the community. At the same time, the consistent significance of educational attainment indicates that understanding and awareness deepen with higher educational exposure, which may affect how beneficiaries process program information and compliance conditions. </w:t>
      </w:r>
    </w:p>
    <w:p w:rsidR="00000000" w:rsidDel="00000000" w:rsidP="00000000" w:rsidRDefault="00000000" w:rsidRPr="00000000" w14:paraId="000000AF">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However, educational attainment showed significant differences across all awareness indicators, indicating that higher education levels are linked to better understanding of the program. Family size significantly affected only awareness of responsibilities, while the amount of monthly cash grant received influenced program awareness, responsibility awareness, and overall awareness, but not the platform where information was accessed.</w:t>
      </w:r>
    </w:p>
    <w:p w:rsidR="00000000" w:rsidDel="00000000" w:rsidP="00000000" w:rsidRDefault="00000000" w:rsidRPr="00000000" w14:paraId="000000B0">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Similarly, awareness of 4Ps is widely shared, but education, family size, and grant level play important roles in how well beneficiaries understand the program. This suggests the need for simplified, education-sensitive communication strategies to improve understanding and compliance among all groups.</w:t>
      </w:r>
    </w:p>
    <w:p w:rsidR="00000000" w:rsidDel="00000000" w:rsidP="00000000" w:rsidRDefault="00000000" w:rsidRPr="00000000" w14:paraId="000000B1">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 the other hand, while core understanding of 4Ps is stable, differences in age and education affect comprehension, and less visible program components are unevenly understood. This highlights the need for targeted, simplified, and context-specific information strategies, especially for groups with varying education levels, ages, and household characteristics. </w:t>
      </w:r>
    </w:p>
    <w:p w:rsidR="00000000" w:rsidDel="00000000" w:rsidP="00000000" w:rsidRDefault="00000000" w:rsidRPr="00000000" w14:paraId="000000B2">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Furthermore, educational attainment and employment status showed significant differences, indicating that these factors influence how strongly respondents feel the program benefits their families. This suggests that access to information, skills, and daily economic conditions affect perceptions of program impact. This explains that while 4Ps benefits are broadly shared, targeted communication and support for lower-education and economically constrained groups may improve equity in both perceived and actual program outcomes.</w:t>
      </w:r>
    </w:p>
    <w:p w:rsidR="00000000" w:rsidDel="00000000" w:rsidP="00000000" w:rsidRDefault="00000000" w:rsidRPr="00000000" w14:paraId="000000B3">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Lastly, the results show that respondents’ experiences of program challenges and perceived support are generally consistent across all socio-demographic groups, including location, age, sex, education, civil status, family size, employment, income, grant amount, expenditures, number of working members, and number of beneficiaries. However, grant misuse varied significantly by location, monthly cash grant amount, and household expenditures, indicating that local context and financial pressures influence how assistance is managed. Overall, while challenges and support are broadly uniform, targeted monitoring, integrity measures, and financial guidance should focus on communities and households with higher misuse risk to strengthen program outcomes. </w:t>
      </w:r>
    </w:p>
    <w:p w:rsidR="00000000" w:rsidDel="00000000" w:rsidP="00000000" w:rsidRDefault="00000000" w:rsidRPr="00000000" w14:paraId="000000B4">
      <w:pPr>
        <w:pStyle w:val="Heading1"/>
        <w:keepNext w:val="0"/>
        <w:keepLines w:val="0"/>
        <w:widowControl w:val="0"/>
        <w:numPr>
          <w:ilvl w:val="0"/>
          <w:numId w:val="1"/>
        </w:numPr>
        <w:tabs>
          <w:tab w:val="left" w:leader="none" w:pos="500"/>
        </w:tabs>
        <w:spacing w:line="240" w:lineRule="auto"/>
        <w:ind w:left="500" w:hanging="400"/>
        <w:jc w:val="left"/>
        <w:rPr>
          <w:rFonts w:ascii="Times New Roman" w:cs="Times New Roman" w:eastAsia="Times New Roman" w:hAnsi="Times New Roman"/>
          <w:b w:val="1"/>
          <w:bCs w:val="1"/>
          <w:color w:val="050505"/>
          <w:sz w:val="24"/>
          <w:szCs w:val="24"/>
        </w:rPr>
      </w:pPr>
      <w:bookmarkStart w:colFirst="0" w:colLast="0" w:name="_3o972ib8ne3z" w:id="3"/>
      <w:bookmarkEnd w:id="3"/>
      <w:r w:rsidDel="00000000" w:rsidR="00000000" w:rsidRPr="00000000">
        <w:rPr>
          <w:rFonts w:ascii="Times New Roman" w:cs="Times New Roman" w:eastAsia="Times New Roman" w:hAnsi="Times New Roman"/>
          <w:color w:val="000000"/>
          <w:sz w:val="24"/>
          <w:szCs w:val="24"/>
          <w:rtl w:val="0"/>
        </w:rPr>
        <w:t xml:space="preserve">CONCLUSION</w:t>
      </w:r>
    </w:p>
    <w:p w:rsidR="00000000" w:rsidDel="00000000" w:rsidP="00000000" w:rsidRDefault="00000000" w:rsidRPr="00000000" w14:paraId="000000B5">
      <w:pPr>
        <w:tabs>
          <w:tab w:val="left" w:leader="none" w:pos="500"/>
        </w:tabs>
        <w:rPr/>
      </w:pPr>
      <w:r w:rsidDel="00000000" w:rsidR="00000000" w:rsidRPr="00000000">
        <w:rPr>
          <w:rtl w:val="0"/>
        </w:rPr>
      </w:r>
    </w:p>
    <w:p w:rsidR="00000000" w:rsidDel="00000000" w:rsidP="00000000" w:rsidRDefault="00000000" w:rsidRPr="00000000" w14:paraId="000000B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findings, the following conclusions were drawn:</w:t>
      </w:r>
    </w:p>
    <w:p w:rsidR="00000000" w:rsidDel="00000000" w:rsidP="00000000" w:rsidRDefault="00000000" w:rsidRPr="00000000" w14:paraId="000000B7">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After analyzing the findings, the researchers conclude that although beneficiaries receive high monthly cash grants and are actively engaged in the 4Ps program, many of the beneficiaries are still within the  poverty threshold and minimum wage earner. Despite being part of a moderate household size of four to six members, they still exhibit unstable employment, with a proportion being unemployed or relying on only one or two income earners. The researchers also conclude that the monthly income of the household is insufficient for their monthly expenditures; the daily expenses are much higher as compared to their income, which is the reason why they still remain economically vulnerable and remain in poverty. </w:t>
      </w:r>
    </w:p>
    <w:p w:rsidR="00000000" w:rsidDel="00000000" w:rsidP="00000000" w:rsidRDefault="00000000" w:rsidRPr="00000000" w14:paraId="000000B8">
      <w:pPr>
        <w:spacing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researchers concluded that beneficiaries are highly aware of the Pantawid Pamilyang Pilipino Program (4Ps), including its purpose, its condition, and benefits. The beneficiaries are most aware of the core eligibility of the program, especially poverty status and the presence of children aged 0-18 years old. In addition, it was also concluded that the most effective sources of program information dissemination would be face-to-face interaction with the beneficiaries like DSWD and LGU/barangay-based information mechanisms through house-to-house, flyers, posters, and community assemblies. However, it is also concluded that there's uneven access and exposure among beneficiaries to the program using mass and digital media. Hence, there's a need for more consistent and wider dissemination to ensure uniform understanding. </w:t>
      </w:r>
    </w:p>
    <w:p w:rsidR="00000000" w:rsidDel="00000000" w:rsidP="00000000" w:rsidRDefault="00000000" w:rsidRPr="00000000" w14:paraId="000000B9">
      <w:pPr>
        <w:spacing w:before="24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The researchers also concluded that there is a high level of understanding of the program among the beneficiaries, including the program objectives, selection process, grant conditionalities, and prioritization for the vulnerable sector. They are also knowledgeable about the commitment of the program to educational outcomes and improving the health and nutrition of its beneficiaries. They also showcase a high level of understanding of the other components of the 4Ps, like the post-referral and support services like the livelihood and the rice subsidy. </w:t>
      </w:r>
    </w:p>
    <w:p w:rsidR="00000000" w:rsidDel="00000000" w:rsidP="00000000" w:rsidRDefault="00000000" w:rsidRPr="00000000" w14:paraId="000000B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It was also concluded that the Pantawid Pamilyang Pilipino Program (4Ps) has positive outcomes for the beneficiaries in terms of education and healthcare. The program helps to promote regular school attendance and compliance with health check-ups and immunization, proving the effectiveness of the conditional cash transfer mechanism. However, another conclusion is that some beneficiaries experience the lack of accessibility towards health care services, specifically healthcare visits, and a small fraction are still at the verge of school dropout risk. </w:t>
      </w:r>
    </w:p>
    <w:p w:rsidR="00000000" w:rsidDel="00000000" w:rsidP="00000000" w:rsidRDefault="00000000" w:rsidRPr="00000000" w14:paraId="000000B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Another conclusion drawn by the researchers is that the program has a positive impact on its beneficiaries. Awareness in education and health, psychological well-being, as well as parenting practices continue to improve, proving that the program is able to extend beyond financial assistance. The Family Development Session (FDS) plays an important role in strengthening family relationships, improving parenting skills, and lastly, being a good member of the community. Aside from all of this, the program also contributes to increasing the awareness of the beneficiaries to the government services. On the other side, there are still issues of fairness and transparency in local implementation, suggesting that there’s a need to strengthen the program administration and fair beneficiary selection.</w:t>
      </w:r>
    </w:p>
    <w:p w:rsidR="00000000" w:rsidDel="00000000" w:rsidP="00000000" w:rsidRDefault="00000000" w:rsidRPr="00000000" w14:paraId="000000B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Although the program is generally effective among its beneficiaries, there are still challenges that persist during the delivery. Delayed cash grants, insufficient support for health and education, difficulty in complying with the conditions, and too much bureaucracy are among the challenges the beneficiaries commonly experience. Despite these challenges, the beneficiaries use their grants accordingly, indicating that they have been utilizing them responsibly and have strong accountability.</w:t>
      </w:r>
    </w:p>
    <w:p w:rsidR="00000000" w:rsidDel="00000000" w:rsidP="00000000" w:rsidRDefault="00000000" w:rsidRPr="00000000" w14:paraId="000000C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The beneficiaries wanted to recommend having sustainable income-generating opportunities to help them to be sustainable after they graduate from the program. Furthermore, they also wish to increase the cash grant they are receiving to address the inflation and continuous rising living costs.  They also wanted to strengthen the service adequacy and accessibility specifically, expanding the access to health services and educational materials. Additionally, they emphasized the importance of timely grant delivery, stronger monitoring evaluation, and improved program dissemination. </w:t>
      </w:r>
    </w:p>
    <w:p w:rsidR="00000000" w:rsidDel="00000000" w:rsidP="00000000" w:rsidRDefault="00000000" w:rsidRPr="00000000" w14:paraId="000000C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After analyzing the results, the findings indicate that awareness and core understanding in the program are generally consistent across many socio-demographic groups, suggesting that information about the program is widely disseminated within the community. The 4Ps program shows broad reach and generally uniform benefits, but disparities in understanding and impact exist across household size, education, employment, and economic conditions. To improve effectiveness, the program should execute. simplified and context-sensitive communication strategies, offer additional economically constrained households, and reinforce monitoring and financial guidance in higher-risk areas. Lastly, the program has a positive impact on the beneficiaries. This is notable for their high level of understanding and awareness ofof the program. It helps its beneficiaries to have a positive outcome in terms of education and health and be a better part of the community. The program is able to stick to their goal, which is to help households considered poor and near-poor to achieve the human goal since the majority of the beneficiaries are still within the poverty threshold and minimum wage earners. The program impact is generally positive among its beneficiaries; however, there are still lapses in implementation and challenges the beneficiaries still encounter that need to be addressed. Addressing this issue helps in promoting transparency, equity, and accountability.</w:t>
      </w:r>
    </w:p>
    <w:p w:rsidR="00000000" w:rsidDel="00000000" w:rsidP="00000000" w:rsidRDefault="00000000" w:rsidRPr="00000000" w14:paraId="000000C5">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Style w:val="Heading1"/>
        <w:keepNext w:val="0"/>
        <w:keepLines w:val="0"/>
        <w:widowControl w:val="0"/>
        <w:spacing w:line="240" w:lineRule="auto"/>
        <w:ind w:left="3862" w:firstLine="0"/>
        <w:jc w:val="left"/>
        <w:rPr>
          <w:rFonts w:ascii="Times New Roman" w:cs="Times New Roman" w:eastAsia="Times New Roman" w:hAnsi="Times New Roman"/>
          <w:color w:val="000000"/>
          <w:sz w:val="24"/>
          <w:szCs w:val="24"/>
        </w:rPr>
      </w:pPr>
      <w:bookmarkStart w:colFirst="0" w:colLast="0" w:name="_5xfgbpkxkjzl" w:id="4"/>
      <w:bookmarkEnd w:id="4"/>
      <w:r w:rsidDel="00000000" w:rsidR="00000000" w:rsidRPr="00000000">
        <w:rPr>
          <w:rFonts w:ascii="Times New Roman" w:cs="Times New Roman" w:eastAsia="Times New Roman" w:hAnsi="Times New Roman"/>
          <w:color w:val="000000"/>
          <w:sz w:val="24"/>
          <w:szCs w:val="24"/>
          <w:rtl w:val="0"/>
        </w:rPr>
        <w:t xml:space="preserve">RECOMMENDATIONS</w:t>
      </w:r>
    </w:p>
    <w:p w:rsidR="00000000" w:rsidDel="00000000" w:rsidP="00000000" w:rsidRDefault="00000000" w:rsidRPr="00000000" w14:paraId="000000D3">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determined findings and conclusion, the following recommendations were presented. </w:t>
      </w:r>
    </w:p>
    <w:p w:rsidR="00000000" w:rsidDel="00000000" w:rsidP="00000000" w:rsidRDefault="00000000" w:rsidRPr="00000000" w14:paraId="000000D5">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 Enhance and Strengthen Information Dissemination in Digital and Mass Media</w:t>
      </w:r>
      <w:r w:rsidDel="00000000" w:rsidR="00000000" w:rsidRPr="00000000">
        <w:rPr>
          <w:rtl w:val="0"/>
        </w:rPr>
      </w:r>
    </w:p>
    <w:p w:rsidR="00000000" w:rsidDel="00000000" w:rsidP="00000000" w:rsidRDefault="00000000" w:rsidRPr="00000000" w14:paraId="000000D6">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clear and well-planned communication strategy may be implemented to ensure beneficiaries clearly understand program requirements, benefits, and compliance conditions. Launching a video-first approach using local dialect and local influencers may be implemented to disseminate information not just through text but also in video. In this way, it will cater to beneficiaries who process information differently based on education and habit. Since educational attainment influences awareness, information materials may use simplified language and clear explanations. Visual aids, infographics, and community-based demonstrations should also be utilized to improve comprehension among beneficiaries with lower educational backgrounds. These strategies can help ensure that all beneficiaries receive accurate, accessible, and timely program information.</w:t>
      </w:r>
    </w:p>
    <w:p w:rsidR="00000000" w:rsidDel="00000000" w:rsidP="00000000" w:rsidRDefault="00000000" w:rsidRPr="00000000" w14:paraId="000000D7">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Enhance Orientation on 4Ps Selection and Benefits</w:t>
      </w:r>
    </w:p>
    <w:p w:rsidR="00000000" w:rsidDel="00000000" w:rsidP="00000000" w:rsidRDefault="00000000" w:rsidRPr="00000000" w14:paraId="000000D8">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w:t>
      </w:r>
      <w:r w:rsidDel="00000000" w:rsidR="00000000" w:rsidRPr="00000000">
        <w:rPr>
          <w:rFonts w:ascii="Times New Roman" w:cs="Times New Roman" w:eastAsia="Times New Roman" w:hAnsi="Times New Roman"/>
          <w:sz w:val="24"/>
          <w:szCs w:val="24"/>
          <w:rtl w:val="0"/>
        </w:rPr>
        <w:t xml:space="preserve">he DSWD may conduct orientations about the Pantawid Pamilyang Pilipino Program (4Ps) selection process and benefits, particularly highlighting the other components of 4Ps like the rice subsidy that they may get and those vulnerable groups like farmers, fisherfolk, homeless families, the informal settler sector, geographically-isolated and disadvantaged (GIDA) areas, areas without electricity, and persons with disabilities (PWD) are automatically included in the Standardized Targeting System (STS). It will help to enlighten the beneficiaries regarding the other components of 4Ps aside from healthcare services and education, which they often see and experience. This will also help in maximizing their benefits and improve their understanding about how the program works. </w:t>
      </w:r>
    </w:p>
    <w:p w:rsidR="00000000" w:rsidDel="00000000" w:rsidP="00000000" w:rsidRDefault="00000000" w:rsidRPr="00000000" w14:paraId="000000D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 Improve Access to Healthcare Services and Expand Educational Assistance</w:t>
      </w:r>
      <w:r w:rsidDel="00000000" w:rsidR="00000000" w:rsidRPr="00000000">
        <w:rPr>
          <w:rtl w:val="0"/>
        </w:rPr>
      </w:r>
    </w:p>
    <w:p w:rsidR="00000000" w:rsidDel="00000000" w:rsidP="00000000" w:rsidRDefault="00000000" w:rsidRPr="00000000" w14:paraId="000000DA">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government may strengthen and expand healthcare services available to 4Ps beneficiaries. Increasing the number of healthcare facilities, ensuring the presence of medical professionals, and providing essential medicines will help families comply with health-related program conditions more effectively. Additional financial support for educational expenses, along with the provision of learning materials and school supplies, may be considered. Stronger partnerships between the DSWD, schools, and local government units can also help establish supplementary programs such as school-based feeding initiatives to support the continued academic success of beneficiary students. </w:t>
      </w:r>
    </w:p>
    <w:p w:rsidR="00000000" w:rsidDel="00000000" w:rsidP="00000000" w:rsidRDefault="00000000" w:rsidRPr="00000000" w14:paraId="000000D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4. Strengthen Monitoring, Evaluation, and Beneficiary Selection of the Program.</w:t>
      </w:r>
      <w:r w:rsidDel="00000000" w:rsidR="00000000" w:rsidRPr="00000000">
        <w:rPr>
          <w:rFonts w:ascii="Times New Roman" w:cs="Times New Roman" w:eastAsia="Times New Roman" w:hAnsi="Times New Roman"/>
          <w:sz w:val="24"/>
          <w:szCs w:val="24"/>
          <w:rtl w:val="0"/>
        </w:rPr>
        <w:t xml:space="preserve"> A data-driven approach may be adopted to enhance transparency and accountability in the program. This can be done through digital tracking systems, regular impact assessments, and improved feedback mechanisms. In addition, periodic reassessment of beneficiaries should be conducted to ensure that assistance reaches those who truly need it and to prevent misallocation of resources. This kind of approach will build trust in the program and requires strengthening transparency and responsiveness at the community level so that high perceived benefits are matched by consistently fair and accountable implementation.</w:t>
      </w:r>
    </w:p>
    <w:p w:rsidR="00000000" w:rsidDel="00000000" w:rsidP="00000000" w:rsidRDefault="00000000" w:rsidRPr="00000000" w14:paraId="000000D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5. Ensure Timely Cash Grant Distribution</w:t>
      </w:r>
      <w:r w:rsidDel="00000000" w:rsidR="00000000" w:rsidRPr="00000000">
        <w:rPr>
          <w:rtl w:val="0"/>
        </w:rPr>
      </w:r>
    </w:p>
    <w:p w:rsidR="00000000" w:rsidDel="00000000" w:rsidP="00000000" w:rsidRDefault="00000000" w:rsidRPr="00000000" w14:paraId="000000DD">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government may minimize delays in cash disbursements by streamlining processes, reducing bureaucratic barriers, and adopting technology-based solutions such as digital banking and mobile payment platforms to make distribution more reliable and accessible. In addition, sustaining and formalizing support systems may help buffer compliance burdens and improve beneficiaries’ program experience. Lastly, sustaining structured support systems may alleviate compliance difficulties and contribute to a better program experience for recipients.</w:t>
      </w:r>
    </w:p>
    <w:p w:rsidR="00000000" w:rsidDel="00000000" w:rsidP="00000000" w:rsidRDefault="00000000" w:rsidRPr="00000000" w14:paraId="000000DE">
      <w:pPr>
        <w:spacing w:after="240" w:before="24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bCs w:val="1"/>
          <w:sz w:val="24"/>
          <w:szCs w:val="24"/>
          <w:rtl w:val="0"/>
        </w:rPr>
        <w:t xml:space="preserve">Increase the Cash Grants</w:t>
      </w:r>
    </w:p>
    <w:p w:rsidR="00000000" w:rsidDel="00000000" w:rsidP="00000000" w:rsidRDefault="00000000" w:rsidRPr="00000000" w14:paraId="000000DF">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reduce the financial burden on beneficiary families, policymakers and the DSWD may adjust the cash grants to keep pace with inflation and the rising costs of essential needs such as food, healthcare, and education. This will ensure that the assistance provided remains meaningful and responsive to current economic conditions.</w:t>
      </w:r>
    </w:p>
    <w:p w:rsidR="00000000" w:rsidDel="00000000" w:rsidP="00000000" w:rsidRDefault="00000000" w:rsidRPr="00000000" w14:paraId="000000E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7. Provide Livelihood Support Programs and Simplify Administrative Process</w:t>
      </w:r>
      <w:r w:rsidDel="00000000" w:rsidR="00000000" w:rsidRPr="00000000">
        <w:rPr>
          <w:rtl w:val="0"/>
        </w:rPr>
      </w:r>
    </w:p>
    <w:p w:rsidR="00000000" w:rsidDel="00000000" w:rsidP="00000000" w:rsidRDefault="00000000" w:rsidRPr="00000000" w14:paraId="000000E1">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of Social Welfare and Development may integrate the Sustainable Livelihood Program within the Pantawid Pamilyang Pilipino Program while households are still beneficiaries. This can provide skills training, entrepreneurship support, and job placement opportunities in partnership with local government units, private companies, and non-governmental organizations. Such integration will help beneficiaries develop alternative income sources, increase employability, and reduce long-term dependence on cash grants. In addition, to ease the burden on beneficiary families in complying with program requirements, the DSWD may simplify registration, documentation, and compliance procedures. Reducing excessive paperwork, improving records management, and ensuring accessible grievance mechanisms will make the program more user-friendly and efficient.</w:t>
      </w:r>
    </w:p>
    <w:p w:rsidR="00000000" w:rsidDel="00000000" w:rsidP="00000000" w:rsidRDefault="00000000" w:rsidRPr="00000000" w14:paraId="000000E2">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pStyle w:val="Heading1"/>
        <w:keepNext w:val="0"/>
        <w:keepLines w:val="0"/>
        <w:widowControl w:val="0"/>
        <w:numPr>
          <w:ilvl w:val="0"/>
          <w:numId w:val="1"/>
        </w:numPr>
        <w:tabs>
          <w:tab w:val="left" w:leader="none" w:pos="362"/>
        </w:tabs>
        <w:spacing w:before="240" w:line="240" w:lineRule="auto"/>
        <w:ind w:left="362" w:hanging="262"/>
        <w:jc w:val="left"/>
        <w:rPr>
          <w:rFonts w:ascii="Times New Roman" w:cs="Times New Roman" w:eastAsia="Times New Roman" w:hAnsi="Times New Roman"/>
          <w:b w:val="1"/>
          <w:bCs w:val="1"/>
          <w:color w:val="050505"/>
          <w:sz w:val="24"/>
          <w:szCs w:val="24"/>
        </w:rPr>
      </w:pPr>
      <w:bookmarkStart w:colFirst="0" w:colLast="0" w:name="_kdi480ix3wy" w:id="5"/>
      <w:bookmarkEnd w:id="5"/>
      <w:r w:rsidDel="00000000" w:rsidR="00000000" w:rsidRPr="00000000">
        <w:rPr>
          <w:rFonts w:ascii="Times New Roman" w:cs="Times New Roman" w:eastAsia="Times New Roman" w:hAnsi="Times New Roman"/>
          <w:color w:val="000000"/>
          <w:sz w:val="24"/>
          <w:szCs w:val="24"/>
          <w:rtl w:val="0"/>
        </w:rPr>
        <w:t xml:space="preserve">REFERENCES</w:t>
      </w:r>
    </w:p>
    <w:p w:rsidR="00000000" w:rsidDel="00000000" w:rsidP="00000000" w:rsidRDefault="00000000" w:rsidRPr="00000000" w14:paraId="000000EC">
      <w:pPr>
        <w:tabs>
          <w:tab w:val="left" w:leader="none" w:pos="362"/>
        </w:tabs>
        <w:rPr/>
      </w:pPr>
      <w:r w:rsidDel="00000000" w:rsidR="00000000" w:rsidRPr="00000000">
        <w:rPr>
          <w:rtl w:val="0"/>
        </w:rPr>
      </w:r>
    </w:p>
    <w:p w:rsidR="00000000" w:rsidDel="00000000" w:rsidP="00000000" w:rsidRDefault="00000000" w:rsidRPr="00000000" w14:paraId="000000ED">
      <w:pPr>
        <w:numPr>
          <w:ilvl w:val="0"/>
          <w:numId w:val="2"/>
        </w:numPr>
        <w:spacing w:after="0" w:afterAutospacing="0" w:before="240" w:line="276" w:lineRule="auto"/>
        <w:ind w:left="720" w:hanging="360"/>
        <w:jc w:val="both"/>
        <w:rPr>
          <w:u w:val="none"/>
        </w:rPr>
      </w:pPr>
      <w:r w:rsidDel="00000000" w:rsidR="00000000" w:rsidRPr="00000000">
        <w:rPr>
          <w:rtl w:val="0"/>
        </w:rPr>
        <w:t xml:space="preserve">Acosta, P. A., Avalos, J., &amp; Zapanta, A. (2021) An Update of the Philippine Conditional    Cash Transfer’s Implementation Performance. World Bank. Retrieved from </w:t>
      </w:r>
      <w:hyperlink r:id="rId8">
        <w:r w:rsidDel="00000000" w:rsidR="00000000" w:rsidRPr="00000000">
          <w:rPr>
            <w:color w:val="1155cc"/>
            <w:u w:val="single"/>
            <w:rtl w:val="0"/>
          </w:rPr>
          <w:t xml:space="preserve">https://hdl.handle.net/10986/32510</w:t>
        </w:r>
      </w:hyperlink>
      <w:r w:rsidDel="00000000" w:rsidR="00000000" w:rsidRPr="00000000">
        <w:rPr>
          <w:color w:val="1155cc"/>
          <w:u w:val="single"/>
          <w:rtl w:val="0"/>
        </w:rPr>
        <w:t xml:space="preserve">P</w:t>
      </w:r>
    </w:p>
    <w:p w:rsidR="00000000" w:rsidDel="00000000" w:rsidP="00000000" w:rsidRDefault="00000000" w:rsidRPr="00000000" w14:paraId="000000EE">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Basas, G. (2021). The Socio-economic conditions of the Household-beneficiaries of Pantawid Pamilyang Pilipino Program (4Ps) p. 58 - 72</w:t>
      </w:r>
    </w:p>
    <w:p w:rsidR="00000000" w:rsidDel="00000000" w:rsidP="00000000" w:rsidRDefault="00000000" w:rsidRPr="00000000" w14:paraId="000000EF">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Basiri, N. (2024). Study on the Effects of Pantawid Pamilyang Pilipino Program (4Ps) on Human Capital Development. SSRN </w:t>
      </w:r>
      <w:hyperlink r:id="rId9">
        <w:r w:rsidDel="00000000" w:rsidR="00000000" w:rsidRPr="00000000">
          <w:rPr>
            <w:color w:val="1155cc"/>
            <w:u w:val="single"/>
            <w:rtl w:val="0"/>
          </w:rPr>
          <w:t xml:space="preserve">https://papers.ssrn.com/Study-on-the-Effects-of-Pantawid-Pamilyang-Pilipino-Program-4ps-on-Human-Capital</w:t>
        </w:r>
      </w:hyperlink>
      <w:r w:rsidDel="00000000" w:rsidR="00000000" w:rsidRPr="00000000">
        <w:rPr>
          <w:rtl w:val="0"/>
        </w:rPr>
      </w:r>
    </w:p>
    <w:p w:rsidR="00000000" w:rsidDel="00000000" w:rsidP="00000000" w:rsidRDefault="00000000" w:rsidRPr="00000000" w14:paraId="000000F0">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Brillantes and Fernandez (2020) The Pantawid Pamilyang Pilipino Program: Its Impact on School Performance and Quality of Life — </w:t>
      </w:r>
      <w:hyperlink r:id="rId10">
        <w:r w:rsidDel="00000000" w:rsidR="00000000" w:rsidRPr="00000000">
          <w:rPr>
            <w:color w:val="1155cc"/>
            <w:u w:val="single"/>
            <w:rtl w:val="0"/>
          </w:rPr>
          <w:t xml:space="preserve">https://www.azalpub.com/index.php/ste/article/view/75</w:t>
        </w:r>
      </w:hyperlink>
      <w:r w:rsidDel="00000000" w:rsidR="00000000" w:rsidRPr="00000000">
        <w:rPr>
          <w:rtl w:val="0"/>
        </w:rPr>
      </w:r>
    </w:p>
    <w:p w:rsidR="00000000" w:rsidDel="00000000" w:rsidP="00000000" w:rsidRDefault="00000000" w:rsidRPr="00000000" w14:paraId="000000F1">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COA report.</w:t>
      </w:r>
      <w:hyperlink r:id="rId11">
        <w:r w:rsidDel="00000000" w:rsidR="00000000" w:rsidRPr="00000000">
          <w:rPr>
            <w:color w:val="1155cc"/>
            <w:u w:val="single"/>
            <w:rtl w:val="0"/>
          </w:rPr>
          <w:t xml:space="preserve">https://www.pids.gov.ph/details/news/in-the-news/90-of-4ps-families-still-poor-says-coa-report</w:t>
        </w:r>
      </w:hyperlink>
      <w:r w:rsidDel="00000000" w:rsidR="00000000" w:rsidRPr="00000000">
        <w:rPr>
          <w:rtl w:val="0"/>
        </w:rPr>
      </w:r>
    </w:p>
    <w:p w:rsidR="00000000" w:rsidDel="00000000" w:rsidP="00000000" w:rsidRDefault="00000000" w:rsidRPr="00000000" w14:paraId="000000F2">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Corpuz, M. et al. (2020) Conditional Cash Transfer (CCT) Program: Students Perception and Challenges in their Academic Performance p. 314</w:t>
      </w:r>
    </w:p>
    <w:p w:rsidR="00000000" w:rsidDel="00000000" w:rsidP="00000000" w:rsidRDefault="00000000" w:rsidRPr="00000000" w14:paraId="000000F3">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Dano, G. (2022) Amartya Sen’s Capability Approach in Analysis of Pantawid Pamilyang Pilipino Program p. 41</w:t>
      </w:r>
    </w:p>
    <w:p w:rsidR="00000000" w:rsidDel="00000000" w:rsidP="00000000" w:rsidRDefault="00000000" w:rsidRPr="00000000" w14:paraId="000000F4">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Dela Torre, B. O. (2016). Financing Education through the Pantawid Pamilyang Pilipino Program (4Ps). International Journal of Humanities and Social Studies. </w:t>
      </w:r>
      <w:hyperlink r:id="rId12">
        <w:r w:rsidDel="00000000" w:rsidR="00000000" w:rsidRPr="00000000">
          <w:rPr>
            <w:color w:val="1155cc"/>
            <w:u w:val="single"/>
            <w:rtl w:val="0"/>
          </w:rPr>
          <w:t xml:space="preserve">https://www.academia.edu/download/62170091/Financing_Education_through_the_Pantawid20200222-10687-1xgks5.pdf</w:t>
        </w:r>
      </w:hyperlink>
      <w:r w:rsidDel="00000000" w:rsidR="00000000" w:rsidRPr="00000000">
        <w:rPr>
          <w:rtl w:val="0"/>
        </w:rPr>
      </w:r>
    </w:p>
    <w:p w:rsidR="00000000" w:rsidDel="00000000" w:rsidP="00000000" w:rsidRDefault="00000000" w:rsidRPr="00000000" w14:paraId="000000F5">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GMA Integrated News (2025) SWS: 55% of Filipino families consider themselves poor </w:t>
      </w:r>
      <w:hyperlink r:id="rId13">
        <w:r w:rsidDel="00000000" w:rsidR="00000000" w:rsidRPr="00000000">
          <w:rPr>
            <w:color w:val="1155cc"/>
            <w:u w:val="single"/>
            <w:rtl w:val="0"/>
          </w:rPr>
          <w:t xml:space="preserve">https://www.gmanetwork.com/news/topstories/nation/944103/sws-55-of-filipino-families-consider-themselves-poor/story/</w:t>
        </w:r>
      </w:hyperlink>
      <w:r w:rsidDel="00000000" w:rsidR="00000000" w:rsidRPr="00000000">
        <w:rPr>
          <w:rtl w:val="0"/>
        </w:rPr>
      </w:r>
    </w:p>
    <w:p w:rsidR="00000000" w:rsidDel="00000000" w:rsidP="00000000" w:rsidRDefault="00000000" w:rsidRPr="00000000" w14:paraId="000000F6">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Lawphil (2019) Republic Act No. 11310 </w:t>
      </w:r>
      <w:hyperlink r:id="rId14">
        <w:r w:rsidDel="00000000" w:rsidR="00000000" w:rsidRPr="00000000">
          <w:rPr>
            <w:color w:val="1155cc"/>
            <w:u w:val="single"/>
            <w:rtl w:val="0"/>
          </w:rPr>
          <w:t xml:space="preserve">https://lawphil.net/statutes/repacts/ra2019/ra_11310_2019.html</w:t>
        </w:r>
      </w:hyperlink>
      <w:r w:rsidDel="00000000" w:rsidR="00000000" w:rsidRPr="00000000">
        <w:rPr>
          <w:rtl w:val="0"/>
        </w:rPr>
      </w:r>
    </w:p>
    <w:p w:rsidR="00000000" w:rsidDel="00000000" w:rsidP="00000000" w:rsidRDefault="00000000" w:rsidRPr="00000000" w14:paraId="000000F7">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Livingston V, Jackson-Nevel B, and Reddy V. (2022) Social, Cultural, and Economic Determinant of well-being p.1188</w:t>
      </w:r>
    </w:p>
    <w:p w:rsidR="00000000" w:rsidDel="00000000" w:rsidP="00000000" w:rsidRDefault="00000000" w:rsidRPr="00000000" w14:paraId="000000F8">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Malangluz, J. (2024) 16.3 million Filipino families consider themselves poor </w:t>
      </w:r>
      <w:hyperlink r:id="rId15">
        <w:r w:rsidDel="00000000" w:rsidR="00000000" w:rsidRPr="00000000">
          <w:rPr>
            <w:color w:val="1155cc"/>
            <w:u w:val="single"/>
            <w:rtl w:val="0"/>
          </w:rPr>
          <w:t xml:space="preserve">https://www.philstar.com/headlines/2024/10/10/2391538/163-million-filipino-families-consider-themselves-poor/amp/</w:t>
        </w:r>
      </w:hyperlink>
      <w:r w:rsidDel="00000000" w:rsidR="00000000" w:rsidRPr="00000000">
        <w:rPr>
          <w:rtl w:val="0"/>
        </w:rPr>
      </w:r>
    </w:p>
    <w:p w:rsidR="00000000" w:rsidDel="00000000" w:rsidP="00000000" w:rsidRDefault="00000000" w:rsidRPr="00000000" w14:paraId="000000F9">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Mangotara, N. (2024). Exploring the Effectiveness of Pantawid Pamilyang Filipino Program (4Ps) Family Development Session: Understanding, Challenges, and Impact on Exiting Household Beneficiaries in Marawi City p. 11 - 24</w:t>
      </w:r>
    </w:p>
    <w:p w:rsidR="00000000" w:rsidDel="00000000" w:rsidP="00000000" w:rsidRDefault="00000000" w:rsidRPr="00000000" w14:paraId="000000FA">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Meriem, H. and Khadija, I. (2024) Banking technology’s contribution to enhancing the efficiency of government subsidies with reference to Pantawid Pamilyang Pilipino Program (4Ps) p. 11-13</w:t>
      </w:r>
    </w:p>
    <w:p w:rsidR="00000000" w:rsidDel="00000000" w:rsidP="00000000" w:rsidRDefault="00000000" w:rsidRPr="00000000" w14:paraId="000000FB">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Panti, L. (2022) COA: 90% of Pantawid beneficiaries yet to rise above poverty despite years in the program </w:t>
      </w:r>
      <w:hyperlink r:id="rId16">
        <w:r w:rsidDel="00000000" w:rsidR="00000000" w:rsidRPr="00000000">
          <w:rPr>
            <w:color w:val="1155cc"/>
            <w:u w:val="single"/>
            <w:rtl w:val="0"/>
          </w:rPr>
          <w:t xml:space="preserve">https://www.gmanetwork.com/news/topstories/nation/847908/coa-90-of-pantawid-beneficiaries-yet-to-rise-above-poverty-despite-years-in-the-program/story/#:~:text=News-,COA:%2090%25%20of%20Pantawid%20beneficiaries%20yet%20to%20rise%20above%20p</w:t>
        </w:r>
      </w:hyperlink>
      <w:r w:rsidDel="00000000" w:rsidR="00000000" w:rsidRPr="00000000">
        <w:rPr>
          <w:rtl w:val="0"/>
        </w:rPr>
      </w:r>
    </w:p>
    <w:p w:rsidR="00000000" w:rsidDel="00000000" w:rsidP="00000000" w:rsidRDefault="00000000" w:rsidRPr="00000000" w14:paraId="000000FC">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Pasuelo, A. R. S. (2019). Effects of the cash incentive implementation of Pantawid Pamilyang Pilipino program on family attendance to health consultations, school and family development sessions in an urban community setting. Eurasian Journal of Family Medicine, 8(2), 51-58.</w:t>
      </w:r>
      <w:r w:rsidDel="00000000" w:rsidR="00000000" w:rsidRPr="00000000">
        <w:rPr>
          <w:rtl w:val="0"/>
        </w:rPr>
      </w:r>
    </w:p>
    <w:p w:rsidR="00000000" w:rsidDel="00000000" w:rsidP="00000000" w:rsidRDefault="00000000" w:rsidRPr="00000000" w14:paraId="000000FD">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Pepito, V et al,(2025). Health workforce issues and recommend practices in the implementation of Universal Health coverage in the Philippines: a qualitative study. Ateneo De Manila p.(4)11</w:t>
      </w:r>
    </w:p>
    <w:p w:rsidR="00000000" w:rsidDel="00000000" w:rsidP="00000000" w:rsidRDefault="00000000" w:rsidRPr="00000000" w14:paraId="000000FE">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PIDS et al. (2020) Impact Evaluation of Pantawid Pamilyang Pilipino Program Wave 3 p. 1</w:t>
      </w:r>
    </w:p>
    <w:p w:rsidR="00000000" w:rsidDel="00000000" w:rsidP="00000000" w:rsidRDefault="00000000" w:rsidRPr="00000000" w14:paraId="000000FF">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Philippine Institute for Development Studies (2021). 90% of 4Ps Families still poor, says COA report </w:t>
      </w:r>
      <w:hyperlink r:id="rId17">
        <w:r w:rsidDel="00000000" w:rsidR="00000000" w:rsidRPr="00000000">
          <w:rPr>
            <w:color w:val="1155cc"/>
            <w:u w:val="single"/>
            <w:rtl w:val="0"/>
          </w:rPr>
          <w:t xml:space="preserve">https://www.pids.gov.ph/details/news/in-the-news/90-of-4ps-families-still-poor-says-coa-report</w:t>
        </w:r>
      </w:hyperlink>
      <w:r w:rsidDel="00000000" w:rsidR="00000000" w:rsidRPr="00000000">
        <w:rPr>
          <w:rtl w:val="0"/>
        </w:rPr>
      </w:r>
    </w:p>
    <w:p w:rsidR="00000000" w:rsidDel="00000000" w:rsidP="00000000" w:rsidRDefault="00000000" w:rsidRPr="00000000" w14:paraId="00000100">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Philippine Institute for Development Studies (2024). Assessing the impact of 4Ps program on PHL's MDGS, social development goal. </w:t>
      </w:r>
      <w:hyperlink r:id="rId18">
        <w:r w:rsidDel="00000000" w:rsidR="00000000" w:rsidRPr="00000000">
          <w:rPr>
            <w:color w:val="1155cc"/>
            <w:u w:val="single"/>
            <w:rtl w:val="0"/>
          </w:rPr>
          <w:t xml:space="preserve">https://www.pids.gov.ph/details/news/in-the-news/assessing-the-impact-of-4ps-program-on-phl-s-mdgs-social-development-goals</w:t>
        </w:r>
      </w:hyperlink>
      <w:r w:rsidDel="00000000" w:rsidR="00000000" w:rsidRPr="00000000">
        <w:rPr>
          <w:rtl w:val="0"/>
        </w:rPr>
      </w:r>
    </w:p>
    <w:p w:rsidR="00000000" w:rsidDel="00000000" w:rsidP="00000000" w:rsidRDefault="00000000" w:rsidRPr="00000000" w14:paraId="00000101">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Tan, L. 2024) Findings show that 4Ps beneficiaries were supported very well as to their health, nutrition and education. DOI:</w:t>
      </w:r>
      <w:hyperlink r:id="rId19">
        <w:r w:rsidDel="00000000" w:rsidR="00000000" w:rsidRPr="00000000">
          <w:rPr>
            <w:color w:val="1155cc"/>
            <w:u w:val="single"/>
            <w:rtl w:val="0"/>
          </w:rPr>
          <w:t xml:space="preserve">https://www.researchgate.net/publication/386451964</w:t>
        </w:r>
      </w:hyperlink>
      <w:r w:rsidDel="00000000" w:rsidR="00000000" w:rsidRPr="00000000">
        <w:rPr>
          <w:rtl w:val="0"/>
        </w:rPr>
      </w:r>
    </w:p>
    <w:p w:rsidR="00000000" w:rsidDel="00000000" w:rsidP="00000000" w:rsidRDefault="00000000" w:rsidRPr="00000000" w14:paraId="00000102">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UNICEF, World Health Organization, &amp; World Bank. (2023). Joint child malnutrition estimates – Levels and trends. Retrieved from </w:t>
      </w:r>
      <w:hyperlink r:id="rId20">
        <w:r w:rsidDel="00000000" w:rsidR="00000000" w:rsidRPr="00000000">
          <w:rPr>
            <w:color w:val="1155cc"/>
            <w:u w:val="single"/>
            <w:rtl w:val="0"/>
          </w:rPr>
          <w:t xml:space="preserve">https://data.unicef.org/resources/jme-report-2023/</w:t>
        </w:r>
      </w:hyperlink>
      <w:r w:rsidDel="00000000" w:rsidR="00000000" w:rsidRPr="00000000">
        <w:rPr>
          <w:rtl w:val="0"/>
        </w:rPr>
      </w:r>
    </w:p>
    <w:p w:rsidR="00000000" w:rsidDel="00000000" w:rsidP="00000000" w:rsidRDefault="00000000" w:rsidRPr="00000000" w14:paraId="00000103">
      <w:pPr>
        <w:numPr>
          <w:ilvl w:val="0"/>
          <w:numId w:val="2"/>
        </w:numPr>
        <w:spacing w:after="0" w:afterAutospacing="0" w:before="0" w:beforeAutospacing="0" w:line="276" w:lineRule="auto"/>
        <w:ind w:left="720" w:hanging="360"/>
        <w:jc w:val="both"/>
        <w:rPr>
          <w:u w:val="none"/>
        </w:rPr>
      </w:pPr>
      <w:r w:rsidDel="00000000" w:rsidR="00000000" w:rsidRPr="00000000">
        <w:rPr>
          <w:rtl w:val="0"/>
        </w:rPr>
        <w:t xml:space="preserve">WHO (2020) World Bank Overview of 4Ps —</w:t>
      </w:r>
      <w:hyperlink r:id="rId21">
        <w:r w:rsidDel="00000000" w:rsidR="00000000" w:rsidRPr="00000000">
          <w:rPr>
            <w:color w:val="1155cc"/>
            <w:u w:val="single"/>
            <w:rtl w:val="0"/>
          </w:rPr>
          <w:t xml:space="preserve">https://www.worldbank.org/en/country/philippines/brief/faqs-about-the-pantawid-pamilyang-pilipino-program</w:t>
        </w:r>
      </w:hyperlink>
      <w:r w:rsidDel="00000000" w:rsidR="00000000" w:rsidRPr="00000000">
        <w:rPr>
          <w:rtl w:val="0"/>
        </w:rPr>
      </w:r>
    </w:p>
    <w:p w:rsidR="00000000" w:rsidDel="00000000" w:rsidP="00000000" w:rsidRDefault="00000000" w:rsidRPr="00000000" w14:paraId="00000104">
      <w:pPr>
        <w:numPr>
          <w:ilvl w:val="0"/>
          <w:numId w:val="2"/>
        </w:numPr>
        <w:spacing w:after="240" w:before="0" w:beforeAutospacing="0" w:line="276" w:lineRule="auto"/>
        <w:ind w:left="720" w:hanging="360"/>
        <w:jc w:val="both"/>
        <w:rPr>
          <w:u w:val="none"/>
        </w:rPr>
      </w:pPr>
      <w:r w:rsidDel="00000000" w:rsidR="00000000" w:rsidRPr="00000000">
        <w:rPr>
          <w:rtl w:val="0"/>
        </w:rPr>
        <w:t xml:space="preserve">World Bank (2017) FAQs about the Pantawid Pamilyang Pilipino Program (4Ps) </w:t>
      </w:r>
      <w:hyperlink r:id="rId22">
        <w:r w:rsidDel="00000000" w:rsidR="00000000" w:rsidRPr="00000000">
          <w:rPr>
            <w:color w:val="1155cc"/>
            <w:u w:val="single"/>
            <w:rtl w:val="0"/>
          </w:rPr>
          <w:t xml:space="preserve">https://www.worldbank.org/en/country/philippines/brief/faqs-about-the-pantawid-pamilyang-pilipino-program</w:t>
        </w:r>
      </w:hyperlink>
      <w:r w:rsidDel="00000000" w:rsidR="00000000" w:rsidRPr="00000000">
        <w:rPr>
          <w:rtl w:val="0"/>
        </w:rPr>
        <w:t xml:space="preserve"> Yee, M and Moreno F. (2024) Evaluating the efficacy and efficiency of online information dissemination strategies of public college in Zamboanga City, Philippines: Implications for enhancing administrative communication in public sector organization p. 16-17</w:t>
      </w:r>
      <w:r w:rsidDel="00000000" w:rsidR="00000000" w:rsidRPr="00000000">
        <w:rPr>
          <w:rtl w:val="0"/>
        </w:rPr>
      </w:r>
    </w:p>
    <w:p w:rsidR="00000000" w:rsidDel="00000000" w:rsidP="00000000" w:rsidRDefault="00000000" w:rsidRPr="00000000" w14:paraId="00000105">
      <w:pPr>
        <w:spacing w:after="240" w:before="24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240" w:before="240" w:line="240" w:lineRule="auto"/>
        <w:ind w:left="-720" w:firstLine="0"/>
        <w:jc w:val="both"/>
        <w:rPr>
          <w:rFonts w:ascii="Times New Roman" w:cs="Times New Roman" w:eastAsia="Times New Roman" w:hAnsi="Times New Roman"/>
          <w:sz w:val="24"/>
          <w:szCs w:val="24"/>
        </w:rPr>
        <w:sectPr>
          <w:type w:val="nextPage"/>
          <w:pgSz w:h="15840" w:w="12240" w:orient="portrait"/>
          <w:pgMar w:bottom="1220" w:top="1440" w:left="1350" w:right="1320" w:header="0" w:footer="1032"/>
        </w:sectPr>
      </w:pPr>
      <w:r w:rsidDel="00000000" w:rsidR="00000000" w:rsidRPr="00000000">
        <w:rPr>
          <w:rtl w:val="0"/>
        </w:rPr>
      </w:r>
    </w:p>
    <w:p w:rsidR="00000000" w:rsidDel="00000000" w:rsidP="00000000" w:rsidRDefault="00000000" w:rsidRPr="00000000" w14:paraId="00000107">
      <w:pPr>
        <w:spacing w:after="240" w:before="240" w:line="240" w:lineRule="auto"/>
        <w:ind w:left="0" w:firstLine="0"/>
        <w:jc w:val="both"/>
        <w:rPr>
          <w:rFonts w:ascii="Times New Roman" w:cs="Times New Roman" w:eastAsia="Times New Roman" w:hAnsi="Times New Roman"/>
          <w:b w:val="1"/>
          <w:bCs w:val="1"/>
          <w:sz w:val="20"/>
          <w:szCs w:val="20"/>
        </w:rPr>
        <w:sectPr>
          <w:type w:val="nextPage"/>
          <w:pgSz w:h="15840" w:w="12240" w:orient="portrait"/>
          <w:pgMar w:bottom="1220" w:top="1380" w:left="1340" w:right="1320" w:header="0" w:footer="1032"/>
        </w:sect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sectPr>
      <w:type w:val="nextPage"/>
      <w:pgSz w:h="15840" w:w="12240" w:orient="portrait"/>
      <w:pgMar w:bottom="1220" w:top="1380" w:left="1340" w:right="1320" w:header="0" w:footer="103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313" w:hanging="213.99999999999997"/>
      </w:pPr>
      <w:rPr>
        <w:u w:val="none"/>
      </w:rPr>
    </w:lvl>
    <w:lvl w:ilvl="1">
      <w:start w:val="1"/>
      <w:numFmt w:val="decimal"/>
      <w:lvlText w:val="%2."/>
      <w:lvlJc w:val="left"/>
      <w:pPr>
        <w:ind w:left="820" w:hanging="360"/>
      </w:pPr>
      <w:rPr>
        <w:u w:val="none"/>
      </w:rPr>
    </w:lvl>
    <w:lvl w:ilvl="2">
      <w:start w:val="1"/>
      <w:numFmt w:val="decimal"/>
      <w:lvlText w:val="%2.%3"/>
      <w:lvlJc w:val="left"/>
      <w:pPr>
        <w:ind w:left="2020" w:hanging="360"/>
      </w:pPr>
      <w:rPr>
        <w:u w:val="none"/>
      </w:rPr>
    </w:lvl>
    <w:lvl w:ilvl="3">
      <w:start w:val="0"/>
      <w:numFmt w:val="bullet"/>
      <w:lvlText w:val="•"/>
      <w:lvlJc w:val="left"/>
      <w:pPr>
        <w:ind w:left="2020" w:hanging="360"/>
      </w:pPr>
      <w:rPr>
        <w:u w:val="none"/>
      </w:rPr>
    </w:lvl>
    <w:lvl w:ilvl="4">
      <w:start w:val="0"/>
      <w:numFmt w:val="bullet"/>
      <w:lvlText w:val="•"/>
      <w:lvlJc w:val="left"/>
      <w:pPr>
        <w:ind w:left="3100" w:hanging="360"/>
      </w:pPr>
      <w:rPr>
        <w:u w:val="none"/>
      </w:rPr>
    </w:lvl>
    <w:lvl w:ilvl="5">
      <w:start w:val="0"/>
      <w:numFmt w:val="bullet"/>
      <w:lvlText w:val="•"/>
      <w:lvlJc w:val="left"/>
      <w:pPr>
        <w:ind w:left="4180" w:hanging="360"/>
      </w:pPr>
      <w:rPr>
        <w:u w:val="none"/>
      </w:rPr>
    </w:lvl>
    <w:lvl w:ilvl="6">
      <w:start w:val="0"/>
      <w:numFmt w:val="bullet"/>
      <w:lvlText w:val="•"/>
      <w:lvlJc w:val="left"/>
      <w:pPr>
        <w:ind w:left="5260" w:hanging="360"/>
      </w:pPr>
      <w:rPr>
        <w:u w:val="none"/>
      </w:rPr>
    </w:lvl>
    <w:lvl w:ilvl="7">
      <w:start w:val="0"/>
      <w:numFmt w:val="bullet"/>
      <w:lvlText w:val="•"/>
      <w:lvlJc w:val="left"/>
      <w:pPr>
        <w:ind w:left="6340" w:hanging="360"/>
      </w:pPr>
      <w:rPr>
        <w:u w:val="none"/>
      </w:rPr>
    </w:lvl>
    <w:lvl w:ilvl="8">
      <w:start w:val="0"/>
      <w:numFmt w:val="bullet"/>
      <w:lvlText w:val="•"/>
      <w:lvlJc w:val="left"/>
      <w:pPr>
        <w:ind w:left="74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360" w:lineRule="auto"/>
      <w:jc w:val="center"/>
    </w:pPr>
    <w:rPr>
      <w:b w:val="1"/>
      <w:bCs w:val="1"/>
      <w:color w:val="050505"/>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ata.unicef.org/resources/jme-report-2023/" TargetMode="External"/><Relationship Id="rId11" Type="http://schemas.openxmlformats.org/officeDocument/2006/relationships/hyperlink" Target="https://www.pids.gov.ph/details/news/in-the-news/90-of-4ps-families-still-poor-says-coa-report" TargetMode="External"/><Relationship Id="rId22" Type="http://schemas.openxmlformats.org/officeDocument/2006/relationships/hyperlink" Target="https://www.worldbank.org/en/country/philippines/brief/faqs-about-the-pantawid-pamilyang-pilipino-program" TargetMode="External"/><Relationship Id="rId10" Type="http://schemas.openxmlformats.org/officeDocument/2006/relationships/hyperlink" Target="https://www.azalpub.com/index.php/ste/article/view/75" TargetMode="External"/><Relationship Id="rId21" Type="http://schemas.openxmlformats.org/officeDocument/2006/relationships/hyperlink" Target="https://www.worldbank.org/en/country/philippines/brief/faqs-about-the-pantawid-pamilyang-pilipino-program" TargetMode="External"/><Relationship Id="rId13" Type="http://schemas.openxmlformats.org/officeDocument/2006/relationships/hyperlink" Target="https://www.gmanetwork.com/news/topstories/nation/944103/sws-55-of-filipino-families-consider-themselves-poor/story/" TargetMode="External"/><Relationship Id="rId12" Type="http://schemas.openxmlformats.org/officeDocument/2006/relationships/hyperlink" Target="https://www.academia.edu/download/62170091/Financing_Education_through_the_Pantawid20200222-10687-1xgks5.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pers.ssrn.com/Study-on-the-Effects-of-Pantawid-Pamilyang-Pilipino-Program-4ps-on-Human-Capital" TargetMode="External"/><Relationship Id="rId15" Type="http://schemas.openxmlformats.org/officeDocument/2006/relationships/hyperlink" Target="https://www.philstar.com/headlines/2024/10/10/2391538/163-million-filipino-families-consider-themselves-poor/amp/" TargetMode="External"/><Relationship Id="rId14" Type="http://schemas.openxmlformats.org/officeDocument/2006/relationships/hyperlink" Target="https://lawphil.net/statutes/repacts/ra2019/ra_11310_2019.html" TargetMode="External"/><Relationship Id="rId17" Type="http://schemas.openxmlformats.org/officeDocument/2006/relationships/hyperlink" Target="https://www.pids.gov.ph/details/news/in-the-news/90-of-4ps-families-still-poor-says-coa-report" TargetMode="External"/><Relationship Id="rId16" Type="http://schemas.openxmlformats.org/officeDocument/2006/relationships/hyperlink" Target="https://www.gmanetwork.com/news/topstories/nation/847908/coa-90-of-pantawid-beneficiaries-yet-to-rise-above-poverty-despite-years-in-the-program/story/#:~:text=News-,COA:%2090%25%20of%20Pantawid%20beneficiaries%20yet%20to%20rise%20above%20p" TargetMode="External"/><Relationship Id="rId5" Type="http://schemas.openxmlformats.org/officeDocument/2006/relationships/styles" Target="styles.xml"/><Relationship Id="rId19" Type="http://schemas.openxmlformats.org/officeDocument/2006/relationships/hyperlink" Target="https://www.researchgate.net/publication/386451964" TargetMode="External"/><Relationship Id="rId6" Type="http://schemas.openxmlformats.org/officeDocument/2006/relationships/footer" Target="footer1.xml"/><Relationship Id="rId18" Type="http://schemas.openxmlformats.org/officeDocument/2006/relationships/hyperlink" Target="https://www.pids.gov.ph/details/news/in-the-news/assessing-the-impact-of-4ps-program-on-phl-s-mdgs-social-development-goals" TargetMode="External"/><Relationship Id="rId7" Type="http://schemas.openxmlformats.org/officeDocument/2006/relationships/image" Target="media/image1.png"/><Relationship Id="rId8" Type="http://schemas.openxmlformats.org/officeDocument/2006/relationships/hyperlink" Target="https://hdl.handle.net/10986/325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