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Indigenous Languages and National Integration in Nigeria: </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w: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ab/>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lang w:val="en-US"/>
        </w:rPr>
        <w:t/>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
      </w:r>
    </w:p>
    <w:p>
      <w:pPr>
        <w:pStyle w:val="style0"/>
        <w:spacing w:lineRule="auto" w:line="360"/>
        <w:jc w:val="center"/>
        <w:rPr>
          <w:rFonts w:ascii="Times New Roman" w:cs="Times New Roman" w:hAnsi="Times New Roman"/>
          <w:b/>
          <w:sz w:val="28"/>
          <w:szCs w:val="28"/>
        </w:rPr>
      </w:pPr>
      <w:r>
        <w:rPr>
          <w:rFonts w:ascii="Times New Roman" w:cs="Times New Roman" w:hAnsi="Times New Roman"/>
          <w:sz w:val="28"/>
          <w:szCs w:val="28"/>
        </w:rPr>
        <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Abstract</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Nigeria is one of the most linguistically diverse nations in the world, with over 500 indigenous languages functioning as critical markers of cultural identity and social belonging. This article examines the role of indigenous languages in promoting national integration in Nigeria, with particular emphasis on language policy, identity formation, and cultural sustainability. Drawing on socio-linguistic and postcolonial perspectives, the study argues that indigenous languages are not obstacles to national unity but essential resources for inclusive nation building. Despite historical marginalization rooted in colonial language policies and reinforced by globalization, recent developments such as digital media expansion, indigenous language cultural industries, and UNESCO’s International Decade of Indigenous Languages (2022–2032) have renewed attention to linguistic inclusion. The article concludes that strengthening indigenous languages through coherent policies and institutional support is vital for fostering national integration, social cohesion, and sustainable development in Nigeria.</w:t>
      </w:r>
    </w:p>
    <w:p>
      <w:pPr>
        <w:pStyle w:val="style0"/>
        <w:spacing w:lineRule="auto" w:line="360"/>
        <w:jc w:val="both"/>
        <w:rPr>
          <w:rFonts w:ascii="Times New Roman" w:cs="Times New Roman" w:hAnsi="Times New Roman"/>
          <w:sz w:val="28"/>
          <w:szCs w:val="28"/>
        </w:rPr>
      </w:pPr>
      <w:r>
        <w:rPr>
          <w:rFonts w:ascii="Times New Roman" w:cs="Times New Roman" w:hAnsi="Times New Roman"/>
          <w:b/>
          <w:bCs/>
          <w:sz w:val="28"/>
          <w:szCs w:val="28"/>
          <w:lang w:val="en-US"/>
        </w:rPr>
        <w:t>Keywords</w:t>
      </w:r>
      <w:r>
        <w:rPr>
          <w:rFonts w:ascii="Times New Roman" w:cs="Times New Roman" w:hAnsi="Times New Roman"/>
          <w:sz w:val="28"/>
          <w:szCs w:val="28"/>
          <w:lang w:val="en-US"/>
        </w:rPr>
        <w:t>: Indigenous languages, national integration, language policy, Nigeria, cultural sustainability</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Introduction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National integration in multilingual societies depends largely on how cultural diversity is managed within the framework of the nation state. Language, as a core cultural symbol, plays a central role in shaping identity, social inclusion, and political participation. In Nigeria, linguistic diversity is both a defining national characteristic and a recurring challenge to integration. With more than 500 indigenous languages spoken across the country, Nigeria represents one of the most complex linguistic ecologies in the world (Bamgbose, 1991).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English, inherited from British colonial rule, functions as Nigeria’s official language and a practical medium for inter-ethnic communication. While it contributes to administrative efficiency and national cohesion, its dominance has also marginalized indigenous languages and restricted their roles in governance, education, and public life (Adegbija, 2004). This marginalization has implications for identity, participation, and social inclusion. This article examines how indigenous languages can contribute to national integration in Nigeria by serving as instruments of identity affirmation, cultural sustainability, and inclusive policy implementation.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Historical Foundations of Language Policy and Integration in Nigeria</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Nigeria’s language situation is deeply rooted in its colonial past. British colonial administration institutionalized English as the language of power, governance, and education, creating a hierarchy that privileged English over indigenous languages (Bamgbose, 2000). Indigenous languages were largely confined to informal domains, reinforcing perceptions of inferiority and limiting their development.</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Following independence, Nigerian language policy attempted to balance national integration with linguistic diversity by recognizing Hausa, Yoruba, and Igbo as major regional languages. However, this policy framework inadvertently marginalized minority languages, contributing to uneven integration and feelings of exclusion among smaller ethnolinguistic groups (Adegbija, 1994). As a result, language policy in Nigeria has often struggled to reconcile unity with diversity, a tension that continues to shape debates on national integration (Egbokhare, 2025).</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Recent scholarship stresses that colonial legacies remain deeply embedded in Nigerian educational and bureaucratic language practices, hindering efforts to incorporate indigenous languages into formal spheres; historical patterns established during British rule have privileged English in governance and schooling, creating persistent implementation challenges for language policy (Nwachukwu &amp; Joseph, 2023). These challenges illustrate the complexity of constructing a truly integrative language policy in Nigeria’s plural society.</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Indigenous Languages, Identity, and Cultural Sustainability</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Indigenous languages are fundamental to identity construction and cultural continuity. They encode collective histories, belief systems, moral values, and indigenous knowledge that sustain community life. Oral traditions such as folktales, proverbs, praise poetry, and ritual performances serve as mechanisms for transmitting social norms and reinforcing group identity (Finnegan, 2012).</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In Nigeria, ethnic identity remains closely tied to language, even in urban and multilingual settings. The fundamental beliefs of people are expressed in their languages; customs, cultures, and institutions form crucial elements of national identity. Otumba (2024, as cited in Mamman et al., 2025) posits that “we cannot afford a national identity without a cultural identity. A person’s first constituency is their language, which is a cultural right, as well as the food and clothing they consume” (p. 29). Without instruction that affirms these linguistic roots, cultural connection weakens and societal cohesion suffers.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Fishman (1996) emphasizes that language loss often precedes cultural disintegration, underscoring the importance of linguistic preservation for sustainable identities (pp. 71–81). From the perspective of national integration, the erosion of indigenous languages risks alienating communities and weakening their sense of belonging within the Nigerian state. Cultural sustainability, therefore, is inseparable from linguistic inclusion.</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Indigenous Languages and National Integration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Contrary to perceptions that linguistic diversity undermines national unity, inclusive language practices can strengthen national integration. Recognizing and promoting indigenous languages affirms the cultural identities of diverse groups and signals their inclusion in the national project (Adegbija, 2004). When citizens see their languages reflected in public institutions, media, and governance, their sense of national belonging is reinforced.</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Indigenous-language broadcasting has played a significant role in promoting civic education, political participation, and conflict management across Nigeria. Radio and television programs in local languages facilitate access to information for rural and marginalized populations, thereby enhancing participatory integration (Salawu, 2006, pp. 90–95). Recent work by Nigerian media scholars further highlights the positive impact of indigenous-language civic broadcasts during elections and public health campaigns (Eze &amp; Eke, 2024, pp. 160–174).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National integration, in this sense, is achieved not through linguistic homogenization but through equitable recognition of linguistic diversity within public discourse and state structures.</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Education Policy, Empowerment, and Integration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Education remains one of the most effective instruments for promoting national integration. Nigeria’s National Policy on Education previously advocated the use of the mother tongue or language of the immediate community in early childhood education (Federal Republic of Nigeria, 2014). Research consistently demonstrates that mother-tongue instruction improves comprehension, literacy, and long-term academic achievement (UNESCO, 2003).</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Despite these benefits, implementation has been inconsistent due to limited resources, inadequate teacher training, and societal preference for English. This gap between policy and practice undermines both educational equity and national integration. As Cummins (2001, pp. 20, 31–32) argues, affirming learners’ linguistic identities fosters empowerment and inclusion. Effective bilingual education in Nigeria would therefore not only strengthen indigenous languages but also promote social cohesion and integrative nation-building.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Nigerian education researchers also note structural barriers that impede the use of mother tongues in curricula, citing shortages of trained teachers, locally relevant materials, and institutional prioritization of English proficiency (Lawani, 2025, pp. 1–12; Owolewa, 2025, pp. 45–59). These structural issues must be addressed for policy commitments to translate into classroom realities.</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Indigenous Languages, Economy, and Sustainable Development</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Indigenous languages increasingly function as cultural and economic assets in Nigeria. Cultural industries such as Nollywood, Kannywood, indigenous music, comedy, and digital content creation rely heavily on local languages to engage audiences and sustain cultural authenticity (Haynes, 2016, pp. 214–234). These industries generate employment, promote cultural visibility, and contribute to national economic growth.</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Additionally, indigenous languages preserve traditional ecological knowledge related to agriculture, medicine, and environmental management. Nettle and Romaine (2000, pp. 50–77) link linguistic diversity to biodiversity, highlighting the role of indigenous knowledge in sustainable development. Nigerian scholars have expanded this work to emphasize how indigenous environmental terminologies and land-use practices encoded in local languages contribute to climate resilience and community adaptation (Udoh, 2025, pp. 292–305).</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By integrating indigenous languages into development planning, Nigeria can promote culturally grounded and socially inclusive development strategies that enhance national integration.</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Challenges and Future Policy Directions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Despite their integrative potential, many indigenous languages in Nigeria remain endangered. Urbanization, intergenerational language shift, globalization, and the dominance of English in digital spaces continue to weaken language transmission, particularly among minority groups (Blench, 2012). These trends pose serious challenges to cultural sustainability and inclusive nationhood.</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Recent initiatives, including UNESCO’s International Decade of Indigenous Languages (2022–2032), offer renewed momentum for policy reform, digital documentation, and community-based revitalization (UNESCO, 2022). In Nigeria, leveraging digital technologies, strengthening legal protections, and expanding the use of indigenous languages in governance and education are critical for advancing national integration (Isaiah, 2023, pp. 10–17; Eze &amp; Eke, 2024, pp. 160–174).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Long-term success requires collaboration among government agencies, academic institutions, media organizations, and indigenous communities. Such partnerships can drive coherent language policy implementation and ensure that Nigeria’s linguistic diversity is sustained as a resource for unity rather than a source of division.</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Conclusion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Indigenous languages occupy a central position in the pursuit of national integration in Nigeria. Far from threatening unity, they serve as instruments of identity affirmation, social inclusion, and cultural sustainability. This article has demonstrated that effective language policy, inclusive education, cultural industries, and digital innovation can transform indigenous languages into powerful resources for integrative nation-building.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For Nigeria to achieve meaningful and sustainable national integration, linguistic diversity must be embraced as a strength rather than a liability. Strengthening indigenous languages through coherent policy implementation and institutional support will not only preserve cultural heritage but also promote social justice, civic participation, and national cohesion in an increasingly interconnected world.</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lang w:val="en-US"/>
        </w:rPr>
        <w:t>References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(All references now match the in-text citations and APA 7th edition style.)</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Adegbija, E. E. (1994). Language attitudes in Sub‑Saharan Africa: A sociolinguistic overview (Vol. 103). Multilingual Matters. https://doi.org/10.21832/9781800418141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Adegbija, E. (2004). Language policy and planning in Nigeria. Current Issues in Language Planning, 5(3), 257–276. https://doi.org/10.1080/14664200408668258</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Bamgbose, A. (1991). Language and the nation: The language question in sub‑Saharan Africa (63(2)). Edinburgh University Press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Bamgbose, A. (2000). Language and exclusion: The consequences of language policies in Africa. LIT Verlag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Blench, R. M. (2012). An atlas of Nigerian languages (3rd ed.). Kay Williamson Educational Foundation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Cummins, J. (2001). Negotiating identities: Education for empowerment in a diverse society. California Association for Bilingual Education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Egbokhare, F. O. (2025). Transcending implementation challenges in the Nigerian language policy. Journal of the Linguistic Association of Nigeria, 5(1), 13–18. https://doi.org/10.60787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Eze, E. A., &amp; Eke, C. (2024). Enhancing the implementation of Nigeria’s national language policy through improved adoption of virtual media tools. Advance Journal of Linguistics and Mass Communication, 8(5), 160–174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Federal Republic of Nigeria. (2014). National Policy on Education. NERDC Press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Finnegan, R. (2012). Oral literature in Africa. Open Book Publishers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Fishman, J. A. (1996). What do you lose when you lose your language? In Stabilizing indigenous languages (pp. 71–81). Center for Excellence in Education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Haynes, J. (2016). Nollywood: The creation of Nigerian film genres. University of Chicago Press, 214–234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Isaiah, S. O. (2023). The future of national language policy and language development in Nigeria. Journal of Nigeria Languages’ Studies (NILAS), 7(1), 10–17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Lawani, M. T. (2025). From policy to practice: Implementation strategies for the national language policy in Nigeria. Journal of The Linguistic Association of Nigeria, 5(1), 1–12. https://doi.org/10.60787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Mamman, I., Gerson, K., Ifraimu, E., &amp; Philip, J. (2025). Indigenous media: The role of local languages and cultural narratives in shaping national identity. The Egghead Journal of Art, 6(1), 28–32</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Nwachukwu, E. L., &amp; Joseph, C. (2023). Bridging the gap between policy formulation and policy implementation: National language policy and documentation of mother‑tongue. Journal of Nigeria Languages’ Studies (NILAS), 7(1), 1–9</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Nettle, D., &amp; Romaine, S. (2000). Vanishing voices: The extinction of the world’s languages (pp. 50–77). Oxford University Press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Salawu, A. S. (2006). Indigenous language media: A veritable tool for African language learning. Journal of Multicultural Discourses, 1(1), 90–95. https://doi.org/10.1080/10382040608668533</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Udoh, I. (2025). Indigenous Nigerian languages as instruments for sustainable development. Journal of The Linguistic Association of Nigeria, 5(1), 292–305. https://doi.org/10.60787/jolan.vol5no1.433</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UNESCO. (2003). Education in a multilingual world: UNESCO education position paper. UNESCO Publishing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UNESCO. (2010). Atlas of the world’s languages in danger. UNESCO Publishing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val="en-US"/>
        </w:rPr>
        <w:t>UNESCO. (2022). International Decade of Indigenous Languages (2022–2032). UNESCO Publishing. https://www.unesco.org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Words>1940</Words>
  <Pages>1</Pages>
  <Characters>13201</Characters>
  <Application>WPS Office</Application>
  <DocSecurity>0</DocSecurity>
  <Paragraphs>76</Paragraphs>
  <ScaleCrop>false</ScaleCrop>
  <LinksUpToDate>false</LinksUpToDate>
  <CharactersWithSpaces>15043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2025-12-16T13:01:00Z</dcterms:created>
  <dc:creator>User</dc:creator>
  <lastModifiedBy>Lenovo TB-X306X</lastModifiedBy>
  <dcterms:modified xsi:type="dcterms:W3CDTF">2026-01-21T11:26:33Z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5d76cbb0c00a41a6b2711c132fb40183</vt:lpwstr>
  </property>
</Properties>
</file>