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before="0" w:line="480"/>
        <w:jc w:val="center"/>
      </w:pPr>
      <w:r>
        <w:rPr>
          <w:rFonts w:ascii="Times New Roman" w:cs="Times New Roman" w:eastAsia="Times New Roman" w:hAnsi="Times New Roman"/>
          <w:b/>
          <w:bCs/>
          <w:color w:val="000000"/>
          <w:sz w:val="28"/>
          <w:szCs w:val="28"/>
        </w:rPr>
        <w:t xml:space="preserve">Corporate Governance Mechanisms and Tax Avoidance in the Malaysian Manufacturing Sector: The Moderating Role of E-Invoicing Implementation</w:t>
      </w:r>
    </w:p>
    <w:p>
      <w:pPr>
        <w:spacing w:after="60" w:before="60" w:line="480"/>
        <w:jc w:val="center"/>
      </w:pPr>
      <w:r>
        <w:rPr>
          <w:rFonts w:ascii="Times New Roman" w:cs="Times New Roman" w:eastAsia="Times New Roman" w:hAnsi="Times New Roman"/>
          <w:b w:val="false"/>
          <w:bCs w:val="false"/>
          <w:color w:val="000000"/>
          <w:sz w:val="22"/>
          <w:szCs w:val="22"/>
        </w:rPr>
        <w:t xml:space="preserve"/>
      </w:r>
    </w:p>
    <w:p>
      <w:pPr>
        <w:spacing w:after="40" w:before="40" w:line="480"/>
        <w:jc w:val="center"/>
      </w:pPr>
      <w:r>
        <w:rPr>
          <w:rFonts w:ascii="Times New Roman" w:cs="Times New Roman" w:eastAsia="Times New Roman" w:hAnsi="Times New Roman"/>
          <w:b w:val="false"/>
          <w:bCs w:val="false"/>
          <w:color w:val="000000"/>
          <w:sz w:val="20"/>
          <w:szCs w:val="20"/>
        </w:rPr>
        <w:t xml:space="preserve"/>
      </w:r>
    </w:p>
    <w:p>
      <w:pPr>
        <w:spacing w:after="200" w:before="40" w:line="480"/>
        <w:jc w:val="center"/>
      </w:pPr>
      <w:r>
        <w:rPr>
          <w:rFonts w:ascii="Times New Roman" w:cs="Times New Roman" w:eastAsia="Times New Roman" w:hAnsi="Times New Roman"/>
          <w:b w:val="false"/>
          <w:bCs w:val="false"/>
          <w:color w:val="000000"/>
          <w:sz w:val="20"/>
          <w:szCs w:val="20"/>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140"/>
              <w:left w:type="dxa" w:w="200"/>
              <w:bottom w:type="dxa" w:w="140"/>
              <w:right w:type="dxa" w:w="200"/>
            </w:tcMar>
          </w:tcPr>
          <w:p>
            <w:pPr>
              <w:spacing w:after="100"/>
            </w:pPr>
            <w:r>
              <w:rPr>
                <w:rFonts w:ascii="Times New Roman" w:cs="Times New Roman" w:eastAsia="Times New Roman" w:hAnsi="Times New Roman"/>
                <w:b/>
                <w:bCs/>
                <w:sz w:val="24"/>
                <w:szCs w:val="24"/>
              </w:rPr>
              <w:t xml:space="preserve">ABSTRACT</w:t>
            </w:r>
          </w:p>
          <w:p>
            <w:pPr>
              <w:spacing w:after="120" w:line="400"/>
              <w:jc w:val="both"/>
            </w:pPr>
            <w:r>
              <w:rPr>
                <w:rFonts w:ascii="Times New Roman" w:cs="Times New Roman" w:eastAsia="Times New Roman" w:hAnsi="Times New Roman"/>
                <w:sz w:val="22"/>
                <w:szCs w:val="22"/>
              </w:rPr>
              <w:t xml:space="preserve">Tax avoidance remains a persistent challenge for Malaysia, which relies on corporate income tax for approximately 50 per cent of its total tax revenue. This study examines the impact of six corporate governance mechanisms on tax avoidance practices among public listed companies (PLCs) on Bursa Malaysia, while introducing e-invoicing implementation as a novel moderating variable. The six mechanisms examined are board financial and taxation expertise, board IT expertise, board gender diversity, foreign ownership, institutional investor monitoring, and audit firm quality (Big 4 versus non-Big 4). Grounded in Agency Theory (Jensen &amp; Meckling, 1976) and Information Asymmetry Theory (Akerlof, 1970), the study argues that corporate governance mechanisms constrain managerial opportunism and reduce tax avoidance, and that Malaysia's mandatory AI-powered e-invoicing system (MyInvois) strengthens these governance effects by reducing information asymmetry between firms and tax authorities. Using panel data from all PLCs on Bursa Malaysia Main Market (excluding financial institutions) for the period 2021 to 2026, the study employs fixed and random effects regression with interaction terms to test twelve hypotheses. This is the first study to examine e-invoicing as a moderating variable in the governance-tax avoidance nexus within the Malaysian context.</w:t>
            </w:r>
          </w:p>
          <w:p>
            <w:pPr>
              <w:spacing w:after="80"/>
            </w:pPr>
            <w:r>
              <w:rPr>
                <w:rFonts w:ascii="Times New Roman" w:cs="Times New Roman" w:eastAsia="Times New Roman" w:hAnsi="Times New Roman"/>
                <w:b/>
                <w:bCs/>
                <w:sz w:val="22"/>
                <w:szCs w:val="22"/>
              </w:rPr>
              <w:t xml:space="preserve">Keywords: </w:t>
            </w:r>
            <w:r>
              <w:rPr>
                <w:rFonts w:ascii="Times New Roman" w:cs="Times New Roman" w:eastAsia="Times New Roman" w:hAnsi="Times New Roman"/>
                <w:sz w:val="22"/>
                <w:szCs w:val="22"/>
              </w:rPr>
              <w:t xml:space="preserve">corporate governance, tax avoidance, e-invoicing, board expertise, institutional investors, Malaysia, Agency Theory, Information Asymmetry Theory</w:t>
            </w:r>
          </w:p>
        </w:tc>
      </w:tr>
    </w:tbl>
    <w:p>
      <w:pPr>
        <w:spacing w:after="0" w:before="200" w:line="480"/>
        <w:jc w:val="both"/>
      </w:pPr>
      <w:r>
        <w:rPr>
          <w:rFonts w:ascii="Times New Roman" w:cs="Times New Roman" w:eastAsia="Times New Roman" w:hAnsi="Times New Roman"/>
          <w:b w:val="false"/>
          <w:bCs w:val="false"/>
          <w:color w:val="000000"/>
          <w:sz w:val="24"/>
          <w:szCs w:val="24"/>
        </w:rPr>
        <w:t xml:space="preserve"/>
      </w:r>
    </w:p>
    <w:p>
      <w:pPr>
        <w:pStyle w:val="Heading1"/>
        <w:spacing w:after="140" w:before="280"/>
      </w:pPr>
      <w:r>
        <w:rPr>
          <w:rFonts w:ascii="Times New Roman" w:cs="Times New Roman" w:eastAsia="Times New Roman" w:hAnsi="Times New Roman"/>
          <w:b/>
          <w:bCs/>
          <w:sz w:val="28"/>
          <w:szCs w:val="28"/>
        </w:rPr>
        <w:t xml:space="preserve">1. INTRODUCTION</w:t>
      </w:r>
    </w:p>
    <w:p>
      <w:pPr>
        <w:spacing w:after="120" w:before="120" w:line="480"/>
        <w:ind w:firstLine="720"/>
        <w:jc w:val="both"/>
      </w:pPr>
      <w:r>
        <w:rPr>
          <w:rFonts w:ascii="Times New Roman" w:cs="Times New Roman" w:eastAsia="Times New Roman" w:hAnsi="Times New Roman"/>
          <w:b w:val="false"/>
          <w:bCs w:val="false"/>
          <w:color w:val="000000"/>
          <w:sz w:val="24"/>
          <w:szCs w:val="24"/>
        </w:rPr>
        <w:t xml:space="preserve">Tax avoidance represents one of the most pressing issues in corporate governance, public finance, and regulatory policy, particularly in emerging economies that depend heavily on corporate income tax revenue (Duhoon &amp; Singh, 2023; Kovermann &amp; Velte, 2019). In Malaysia, corporate income tax contributes approximately 50 per cent of total tax revenue, generating an estimated RM98.5 billion annually — significantly higher than regional and global peers (OECD, 2025; Ministry of Finance Malaysia, 2024). The Inland Revenue Board of Malaysia (LHDN) recovered RM5.2 billion in additional tax assessments in 2023, with over 31,000 entities identified for failing to declare income in 2022, resulting in estimated tax losses exceeding RM665 million (Focus Malaysia, 2023). These figures underscore the severity of corporate tax avoidance as a national fiscal concern.</w:t>
      </w:r>
    </w:p>
    <w:p>
      <w:pPr>
        <w:spacing w:after="120" w:before="120" w:line="480"/>
        <w:ind w:firstLine="720"/>
        <w:jc w:val="both"/>
      </w:pPr>
      <w:r>
        <w:rPr>
          <w:rFonts w:ascii="Times New Roman" w:cs="Times New Roman" w:eastAsia="Times New Roman" w:hAnsi="Times New Roman"/>
          <w:b w:val="false"/>
          <w:bCs w:val="false"/>
          <w:color w:val="000000"/>
          <w:sz w:val="24"/>
          <w:szCs w:val="24"/>
        </w:rPr>
        <w:t xml:space="preserve">Corporate governance has been widely recognised as a critical internal mechanism for constraining managerial opportunism and promoting transparent financial behaviour, including tax compliance (Lanis &amp; Richardson, 2012; Hasan et al., 2024; Koay &amp; Sapiei, 2025). However, empirical evidence remains mixed and inconclusive. Some studies find that stronger governance reduces tax avoidance while others report null or even positive relationships depending on context and methodology (Armstrong et al., 2015; Kovermann &amp; Velte, 2019; Salleh et al., 2025).</w:t>
      </w:r>
    </w:p>
    <w:p>
      <w:pPr>
        <w:spacing w:after="120" w:before="120" w:line="480"/>
        <w:ind w:firstLine="720"/>
        <w:jc w:val="both"/>
      </w:pPr>
      <w:r>
        <w:rPr>
          <w:rFonts w:ascii="Times New Roman" w:cs="Times New Roman" w:eastAsia="Times New Roman" w:hAnsi="Times New Roman"/>
          <w:b w:val="false"/>
          <w:bCs w:val="false"/>
          <w:color w:val="000000"/>
          <w:sz w:val="24"/>
          <w:szCs w:val="24"/>
        </w:rPr>
        <w:t xml:space="preserve">A significant and underexplored development in Malaysia's tax landscape is the mandatory implementation of e-invoicing through the MyInvois System, introduced by LHDN beginning August 2024. This AI-powered digital reporting system requires real-time submission and validation of every business transaction, fundamentally changing the information environment in which firms operate. By closing the information gap between managers and tax authorities, e-invoicing has the potential to amplify the effectiveness of existing governance mechanisms in reducing tax avoidance. Despite this, no prior study has empirically examined how e-invoicing interacts with corporate governance to influence tax avoidance behaviour.</w:t>
      </w:r>
    </w:p>
    <w:p>
      <w:pPr>
        <w:spacing w:after="120" w:before="120" w:line="480"/>
        <w:ind w:firstLine="720"/>
        <w:jc w:val="both"/>
      </w:pPr>
      <w:r>
        <w:rPr>
          <w:rFonts w:ascii="Times New Roman" w:cs="Times New Roman" w:eastAsia="Times New Roman" w:hAnsi="Times New Roman"/>
          <w:b w:val="false"/>
          <w:bCs w:val="false"/>
          <w:color w:val="000000"/>
          <w:sz w:val="24"/>
          <w:szCs w:val="24"/>
        </w:rPr>
        <w:t xml:space="preserve">This study addresses this gap by examining six corporate governance mechanisms and their interaction with e-invoicing as a moderating variable. The study makes three key contributions: (1) it is the first to introduce e-invoicing as a moderating variable in the governance-tax avoidance literature; (2) it provides a comprehensive six-mechanism governance framework tested simultaneously; and (3) it generates timely empirical evidence from Malaysia's unique digital tax reform context.</w:t>
      </w:r>
    </w:p>
    <w:p>
      <w:pPr>
        <w:pStyle w:val="Heading1"/>
        <w:spacing w:after="140" w:before="280"/>
      </w:pPr>
      <w:r>
        <w:rPr>
          <w:rFonts w:ascii="Times New Roman" w:cs="Times New Roman" w:eastAsia="Times New Roman" w:hAnsi="Times New Roman"/>
          <w:b/>
          <w:bCs/>
          <w:sz w:val="28"/>
          <w:szCs w:val="28"/>
        </w:rPr>
        <w:t xml:space="preserve">2. LITERATURE REVIEW AND HYPOTHESIS DEVELOPMENT</w:t>
      </w:r>
    </w:p>
    <w:p>
      <w:pPr>
        <w:pStyle w:val="Heading2"/>
        <w:spacing w:after="100" w:before="200"/>
      </w:pPr>
      <w:r>
        <w:rPr>
          <w:rFonts w:ascii="Times New Roman" w:cs="Times New Roman" w:eastAsia="Times New Roman" w:hAnsi="Times New Roman"/>
          <w:b/>
          <w:bCs/>
          <w:sz w:val="24"/>
          <w:szCs w:val="24"/>
        </w:rPr>
        <w:t xml:space="preserve">2.1 Tax Avoidance</w:t>
      </w:r>
    </w:p>
    <w:p>
      <w:pPr>
        <w:spacing w:after="120" w:before="120" w:line="480"/>
        <w:ind w:firstLine="720"/>
        <w:jc w:val="both"/>
      </w:pPr>
      <w:r>
        <w:rPr>
          <w:rFonts w:ascii="Times New Roman" w:cs="Times New Roman" w:eastAsia="Times New Roman" w:hAnsi="Times New Roman"/>
          <w:b w:val="false"/>
          <w:bCs w:val="false"/>
          <w:color w:val="000000"/>
          <w:sz w:val="24"/>
          <w:szCs w:val="24"/>
        </w:rPr>
        <w:t xml:space="preserve">Tax avoidance refers to the use of legal means to reduce a firm's tax liability, typically by exploiting ambiguities, incentives, or timing differences in tax laws (Hanlon &amp; Heitzman, 2010; Beer et al., 2020). In this study, tax avoidance is measured using the Effective Tax Rate (ETR = tax expense divided by pre-tax income) and Book-Tax Difference (BTD = pre-tax book income minus estimated taxable income). A lower ETR and a higher BTD indicate greater tax avoidance behaviour.</w:t>
      </w:r>
    </w:p>
    <w:p>
      <w:pPr>
        <w:pStyle w:val="Heading2"/>
        <w:spacing w:after="100" w:before="200"/>
      </w:pPr>
      <w:r>
        <w:rPr>
          <w:rFonts w:ascii="Times New Roman" w:cs="Times New Roman" w:eastAsia="Times New Roman" w:hAnsi="Times New Roman"/>
          <w:b/>
          <w:bCs/>
          <w:sz w:val="24"/>
          <w:szCs w:val="24"/>
        </w:rPr>
        <w:t xml:space="preserve">2.2 Theoretical Framework</w:t>
      </w:r>
    </w:p>
    <w:p>
      <w:pPr>
        <w:spacing w:after="120" w:before="120" w:line="480"/>
        <w:ind w:firstLine="720"/>
        <w:jc w:val="both"/>
      </w:pPr>
      <w:r>
        <w:rPr>
          <w:rFonts w:ascii="Times New Roman" w:cs="Times New Roman" w:eastAsia="Times New Roman" w:hAnsi="Times New Roman"/>
          <w:b w:val="false"/>
          <w:bCs w:val="false"/>
          <w:color w:val="000000"/>
          <w:sz w:val="24"/>
          <w:szCs w:val="24"/>
        </w:rPr>
        <w:t xml:space="preserve">This study is grounded in Agency Theory (Jensen &amp; Meckling, 1976), which posits that conflicts of interest arise when ownership and control are separated. Managers may exploit information advantages to engage in aggressive tax avoidance that benefits themselves but exposes shareholders to regulatory and reputational risks. Corporate governance mechanisms serve as monitoring tools that constrain such opportunistic behaviour.</w:t>
      </w:r>
    </w:p>
    <w:p>
      <w:pPr>
        <w:spacing w:after="120" w:before="120" w:line="480"/>
        <w:ind w:firstLine="720"/>
        <w:jc w:val="both"/>
      </w:pPr>
      <w:r>
        <w:rPr>
          <w:rFonts w:ascii="Times New Roman" w:cs="Times New Roman" w:eastAsia="Times New Roman" w:hAnsi="Times New Roman"/>
          <w:b w:val="false"/>
          <w:bCs w:val="false"/>
          <w:color w:val="000000"/>
          <w:sz w:val="24"/>
          <w:szCs w:val="24"/>
        </w:rPr>
        <w:t xml:space="preserve">Information Asymmetry Theory (Akerlof, 1970) complements Agency Theory by emphasising the role of information gaps between managers and external stakeholders, including tax authorities. E-invoicing directly addresses this asymmetry by enabling LHDN to access real-time transaction data, thereby reducing the space for tax manipulation (Bellon et al., 2022; Kotsogiannis et al., 2025).</w:t>
      </w:r>
    </w:p>
    <w:p>
      <w:pPr>
        <w:pStyle w:val="Heading2"/>
        <w:spacing w:after="100" w:before="200"/>
      </w:pPr>
      <w:r>
        <w:rPr>
          <w:rFonts w:ascii="Times New Roman" w:cs="Times New Roman" w:eastAsia="Times New Roman" w:hAnsi="Times New Roman"/>
          <w:b/>
          <w:bCs/>
          <w:sz w:val="24"/>
          <w:szCs w:val="24"/>
        </w:rPr>
        <w:t xml:space="preserve">2.3 Corporate Governance Mechanisms and Hypotheses</w:t>
      </w:r>
    </w:p>
    <w:p>
      <w:pPr>
        <w:spacing w:after="120" w:before="120" w:line="480"/>
        <w:ind w:firstLine="720"/>
        <w:jc w:val="both"/>
      </w:pPr>
      <w:r>
        <w:rPr>
          <w:rFonts w:ascii="Times New Roman" w:cs="Times New Roman" w:eastAsia="Times New Roman" w:hAnsi="Times New Roman"/>
          <w:b w:val="false"/>
          <w:bCs w:val="false"/>
          <w:color w:val="000000"/>
          <w:sz w:val="24"/>
          <w:szCs w:val="24"/>
        </w:rPr>
        <w:t xml:space="preserve">Board Financial and Taxation Expertise: Directors with qualifications in accounting, finance, or taxation are better equipped to scrutinise tax-related decisions and identify aggressive strategies (Shamil et al., 2024; Nguyen et al., 2022). H1: Board financial and taxation expertise has a significant negative relationship with tax avoidance.</w:t>
      </w:r>
    </w:p>
    <w:p>
      <w:pPr>
        <w:spacing w:after="120" w:before="120" w:line="480"/>
        <w:ind w:firstLine="720"/>
        <w:jc w:val="both"/>
      </w:pPr>
      <w:r>
        <w:rPr>
          <w:rFonts w:ascii="Times New Roman" w:cs="Times New Roman" w:eastAsia="Times New Roman" w:hAnsi="Times New Roman"/>
          <w:b w:val="false"/>
          <w:bCs w:val="false"/>
          <w:color w:val="000000"/>
          <w:sz w:val="24"/>
          <w:szCs w:val="24"/>
        </w:rPr>
        <w:t xml:space="preserve">Board IT Expertise: Directors with IT backgrounds improve the board's capacity to oversee digital financial systems and AI-powered reporting tools such as e-invoicing (Tao et al., 2024; Saragih et al., 2024). H2: Board IT expertise has a significant negative relationship with tax avoidance.</w:t>
      </w:r>
    </w:p>
    <w:p>
      <w:pPr>
        <w:spacing w:after="120" w:before="120" w:line="480"/>
        <w:ind w:firstLine="720"/>
        <w:jc w:val="both"/>
      </w:pPr>
      <w:r>
        <w:rPr>
          <w:rFonts w:ascii="Times New Roman" w:cs="Times New Roman" w:eastAsia="Times New Roman" w:hAnsi="Times New Roman"/>
          <w:b w:val="false"/>
          <w:bCs w:val="false"/>
          <w:color w:val="000000"/>
          <w:sz w:val="24"/>
          <w:szCs w:val="24"/>
        </w:rPr>
        <w:t xml:space="preserve">Board Gender Diversity: Female directors promote stronger ethical oversight, greater risk aversion, and more conservative financial decision-making (Chatjuthamard et al., 2024; Rakia et al., 2024). H3: Board gender diversity has a significant negative relationship with tax avoidance.</w:t>
      </w:r>
    </w:p>
    <w:p>
      <w:pPr>
        <w:spacing w:after="120" w:before="120" w:line="480"/>
        <w:ind w:firstLine="720"/>
        <w:jc w:val="both"/>
      </w:pPr>
      <w:r>
        <w:rPr>
          <w:rFonts w:ascii="Times New Roman" w:cs="Times New Roman" w:eastAsia="Times New Roman" w:hAnsi="Times New Roman"/>
          <w:b w:val="false"/>
          <w:bCs w:val="false"/>
          <w:color w:val="000000"/>
          <w:sz w:val="24"/>
          <w:szCs w:val="24"/>
        </w:rPr>
        <w:t xml:space="preserve">Foreign Ownership: Foreign shareholders demand higher transparency and accountability in tax-related decisions (Yahaya, 2025; Hasan et al., 2024). H4: Foreign ownership has a significant negative relationship with tax avoidance.</w:t>
      </w:r>
    </w:p>
    <w:p>
      <w:pPr>
        <w:spacing w:after="120" w:before="120" w:line="480"/>
        <w:ind w:firstLine="720"/>
        <w:jc w:val="both"/>
      </w:pPr>
      <w:r>
        <w:rPr>
          <w:rFonts w:ascii="Times New Roman" w:cs="Times New Roman" w:eastAsia="Times New Roman" w:hAnsi="Times New Roman"/>
          <w:b w:val="false"/>
          <w:bCs w:val="false"/>
          <w:color w:val="000000"/>
          <w:sz w:val="24"/>
          <w:szCs w:val="24"/>
        </w:rPr>
        <w:t xml:space="preserve">Institutional Investor Monitoring: Institutional investors such as EPF, PNB, Khazanah, and KWAP possess both the incentive and capability to monitor managerial behaviour and exert pressure to avoid tax avoidance risks (Khan et al., 2017; Cao et al., 2021). H5: Institutional investor monitoring has a significant negative relationship with tax avoidance.</w:t>
      </w:r>
    </w:p>
    <w:p>
      <w:pPr>
        <w:spacing w:after="120" w:before="120" w:line="480"/>
        <w:ind w:firstLine="720"/>
        <w:jc w:val="both"/>
      </w:pPr>
      <w:r>
        <w:rPr>
          <w:rFonts w:ascii="Times New Roman" w:cs="Times New Roman" w:eastAsia="Times New Roman" w:hAnsi="Times New Roman"/>
          <w:b w:val="false"/>
          <w:bCs w:val="false"/>
          <w:color w:val="000000"/>
          <w:sz w:val="24"/>
          <w:szCs w:val="24"/>
        </w:rPr>
        <w:t xml:space="preserve">Audit Firm Quality: Big 4 audit firms provide higher quality audits through superior technical expertise, stronger reputational incentives, and greater digital capabilities (Putri et al., 2023; Hasan et al., 2024; Blaylock et al., 2025). H6: Audit firm quality has a significant negative relationship with tax avoidance.</w:t>
      </w:r>
    </w:p>
    <w:p>
      <w:pPr>
        <w:pStyle w:val="Heading2"/>
        <w:spacing w:after="100" w:before="200"/>
      </w:pPr>
      <w:r>
        <w:rPr>
          <w:rFonts w:ascii="Times New Roman" w:cs="Times New Roman" w:eastAsia="Times New Roman" w:hAnsi="Times New Roman"/>
          <w:b/>
          <w:bCs/>
          <w:sz w:val="24"/>
          <w:szCs w:val="24"/>
        </w:rPr>
        <w:t xml:space="preserve">2.4 Moderating Role of E-Invoicing</w:t>
      </w:r>
    </w:p>
    <w:p>
      <w:pPr>
        <w:spacing w:after="120" w:before="120" w:line="480"/>
        <w:ind w:firstLine="720"/>
        <w:jc w:val="both"/>
      </w:pPr>
      <w:r>
        <w:rPr>
          <w:rFonts w:ascii="Times New Roman" w:cs="Times New Roman" w:eastAsia="Times New Roman" w:hAnsi="Times New Roman"/>
          <w:b w:val="false"/>
          <w:bCs w:val="false"/>
          <w:color w:val="000000"/>
          <w:sz w:val="24"/>
          <w:szCs w:val="24"/>
        </w:rPr>
        <w:t xml:space="preserve">Malaysia's mandatory MyInvois System represents a landmark AI-powered digital tax reform requiring real-time validation of all business transactions by LHDN. International evidence from Peru, Rwanda, and China confirms that e-invoicing significantly improves tax compliance and reduces income manipulation opportunities (Bellon et al., 2022; Kotsogiannis et al., 2025; Li &amp; Xu, 2026). By reducing information asymmetry between firms and tax authorities, e-invoicing strengthens the monitoring effectiveness of each governance mechanism. H7-H12: E-invoicing implementation positively moderates the negative relationship between each of the six corporate governance mechanisms and tax avoidance, such that the negative effect becomes stronger in the post-implementation period.</w:t>
      </w:r>
    </w:p>
    <w:p>
      <w:pPr>
        <w:pStyle w:val="Heading1"/>
        <w:spacing w:after="140" w:before="280"/>
      </w:pPr>
      <w:r>
        <w:rPr>
          <w:rFonts w:ascii="Times New Roman" w:cs="Times New Roman" w:eastAsia="Times New Roman" w:hAnsi="Times New Roman"/>
          <w:b/>
          <w:bCs/>
          <w:sz w:val="28"/>
          <w:szCs w:val="28"/>
        </w:rPr>
        <w:t xml:space="preserve">3. RESEARCH METHODOLOGY</w:t>
      </w:r>
    </w:p>
    <w:p>
      <w:pPr>
        <w:spacing w:after="120" w:before="120" w:line="480"/>
        <w:ind w:firstLine="720"/>
        <w:jc w:val="both"/>
      </w:pPr>
      <w:r>
        <w:rPr>
          <w:rFonts w:ascii="Times New Roman" w:cs="Times New Roman" w:eastAsia="Times New Roman" w:hAnsi="Times New Roman"/>
          <w:b w:val="false"/>
          <w:bCs w:val="false"/>
          <w:color w:val="000000"/>
          <w:sz w:val="24"/>
          <w:szCs w:val="24"/>
        </w:rPr>
        <w:t xml:space="preserve">This study adopts a quantitative, positivist research approach using panel data from all PLCs on Bursa Malaysia Main Market for the period 2021 to 2026. Financial institutions are excluded due to their distinct regulatory framework, yielding approximately 800 companies across industrial products, consumer products, technology, plantation, construction, and energy sectors.</w:t>
      </w:r>
    </w:p>
    <w:p>
      <w:pPr>
        <w:spacing w:after="120" w:before="120" w:line="480"/>
        <w:ind w:firstLine="720"/>
        <w:jc w:val="both"/>
      </w:pPr>
      <w:r>
        <w:rPr>
          <w:rFonts w:ascii="Times New Roman" w:cs="Times New Roman" w:eastAsia="Times New Roman" w:hAnsi="Times New Roman"/>
          <w:b w:val="false"/>
          <w:bCs w:val="false"/>
          <w:color w:val="000000"/>
          <w:sz w:val="24"/>
          <w:szCs w:val="24"/>
        </w:rPr>
        <w:t xml:space="preserve">The study period captures three years of pre-e-invoicing data (2021-2023) and three years of post-e-invoicing data (2024-2026), providing a natural before-and-after experiment. Data is sourced from annual reports published on Bursa Malaysia and financial databases. Tax avoidance is measured using ETR and BTD. Governance variables are measured as described in Section 2.3. The e-invoicing moderator is coded as a dummy (1 = post-implementation, 0 = pre-implementation). Control variables include firm size (natural log of total assets), leverage, and return on assets (ROA).</w:t>
      </w:r>
    </w:p>
    <w:p>
      <w:pPr>
        <w:spacing w:after="120" w:before="120" w:line="480"/>
        <w:ind w:firstLine="720"/>
        <w:jc w:val="both"/>
      </w:pPr>
      <w:r>
        <w:rPr>
          <w:rFonts w:ascii="Times New Roman" w:cs="Times New Roman" w:eastAsia="Times New Roman" w:hAnsi="Times New Roman"/>
          <w:b w:val="false"/>
          <w:bCs w:val="false"/>
          <w:color w:val="000000"/>
          <w:sz w:val="24"/>
          <w:szCs w:val="24"/>
        </w:rPr>
        <w:t xml:space="preserve">Panel regression analysis using fixed and random effects models is employed, with the Hausman test determining the appropriate model. Moderation is tested through interaction terms between each governance variable and the e-invoicing dummy (Governance Variable x E-Invoicing). Robustness checks include alternative tax avoidance proxies and sub-sample analyses.</w:t>
      </w:r>
    </w:p>
    <w:p>
      <w:pPr>
        <w:pStyle w:val="Heading1"/>
        <w:spacing w:after="140" w:before="280"/>
      </w:pPr>
      <w:r>
        <w:rPr>
          <w:rFonts w:ascii="Times New Roman" w:cs="Times New Roman" w:eastAsia="Times New Roman" w:hAnsi="Times New Roman"/>
          <w:b/>
          <w:bCs/>
          <w:sz w:val="28"/>
          <w:szCs w:val="28"/>
        </w:rPr>
        <w:t xml:space="preserve">4. SUMMARY OF PRIOR STUDIES</w:t>
      </w:r>
    </w:p>
    <w:p>
      <w:pPr>
        <w:spacing w:after="120" w:before="120" w:line="480"/>
        <w:jc w:val="both"/>
      </w:pPr>
      <w:r>
        <w:rPr>
          <w:rFonts w:ascii="Times New Roman" w:cs="Times New Roman" w:eastAsia="Times New Roman" w:hAnsi="Times New Roman"/>
          <w:b w:val="false"/>
          <w:bCs w:val="false"/>
          <w:color w:val="000000"/>
          <w:sz w:val="24"/>
          <w:szCs w:val="24"/>
        </w:rPr>
        <w:t xml:space="preserve">Table 1 presents a summary of key prior studies and how this study extends the existing literature.</w:t>
      </w:r>
    </w:p>
    <w:p>
      <w:pPr>
        <w:spacing w:after="120" w:before="120" w:line="480"/>
        <w:jc w:val="both"/>
      </w:pPr>
      <w:r>
        <w:rPr>
          <w:rFonts w:ascii="Times New Roman" w:cs="Times New Roman" w:eastAsia="Times New Roman" w:hAnsi="Times New Roman"/>
          <w:b w:val="false"/>
          <w:bCs w:val="false"/>
          <w:color w:val="000000"/>
          <w:sz w:val="24"/>
          <w:szCs w:val="24"/>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700"/>
        <w:gridCol w:w="650"/>
        <w:gridCol w:w="2776"/>
        <w:gridCol w:w="3900"/>
      </w:tblGrid>
      <w:tr>
        <w:tc>
          <w:tcPr>
            <w:tcW w:type="dxa" w:w="1700"/>
            <w:tcBorders>
              <w:top w:val="single" w:color="CCCCCC" w:sz="1"/>
              <w:left w:val="single" w:color="CCCCCC" w:sz="1"/>
              <w:bottom w:val="single" w:color="CCCCCC" w:sz="1"/>
              <w:right w:val="single" w:color="CCCCCC" w:sz="1"/>
            </w:tcBorders>
            <w:shd w:fill="2E4057"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Author(s)</w:t>
            </w:r>
          </w:p>
        </w:tc>
        <w:tc>
          <w:tcPr>
            <w:tcW w:type="dxa" w:w="650"/>
            <w:tcBorders>
              <w:top w:val="single" w:color="CCCCCC" w:sz="1"/>
              <w:left w:val="single" w:color="CCCCCC" w:sz="1"/>
              <w:bottom w:val="single" w:color="CCCCCC" w:sz="1"/>
              <w:right w:val="single" w:color="CCCCCC" w:sz="1"/>
            </w:tcBorders>
            <w:shd w:fill="2E4057"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Year</w:t>
            </w:r>
          </w:p>
        </w:tc>
        <w:tc>
          <w:tcPr>
            <w:tcW w:type="dxa" w:w="2776"/>
            <w:tcBorders>
              <w:top w:val="single" w:color="CCCCCC" w:sz="1"/>
              <w:left w:val="single" w:color="CCCCCC" w:sz="1"/>
              <w:bottom w:val="single" w:color="CCCCCC" w:sz="1"/>
              <w:right w:val="single" w:color="CCCCCC" w:sz="1"/>
            </w:tcBorders>
            <w:shd w:fill="2E4057"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Key Finding</w:t>
            </w:r>
          </w:p>
        </w:tc>
        <w:tc>
          <w:tcPr>
            <w:tcW w:type="dxa" w:w="3900"/>
            <w:tcBorders>
              <w:top w:val="single" w:color="CCCCCC" w:sz="1"/>
              <w:left w:val="single" w:color="CCCCCC" w:sz="1"/>
              <w:bottom w:val="single" w:color="CCCCCC" w:sz="1"/>
              <w:right w:val="single" w:color="CCCCCC" w:sz="1"/>
            </w:tcBorders>
            <w:shd w:fill="2E4057"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What My Study Adds</w:t>
            </w:r>
          </w:p>
        </w:tc>
      </w:tr>
      <w:tr>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both"/>
            </w:pPr>
            <w:r>
              <w:rPr>
                <w:rFonts w:ascii="Times New Roman" w:cs="Times New Roman" w:eastAsia="Times New Roman" w:hAnsi="Times New Roman"/>
                <w:b/>
                <w:bCs/>
                <w:sz w:val="18"/>
                <w:szCs w:val="18"/>
              </w:rPr>
              <w:t xml:space="preserve">Lanis &amp; Richardson</w:t>
            </w:r>
          </w:p>
        </w:tc>
        <w:tc>
          <w:tcPr>
            <w:tcW w:type="dxa" w:w="65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both"/>
            </w:pPr>
            <w:r>
              <w:rPr>
                <w:rFonts w:ascii="Times New Roman" w:cs="Times New Roman" w:eastAsia="Times New Roman" w:hAnsi="Times New Roman"/>
                <w:b w:val="false"/>
                <w:bCs w:val="false"/>
                <w:sz w:val="18"/>
                <w:szCs w:val="18"/>
              </w:rPr>
              <w:t xml:space="preserve">2012</w:t>
            </w:r>
          </w:p>
        </w:tc>
        <w:tc>
          <w:tcPr>
            <w:tcW w:type="dxa" w:w="277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both"/>
            </w:pPr>
            <w:r>
              <w:rPr>
                <w:rFonts w:ascii="Times New Roman" w:cs="Times New Roman" w:eastAsia="Times New Roman" w:hAnsi="Times New Roman"/>
                <w:b w:val="false"/>
                <w:bCs w:val="false"/>
                <w:sz w:val="18"/>
                <w:szCs w:val="18"/>
              </w:rPr>
              <w:t xml:space="preserve">Strong boards reduce aggressive tax planning</w:t>
            </w:r>
          </w:p>
        </w:tc>
        <w:tc>
          <w:tcPr>
            <w:tcW w:type="dxa" w:w="3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both"/>
            </w:pPr>
            <w:r>
              <w:rPr>
                <w:rFonts w:ascii="Times New Roman" w:cs="Times New Roman" w:eastAsia="Times New Roman" w:hAnsi="Times New Roman"/>
                <w:b w:val="false"/>
                <w:bCs w:val="false"/>
                <w:sz w:val="18"/>
                <w:szCs w:val="18"/>
              </w:rPr>
              <w:t xml:space="preserve">E-invoicing as moderator; 6 mechanisms vs 1 variable; Malaysian post-MCCG 2021 context</w:t>
            </w:r>
          </w:p>
        </w:tc>
      </w:tr>
      <w:tr>
        <w:tc>
          <w:tcPr>
            <w:tcW w:type="dxa" w:w="1700"/>
            <w:tcBorders>
              <w:top w:val="single" w:color="CCCCCC" w:sz="1"/>
              <w:left w:val="single" w:color="CCCCCC" w:sz="1"/>
              <w:bottom w:val="single" w:color="CCCCCC" w:sz="1"/>
              <w:right w:val="single" w:color="CCCCCC" w:sz="1"/>
            </w:tcBorders>
            <w:shd w:fill="EAF2FB" w:val="clear"/>
            <w:tcMar>
              <w:top w:type="dxa" w:w="80"/>
              <w:left w:type="dxa" w:w="120"/>
              <w:bottom w:type="dxa" w:w="80"/>
              <w:right w:type="dxa" w:w="120"/>
            </w:tcMar>
            <w:vAlign w:val="center"/>
          </w:tcPr>
          <w:p>
            <w:pPr>
              <w:jc w:val="both"/>
            </w:pPr>
            <w:r>
              <w:rPr>
                <w:rFonts w:ascii="Times New Roman" w:cs="Times New Roman" w:eastAsia="Times New Roman" w:hAnsi="Times New Roman"/>
                <w:b/>
                <w:bCs/>
                <w:sz w:val="18"/>
                <w:szCs w:val="18"/>
              </w:rPr>
              <w:t xml:space="preserve">Armstrong et al.</w:t>
            </w:r>
          </w:p>
        </w:tc>
        <w:tc>
          <w:tcPr>
            <w:tcW w:type="dxa" w:w="650"/>
            <w:tcBorders>
              <w:top w:val="single" w:color="CCCCCC" w:sz="1"/>
              <w:left w:val="single" w:color="CCCCCC" w:sz="1"/>
              <w:bottom w:val="single" w:color="CCCCCC" w:sz="1"/>
              <w:right w:val="single" w:color="CCCCCC" w:sz="1"/>
            </w:tcBorders>
            <w:shd w:fill="EAF2FB" w:val="clear"/>
            <w:tcMar>
              <w:top w:type="dxa" w:w="80"/>
              <w:left w:type="dxa" w:w="120"/>
              <w:bottom w:type="dxa" w:w="80"/>
              <w:right w:type="dxa" w:w="120"/>
            </w:tcMar>
            <w:vAlign w:val="center"/>
          </w:tcPr>
          <w:p>
            <w:pPr>
              <w:jc w:val="both"/>
            </w:pPr>
            <w:r>
              <w:rPr>
                <w:rFonts w:ascii="Times New Roman" w:cs="Times New Roman" w:eastAsia="Times New Roman" w:hAnsi="Times New Roman"/>
                <w:b w:val="false"/>
                <w:bCs w:val="false"/>
                <w:sz w:val="18"/>
                <w:szCs w:val="18"/>
              </w:rPr>
              <w:t xml:space="preserve">2015</w:t>
            </w:r>
          </w:p>
        </w:tc>
        <w:tc>
          <w:tcPr>
            <w:tcW w:type="dxa" w:w="2776"/>
            <w:tcBorders>
              <w:top w:val="single" w:color="CCCCCC" w:sz="1"/>
              <w:left w:val="single" w:color="CCCCCC" w:sz="1"/>
              <w:bottom w:val="single" w:color="CCCCCC" w:sz="1"/>
              <w:right w:val="single" w:color="CCCCCC" w:sz="1"/>
            </w:tcBorders>
            <w:shd w:fill="EAF2FB" w:val="clear"/>
            <w:tcMar>
              <w:top w:type="dxa" w:w="80"/>
              <w:left w:type="dxa" w:w="120"/>
              <w:bottom w:type="dxa" w:w="80"/>
              <w:right w:type="dxa" w:w="120"/>
            </w:tcMar>
            <w:vAlign w:val="center"/>
          </w:tcPr>
          <w:p>
            <w:pPr>
              <w:jc w:val="both"/>
            </w:pPr>
            <w:r>
              <w:rPr>
                <w:rFonts w:ascii="Times New Roman" w:cs="Times New Roman" w:eastAsia="Times New Roman" w:hAnsi="Times New Roman"/>
                <w:b w:val="false"/>
                <w:bCs w:val="false"/>
                <w:sz w:val="18"/>
                <w:szCs w:val="18"/>
              </w:rPr>
              <w:t xml:space="preserve">Financial expertise may enable sophisticated tax strategies</w:t>
            </w:r>
          </w:p>
        </w:tc>
        <w:tc>
          <w:tcPr>
            <w:tcW w:type="dxa" w:w="3900"/>
            <w:tcBorders>
              <w:top w:val="single" w:color="CCCCCC" w:sz="1"/>
              <w:left w:val="single" w:color="CCCCCC" w:sz="1"/>
              <w:bottom w:val="single" w:color="CCCCCC" w:sz="1"/>
              <w:right w:val="single" w:color="CCCCCC" w:sz="1"/>
            </w:tcBorders>
            <w:shd w:fill="EAF2FB" w:val="clear"/>
            <w:tcMar>
              <w:top w:type="dxa" w:w="80"/>
              <w:left w:type="dxa" w:w="120"/>
              <w:bottom w:type="dxa" w:w="80"/>
              <w:right w:type="dxa" w:w="120"/>
            </w:tcMar>
            <w:vAlign w:val="center"/>
          </w:tcPr>
          <w:p>
            <w:pPr>
              <w:jc w:val="both"/>
            </w:pPr>
            <w:r>
              <w:rPr>
                <w:rFonts w:ascii="Times New Roman" w:cs="Times New Roman" w:eastAsia="Times New Roman" w:hAnsi="Times New Roman"/>
                <w:b w:val="false"/>
                <w:bCs w:val="false"/>
                <w:sz w:val="18"/>
                <w:szCs w:val="18"/>
              </w:rPr>
              <w:t xml:space="preserve">E-invoicing removes exploitation loophole; Board IT expertise examined; AI-powered digital context</w:t>
            </w:r>
          </w:p>
        </w:tc>
      </w:tr>
      <w:tr>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both"/>
            </w:pPr>
            <w:r>
              <w:rPr>
                <w:rFonts w:ascii="Times New Roman" w:cs="Times New Roman" w:eastAsia="Times New Roman" w:hAnsi="Times New Roman"/>
                <w:b/>
                <w:bCs/>
                <w:sz w:val="18"/>
                <w:szCs w:val="18"/>
              </w:rPr>
              <w:t xml:space="preserve">Kovermann &amp; Velte</w:t>
            </w:r>
          </w:p>
        </w:tc>
        <w:tc>
          <w:tcPr>
            <w:tcW w:type="dxa" w:w="65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both"/>
            </w:pPr>
            <w:r>
              <w:rPr>
                <w:rFonts w:ascii="Times New Roman" w:cs="Times New Roman" w:eastAsia="Times New Roman" w:hAnsi="Times New Roman"/>
                <w:b w:val="false"/>
                <w:bCs w:val="false"/>
                <w:sz w:val="18"/>
                <w:szCs w:val="18"/>
              </w:rPr>
              <w:t xml:space="preserve">2019</w:t>
            </w:r>
          </w:p>
        </w:tc>
        <w:tc>
          <w:tcPr>
            <w:tcW w:type="dxa" w:w="277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both"/>
            </w:pPr>
            <w:r>
              <w:rPr>
                <w:rFonts w:ascii="Times New Roman" w:cs="Times New Roman" w:eastAsia="Times New Roman" w:hAnsi="Times New Roman"/>
                <w:b w:val="false"/>
                <w:bCs w:val="false"/>
                <w:sz w:val="18"/>
                <w:szCs w:val="18"/>
              </w:rPr>
              <w:t xml:space="preserve">Governance-tax link disappears after controlling firm characteristics</w:t>
            </w:r>
          </w:p>
        </w:tc>
        <w:tc>
          <w:tcPr>
            <w:tcW w:type="dxa" w:w="3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both"/>
            </w:pPr>
            <w:r>
              <w:rPr>
                <w:rFonts w:ascii="Times New Roman" w:cs="Times New Roman" w:eastAsia="Times New Roman" w:hAnsi="Times New Roman"/>
                <w:b w:val="false"/>
                <w:bCs w:val="false"/>
                <w:sz w:val="18"/>
                <w:szCs w:val="18"/>
              </w:rPr>
              <w:t xml:space="preserve">E-invoicing as the missing moderator; 6 mechanisms simultaneously; Before &amp; after reform design</w:t>
            </w:r>
          </w:p>
        </w:tc>
      </w:tr>
      <w:tr>
        <w:tc>
          <w:tcPr>
            <w:tcW w:type="dxa" w:w="1700"/>
            <w:tcBorders>
              <w:top w:val="single" w:color="CCCCCC" w:sz="1"/>
              <w:left w:val="single" w:color="CCCCCC" w:sz="1"/>
              <w:bottom w:val="single" w:color="CCCCCC" w:sz="1"/>
              <w:right w:val="single" w:color="CCCCCC" w:sz="1"/>
            </w:tcBorders>
            <w:shd w:fill="EAF2FB" w:val="clear"/>
            <w:tcMar>
              <w:top w:type="dxa" w:w="80"/>
              <w:left w:type="dxa" w:w="120"/>
              <w:bottom w:type="dxa" w:w="80"/>
              <w:right w:type="dxa" w:w="120"/>
            </w:tcMar>
            <w:vAlign w:val="center"/>
          </w:tcPr>
          <w:p>
            <w:pPr>
              <w:jc w:val="both"/>
            </w:pPr>
            <w:r>
              <w:rPr>
                <w:rFonts w:ascii="Times New Roman" w:cs="Times New Roman" w:eastAsia="Times New Roman" w:hAnsi="Times New Roman"/>
                <w:b/>
                <w:bCs/>
                <w:sz w:val="18"/>
                <w:szCs w:val="18"/>
              </w:rPr>
              <w:t xml:space="preserve">Hasan et al.</w:t>
            </w:r>
          </w:p>
        </w:tc>
        <w:tc>
          <w:tcPr>
            <w:tcW w:type="dxa" w:w="650"/>
            <w:tcBorders>
              <w:top w:val="single" w:color="CCCCCC" w:sz="1"/>
              <w:left w:val="single" w:color="CCCCCC" w:sz="1"/>
              <w:bottom w:val="single" w:color="CCCCCC" w:sz="1"/>
              <w:right w:val="single" w:color="CCCCCC" w:sz="1"/>
            </w:tcBorders>
            <w:shd w:fill="EAF2FB" w:val="clear"/>
            <w:tcMar>
              <w:top w:type="dxa" w:w="80"/>
              <w:left w:type="dxa" w:w="120"/>
              <w:bottom w:type="dxa" w:w="80"/>
              <w:right w:type="dxa" w:w="120"/>
            </w:tcMar>
            <w:vAlign w:val="center"/>
          </w:tcPr>
          <w:p>
            <w:pPr>
              <w:jc w:val="both"/>
            </w:pPr>
            <w:r>
              <w:rPr>
                <w:rFonts w:ascii="Times New Roman" w:cs="Times New Roman" w:eastAsia="Times New Roman" w:hAnsi="Times New Roman"/>
                <w:b w:val="false"/>
                <w:bCs w:val="false"/>
                <w:sz w:val="18"/>
                <w:szCs w:val="18"/>
              </w:rPr>
              <w:t xml:space="preserve">2024</w:t>
            </w:r>
          </w:p>
        </w:tc>
        <w:tc>
          <w:tcPr>
            <w:tcW w:type="dxa" w:w="2776"/>
            <w:tcBorders>
              <w:top w:val="single" w:color="CCCCCC" w:sz="1"/>
              <w:left w:val="single" w:color="CCCCCC" w:sz="1"/>
              <w:bottom w:val="single" w:color="CCCCCC" w:sz="1"/>
              <w:right w:val="single" w:color="CCCCCC" w:sz="1"/>
            </w:tcBorders>
            <w:shd w:fill="EAF2FB" w:val="clear"/>
            <w:tcMar>
              <w:top w:type="dxa" w:w="80"/>
              <w:left w:type="dxa" w:w="120"/>
              <w:bottom w:type="dxa" w:w="80"/>
              <w:right w:type="dxa" w:w="120"/>
            </w:tcMar>
            <w:vAlign w:val="center"/>
          </w:tcPr>
          <w:p>
            <w:pPr>
              <w:jc w:val="both"/>
            </w:pPr>
            <w:r>
              <w:rPr>
                <w:rFonts w:ascii="Times New Roman" w:cs="Times New Roman" w:eastAsia="Times New Roman" w:hAnsi="Times New Roman"/>
                <w:b w:val="false"/>
                <w:bCs w:val="false"/>
                <w:sz w:val="18"/>
                <w:szCs w:val="18"/>
              </w:rPr>
              <w:t xml:space="preserve">Corporate governance reduces tax avoidance in Pakistan</w:t>
            </w:r>
          </w:p>
        </w:tc>
        <w:tc>
          <w:tcPr>
            <w:tcW w:type="dxa" w:w="3900"/>
            <w:tcBorders>
              <w:top w:val="single" w:color="CCCCCC" w:sz="1"/>
              <w:left w:val="single" w:color="CCCCCC" w:sz="1"/>
              <w:bottom w:val="single" w:color="CCCCCC" w:sz="1"/>
              <w:right w:val="single" w:color="CCCCCC" w:sz="1"/>
            </w:tcBorders>
            <w:shd w:fill="EAF2FB" w:val="clear"/>
            <w:tcMar>
              <w:top w:type="dxa" w:w="80"/>
              <w:left w:type="dxa" w:w="120"/>
              <w:bottom w:type="dxa" w:w="80"/>
              <w:right w:type="dxa" w:w="120"/>
            </w:tcMar>
            <w:vAlign w:val="center"/>
          </w:tcPr>
          <w:p>
            <w:pPr>
              <w:jc w:val="both"/>
            </w:pPr>
            <w:r>
              <w:rPr>
                <w:rFonts w:ascii="Times New Roman" w:cs="Times New Roman" w:eastAsia="Times New Roman" w:hAnsi="Times New Roman"/>
                <w:b w:val="false"/>
                <w:bCs w:val="false"/>
                <w:sz w:val="18"/>
                <w:szCs w:val="18"/>
              </w:rPr>
              <w:t xml:space="preserve">Malaysian context with MyInvois System; Institutional investors &amp; foreign ownership included; AI reporting environment</w:t>
            </w:r>
          </w:p>
        </w:tc>
      </w:tr>
      <w:tr>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both"/>
            </w:pPr>
            <w:r>
              <w:rPr>
                <w:rFonts w:ascii="Times New Roman" w:cs="Times New Roman" w:eastAsia="Times New Roman" w:hAnsi="Times New Roman"/>
                <w:b/>
                <w:bCs/>
                <w:sz w:val="18"/>
                <w:szCs w:val="18"/>
              </w:rPr>
              <w:t xml:space="preserve">Koay &amp; Sapiei</w:t>
            </w:r>
          </w:p>
        </w:tc>
        <w:tc>
          <w:tcPr>
            <w:tcW w:type="dxa" w:w="65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both"/>
            </w:pPr>
            <w:r>
              <w:rPr>
                <w:rFonts w:ascii="Times New Roman" w:cs="Times New Roman" w:eastAsia="Times New Roman" w:hAnsi="Times New Roman"/>
                <w:b w:val="false"/>
                <w:bCs w:val="false"/>
                <w:sz w:val="18"/>
                <w:szCs w:val="18"/>
              </w:rPr>
              <w:t xml:space="preserve">2025</w:t>
            </w:r>
          </w:p>
        </w:tc>
        <w:tc>
          <w:tcPr>
            <w:tcW w:type="dxa" w:w="277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both"/>
            </w:pPr>
            <w:r>
              <w:rPr>
                <w:rFonts w:ascii="Times New Roman" w:cs="Times New Roman" w:eastAsia="Times New Roman" w:hAnsi="Times New Roman"/>
                <w:b w:val="false"/>
                <w:bCs w:val="false"/>
                <w:sz w:val="18"/>
                <w:szCs w:val="18"/>
              </w:rPr>
              <w:t xml:space="preserve">Corporate governance reduces tax avoidance in Malaysia</w:t>
            </w:r>
          </w:p>
        </w:tc>
        <w:tc>
          <w:tcPr>
            <w:tcW w:type="dxa" w:w="3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both"/>
            </w:pPr>
            <w:r>
              <w:rPr>
                <w:rFonts w:ascii="Times New Roman" w:cs="Times New Roman" w:eastAsia="Times New Roman" w:hAnsi="Times New Roman"/>
                <w:b w:val="false"/>
                <w:bCs w:val="false"/>
                <w:sz w:val="18"/>
                <w:szCs w:val="18"/>
              </w:rPr>
              <w:t xml:space="preserve">Adds e-invoicing moderation; Board IT expertise; Only study with all 6 mechanisms + e-invoicing in Malaysia</w:t>
            </w:r>
          </w:p>
        </w:tc>
      </w:tr>
      <w:tr>
        <w:tc>
          <w:tcPr>
            <w:tcW w:type="dxa" w:w="1700"/>
            <w:tcBorders>
              <w:top w:val="single" w:color="CCCCCC" w:sz="1"/>
              <w:left w:val="single" w:color="CCCCCC" w:sz="1"/>
              <w:bottom w:val="single" w:color="CCCCCC" w:sz="1"/>
              <w:right w:val="single" w:color="CCCCCC" w:sz="1"/>
            </w:tcBorders>
            <w:shd w:fill="EAF2FB" w:val="clear"/>
            <w:tcMar>
              <w:top w:type="dxa" w:w="80"/>
              <w:left w:type="dxa" w:w="120"/>
              <w:bottom w:type="dxa" w:w="80"/>
              <w:right w:type="dxa" w:w="120"/>
            </w:tcMar>
            <w:vAlign w:val="center"/>
          </w:tcPr>
          <w:p>
            <w:pPr>
              <w:jc w:val="both"/>
            </w:pPr>
            <w:r>
              <w:rPr>
                <w:rFonts w:ascii="Times New Roman" w:cs="Times New Roman" w:eastAsia="Times New Roman" w:hAnsi="Times New Roman"/>
                <w:b/>
                <w:bCs/>
                <w:sz w:val="18"/>
                <w:szCs w:val="18"/>
              </w:rPr>
              <w:t xml:space="preserve">Salleh et al.</w:t>
            </w:r>
          </w:p>
        </w:tc>
        <w:tc>
          <w:tcPr>
            <w:tcW w:type="dxa" w:w="650"/>
            <w:tcBorders>
              <w:top w:val="single" w:color="CCCCCC" w:sz="1"/>
              <w:left w:val="single" w:color="CCCCCC" w:sz="1"/>
              <w:bottom w:val="single" w:color="CCCCCC" w:sz="1"/>
              <w:right w:val="single" w:color="CCCCCC" w:sz="1"/>
            </w:tcBorders>
            <w:shd w:fill="EAF2FB" w:val="clear"/>
            <w:tcMar>
              <w:top w:type="dxa" w:w="80"/>
              <w:left w:type="dxa" w:w="120"/>
              <w:bottom w:type="dxa" w:w="80"/>
              <w:right w:type="dxa" w:w="120"/>
            </w:tcMar>
            <w:vAlign w:val="center"/>
          </w:tcPr>
          <w:p>
            <w:pPr>
              <w:jc w:val="both"/>
            </w:pPr>
            <w:r>
              <w:rPr>
                <w:rFonts w:ascii="Times New Roman" w:cs="Times New Roman" w:eastAsia="Times New Roman" w:hAnsi="Times New Roman"/>
                <w:b w:val="false"/>
                <w:bCs w:val="false"/>
                <w:sz w:val="18"/>
                <w:szCs w:val="18"/>
              </w:rPr>
              <w:t xml:space="preserve">2025</w:t>
            </w:r>
          </w:p>
        </w:tc>
        <w:tc>
          <w:tcPr>
            <w:tcW w:type="dxa" w:w="2776"/>
            <w:tcBorders>
              <w:top w:val="single" w:color="CCCCCC" w:sz="1"/>
              <w:left w:val="single" w:color="CCCCCC" w:sz="1"/>
              <w:bottom w:val="single" w:color="CCCCCC" w:sz="1"/>
              <w:right w:val="single" w:color="CCCCCC" w:sz="1"/>
            </w:tcBorders>
            <w:shd w:fill="EAF2FB" w:val="clear"/>
            <w:tcMar>
              <w:top w:type="dxa" w:w="80"/>
              <w:left w:type="dxa" w:w="120"/>
              <w:bottom w:type="dxa" w:w="80"/>
              <w:right w:type="dxa" w:w="120"/>
            </w:tcMar>
            <w:vAlign w:val="center"/>
          </w:tcPr>
          <w:p>
            <w:pPr>
              <w:jc w:val="both"/>
            </w:pPr>
            <w:r>
              <w:rPr>
                <w:rFonts w:ascii="Times New Roman" w:cs="Times New Roman" w:eastAsia="Times New Roman" w:hAnsi="Times New Roman"/>
                <w:b w:val="false"/>
                <w:bCs w:val="false"/>
                <w:sz w:val="18"/>
                <w:szCs w:val="18"/>
              </w:rPr>
              <w:t xml:space="preserve">Mixed board characteristic results among Malaysian listed firms</w:t>
            </w:r>
          </w:p>
        </w:tc>
        <w:tc>
          <w:tcPr>
            <w:tcW w:type="dxa" w:w="3900"/>
            <w:tcBorders>
              <w:top w:val="single" w:color="CCCCCC" w:sz="1"/>
              <w:left w:val="single" w:color="CCCCCC" w:sz="1"/>
              <w:bottom w:val="single" w:color="CCCCCC" w:sz="1"/>
              <w:right w:val="single" w:color="CCCCCC" w:sz="1"/>
            </w:tcBorders>
            <w:shd w:fill="EAF2FB" w:val="clear"/>
            <w:tcMar>
              <w:top w:type="dxa" w:w="80"/>
              <w:left w:type="dxa" w:w="120"/>
              <w:bottom w:type="dxa" w:w="80"/>
              <w:right w:type="dxa" w:w="120"/>
            </w:tcMar>
            <w:vAlign w:val="center"/>
          </w:tcPr>
          <w:p>
            <w:pPr>
              <w:jc w:val="both"/>
            </w:pPr>
            <w:r>
              <w:rPr>
                <w:rFonts w:ascii="Times New Roman" w:cs="Times New Roman" w:eastAsia="Times New Roman" w:hAnsi="Times New Roman"/>
                <w:b w:val="false"/>
                <w:bCs w:val="false"/>
                <w:sz w:val="18"/>
                <w:szCs w:val="18"/>
              </w:rPr>
              <w:t xml:space="preserve">E-invoicing resolves mixed findings; Before &amp; after design captures reform impact; 6 mechanisms in one model</w:t>
            </w:r>
          </w:p>
        </w:tc>
      </w:tr>
      <w:tr>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both"/>
            </w:pPr>
            <w:r>
              <w:rPr>
                <w:rFonts w:ascii="Times New Roman" w:cs="Times New Roman" w:eastAsia="Times New Roman" w:hAnsi="Times New Roman"/>
                <w:b/>
                <w:bCs/>
                <w:sz w:val="18"/>
                <w:szCs w:val="18"/>
              </w:rPr>
              <w:t xml:space="preserve">Blaylock et al.</w:t>
            </w:r>
          </w:p>
        </w:tc>
        <w:tc>
          <w:tcPr>
            <w:tcW w:type="dxa" w:w="65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both"/>
            </w:pPr>
            <w:r>
              <w:rPr>
                <w:rFonts w:ascii="Times New Roman" w:cs="Times New Roman" w:eastAsia="Times New Roman" w:hAnsi="Times New Roman"/>
                <w:b w:val="false"/>
                <w:bCs w:val="false"/>
                <w:sz w:val="18"/>
                <w:szCs w:val="18"/>
              </w:rPr>
              <w:t xml:space="preserve">2025</w:t>
            </w:r>
          </w:p>
        </w:tc>
        <w:tc>
          <w:tcPr>
            <w:tcW w:type="dxa" w:w="277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both"/>
            </w:pPr>
            <w:r>
              <w:rPr>
                <w:rFonts w:ascii="Times New Roman" w:cs="Times New Roman" w:eastAsia="Times New Roman" w:hAnsi="Times New Roman"/>
                <w:b w:val="false"/>
                <w:bCs w:val="false"/>
                <w:sz w:val="18"/>
                <w:szCs w:val="18"/>
              </w:rPr>
              <w:t xml:space="preserve">Big 4 audit networks reduce tax-motivated income shifting</w:t>
            </w:r>
          </w:p>
        </w:tc>
        <w:tc>
          <w:tcPr>
            <w:tcW w:type="dxa" w:w="3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both"/>
            </w:pPr>
            <w:r>
              <w:rPr>
                <w:rFonts w:ascii="Times New Roman" w:cs="Times New Roman" w:eastAsia="Times New Roman" w:hAnsi="Times New Roman"/>
                <w:b w:val="false"/>
                <w:bCs w:val="false"/>
                <w:sz w:val="18"/>
                <w:szCs w:val="18"/>
              </w:rPr>
              <w:t xml:space="preserve">Big 4 + MyInvois interaction; Malaysian manufacturing context; First study under mandatory e-invoicing regime</w:t>
            </w:r>
          </w:p>
        </w:tc>
      </w:tr>
    </w:tbl>
    <w:p>
      <w:pPr>
        <w:spacing w:after="200" w:before="80" w:line="480"/>
        <w:jc w:val="center"/>
      </w:pPr>
      <w:r>
        <w:rPr>
          <w:rFonts w:ascii="Times New Roman" w:cs="Times New Roman" w:eastAsia="Times New Roman" w:hAnsi="Times New Roman"/>
          <w:b w:val="false"/>
          <w:bCs w:val="false"/>
          <w:color w:val="000000"/>
          <w:sz w:val="20"/>
          <w:szCs w:val="20"/>
        </w:rPr>
        <w:t xml:space="preserve">Table 1: Summary of Key Prior Studies and Unique Contributions of This Study</w:t>
      </w:r>
    </w:p>
    <w:p>
      <w:pPr>
        <w:pStyle w:val="Heading1"/>
        <w:spacing w:after="140" w:before="280"/>
      </w:pPr>
      <w:r>
        <w:rPr>
          <w:rFonts w:ascii="Times New Roman" w:cs="Times New Roman" w:eastAsia="Times New Roman" w:hAnsi="Times New Roman"/>
          <w:b/>
          <w:bCs/>
          <w:sz w:val="28"/>
          <w:szCs w:val="28"/>
        </w:rPr>
        <w:t xml:space="preserve">5. EXPECTED CONTRIBUTIONS</w:t>
      </w:r>
    </w:p>
    <w:p>
      <w:pPr>
        <w:spacing w:after="120" w:before="120" w:line="480"/>
        <w:ind w:firstLine="720"/>
        <w:jc w:val="both"/>
      </w:pPr>
      <w:r>
        <w:rPr>
          <w:rFonts w:ascii="Times New Roman" w:cs="Times New Roman" w:eastAsia="Times New Roman" w:hAnsi="Times New Roman"/>
          <w:b w:val="false"/>
          <w:bCs w:val="false"/>
          <w:color w:val="000000"/>
          <w:sz w:val="24"/>
          <w:szCs w:val="24"/>
        </w:rPr>
        <w:t xml:space="preserve">This study contributes to academic literature and practice in three important ways. First, it is the first empirical study to introduce e-invoicing as a moderating variable in the corporate governance and tax avoidance nexus, filling a critical gap in both digital taxation and corporate governance literature. Second, by simultaneously testing six governance mechanisms within a unified framework, this study provides a more comprehensive understanding of governance effectiveness than prior single-mechanism studies. Third, the study generates timely evidence from Malaysia's unique context, where mandatory e-invoicing has been progressively rolled out since August 2024, offering a rare natural experiment for examining the governance implications of AI-powered digital tax reform.</w:t>
      </w:r>
    </w:p>
    <w:p>
      <w:pPr>
        <w:spacing w:after="120" w:before="120" w:line="480"/>
        <w:ind w:firstLine="720"/>
        <w:jc w:val="both"/>
      </w:pPr>
      <w:r>
        <w:rPr>
          <w:rFonts w:ascii="Times New Roman" w:cs="Times New Roman" w:eastAsia="Times New Roman" w:hAnsi="Times New Roman"/>
          <w:b w:val="false"/>
          <w:bCs w:val="false"/>
          <w:color w:val="000000"/>
          <w:sz w:val="24"/>
          <w:szCs w:val="24"/>
        </w:rPr>
        <w:t xml:space="preserve">From a practical standpoint, findings are expected to guide LHDN in designing compliance strategies that leverage e-invoicing data, assist the Securities Commission Malaysia in refining the MCCG, and help corporate boards and institutional investors make informed decisions about governance composition and tax risk management.</w:t>
      </w:r>
    </w:p>
    <w:p>
      <w:pPr>
        <w:pStyle w:val="Heading1"/>
        <w:spacing w:after="140" w:before="280"/>
      </w:pPr>
      <w:r>
        <w:rPr>
          <w:rFonts w:ascii="Times New Roman" w:cs="Times New Roman" w:eastAsia="Times New Roman" w:hAnsi="Times New Roman"/>
          <w:b/>
          <w:bCs/>
          <w:sz w:val="28"/>
          <w:szCs w:val="28"/>
        </w:rPr>
        <w:t xml:space="preserve">6. CONCLUSION</w:t>
      </w:r>
    </w:p>
    <w:p>
      <w:pPr>
        <w:spacing w:after="120" w:before="120" w:line="480"/>
        <w:ind w:firstLine="720"/>
        <w:jc w:val="both"/>
      </w:pPr>
      <w:r>
        <w:rPr>
          <w:rFonts w:ascii="Times New Roman" w:cs="Times New Roman" w:eastAsia="Times New Roman" w:hAnsi="Times New Roman"/>
          <w:b w:val="false"/>
          <w:bCs w:val="false"/>
          <w:color w:val="000000"/>
          <w:sz w:val="24"/>
          <w:szCs w:val="24"/>
        </w:rPr>
        <w:t xml:space="preserve">This paper presents a conceptual and methodological framework for examining the impact of corporate governance mechanisms on tax avoidance in Malaysia, with e-invoicing implementation as a novel moderating variable. Grounded in Agency Theory and Information Asymmetry Theory, the study proposes twelve hypotheses covering six governance mechanisms and their interactions with Malaysia's mandatory MyInvois e-invoicing system. The study's before-and-after panel data design (2021-2026) provides a unique opportunity to capture the real impact of AI-powered digital tax enforcement on corporate tax behaviour. Findings are expected to advance both the theoretical understanding and practical management of tax avoidance in emerging economies undergoing digital transformation.</w:t>
      </w:r>
    </w:p>
    <w:p>
      <w:pPr>
        <w:pStyle w:val="Heading1"/>
        <w:spacing w:after="140" w:before="280"/>
      </w:pPr>
      <w:r>
        <w:rPr>
          <w:rFonts w:ascii="Times New Roman" w:cs="Times New Roman" w:eastAsia="Times New Roman" w:hAnsi="Times New Roman"/>
          <w:b/>
          <w:bCs/>
          <w:sz w:val="28"/>
          <w:szCs w:val="28"/>
        </w:rPr>
        <w:t xml:space="preserve">REFERENCES</w:t>
      </w:r>
    </w:p>
    <w:p>
      <w:pPr>
        <w:spacing w:after="80" w:before="80" w:line="360"/>
        <w:ind w:left="720" w:hanging="720"/>
      </w:pPr>
      <w:r>
        <w:rPr>
          <w:rFonts w:ascii="Times New Roman" w:cs="Times New Roman" w:eastAsia="Times New Roman" w:hAnsi="Times New Roman"/>
          <w:sz w:val="20"/>
          <w:szCs w:val="20"/>
        </w:rPr>
        <w:t xml:space="preserve">Akerlof, G. A. (1970). The market for lemons: Quality uncertainty and the market mechanism. The Quarterly Journal of Economics, 84(3), 488-500.</w:t>
      </w:r>
    </w:p>
    <w:p>
      <w:pPr>
        <w:spacing w:after="80" w:before="80" w:line="360"/>
        <w:ind w:left="720" w:hanging="720"/>
      </w:pPr>
      <w:r>
        <w:rPr>
          <w:rFonts w:ascii="Times New Roman" w:cs="Times New Roman" w:eastAsia="Times New Roman" w:hAnsi="Times New Roman"/>
          <w:sz w:val="20"/>
          <w:szCs w:val="20"/>
        </w:rPr>
        <w:t xml:space="preserve">Armstrong, C. S., Blouin, J. L., Jagolinzer, A. D., &amp; Larcker, D. F. (2015). Corporate governance, incentives, and tax avoidance. Journal of Accounting and Economics, 60(1), 1-17.</w:t>
      </w:r>
    </w:p>
    <w:p>
      <w:pPr>
        <w:spacing w:after="80" w:before="80" w:line="360"/>
        <w:ind w:left="720" w:hanging="720"/>
      </w:pPr>
      <w:r>
        <w:rPr>
          <w:rFonts w:ascii="Times New Roman" w:cs="Times New Roman" w:eastAsia="Times New Roman" w:hAnsi="Times New Roman"/>
          <w:sz w:val="20"/>
          <w:szCs w:val="20"/>
        </w:rPr>
        <w:t xml:space="preserve">Beer, S., de Mooij, R., &amp; Liu, L. (2020). International corporate tax avoidance: A review of the channels, magnitudes, and blind spots. Journal of Economic Surveys, 34(3), 660-688.</w:t>
      </w:r>
    </w:p>
    <w:p>
      <w:pPr>
        <w:spacing w:after="80" w:before="80" w:line="360"/>
        <w:ind w:left="720" w:hanging="720"/>
      </w:pPr>
      <w:r>
        <w:rPr>
          <w:rFonts w:ascii="Times New Roman" w:cs="Times New Roman" w:eastAsia="Times New Roman" w:hAnsi="Times New Roman"/>
          <w:sz w:val="20"/>
          <w:szCs w:val="20"/>
        </w:rPr>
        <w:t xml:space="preserve">Bellon, M., Dabla-Norris, E., Khalid, S., &amp; Lima, F. (2022). Digitalization to improve tax compliance: Evidence from VAT e-invoicing in Peru. Journal of Public Economics, 212, 104661.</w:t>
      </w:r>
    </w:p>
    <w:p>
      <w:pPr>
        <w:spacing w:after="80" w:before="80" w:line="360"/>
        <w:ind w:left="720" w:hanging="720"/>
      </w:pPr>
      <w:r>
        <w:rPr>
          <w:rFonts w:ascii="Times New Roman" w:cs="Times New Roman" w:eastAsia="Times New Roman" w:hAnsi="Times New Roman"/>
          <w:sz w:val="20"/>
          <w:szCs w:val="20"/>
        </w:rPr>
        <w:t xml:space="preserve">Blaylock, B., Doyle, J., &amp; Elemes, A. (2025). Tax-motivated income shifting in audit-firm networks. Journal of Accounting Research, 63(1), 45-89.</w:t>
      </w:r>
    </w:p>
    <w:p>
      <w:pPr>
        <w:spacing w:after="80" w:before="80" w:line="360"/>
        <w:ind w:left="720" w:hanging="720"/>
      </w:pPr>
      <w:r>
        <w:rPr>
          <w:rFonts w:ascii="Times New Roman" w:cs="Times New Roman" w:eastAsia="Times New Roman" w:hAnsi="Times New Roman"/>
          <w:sz w:val="20"/>
          <w:szCs w:val="20"/>
        </w:rPr>
        <w:t xml:space="preserve">Cao, Y., Feng, Z., Lu, M., &amp; Shan, Y. (2021). Tax avoidance and firm risk: Evidence from China. Accounting &amp; Finance, 61(3), 4967-5000.</w:t>
      </w:r>
    </w:p>
    <w:p>
      <w:pPr>
        <w:spacing w:after="80" w:before="80" w:line="360"/>
        <w:ind w:left="720" w:hanging="720"/>
      </w:pPr>
      <w:r>
        <w:rPr>
          <w:rFonts w:ascii="Times New Roman" w:cs="Times New Roman" w:eastAsia="Times New Roman" w:hAnsi="Times New Roman"/>
          <w:sz w:val="20"/>
          <w:szCs w:val="20"/>
        </w:rPr>
        <w:t xml:space="preserve">Chatjuthamard, P., Chintrakarn, P., Papangkorn, S., &amp; Jiraporn, P. (2024). Board gender diversity: Impact on corporate tax avoidance in response to economic policy uncertainty. Journal of Sustainable Finance &amp; Investment.</w:t>
      </w:r>
    </w:p>
    <w:p>
      <w:pPr>
        <w:spacing w:after="80" w:before="80" w:line="360"/>
        <w:ind w:left="720" w:hanging="720"/>
      </w:pPr>
      <w:r>
        <w:rPr>
          <w:rFonts w:ascii="Times New Roman" w:cs="Times New Roman" w:eastAsia="Times New Roman" w:hAnsi="Times New Roman"/>
          <w:sz w:val="20"/>
          <w:szCs w:val="20"/>
        </w:rPr>
        <w:t xml:space="preserve">Duhoon, A., &amp; Singh, M. (2023). Corporate tax avoidance: A systematic literature review. LBS Journal of Management and Research, 21(2), 197-215.</w:t>
      </w:r>
    </w:p>
    <w:p>
      <w:pPr>
        <w:spacing w:after="80" w:before="80" w:line="360"/>
        <w:ind w:left="720" w:hanging="720"/>
      </w:pPr>
      <w:r>
        <w:rPr>
          <w:rFonts w:ascii="Times New Roman" w:cs="Times New Roman" w:eastAsia="Times New Roman" w:hAnsi="Times New Roman"/>
          <w:sz w:val="20"/>
          <w:szCs w:val="20"/>
        </w:rPr>
        <w:t xml:space="preserve">Hasan, A., Anwar, W., Zahir-Ul-Hassan, M. K., &amp; Ahmed, A. (2024). Corporate governance and tax avoidance: Evidence from an emerging economy. Journal of International Accounting, Auditing and Taxation, 55, 100625.</w:t>
      </w:r>
    </w:p>
    <w:p>
      <w:pPr>
        <w:spacing w:after="80" w:before="80" w:line="360"/>
        <w:ind w:left="720" w:hanging="720"/>
      </w:pPr>
      <w:r>
        <w:rPr>
          <w:rFonts w:ascii="Times New Roman" w:cs="Times New Roman" w:eastAsia="Times New Roman" w:hAnsi="Times New Roman"/>
          <w:sz w:val="20"/>
          <w:szCs w:val="20"/>
        </w:rPr>
        <w:t xml:space="preserve">Jensen, M. C., &amp; Meckling, W. H. (1976). Theory of the firm: Managerial behaviour, agency costs and ownership structure. Journal of Financial Economics, 3(4), 305-360.</w:t>
      </w:r>
    </w:p>
    <w:p>
      <w:pPr>
        <w:spacing w:after="80" w:before="80" w:line="360"/>
        <w:ind w:left="720" w:hanging="720"/>
      </w:pPr>
      <w:r>
        <w:rPr>
          <w:rFonts w:ascii="Times New Roman" w:cs="Times New Roman" w:eastAsia="Times New Roman" w:hAnsi="Times New Roman"/>
          <w:sz w:val="20"/>
          <w:szCs w:val="20"/>
        </w:rPr>
        <w:t xml:space="preserve">Khan, M., Srinivasan, S., &amp; Tan, L. (2017). Institutional ownership and corporate tax avoidance: New evidence. The Accounting Review, 92(2), 101-122.</w:t>
      </w:r>
    </w:p>
    <w:p>
      <w:pPr>
        <w:spacing w:after="80" w:before="80" w:line="360"/>
        <w:ind w:left="720" w:hanging="720"/>
      </w:pPr>
      <w:r>
        <w:rPr>
          <w:rFonts w:ascii="Times New Roman" w:cs="Times New Roman" w:eastAsia="Times New Roman" w:hAnsi="Times New Roman"/>
          <w:sz w:val="20"/>
          <w:szCs w:val="20"/>
        </w:rPr>
        <w:t xml:space="preserve">Koay, G. Y., &amp; Sapiei, N. S. (2025). The role of corporate governance on corporate tax avoidance: A developing country perspective. Journal of Accounting in Emerging Economies, 15(1), 84-105.</w:t>
      </w:r>
    </w:p>
    <w:p>
      <w:pPr>
        <w:spacing w:after="80" w:before="80" w:line="360"/>
        <w:ind w:left="720" w:hanging="720"/>
      </w:pPr>
      <w:r>
        <w:rPr>
          <w:rFonts w:ascii="Times New Roman" w:cs="Times New Roman" w:eastAsia="Times New Roman" w:hAnsi="Times New Roman"/>
          <w:sz w:val="20"/>
          <w:szCs w:val="20"/>
        </w:rPr>
        <w:t xml:space="preserve">Kotsogiannis, C., Murasi, I., Karangwa, J., &amp; Salvadori, L. (2025). E-invoicing, tax audits and VAT compliance. Journal of Development Economics, 172, 103385.</w:t>
      </w:r>
    </w:p>
    <w:p>
      <w:pPr>
        <w:spacing w:after="80" w:before="80" w:line="360"/>
        <w:ind w:left="720" w:hanging="720"/>
      </w:pPr>
      <w:r>
        <w:rPr>
          <w:rFonts w:ascii="Times New Roman" w:cs="Times New Roman" w:eastAsia="Times New Roman" w:hAnsi="Times New Roman"/>
          <w:sz w:val="20"/>
          <w:szCs w:val="20"/>
        </w:rPr>
        <w:t xml:space="preserve">Kovermann, J., &amp; Velte, P. (2019). The impact of corporate governance on corporate tax avoidance: A literature review. Journal of International Accounting, Auditing and Taxation, 36, 100270.</w:t>
      </w:r>
    </w:p>
    <w:p>
      <w:pPr>
        <w:spacing w:after="80" w:before="80" w:line="360"/>
        <w:ind w:left="720" w:hanging="720"/>
      </w:pPr>
      <w:r>
        <w:rPr>
          <w:rFonts w:ascii="Times New Roman" w:cs="Times New Roman" w:eastAsia="Times New Roman" w:hAnsi="Times New Roman"/>
          <w:sz w:val="20"/>
          <w:szCs w:val="20"/>
        </w:rPr>
        <w:t xml:space="preserve">Lanis, R., &amp; Richardson, G. (2012). Corporate social responsibility and tax aggressiveness: An empirical analysis. Journal of Accounting and Public Policy, 31(1), 86-108.</w:t>
      </w:r>
    </w:p>
    <w:p>
      <w:pPr>
        <w:spacing w:after="80" w:before="80" w:line="360"/>
        <w:ind w:left="720" w:hanging="720"/>
      </w:pPr>
      <w:r>
        <w:rPr>
          <w:rFonts w:ascii="Times New Roman" w:cs="Times New Roman" w:eastAsia="Times New Roman" w:hAnsi="Times New Roman"/>
          <w:sz w:val="20"/>
          <w:szCs w:val="20"/>
        </w:rPr>
        <w:t xml:space="preserve">Li, X., &amp; Xu, Z. (2026). Does electronic invoicing lead to stronger tax compliance? Evidence from China. PLOS ONE, 21(4), e0331880.</w:t>
      </w:r>
    </w:p>
    <w:p>
      <w:pPr>
        <w:spacing w:after="80" w:before="80" w:line="360"/>
        <w:ind w:left="720" w:hanging="720"/>
      </w:pPr>
      <w:r>
        <w:rPr>
          <w:rFonts w:ascii="Times New Roman" w:cs="Times New Roman" w:eastAsia="Times New Roman" w:hAnsi="Times New Roman"/>
          <w:sz w:val="20"/>
          <w:szCs w:val="20"/>
        </w:rPr>
        <w:t xml:space="preserve">Ministry of Finance Malaysia. (2024). Economic outlook 2025. Ministry of Finance Malaysia.</w:t>
      </w:r>
    </w:p>
    <w:p>
      <w:pPr>
        <w:spacing w:after="80" w:before="80" w:line="360"/>
        <w:ind w:left="720" w:hanging="720"/>
      </w:pPr>
      <w:r>
        <w:rPr>
          <w:rFonts w:ascii="Times New Roman" w:cs="Times New Roman" w:eastAsia="Times New Roman" w:hAnsi="Times New Roman"/>
          <w:sz w:val="20"/>
          <w:szCs w:val="20"/>
        </w:rPr>
        <w:t xml:space="preserve">Nguyen, D. D., Nguyen, G. X., &amp; Nguyen, V. H. (2022). Audit committee characteristics and tax avoidance: Evidence from an emerging economy. Cogent Economics &amp; Finance, 10(1), 2023263.</w:t>
      </w:r>
    </w:p>
    <w:p>
      <w:pPr>
        <w:spacing w:after="80" w:before="80" w:line="360"/>
        <w:ind w:left="720" w:hanging="720"/>
      </w:pPr>
      <w:r>
        <w:rPr>
          <w:rFonts w:ascii="Times New Roman" w:cs="Times New Roman" w:eastAsia="Times New Roman" w:hAnsi="Times New Roman"/>
          <w:sz w:val="20"/>
          <w:szCs w:val="20"/>
        </w:rPr>
        <w:t xml:space="preserve">OECD. (2025). Revenue statistics in Asia and the Pacific: Malaysia. OECD Publishing.</w:t>
      </w:r>
    </w:p>
    <w:p>
      <w:pPr>
        <w:spacing w:after="80" w:before="80" w:line="360"/>
        <w:ind w:left="720" w:hanging="720"/>
      </w:pPr>
      <w:r>
        <w:rPr>
          <w:rFonts w:ascii="Times New Roman" w:cs="Times New Roman" w:eastAsia="Times New Roman" w:hAnsi="Times New Roman"/>
          <w:sz w:val="20"/>
          <w:szCs w:val="20"/>
        </w:rPr>
        <w:t xml:space="preserve">Okunogbe, O., &amp; Santoro, F. (2023). The promise and limitations of information technology for tax mobilisation. The World Bank Research Observer, 38(2), 295-324.</w:t>
      </w:r>
    </w:p>
    <w:p>
      <w:pPr>
        <w:spacing w:after="80" w:before="80" w:line="360"/>
        <w:ind w:left="720" w:hanging="720"/>
      </w:pPr>
      <w:r>
        <w:rPr>
          <w:rFonts w:ascii="Times New Roman" w:cs="Times New Roman" w:eastAsia="Times New Roman" w:hAnsi="Times New Roman"/>
          <w:sz w:val="20"/>
          <w:szCs w:val="20"/>
        </w:rPr>
        <w:t xml:space="preserve">Putri, N. K., Rahayu, S., &amp; Kurnia, K. (2023). The effect of foreign ownership on tax avoidance: Evidence from Indonesian banks. Jurnal Akuntansi dan Keuangan, 25(2), 85-98.</w:t>
      </w:r>
    </w:p>
    <w:p>
      <w:pPr>
        <w:spacing w:after="80" w:before="80" w:line="360"/>
        <w:ind w:left="720" w:hanging="720"/>
      </w:pPr>
      <w:r>
        <w:rPr>
          <w:rFonts w:ascii="Times New Roman" w:cs="Times New Roman" w:eastAsia="Times New Roman" w:hAnsi="Times New Roman"/>
          <w:sz w:val="20"/>
          <w:szCs w:val="20"/>
        </w:rPr>
        <w:t xml:space="preserve">Rakia, R., Kachouri, M., &amp; Jarboui, A. (2024). The moderating effect of women directors on corporate tax avoidance: Evidence from Malaysia. Journal of Accounting in Emerging Economies, 14(1), 1-24.</w:t>
      </w:r>
    </w:p>
    <w:p>
      <w:pPr>
        <w:spacing w:after="80" w:before="80" w:line="360"/>
        <w:ind w:left="720" w:hanging="720"/>
      </w:pPr>
      <w:r>
        <w:rPr>
          <w:rFonts w:ascii="Times New Roman" w:cs="Times New Roman" w:eastAsia="Times New Roman" w:hAnsi="Times New Roman"/>
          <w:sz w:val="20"/>
          <w:szCs w:val="20"/>
        </w:rPr>
        <w:t xml:space="preserve">Salleh, S. M., Kassim, A. A. M., &amp; Abubakar, Y. A. (2025). Board characteristics and corporate tax avoidance in Malaysia. Asian Journal of Accounting Research, 10(1), 1-18.</w:t>
      </w:r>
    </w:p>
    <w:p>
      <w:pPr>
        <w:spacing w:after="80" w:before="80" w:line="360"/>
        <w:ind w:left="720" w:hanging="720"/>
      </w:pPr>
      <w:r>
        <w:rPr>
          <w:rFonts w:ascii="Times New Roman" w:cs="Times New Roman" w:eastAsia="Times New Roman" w:hAnsi="Times New Roman"/>
          <w:sz w:val="20"/>
          <w:szCs w:val="20"/>
        </w:rPr>
        <w:t xml:space="preserve">Saragih, A. H., Reyhani, Q., &amp; Setiawan, D. (2024). Information technology governance, internal information quality, and tax savings. Finance Research Letters, 60, 104923.</w:t>
      </w:r>
    </w:p>
    <w:p>
      <w:pPr>
        <w:spacing w:after="80" w:before="80" w:line="360"/>
        <w:ind w:left="720" w:hanging="720"/>
      </w:pPr>
      <w:r>
        <w:rPr>
          <w:rFonts w:ascii="Times New Roman" w:cs="Times New Roman" w:eastAsia="Times New Roman" w:hAnsi="Times New Roman"/>
          <w:sz w:val="20"/>
          <w:szCs w:val="20"/>
        </w:rPr>
        <w:t xml:space="preserve">Shamil, M. M., Gooneratne, D. W., Gunathilaka, D., &amp; Shaikh, J. M. (2024). The effect of board characteristics on tax aggressiveness. Journal of Accounting in Emerging Economies, 14(4), 747-770.</w:t>
      </w:r>
    </w:p>
    <w:p>
      <w:pPr>
        <w:spacing w:after="80" w:before="80" w:line="360"/>
        <w:ind w:left="720" w:hanging="720"/>
      </w:pPr>
      <w:r>
        <w:rPr>
          <w:rFonts w:ascii="Times New Roman" w:cs="Times New Roman" w:eastAsia="Times New Roman" w:hAnsi="Times New Roman"/>
          <w:sz w:val="20"/>
          <w:szCs w:val="20"/>
        </w:rPr>
        <w:t xml:space="preserve">Tao, J., Li, Y., &amp; Chen, H. (2024). IT expert directors and internal control quality. Finance Research Letters, 62, 105178.</w:t>
      </w:r>
    </w:p>
    <w:p>
      <w:pPr>
        <w:spacing w:after="80" w:before="80" w:line="360"/>
        <w:ind w:left="720" w:hanging="720"/>
      </w:pPr>
      <w:r>
        <w:rPr>
          <w:rFonts w:ascii="Times New Roman" w:cs="Times New Roman" w:eastAsia="Times New Roman" w:hAnsi="Times New Roman"/>
          <w:sz w:val="20"/>
          <w:szCs w:val="20"/>
        </w:rPr>
        <w:t xml:space="preserve">Yahaya, O. A. (2025). Ownership structure and tax avoidance. SSRN Electronic Journal.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80"/>
      <w:outlineLvl w:val="0"/>
    </w:pPr>
    <w:rPr>
      <w:rFonts w:ascii="Times New Roman" w:cs="Times New Roman" w:eastAsia="Times New Roman" w:hAnsi="Times New Roman"/>
      <w:b/>
      <w:bCs/>
      <w:sz w:val="28"/>
      <w:szCs w:val="28"/>
    </w:rPr>
  </w:style>
  <w:style w:type="paragraph" w:styleId="Heading2">
    <w:name w:val="Heading 2"/>
    <w:basedOn w:val="Normal"/>
    <w:next w:val="Normal"/>
    <w:qFormat/>
    <w:pPr>
      <w:spacing w:after="100" w:before="200"/>
      <w:outlineLvl w:val="1"/>
    </w:pPr>
    <w:rPr>
      <w:rFonts w:ascii="Times New Roman" w:cs="Times New Roman" w:eastAsia="Times New Roman" w:hAnsi="Times New Roman"/>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2026-06-27T08:53:32.814Z</dcterms:created>
  <dcterms:modified xsi:type="dcterms:W3CDTF">2026-06-27T08:53:32.814Z</dcterms:modified>
</cp:coreProperties>
</file>

<file path=docProps/custom.xml><?xml version="1.0" encoding="utf-8"?>
<Properties xmlns="http://schemas.openxmlformats.org/officeDocument/2006/custom-properties" xmlns:vt="http://schemas.openxmlformats.org/officeDocument/2006/docPropsVTypes"/>
</file>