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A64EF">
      <w:pPr>
        <w:spacing w:before="0" w:after="200"/>
        <w:jc w:val="center"/>
        <w:rPr>
          <w:sz w:val="22"/>
          <w:szCs w:val="22"/>
        </w:rPr>
      </w:pPr>
      <w:r>
        <w:rPr>
          <w:rFonts w:ascii="Times New Roman" w:hAnsi="Times New Roman" w:eastAsia="Times New Roman" w:cs="Times New Roman"/>
          <w:b/>
          <w:bCs/>
          <w:sz w:val="22"/>
          <w:szCs w:val="22"/>
        </w:rPr>
        <w:t>Festival Tourism and Local Economic Development: A Phenomenological Study of the Pintados-Kasadyaan Festival in Leyte, Philippines</w:t>
      </w:r>
    </w:p>
    <w:p w14:paraId="08E4C4D9">
      <w:pPr>
        <w:spacing w:before="0" w:after="120"/>
        <w:jc w:val="center"/>
        <w:rPr>
          <w:sz w:val="22"/>
          <w:szCs w:val="22"/>
        </w:rPr>
      </w:pPr>
      <w:r>
        <w:rPr>
          <w:rFonts w:ascii="Times New Roman" w:hAnsi="Times New Roman" w:eastAsia="Times New Roman" w:cs="Times New Roman"/>
          <w:b/>
          <w:bCs/>
          <w:sz w:val="22"/>
          <w:szCs w:val="22"/>
        </w:rPr>
        <w:t/>
      </w:r>
    </w:p>
    <w:p w14:paraId="12F51B6A">
      <w:pPr>
        <w:spacing w:before="0" w:after="80"/>
        <w:jc w:val="center"/>
        <w:rPr>
          <w:sz w:val="22"/>
          <w:szCs w:val="22"/>
        </w:rPr>
      </w:pPr>
      <w:r>
        <w:rPr>
          <w:rFonts w:ascii="Times New Roman" w:hAnsi="Times New Roman" w:eastAsia="Times New Roman" w:cs="Times New Roman"/>
          <w:i/>
          <w:iCs/>
          <w:sz w:val="22"/>
          <w:szCs w:val="22"/>
        </w:rPr>
        <w:t/>
      </w:r>
    </w:p>
    <w:p w14:paraId="181FEC24">
      <w:pPr>
        <w:spacing w:before="0" w:after="240"/>
        <w:jc w:val="center"/>
        <w:rPr>
          <w:sz w:val="22"/>
          <w:szCs w:val="22"/>
        </w:rPr>
      </w:pPr>
      <w:r>
        <w:rPr>
          <w:rFonts w:ascii="Times New Roman" w:hAnsi="Times New Roman" w:eastAsia="Times New Roman" w:cs="Times New Roman"/>
          <w:sz w:val="22"/>
          <w:szCs w:val="22"/>
        </w:rPr>
        <w:t/>
      </w:r>
    </w:p>
    <w:p w14:paraId="6FF8EA29">
      <w:pPr>
        <w:spacing w:before="240" w:after="160"/>
        <w:jc w:val="center"/>
        <w:rPr>
          <w:sz w:val="22"/>
          <w:szCs w:val="22"/>
        </w:rPr>
      </w:pPr>
      <w:r>
        <w:rPr>
          <w:rFonts w:ascii="Times New Roman" w:hAnsi="Times New Roman" w:eastAsia="Times New Roman" w:cs="Times New Roman"/>
          <w:b/>
          <w:bCs/>
          <w:sz w:val="22"/>
          <w:szCs w:val="22"/>
        </w:rPr>
        <w:t>ABSTRACT</w:t>
      </w:r>
    </w:p>
    <w:p w14:paraId="131240C3">
      <w:pPr>
        <w:spacing w:before="0" w:after="160" w:line="360" w:lineRule="auto"/>
        <w:ind w:left="720" w:right="720"/>
        <w:jc w:val="both"/>
        <w:rPr>
          <w:sz w:val="22"/>
          <w:szCs w:val="22"/>
        </w:rPr>
      </w:pPr>
      <w:r>
        <w:rPr>
          <w:rFonts w:ascii="Times New Roman" w:hAnsi="Times New Roman" w:eastAsia="Times New Roman" w:cs="Times New Roman"/>
          <w:sz w:val="22"/>
          <w:szCs w:val="22"/>
        </w:rPr>
        <w:t>Festival tourism has emerged as a significant driver of local economic development, particularly for small and medium enterprises (SMEs) operating in host communities. This qualitative phenomenological study examines the lived economic experiences of twelve tourism industry stakeholders during the annual Pintados-Kasadyaan Festival in Tacloban City, Leyte, Philippines — a regional hallmark event rooted in the pre-colonial tattooing tradition of the Visayan people. Grounded in Getz and Page's (2016) Event Tourism Portfolio Framework and informed by tourism multiplier theory, the study explores how the festival generates revenue, creates employment, and stimulates backward supply chain linkages across five industry sectors: accommodation, food and beverage, event production, travel services, and retail/souvenir trade. Data were collected through semi-structured in-depth interviews and analyzed using NVivo software through thematic analysis. Five themes emerged: (1) festival-driven revenue growth across all industry sectors; (2) tourism multiplier effects cascading through the local economy; (3) the festival's classification and strategic potential as a regional hallmark event; (4) operational and supply-side challenges constraining business performance; and (5) stakeholder recommendations for industry-government collaboration. Findings reveal significant revenue increases — up to 200 percent in the travel sector — alongside systemic challenges including supply shortages, infrastructure deficits, and irregular demand patterns. The study contributes to festival tourism literature in the Southeast Asian context and offers actionable recommendations for destination managers, local government units (LGUs), and SME operators seeking to leverage festival tourism for sustainable economic development.</w:t>
      </w:r>
    </w:p>
    <w:p w14:paraId="07BD3992">
      <w:pPr>
        <w:spacing w:before="80" w:after="240"/>
        <w:ind w:left="720" w:right="720"/>
        <w:jc w:val="both"/>
        <w:rPr>
          <w:sz w:val="22"/>
          <w:szCs w:val="22"/>
        </w:rPr>
      </w:pPr>
      <w:r>
        <w:rPr>
          <w:rFonts w:ascii="Times New Roman" w:hAnsi="Times New Roman" w:eastAsia="Times New Roman" w:cs="Times New Roman"/>
          <w:b/>
          <w:bCs/>
          <w:sz w:val="22"/>
          <w:szCs w:val="22"/>
        </w:rPr>
        <w:t xml:space="preserve">Keywords: </w:t>
      </w:r>
      <w:r>
        <w:rPr>
          <w:rFonts w:ascii="Times New Roman" w:hAnsi="Times New Roman" w:eastAsia="Times New Roman" w:cs="Times New Roman"/>
          <w:i/>
          <w:iCs/>
          <w:sz w:val="22"/>
          <w:szCs w:val="22"/>
        </w:rPr>
        <w:t>festival tourism, economic impact, tourism multiplier, SME, phenomenological study, Philippines, cultural heritage, hallmark events</w:t>
      </w:r>
    </w:p>
    <w:p w14:paraId="70D1A9AB">
      <w:pPr>
        <w:spacing w:before="240" w:after="160"/>
        <w:jc w:val="center"/>
        <w:rPr>
          <w:sz w:val="22"/>
          <w:szCs w:val="22"/>
        </w:rPr>
      </w:pPr>
      <w:r>
        <w:rPr>
          <w:rFonts w:ascii="Times New Roman" w:hAnsi="Times New Roman" w:eastAsia="Times New Roman" w:cs="Times New Roman"/>
          <w:b/>
          <w:bCs/>
          <w:sz w:val="22"/>
          <w:szCs w:val="22"/>
        </w:rPr>
        <w:t>1. INTRODUCTION</w:t>
      </w:r>
    </w:p>
    <w:p w14:paraId="486B88CE">
      <w:pPr>
        <w:spacing w:before="0" w:after="160" w:line="360" w:lineRule="auto"/>
        <w:ind w:firstLine="720"/>
        <w:jc w:val="both"/>
        <w:rPr>
          <w:sz w:val="22"/>
          <w:szCs w:val="22"/>
        </w:rPr>
      </w:pPr>
      <w:r>
        <w:rPr>
          <w:rFonts w:ascii="Times New Roman" w:hAnsi="Times New Roman" w:eastAsia="Times New Roman" w:cs="Times New Roman"/>
          <w:sz w:val="22"/>
          <w:szCs w:val="22"/>
        </w:rPr>
        <w:t>Festival tourism has become one of the fastest-growing segments of the global events industry, recognized for its capacity to generate direct and indirect economic benefits in host communities (Getz &amp; Page, 2016; Ramesh, 2024). In developing economies such as the Philippines, where small and medium enterprises (SMEs) constitute approximately 99.6 percent of business establishments and contribute around 35.7 percent of national GDP (Philippine Statistics Authority, 2023), the economic stimulus provided by major cultural festivals can be transformative. Visitor expenditures on accommodation, food, transport, and retail create cascading multiplier effects that sustain local livelihoods well beyond the duration of the event itself (Ferrari et al., 2022; Seetanah &amp; Fauzel, 2025).</w:t>
      </w:r>
    </w:p>
    <w:p w14:paraId="13F9AAFC">
      <w:pPr>
        <w:spacing w:before="0" w:after="160" w:line="360" w:lineRule="auto"/>
        <w:ind w:firstLine="720"/>
        <w:jc w:val="both"/>
        <w:rPr>
          <w:sz w:val="22"/>
          <w:szCs w:val="22"/>
        </w:rPr>
      </w:pPr>
      <w:r>
        <w:rPr>
          <w:rFonts w:ascii="Times New Roman" w:hAnsi="Times New Roman" w:eastAsia="Times New Roman" w:cs="Times New Roman"/>
          <w:sz w:val="22"/>
          <w:szCs w:val="22"/>
        </w:rPr>
        <w:t>The Pintados-Kasadyaan Festival of Tacloban City, Leyte — officially recognized as the "Festival of Festivals" of Eastern Visayas — is among the most culturally significant regional events in the Philippines. Celebrated annually every June 29th to coincide with the feast day of Señor Santo Niño de Leyte, the festival traces its institutional origins to 1986 when the Pintados Foundation, Inc. was established to organize religious and cultural activities honoring the pre-colonial tattooing traditions of the Visayan people (Festivalscape, 2022). Merging the Pintados Festival with the Kasadyaan Festival — Visayan for "merriment" — the event now features street dance competitions, body-painting exhibitions, the Pagrayhak Grand Parade, and a month-long calendar of cultural and commercial activities that draw both domestic and international visitors to Leyte (Province of Leyte, 2024).</w:t>
      </w:r>
    </w:p>
    <w:p w14:paraId="7947F9FD">
      <w:pPr>
        <w:spacing w:before="0" w:after="160" w:line="360" w:lineRule="auto"/>
        <w:ind w:firstLine="720"/>
        <w:jc w:val="both"/>
        <w:rPr>
          <w:sz w:val="22"/>
          <w:szCs w:val="22"/>
        </w:rPr>
      </w:pPr>
      <w:r>
        <w:rPr>
          <w:rFonts w:ascii="Times New Roman" w:hAnsi="Times New Roman" w:eastAsia="Times New Roman" w:cs="Times New Roman"/>
          <w:sz w:val="22"/>
          <w:szCs w:val="22"/>
        </w:rPr>
        <w:t>Despite its historical longevity and regional prominence, the specific economic experiences of tourism industry stakeholders during the Pintados-Kasadyaan Festival remain under</w:t>
      </w:r>
      <w:r>
        <w:rPr>
          <w:rFonts w:hint="default" w:cs="Times New Roman"/>
          <w:sz w:val="22"/>
          <w:szCs w:val="22"/>
          <w:lang w:val="en-US"/>
        </w:rPr>
        <w:t xml:space="preserve"> </w:t>
      </w:r>
      <w:r>
        <w:rPr>
          <w:rFonts w:ascii="Times New Roman" w:hAnsi="Times New Roman" w:eastAsia="Times New Roman" w:cs="Times New Roman"/>
          <w:sz w:val="22"/>
          <w:szCs w:val="22"/>
        </w:rPr>
        <w:t>explored in academic literature. Most festival economic impact studies in the Philippines rely on aggregate visitor-spending models or government tourism statistics, leaving a substantial gap in the industry-level, experiential understanding of how festival tourism translates into tangible business outcomes for operators across different sectors (Rivera et al., 2022; Suson et al., 2023). Understanding these sector-specific dynamics is essential for evidence-based destination management and for designing interventions that enable SMEs to fully capture festival-related economic opportunities.</w:t>
      </w:r>
    </w:p>
    <w:p w14:paraId="453EC8A4">
      <w:pPr>
        <w:spacing w:before="0" w:after="160" w:line="360" w:lineRule="auto"/>
        <w:ind w:firstLine="720"/>
        <w:jc w:val="both"/>
        <w:rPr>
          <w:sz w:val="22"/>
          <w:szCs w:val="22"/>
        </w:rPr>
      </w:pPr>
      <w:r>
        <w:rPr>
          <w:rFonts w:ascii="Times New Roman" w:hAnsi="Times New Roman" w:eastAsia="Times New Roman" w:cs="Times New Roman"/>
          <w:sz w:val="22"/>
          <w:szCs w:val="22"/>
        </w:rPr>
        <w:t>This study addresses this gap by employing a qualitative phenomenological approach to document the lived economic experiences of twelve tourism providers in Tacloban City during the Pintados-Kasadyaan Festival. The research is guided by two theoretical anchors: Getz and Page's (2016) Event Tourism Portfolio Framework, which positions regional hallmark events within a hierarchy of destination event value, and the tourism multiplier concept, which traces how visitor spending propagates through local supply chains. By interpreting participant experiences through these theoretical lenses, the study generates both descriptive insight into industry-level outcomes and prescriptive guidance for stakeholders seeking to optimize the festival's economic contribution.</w:t>
      </w:r>
    </w:p>
    <w:p w14:paraId="0E4183B9">
      <w:pPr>
        <w:spacing w:before="200" w:after="120"/>
        <w:jc w:val="left"/>
        <w:rPr>
          <w:sz w:val="22"/>
          <w:szCs w:val="22"/>
        </w:rPr>
      </w:pPr>
      <w:r>
        <w:rPr>
          <w:rFonts w:ascii="Times New Roman" w:hAnsi="Times New Roman" w:eastAsia="Times New Roman" w:cs="Times New Roman"/>
          <w:b/>
          <w:bCs/>
          <w:sz w:val="22"/>
          <w:szCs w:val="22"/>
        </w:rPr>
        <w:t>1.1 Research Objectives</w:t>
      </w:r>
    </w:p>
    <w:p w14:paraId="6CABD1BB">
      <w:pPr>
        <w:spacing w:before="0" w:after="160" w:line="360" w:lineRule="auto"/>
        <w:ind w:firstLine="720"/>
        <w:jc w:val="both"/>
        <w:rPr>
          <w:sz w:val="22"/>
          <w:szCs w:val="22"/>
        </w:rPr>
      </w:pPr>
      <w:r>
        <w:rPr>
          <w:rFonts w:ascii="Times New Roman" w:hAnsi="Times New Roman" w:eastAsia="Times New Roman" w:cs="Times New Roman"/>
          <w:sz w:val="22"/>
          <w:szCs w:val="22"/>
        </w:rPr>
        <w:t>This study pursues three primary objectives:</w:t>
      </w:r>
    </w:p>
    <w:p w14:paraId="2FB29DC5">
      <w:pPr>
        <w:spacing w:before="40" w:after="40" w:line="360" w:lineRule="auto"/>
        <w:ind w:left="720" w:hanging="360"/>
        <w:jc w:val="both"/>
        <w:rPr>
          <w:sz w:val="22"/>
          <w:szCs w:val="22"/>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To examine the economic impacts of the Pintados-Kasadyaan Festival as experienced by tourism industry stakeholders across key business sectors in Tacloban City, Leyte;</w:t>
      </w:r>
    </w:p>
    <w:p w14:paraId="3C5BE80B">
      <w:pPr>
        <w:spacing w:before="40" w:after="40" w:line="360" w:lineRule="auto"/>
        <w:ind w:left="720" w:hanging="360"/>
        <w:jc w:val="both"/>
        <w:rPr>
          <w:sz w:val="22"/>
          <w:szCs w:val="22"/>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To identify the operational and supply-side challenges that constrain stakeholders' capacity to fully benefit from festival-driven demand; and</w:t>
      </w:r>
    </w:p>
    <w:p w14:paraId="22ED0880">
      <w:pPr>
        <w:spacing w:before="40" w:after="40" w:line="360" w:lineRule="auto"/>
        <w:ind w:left="720" w:hanging="360"/>
        <w:jc w:val="both"/>
        <w:rPr>
          <w:sz w:val="22"/>
          <w:szCs w:val="22"/>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To derive evidence-based recommendations for enhancing public-private collaboration in festival tourism management.</w:t>
      </w:r>
    </w:p>
    <w:p w14:paraId="1563E900">
      <w:pPr>
        <w:rPr>
          <w:sz w:val="22"/>
          <w:szCs w:val="22"/>
        </w:rPr>
      </w:pPr>
    </w:p>
    <w:p w14:paraId="2825252C">
      <w:pPr>
        <w:spacing w:before="240" w:after="160"/>
        <w:jc w:val="center"/>
        <w:rPr>
          <w:sz w:val="22"/>
          <w:szCs w:val="22"/>
        </w:rPr>
      </w:pPr>
      <w:r>
        <w:rPr>
          <w:rFonts w:ascii="Times New Roman" w:hAnsi="Times New Roman" w:eastAsia="Times New Roman" w:cs="Times New Roman"/>
          <w:b/>
          <w:bCs/>
          <w:sz w:val="22"/>
          <w:szCs w:val="22"/>
        </w:rPr>
        <w:t>2. THEORETICAL FRAMEWORK</w:t>
      </w:r>
    </w:p>
    <w:p w14:paraId="7B379FC9">
      <w:pPr>
        <w:spacing w:before="0" w:after="160" w:line="360" w:lineRule="auto"/>
        <w:ind w:firstLine="720"/>
        <w:jc w:val="both"/>
        <w:rPr>
          <w:sz w:val="22"/>
          <w:szCs w:val="22"/>
        </w:rPr>
      </w:pPr>
      <w:r>
        <w:rPr>
          <w:rFonts w:ascii="Times New Roman" w:hAnsi="Times New Roman" w:eastAsia="Times New Roman" w:cs="Times New Roman"/>
          <w:sz w:val="22"/>
          <w:szCs w:val="22"/>
        </w:rPr>
        <w:t>This study is grounded in two complementary theoretical frameworks that together account for both the strategic positioning of the Pintados-Kasadyaan Festival within the destination event portfolio and the economic mechanisms through which it generates local benefits.</w:t>
      </w:r>
    </w:p>
    <w:p w14:paraId="3C0C01A6">
      <w:pPr>
        <w:spacing w:before="200" w:after="120"/>
        <w:jc w:val="left"/>
        <w:rPr>
          <w:sz w:val="22"/>
          <w:szCs w:val="22"/>
        </w:rPr>
      </w:pPr>
      <w:r>
        <w:rPr>
          <w:rFonts w:ascii="Times New Roman" w:hAnsi="Times New Roman" w:eastAsia="Times New Roman" w:cs="Times New Roman"/>
          <w:b/>
          <w:bCs/>
          <w:sz w:val="22"/>
          <w:szCs w:val="22"/>
        </w:rPr>
        <w:t>2.1 Getz and Page's Event Tourism Portfolio Framework</w:t>
      </w:r>
    </w:p>
    <w:p w14:paraId="229DD02E">
      <w:pPr>
        <w:spacing w:before="0" w:after="160" w:line="360" w:lineRule="auto"/>
        <w:ind w:firstLine="720"/>
        <w:jc w:val="both"/>
        <w:rPr>
          <w:sz w:val="22"/>
          <w:szCs w:val="22"/>
        </w:rPr>
      </w:pPr>
      <w:r>
        <w:rPr>
          <w:rFonts w:ascii="Times New Roman" w:hAnsi="Times New Roman" w:eastAsia="Times New Roman" w:cs="Times New Roman"/>
          <w:sz w:val="22"/>
          <w:szCs w:val="22"/>
        </w:rPr>
        <w:t>The Event Tourism Portfolio Framework, originally proposed by Getz (1997) and substantially revised by Getz and Page (2016), provides a hierarchical model for classifying planned events according to their relative tourism value and strategic significance for destination management. The framework identifies four tiers of events in a portfolio pyramid: Mega Events (one-time or rare events with extraordinary international reach), Hallmark Events (periodic events that become inextricably associated with a destination's identity and brand), Regional Events (recurring events with medium touristic value and growth potential), and Local Events (community-focused celebrations with limited visitor draw).</w:t>
      </w:r>
    </w:p>
    <w:p w14:paraId="309161F5">
      <w:pPr>
        <w:spacing w:before="0" w:after="160" w:line="360" w:lineRule="auto"/>
        <w:ind w:firstLine="720"/>
        <w:jc w:val="both"/>
        <w:rPr>
          <w:sz w:val="22"/>
          <w:szCs w:val="22"/>
        </w:rPr>
      </w:pPr>
      <w:r>
        <w:rPr>
          <w:rFonts w:ascii="Times New Roman" w:hAnsi="Times New Roman" w:eastAsia="Times New Roman" w:cs="Times New Roman"/>
          <w:sz w:val="22"/>
          <w:szCs w:val="22"/>
        </w:rPr>
        <w:t>Critically, Getz and Page (2016) argue that sustainable event portfolios are not built on isolated events but on carefully managed collections of events that collectively maximize destination appeal, combat demand seasonality, and generate compounding economic and social returns. Hallmark events occupy a strategic position in this portfolio because they offer long-term brand equity — forming a permanent identity link between the event and its host destination — while consuming relatively modest public investment compared to mega events (Getz &amp; Page, 2016; Getz, 2016). More recent scholarship by Ziakas and Getz (2020, 2021) has further developed the transdisciplinary dimensions of event portfolio management, calling for integrated assessment frameworks that span event management, cultural studies, and community development.</w:t>
      </w:r>
    </w:p>
    <w:p w14:paraId="20686505">
      <w:pPr>
        <w:spacing w:before="0" w:after="160" w:line="360" w:lineRule="auto"/>
        <w:ind w:firstLine="720"/>
        <w:jc w:val="both"/>
        <w:rPr>
          <w:sz w:val="22"/>
          <w:szCs w:val="22"/>
        </w:rPr>
      </w:pPr>
      <w:r>
        <w:rPr>
          <w:rFonts w:ascii="Times New Roman" w:hAnsi="Times New Roman" w:eastAsia="Times New Roman" w:cs="Times New Roman"/>
          <w:sz w:val="22"/>
          <w:szCs w:val="22"/>
        </w:rPr>
        <w:t>Within this framework, the Pintados-Kasadyaan Festival currently occupies the Regional Event tier — characterized by medium tourist demand, medium economic value, and potential for elevation to Hallmark status. Since its formal inception in 1986, the festival has grown into the premier cultural event of Eastern Visayas, attracting participants and visitors from across Leyte, Samar, Biliran, and beyond (Province of Leyte, 2024; Festivalscape, 2022). The framework's concept of "permanent hallmark event" — defined by assured resources, political support, community tradition, and destination co-branding — provides a normative aspirational target for the Pintados-Kasadyaan Festival and thus guides the interpretive analysis of stakeholder experiences in this study.</w:t>
      </w:r>
    </w:p>
    <w:p w14:paraId="04C54F96">
      <w:pPr>
        <w:spacing w:before="200" w:after="120"/>
        <w:jc w:val="left"/>
        <w:rPr>
          <w:sz w:val="22"/>
          <w:szCs w:val="22"/>
        </w:rPr>
      </w:pPr>
      <w:r>
        <w:rPr>
          <w:rFonts w:ascii="Times New Roman" w:hAnsi="Times New Roman" w:eastAsia="Times New Roman" w:cs="Times New Roman"/>
          <w:b/>
          <w:bCs/>
          <w:sz w:val="22"/>
          <w:szCs w:val="22"/>
        </w:rPr>
        <w:t>2.2 Tourism Multiplier Theory</w:t>
      </w:r>
    </w:p>
    <w:p w14:paraId="7D693C3D">
      <w:pPr>
        <w:spacing w:before="0" w:after="160" w:line="360" w:lineRule="auto"/>
        <w:ind w:firstLine="720"/>
        <w:jc w:val="both"/>
        <w:rPr>
          <w:sz w:val="22"/>
          <w:szCs w:val="22"/>
        </w:rPr>
      </w:pPr>
      <w:r>
        <w:rPr>
          <w:rFonts w:ascii="Times New Roman" w:hAnsi="Times New Roman" w:eastAsia="Times New Roman" w:cs="Times New Roman"/>
          <w:sz w:val="22"/>
          <w:szCs w:val="22"/>
        </w:rPr>
        <w:t>The tourism multiplier concept, rooted in Keynesian economic theory and formalized through Input-Output (I-O) modeling, describes the process by which visitor expenditure generates successive rounds of economic activity as money circulates through the local economy (Leontief, 1936, as cited in Sciindex, 2025). Direct effects arise from immediate tourist spending on accommodation, food, transport, and retail. Indirect effects emerge as local businesses purchase inputs from suppliers — generating income across the upstream supply chain. Induced effects represent the additional consumption generated when employees and business owners spend their festival-related income within the local economy.</w:t>
      </w:r>
    </w:p>
    <w:p w14:paraId="7EB2A05A">
      <w:pPr>
        <w:spacing w:before="0" w:after="160" w:line="360" w:lineRule="auto"/>
        <w:ind w:firstLine="720"/>
        <w:jc w:val="both"/>
        <w:rPr>
          <w:sz w:val="22"/>
          <w:szCs w:val="22"/>
        </w:rPr>
      </w:pPr>
      <w:r>
        <w:rPr>
          <w:rFonts w:ascii="Times New Roman" w:hAnsi="Times New Roman" w:eastAsia="Times New Roman" w:cs="Times New Roman"/>
          <w:sz w:val="22"/>
          <w:szCs w:val="22"/>
        </w:rPr>
        <w:t>Empirical evidence confirms the significance of these multiplier effects in festival and event contexts. A meta-analysis by Seetanah and Fauzel (2025) found that tourism multipliers in developing economies typically range between 1.5 and 2.0, meaning that every unit of direct tourist expenditure generates between 1.5 and 2.0 units of total economic output. Ferrari et al. (2022) documented multipliers of 1.7 to 2.3 in Uruguay, with particularly strong effects in accommodation and food services — precisely the sectors most directly engaged during festival periods. At the event level, the Eurovision Song Contest 2022 in Turin generated an estimated multiplier of approximately 2.08, with €11 million in direct tourist spending producing roughly €22.8 million in total economic impact (Sciindex, 2025). These benchmarks situate the Pintados-Kasadyaan Festival's economic potential within a global comparative context and guide the interpretation of sector-specific revenue gains reported by study participants.</w:t>
      </w:r>
    </w:p>
    <w:p w14:paraId="00CC7763">
      <w:pPr>
        <w:spacing w:before="200" w:after="120"/>
        <w:jc w:val="left"/>
        <w:rPr>
          <w:sz w:val="22"/>
          <w:szCs w:val="22"/>
        </w:rPr>
      </w:pPr>
      <w:r>
        <w:rPr>
          <w:rFonts w:ascii="Times New Roman" w:hAnsi="Times New Roman" w:eastAsia="Times New Roman" w:cs="Times New Roman"/>
          <w:b/>
          <w:bCs/>
          <w:sz w:val="22"/>
          <w:szCs w:val="22"/>
        </w:rPr>
        <w:t>2.3 Theoretical Integration</w:t>
      </w:r>
    </w:p>
    <w:p w14:paraId="35933D55">
      <w:pPr>
        <w:spacing w:before="0" w:after="160" w:line="360" w:lineRule="auto"/>
        <w:ind w:firstLine="720"/>
        <w:jc w:val="both"/>
        <w:rPr>
          <w:sz w:val="22"/>
          <w:szCs w:val="22"/>
        </w:rPr>
      </w:pPr>
      <w:r>
        <w:rPr>
          <w:rFonts w:ascii="Times New Roman" w:hAnsi="Times New Roman" w:eastAsia="Times New Roman" w:cs="Times New Roman"/>
          <w:sz w:val="22"/>
          <w:szCs w:val="22"/>
        </w:rPr>
        <w:t>The integration of these two frameworks produces a complementary analytical architecture for this study. The Event Tourism Portfolio Framework explains the festival's strategic positioning and its trajectory toward hallmark status, while tourism multiplier theory illuminates the economic mechanisms that translate visitor arrivals into distributed local income. Together, they enable this study to move beyond descriptive accounts of revenue increases and engage with the structural and strategic dimensions of festival-driven economic development — an approach consistent with calls in the recent literature for theoretically grounded festival economic research (Getz &amp; Page, 2016; Ziakas &amp; Getz, 2021; Ramesh, 2024).</w:t>
      </w:r>
    </w:p>
    <w:p w14:paraId="06F091EF">
      <w:pPr>
        <w:spacing w:before="240" w:after="160"/>
        <w:jc w:val="center"/>
        <w:rPr>
          <w:sz w:val="22"/>
          <w:szCs w:val="22"/>
        </w:rPr>
      </w:pPr>
      <w:r>
        <w:rPr>
          <w:rFonts w:ascii="Times New Roman" w:hAnsi="Times New Roman" w:eastAsia="Times New Roman" w:cs="Times New Roman"/>
          <w:b/>
          <w:bCs/>
          <w:sz w:val="22"/>
          <w:szCs w:val="22"/>
        </w:rPr>
        <w:t>3. REVIEW OF RELATED LITERATURE</w:t>
      </w:r>
    </w:p>
    <w:p w14:paraId="338321F4">
      <w:pPr>
        <w:spacing w:before="200" w:after="120"/>
        <w:jc w:val="left"/>
        <w:rPr>
          <w:sz w:val="22"/>
          <w:szCs w:val="22"/>
        </w:rPr>
      </w:pPr>
      <w:r>
        <w:rPr>
          <w:rFonts w:ascii="Times New Roman" w:hAnsi="Times New Roman" w:eastAsia="Times New Roman" w:cs="Times New Roman"/>
          <w:b/>
          <w:bCs/>
          <w:sz w:val="22"/>
          <w:szCs w:val="22"/>
        </w:rPr>
        <w:t>3.1 Festival Tourism as an Economic Development Mechanism</w:t>
      </w:r>
    </w:p>
    <w:p w14:paraId="63B04E0E">
      <w:pPr>
        <w:spacing w:before="0" w:after="160" w:line="360" w:lineRule="auto"/>
        <w:ind w:firstLine="720"/>
        <w:jc w:val="both"/>
        <w:rPr>
          <w:sz w:val="22"/>
          <w:szCs w:val="22"/>
        </w:rPr>
      </w:pPr>
      <w:r>
        <w:rPr>
          <w:rFonts w:ascii="Times New Roman" w:hAnsi="Times New Roman" w:eastAsia="Times New Roman" w:cs="Times New Roman"/>
          <w:sz w:val="22"/>
          <w:szCs w:val="22"/>
        </w:rPr>
        <w:t>Festival tourism has been extensively documented as a catalyst for local economic development, particularly in communities where the concentration of heritage, culture, and community identity creates a differentiated tourism product (Getz &amp; Page, 2016; Duffy &amp; Mair, 2018; Bennett, Taylor &amp; Woodward, 2014). Cultural events attract visitors who generate expenditures across a broad range of local sectors, and this spending cascades through the economy in ways that extend well beyond the immediate event period (Kostopoulou, Vagionis &amp; Kourkouridis, 2013).</w:t>
      </w:r>
    </w:p>
    <w:p w14:paraId="3E800F4C">
      <w:pPr>
        <w:spacing w:before="0" w:after="160" w:line="360" w:lineRule="auto"/>
        <w:ind w:firstLine="720"/>
        <w:jc w:val="both"/>
        <w:rPr>
          <w:sz w:val="22"/>
          <w:szCs w:val="22"/>
        </w:rPr>
      </w:pPr>
      <w:r>
        <w:rPr>
          <w:rFonts w:ascii="Times New Roman" w:hAnsi="Times New Roman" w:eastAsia="Times New Roman" w:cs="Times New Roman"/>
          <w:sz w:val="22"/>
          <w:szCs w:val="22"/>
        </w:rPr>
        <w:t>A growing body of empirical literature has documented the sector-specific nature of festival economic impacts. Ramesh (2024) found that the Deccan Festival in Hyderabad, India generated total economic impacts — including indirect and induced effects — of approximately Rs. 190 million, with domestic tourists spending an average of Rs. 5,000 per day and international visitors averaging Rs. 10,000 per day. John (2023) further documented that festivals create significant temporary employment across coordination, hospitality, logistics, and vendor operations, contributing to seasonal income stabilization in local communities. Mishra (2025) noted that while urban festivals tend to generate higher absolute revenues, rural and regional festivals provide proportionately more critical economic support to host communities due to the relative scarcity of alternative income sources.</w:t>
      </w:r>
    </w:p>
    <w:p w14:paraId="40F96F99">
      <w:pPr>
        <w:spacing w:before="0" w:after="160" w:line="360" w:lineRule="auto"/>
        <w:ind w:firstLine="720"/>
        <w:jc w:val="both"/>
        <w:rPr>
          <w:sz w:val="22"/>
          <w:szCs w:val="22"/>
        </w:rPr>
      </w:pPr>
      <w:r>
        <w:rPr>
          <w:rFonts w:ascii="Times New Roman" w:hAnsi="Times New Roman" w:eastAsia="Times New Roman" w:cs="Times New Roman"/>
          <w:sz w:val="22"/>
          <w:szCs w:val="22"/>
        </w:rPr>
        <w:t>In the Philippine context, festival tourism aligns with the National Tourism Development Plan 2023–2028, which identifies cultural heritage events as strategic instruments for distributing economic benefits across regions, reducing pressure on primary tourism destinations, and fostering inclusive and sustainable tourism growth (Rivera et al., 2022; Philippine Department of Tourism, 2023). The Philippine tourism sector's post-pandemic recovery — reaching 4.8 million foreign arrivals and PHP 439.5 billion in receipts in 2023, with the sector contributing 13.2 percent of GDP in 2024 — underscores both the strategic importance and the untapped potential of regional festival tourism as an economic driver (AMRO Asia, 2025; Calsada et al., 2025).</w:t>
      </w:r>
    </w:p>
    <w:p w14:paraId="2C479D0B">
      <w:pPr>
        <w:spacing w:before="200" w:after="120"/>
        <w:jc w:val="left"/>
        <w:rPr>
          <w:sz w:val="22"/>
          <w:szCs w:val="22"/>
        </w:rPr>
      </w:pPr>
      <w:r>
        <w:rPr>
          <w:rFonts w:ascii="Times New Roman" w:hAnsi="Times New Roman" w:eastAsia="Times New Roman" w:cs="Times New Roman"/>
          <w:b/>
          <w:bCs/>
          <w:sz w:val="22"/>
          <w:szCs w:val="22"/>
        </w:rPr>
        <w:t>3.2 SME Performance and Festival Tourism</w:t>
      </w:r>
    </w:p>
    <w:p w14:paraId="7552A1E9">
      <w:pPr>
        <w:spacing w:before="0" w:after="160" w:line="360" w:lineRule="auto"/>
        <w:ind w:firstLine="720"/>
        <w:jc w:val="both"/>
        <w:rPr>
          <w:sz w:val="22"/>
          <w:szCs w:val="22"/>
        </w:rPr>
      </w:pPr>
      <w:r>
        <w:rPr>
          <w:rFonts w:ascii="Times New Roman" w:hAnsi="Times New Roman" w:eastAsia="Times New Roman" w:cs="Times New Roman"/>
          <w:sz w:val="22"/>
          <w:szCs w:val="22"/>
        </w:rPr>
        <w:t>Small and medium enterprises form the economic backbone of festival tourism in developing economies, capturing the largest share of direct visitor expenditure through accommodation, food and beverage, retail, and transportation services (Fluxx, 2024; John, 2023). However, SMEs also face disproportionate constraints in capitalizing on festival-driven demand, including limited inventory management capacity, vulnerability to supply chain disruptions, restricted access to financing, and dependence on informal markets with irregular price dynamics (O'Sullivan &amp; Jackson, 2002; Harmer &amp; Rogerson, 2017).</w:t>
      </w:r>
    </w:p>
    <w:p w14:paraId="0516CAF6">
      <w:pPr>
        <w:spacing w:before="0" w:after="160" w:line="360" w:lineRule="auto"/>
        <w:ind w:firstLine="720"/>
        <w:jc w:val="both"/>
        <w:rPr>
          <w:sz w:val="22"/>
          <w:szCs w:val="22"/>
        </w:rPr>
      </w:pPr>
      <w:r>
        <w:rPr>
          <w:rFonts w:ascii="Times New Roman" w:hAnsi="Times New Roman" w:eastAsia="Times New Roman" w:cs="Times New Roman"/>
          <w:sz w:val="22"/>
          <w:szCs w:val="22"/>
        </w:rPr>
        <w:t>The literature on festival tourism and SME performance highlights a recurring tension between the opportunity of increased demand and the operational challenges of delivering adequate supply. O'Sullivan and Jackson (2002) cautioned that the true value of visitor spend is more complex to calculate than simple revenue figures suggest, as leakage through imported goods, price inflation during peak demand, and unequal distribution across firm sizes can substantially erode net local economic gains. Subsequent studies have found that community-level economic benefits are maximized when festival organizers prioritize local procurement, establish price governance mechanisms, and create inclusive vending arrangements that provide access to micro-enterprises and informal vendors (Mxunyelwa &amp; Tshetu, 2018; Kostopoulou &amp; Kalagirou, 2011).</w:t>
      </w:r>
    </w:p>
    <w:p w14:paraId="240A94DF">
      <w:pPr>
        <w:spacing w:before="200" w:after="120"/>
        <w:jc w:val="left"/>
        <w:rPr>
          <w:sz w:val="22"/>
          <w:szCs w:val="22"/>
        </w:rPr>
      </w:pPr>
      <w:r>
        <w:rPr>
          <w:rFonts w:ascii="Times New Roman" w:hAnsi="Times New Roman" w:eastAsia="Times New Roman" w:cs="Times New Roman"/>
          <w:b/>
          <w:bCs/>
          <w:sz w:val="22"/>
          <w:szCs w:val="22"/>
        </w:rPr>
        <w:t>3.3 Challenges and Social Controversies in Festival Tourism</w:t>
      </w:r>
    </w:p>
    <w:p w14:paraId="605DA9A8">
      <w:pPr>
        <w:spacing w:before="0" w:after="160" w:line="360" w:lineRule="auto"/>
        <w:ind w:firstLine="720"/>
        <w:jc w:val="both"/>
        <w:rPr>
          <w:sz w:val="22"/>
          <w:szCs w:val="22"/>
        </w:rPr>
      </w:pPr>
      <w:r>
        <w:rPr>
          <w:rFonts w:ascii="Times New Roman" w:hAnsi="Times New Roman" w:eastAsia="Times New Roman" w:cs="Times New Roman"/>
          <w:sz w:val="22"/>
          <w:szCs w:val="22"/>
        </w:rPr>
        <w:t>While the economic benefits of festivals are widely documented, the literature also identifies persistent operational and social challenges that must be addressed to realize sustainable outcomes. Infrastructure deficits — including inadequate sanitation facilities, insufficient vendor spaces, and limited transport connectivity — regularly constrain the visitor experience and dampen economic performance (Harmer &amp; Rogerson, 2017; Rivera &amp; Andrada, 2024). Supply chain disruptions during peak demand periods lead to commodity price inflation, creating cost pressures for SMEs operating on thin margins (O'Sullivan &amp; Jackson, 2002).</w:t>
      </w:r>
    </w:p>
    <w:p w14:paraId="19A5FB38">
      <w:pPr>
        <w:spacing w:before="0" w:after="160" w:line="360" w:lineRule="auto"/>
        <w:ind w:firstLine="720"/>
        <w:jc w:val="both"/>
        <w:rPr>
          <w:sz w:val="22"/>
          <w:szCs w:val="22"/>
        </w:rPr>
      </w:pPr>
      <w:r>
        <w:rPr>
          <w:rFonts w:ascii="Times New Roman" w:hAnsi="Times New Roman" w:eastAsia="Times New Roman" w:cs="Times New Roman"/>
          <w:sz w:val="22"/>
          <w:szCs w:val="22"/>
        </w:rPr>
        <w:t>Social controversies associated with festival gatherings — including public safety concerns, noise, waste management failures, and overcrowding — can erode the goodwill of host communities and damage the long-term reputational value of the event (Harmer &amp; Rogerson, 2017; Duffy &amp; Mair, 2018). Carnegie and McCabe (2008) observed that festivals seeking to elevate their profile from regional to hallmark status must actively invest in community relations, heritage authenticity, and quality infrastructure to sustain the social license that underpins long-term political and financial support. These considerations are directly relevant to the Pintados-Kasadyaan Festival, which has demonstrated consistent community engagement over nearly four decades but continues to face recurring operational challenges documented by its stakeholder base.</w:t>
      </w:r>
    </w:p>
    <w:p w14:paraId="6A8B53F6">
      <w:pPr>
        <w:spacing w:before="240" w:after="160"/>
        <w:jc w:val="center"/>
        <w:rPr>
          <w:sz w:val="22"/>
          <w:szCs w:val="22"/>
        </w:rPr>
      </w:pPr>
      <w:r>
        <w:rPr>
          <w:rFonts w:ascii="Times New Roman" w:hAnsi="Times New Roman" w:eastAsia="Times New Roman" w:cs="Times New Roman"/>
          <w:b/>
          <w:bCs/>
          <w:sz w:val="22"/>
          <w:szCs w:val="22"/>
        </w:rPr>
        <w:t>4. METHODOLOGY</w:t>
      </w:r>
    </w:p>
    <w:p w14:paraId="5A275852">
      <w:pPr>
        <w:spacing w:before="200" w:after="120"/>
        <w:jc w:val="left"/>
        <w:rPr>
          <w:sz w:val="22"/>
          <w:szCs w:val="22"/>
        </w:rPr>
      </w:pPr>
      <w:r>
        <w:rPr>
          <w:rFonts w:ascii="Times New Roman" w:hAnsi="Times New Roman" w:eastAsia="Times New Roman" w:cs="Times New Roman"/>
          <w:b/>
          <w:bCs/>
          <w:sz w:val="22"/>
          <w:szCs w:val="22"/>
        </w:rPr>
        <w:t>4.1 Research Design</w:t>
      </w:r>
    </w:p>
    <w:p w14:paraId="7D446152">
      <w:pPr>
        <w:spacing w:before="0" w:after="160" w:line="360" w:lineRule="auto"/>
        <w:ind w:firstLine="720"/>
        <w:jc w:val="both"/>
        <w:rPr>
          <w:sz w:val="22"/>
          <w:szCs w:val="22"/>
        </w:rPr>
      </w:pPr>
      <w:r>
        <w:rPr>
          <w:rFonts w:ascii="Times New Roman" w:hAnsi="Times New Roman" w:eastAsia="Times New Roman" w:cs="Times New Roman"/>
          <w:sz w:val="22"/>
          <w:szCs w:val="22"/>
        </w:rPr>
        <w:t>This study employs a qualitative phenomenological research design, guided by the interpretive tradition of Husserlian phenomenology as adapted for social science inquiry (Pernecky &amp; Jamal, 2010). Phenomenology was selected because the research objective centers on understanding the lived economic experiences of tourism industry stakeholders — that is, how they subjectively experience, interpret, and make meaning of the economic impacts of the Pintados-Kasadyaan Festival on their businesses. This approach privileges first-person accounts and context-specific detail over generalizable quantitative measurements, making it epistemologically appropriate for generating thick, industry-grounded descriptions of festival economic dynamics in a specific host community.</w:t>
      </w:r>
    </w:p>
    <w:p w14:paraId="22973950">
      <w:pPr>
        <w:spacing w:before="0" w:after="160" w:line="360" w:lineRule="auto"/>
        <w:ind w:firstLine="720"/>
        <w:jc w:val="both"/>
        <w:rPr>
          <w:sz w:val="22"/>
          <w:szCs w:val="22"/>
        </w:rPr>
      </w:pPr>
      <w:r>
        <w:rPr>
          <w:rFonts w:ascii="Times New Roman" w:hAnsi="Times New Roman" w:eastAsia="Times New Roman" w:cs="Times New Roman"/>
          <w:sz w:val="22"/>
          <w:szCs w:val="22"/>
        </w:rPr>
        <w:t>The phenomenological design is consistent with a growing body of qualitative research in tourism that recognizes the value of experiential data for understanding the nuanced relationships between tourism events and local economic actors (Pernecky &amp; Jamal, 2010; George, 2022). It is particularly well-suited to the Philippine research context, where informal business practices, community relationships, and festival-specific cultural knowledge shape economic outcomes in ways that are not captured by standard economic impact surveys.</w:t>
      </w:r>
    </w:p>
    <w:p w14:paraId="566D7C39">
      <w:pPr>
        <w:spacing w:before="200" w:after="120"/>
        <w:jc w:val="left"/>
        <w:rPr>
          <w:sz w:val="22"/>
          <w:szCs w:val="22"/>
        </w:rPr>
      </w:pPr>
      <w:r>
        <w:rPr>
          <w:rFonts w:ascii="Times New Roman" w:hAnsi="Times New Roman" w:eastAsia="Times New Roman" w:cs="Times New Roman"/>
          <w:b/>
          <w:bCs/>
          <w:sz w:val="22"/>
          <w:szCs w:val="22"/>
        </w:rPr>
        <w:t>4.2 Research Setting</w:t>
      </w:r>
    </w:p>
    <w:p w14:paraId="4D1BC898">
      <w:pPr>
        <w:spacing w:before="0" w:after="160" w:line="360" w:lineRule="auto"/>
        <w:ind w:firstLine="720"/>
        <w:jc w:val="both"/>
        <w:rPr>
          <w:sz w:val="22"/>
          <w:szCs w:val="22"/>
        </w:rPr>
      </w:pPr>
      <w:r>
        <w:rPr>
          <w:rFonts w:ascii="Times New Roman" w:hAnsi="Times New Roman" w:eastAsia="Times New Roman" w:cs="Times New Roman"/>
          <w:sz w:val="22"/>
          <w:szCs w:val="22"/>
        </w:rPr>
        <w:t>The study was conducted in Tacloban City, the capital of Leyte Province in Eastern Visayas, Philippines. Tacloban is the primary host city of the Pintados-Kasadyaan Festival, which has been held annually since 1987. The city's commercial district, festival grounds at the Leyte Sports Development Center and Pintados-Kasadyaan Festival Park, and the major thoroughfares along which the Pagrayhak Grand Parade is conducted served as the primary venues for participant observation and interview recruitment. The festival's month-long programming, culminating on June 29th to coincide with the feast of Señor Santo Niño de Leyte, provided a rich context for understanding how festival tourism activity distributes across multiple business sectors over an extended event period.</w:t>
      </w:r>
    </w:p>
    <w:p w14:paraId="61AB9395">
      <w:pPr>
        <w:spacing w:before="200" w:after="120"/>
        <w:jc w:val="left"/>
        <w:rPr>
          <w:sz w:val="22"/>
          <w:szCs w:val="22"/>
        </w:rPr>
      </w:pPr>
      <w:r>
        <w:rPr>
          <w:rFonts w:ascii="Times New Roman" w:hAnsi="Times New Roman" w:eastAsia="Times New Roman" w:cs="Times New Roman"/>
          <w:b/>
          <w:bCs/>
          <w:sz w:val="22"/>
          <w:szCs w:val="22"/>
        </w:rPr>
        <w:t>4.3 Participant Selection and Profile</w:t>
      </w:r>
    </w:p>
    <w:p w14:paraId="5D0CD3C4">
      <w:pPr>
        <w:spacing w:before="0" w:after="160" w:line="360" w:lineRule="auto"/>
        <w:ind w:firstLine="720"/>
        <w:jc w:val="both"/>
        <w:rPr>
          <w:sz w:val="22"/>
          <w:szCs w:val="22"/>
        </w:rPr>
      </w:pPr>
      <w:r>
        <w:rPr>
          <w:rFonts w:ascii="Times New Roman" w:hAnsi="Times New Roman" w:eastAsia="Times New Roman" w:cs="Times New Roman"/>
          <w:sz w:val="22"/>
          <w:szCs w:val="22"/>
        </w:rPr>
        <w:t>Twelve tourism industry stakeholders were selected through purposive sampling, guided by the criterion of direct business engagement during the Pintados-Kasadyaan Festival across five industry sectors identified as the primary nodes of festival economic activity: accommodation, food and beverage, event production services, travel and transport, and retail/souvenir trade. Purposive sampling was employed to ensure sector-level representativeness while maintaining the depth of engagement necessary for phenomenological inquiry (Creswell &amp; Poth, 2018). Table 1 presents the participant profiles using anonymized codes to protect identity.</w:t>
      </w:r>
    </w:p>
    <w:p w14:paraId="40C5C784">
      <w:pPr>
        <w:rPr>
          <w:sz w:val="22"/>
          <w:szCs w:val="22"/>
        </w:rPr>
      </w:pPr>
    </w:p>
    <w:p w14:paraId="7BC33597">
      <w:pPr>
        <w:spacing w:before="120" w:after="80"/>
        <w:jc w:val="center"/>
        <w:rPr>
          <w:sz w:val="22"/>
          <w:szCs w:val="22"/>
        </w:rPr>
      </w:pPr>
      <w:r>
        <w:rPr>
          <w:rFonts w:ascii="Times New Roman" w:hAnsi="Times New Roman" w:eastAsia="Times New Roman" w:cs="Times New Roman"/>
          <w:b/>
          <w:bCs/>
          <w:sz w:val="22"/>
          <w:szCs w:val="22"/>
        </w:rPr>
        <w:t>Table 1. Profile of Research Participants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47"/>
        <w:gridCol w:w="3595"/>
        <w:gridCol w:w="2537"/>
        <w:gridCol w:w="2381"/>
      </w:tblGrid>
      <w:tr w14:paraId="3098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000000" w:sz="4" w:space="0"/>
              <w:left w:val="single" w:color="000000" w:sz="4" w:space="0"/>
              <w:bottom w:val="single" w:color="000000" w:sz="4" w:space="0"/>
              <w:right w:val="single" w:color="000000" w:sz="4" w:space="0"/>
            </w:tcBorders>
            <w:shd w:val="clear" w:color="auto" w:fill="D9D9D9"/>
            <w:tcMar>
              <w:top w:w="80" w:type="dxa"/>
              <w:left w:w="120" w:type="dxa"/>
              <w:bottom w:w="80" w:type="dxa"/>
              <w:right w:w="120" w:type="dxa"/>
            </w:tcMar>
          </w:tcPr>
          <w:p w14:paraId="159BB020">
            <w:pPr>
              <w:jc w:val="left"/>
              <w:rPr>
                <w:sz w:val="22"/>
                <w:szCs w:val="22"/>
              </w:rPr>
            </w:pPr>
            <w:r>
              <w:rPr>
                <w:rFonts w:ascii="Times New Roman" w:hAnsi="Times New Roman" w:eastAsia="Times New Roman" w:cs="Times New Roman"/>
                <w:b/>
                <w:bCs/>
                <w:sz w:val="22"/>
                <w:szCs w:val="22"/>
              </w:rPr>
              <w:t>Code</w:t>
            </w:r>
          </w:p>
        </w:tc>
        <w:tc>
          <w:tcPr>
            <w:tcBorders>
              <w:top w:val="single" w:color="000000" w:sz="4" w:space="0"/>
              <w:left w:val="single" w:color="000000" w:sz="4" w:space="0"/>
              <w:bottom w:val="single" w:color="000000" w:sz="4" w:space="0"/>
              <w:right w:val="single" w:color="000000" w:sz="4" w:space="0"/>
            </w:tcBorders>
            <w:shd w:val="clear" w:color="auto" w:fill="D9D9D9"/>
            <w:tcMar>
              <w:top w:w="80" w:type="dxa"/>
              <w:left w:w="120" w:type="dxa"/>
              <w:bottom w:w="80" w:type="dxa"/>
              <w:right w:w="120" w:type="dxa"/>
            </w:tcMar>
          </w:tcPr>
          <w:p w14:paraId="58C2C13A">
            <w:pPr>
              <w:jc w:val="left"/>
              <w:rPr>
                <w:sz w:val="22"/>
                <w:szCs w:val="22"/>
              </w:rPr>
            </w:pPr>
            <w:r>
              <w:rPr>
                <w:rFonts w:ascii="Times New Roman" w:hAnsi="Times New Roman" w:eastAsia="Times New Roman" w:cs="Times New Roman"/>
                <w:b/>
                <w:bCs/>
                <w:sz w:val="22"/>
                <w:szCs w:val="22"/>
              </w:rPr>
              <w:t>Nature of Business</w:t>
            </w:r>
          </w:p>
        </w:tc>
        <w:tc>
          <w:tcPr>
            <w:tcBorders>
              <w:top w:val="single" w:color="000000" w:sz="4" w:space="0"/>
              <w:left w:val="single" w:color="000000" w:sz="4" w:space="0"/>
              <w:bottom w:val="single" w:color="000000" w:sz="4" w:space="0"/>
              <w:right w:val="single" w:color="000000" w:sz="4" w:space="0"/>
            </w:tcBorders>
            <w:shd w:val="clear" w:color="auto" w:fill="D9D9D9"/>
            <w:tcMar>
              <w:top w:w="80" w:type="dxa"/>
              <w:left w:w="120" w:type="dxa"/>
              <w:bottom w:w="80" w:type="dxa"/>
              <w:right w:w="120" w:type="dxa"/>
            </w:tcMar>
          </w:tcPr>
          <w:p w14:paraId="5807B758">
            <w:pPr>
              <w:jc w:val="left"/>
              <w:rPr>
                <w:sz w:val="22"/>
                <w:szCs w:val="22"/>
              </w:rPr>
            </w:pPr>
            <w:r>
              <w:rPr>
                <w:rFonts w:ascii="Times New Roman" w:hAnsi="Times New Roman" w:eastAsia="Times New Roman" w:cs="Times New Roman"/>
                <w:b/>
                <w:bCs/>
                <w:sz w:val="22"/>
                <w:szCs w:val="22"/>
              </w:rPr>
              <w:t>Category</w:t>
            </w:r>
          </w:p>
        </w:tc>
        <w:tc>
          <w:tcPr>
            <w:tcBorders>
              <w:top w:val="single" w:color="000000" w:sz="4" w:space="0"/>
              <w:left w:val="single" w:color="000000" w:sz="4" w:space="0"/>
              <w:bottom w:val="single" w:color="000000" w:sz="4" w:space="0"/>
              <w:right w:val="single" w:color="000000" w:sz="4" w:space="0"/>
            </w:tcBorders>
            <w:shd w:val="clear" w:color="auto" w:fill="D9D9D9"/>
            <w:tcMar>
              <w:top w:w="80" w:type="dxa"/>
              <w:left w:w="120" w:type="dxa"/>
              <w:bottom w:w="80" w:type="dxa"/>
              <w:right w:w="120" w:type="dxa"/>
            </w:tcMar>
          </w:tcPr>
          <w:p w14:paraId="783E53F2">
            <w:pPr>
              <w:jc w:val="left"/>
              <w:rPr>
                <w:sz w:val="22"/>
                <w:szCs w:val="22"/>
              </w:rPr>
            </w:pPr>
            <w:r>
              <w:rPr>
                <w:rFonts w:ascii="Times New Roman" w:hAnsi="Times New Roman" w:eastAsia="Times New Roman" w:cs="Times New Roman"/>
                <w:b/>
                <w:bCs/>
                <w:sz w:val="22"/>
                <w:szCs w:val="22"/>
              </w:rPr>
              <w:t>Years in Operation</w:t>
            </w:r>
          </w:p>
        </w:tc>
      </w:tr>
      <w:tr w14:paraId="014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0DA3F5BB">
            <w:pPr>
              <w:jc w:val="left"/>
              <w:rPr>
                <w:sz w:val="22"/>
                <w:szCs w:val="22"/>
              </w:rPr>
            </w:pPr>
            <w:r>
              <w:rPr>
                <w:rFonts w:ascii="Times New Roman" w:hAnsi="Times New Roman" w:eastAsia="Times New Roman" w:cs="Times New Roman"/>
                <w:b w:val="0"/>
                <w:bCs w:val="0"/>
                <w:sz w:val="22"/>
                <w:szCs w:val="22"/>
              </w:rPr>
              <w:t>P1</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61E6A1F9">
            <w:pPr>
              <w:jc w:val="left"/>
              <w:rPr>
                <w:sz w:val="22"/>
                <w:szCs w:val="22"/>
              </w:rPr>
            </w:pPr>
            <w:r>
              <w:rPr>
                <w:rFonts w:ascii="Times New Roman" w:hAnsi="Times New Roman" w:eastAsia="Times New Roman" w:cs="Times New Roman"/>
                <w:b w:val="0"/>
                <w:bCs w:val="0"/>
                <w:sz w:val="22"/>
                <w:szCs w:val="22"/>
              </w:rPr>
              <w:t>Accommodation Establishment</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08BECDA1">
            <w:pPr>
              <w:jc w:val="left"/>
              <w:rPr>
                <w:sz w:val="22"/>
                <w:szCs w:val="22"/>
              </w:rPr>
            </w:pPr>
            <w:r>
              <w:rPr>
                <w:rFonts w:ascii="Times New Roman" w:hAnsi="Times New Roman" w:eastAsia="Times New Roman" w:cs="Times New Roman"/>
                <w:b w:val="0"/>
                <w:bCs w:val="0"/>
                <w:sz w:val="22"/>
                <w:szCs w:val="22"/>
              </w:rPr>
              <w:t>Major Industry Player</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2D632200">
            <w:pPr>
              <w:jc w:val="left"/>
              <w:rPr>
                <w:sz w:val="22"/>
                <w:szCs w:val="22"/>
              </w:rPr>
            </w:pPr>
            <w:r>
              <w:rPr>
                <w:rFonts w:ascii="Times New Roman" w:hAnsi="Times New Roman" w:eastAsia="Times New Roman" w:cs="Times New Roman"/>
                <w:b w:val="0"/>
                <w:bCs w:val="0"/>
                <w:sz w:val="22"/>
                <w:szCs w:val="22"/>
              </w:rPr>
              <w:t>1.5</w:t>
            </w:r>
          </w:p>
        </w:tc>
      </w:tr>
      <w:tr w14:paraId="712F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0CEA5A42">
            <w:pPr>
              <w:jc w:val="left"/>
              <w:rPr>
                <w:sz w:val="22"/>
                <w:szCs w:val="22"/>
              </w:rPr>
            </w:pPr>
            <w:r>
              <w:rPr>
                <w:rFonts w:ascii="Times New Roman" w:hAnsi="Times New Roman" w:eastAsia="Times New Roman" w:cs="Times New Roman"/>
                <w:b w:val="0"/>
                <w:bCs w:val="0"/>
                <w:sz w:val="22"/>
                <w:szCs w:val="22"/>
              </w:rPr>
              <w:t>P2</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148F864B">
            <w:pPr>
              <w:jc w:val="left"/>
              <w:rPr>
                <w:sz w:val="22"/>
                <w:szCs w:val="22"/>
              </w:rPr>
            </w:pPr>
            <w:r>
              <w:rPr>
                <w:rFonts w:ascii="Times New Roman" w:hAnsi="Times New Roman" w:eastAsia="Times New Roman" w:cs="Times New Roman"/>
                <w:b w:val="0"/>
                <w:bCs w:val="0"/>
                <w:sz w:val="22"/>
                <w:szCs w:val="22"/>
              </w:rPr>
              <w:t>Food &amp; Beverage – Restaurant</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5BA3FD05">
            <w:pPr>
              <w:jc w:val="left"/>
              <w:rPr>
                <w:sz w:val="22"/>
                <w:szCs w:val="22"/>
              </w:rPr>
            </w:pPr>
            <w:r>
              <w:rPr>
                <w:rFonts w:ascii="Times New Roman" w:hAnsi="Times New Roman" w:eastAsia="Times New Roman" w:cs="Times New Roman"/>
                <w:b w:val="0"/>
                <w:bCs w:val="0"/>
                <w:sz w:val="22"/>
                <w:szCs w:val="22"/>
              </w:rPr>
              <w:t>Food Services</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52CD9ACC">
            <w:pPr>
              <w:jc w:val="left"/>
              <w:rPr>
                <w:sz w:val="22"/>
                <w:szCs w:val="22"/>
              </w:rPr>
            </w:pPr>
            <w:r>
              <w:rPr>
                <w:rFonts w:ascii="Times New Roman" w:hAnsi="Times New Roman" w:eastAsia="Times New Roman" w:cs="Times New Roman"/>
                <w:b w:val="0"/>
                <w:bCs w:val="0"/>
                <w:sz w:val="22"/>
                <w:szCs w:val="22"/>
              </w:rPr>
              <w:t>18</w:t>
            </w:r>
          </w:p>
        </w:tc>
      </w:tr>
      <w:tr w14:paraId="23CC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26FD749E">
            <w:pPr>
              <w:jc w:val="left"/>
              <w:rPr>
                <w:sz w:val="22"/>
                <w:szCs w:val="22"/>
              </w:rPr>
            </w:pPr>
            <w:r>
              <w:rPr>
                <w:rFonts w:ascii="Times New Roman" w:hAnsi="Times New Roman" w:eastAsia="Times New Roman" w:cs="Times New Roman"/>
                <w:b w:val="0"/>
                <w:bCs w:val="0"/>
                <w:sz w:val="22"/>
                <w:szCs w:val="22"/>
              </w:rPr>
              <w:t>P3</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1F8D9C86">
            <w:pPr>
              <w:jc w:val="left"/>
              <w:rPr>
                <w:sz w:val="22"/>
                <w:szCs w:val="22"/>
              </w:rPr>
            </w:pPr>
            <w:r>
              <w:rPr>
                <w:rFonts w:ascii="Times New Roman" w:hAnsi="Times New Roman" w:eastAsia="Times New Roman" w:cs="Times New Roman"/>
                <w:b w:val="0"/>
                <w:bCs w:val="0"/>
                <w:sz w:val="22"/>
                <w:szCs w:val="22"/>
              </w:rPr>
              <w:t>Food &amp; Beverage – Catering</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1ABC0F41">
            <w:pPr>
              <w:jc w:val="left"/>
              <w:rPr>
                <w:sz w:val="22"/>
                <w:szCs w:val="22"/>
              </w:rPr>
            </w:pPr>
            <w:r>
              <w:rPr>
                <w:rFonts w:ascii="Times New Roman" w:hAnsi="Times New Roman" w:eastAsia="Times New Roman" w:cs="Times New Roman"/>
                <w:b w:val="0"/>
                <w:bCs w:val="0"/>
                <w:sz w:val="22"/>
                <w:szCs w:val="22"/>
              </w:rPr>
              <w:t>Food Services</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58C49407">
            <w:pPr>
              <w:jc w:val="left"/>
              <w:rPr>
                <w:sz w:val="22"/>
                <w:szCs w:val="22"/>
              </w:rPr>
            </w:pPr>
            <w:r>
              <w:rPr>
                <w:rFonts w:ascii="Times New Roman" w:hAnsi="Times New Roman" w:eastAsia="Times New Roman" w:cs="Times New Roman"/>
                <w:b w:val="0"/>
                <w:bCs w:val="0"/>
                <w:sz w:val="22"/>
                <w:szCs w:val="22"/>
              </w:rPr>
              <w:t>25</w:t>
            </w:r>
          </w:p>
        </w:tc>
      </w:tr>
      <w:tr w14:paraId="40F2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6C1A82D3">
            <w:pPr>
              <w:jc w:val="left"/>
              <w:rPr>
                <w:sz w:val="22"/>
                <w:szCs w:val="22"/>
              </w:rPr>
            </w:pPr>
            <w:r>
              <w:rPr>
                <w:rFonts w:ascii="Times New Roman" w:hAnsi="Times New Roman" w:eastAsia="Times New Roman" w:cs="Times New Roman"/>
                <w:b w:val="0"/>
                <w:bCs w:val="0"/>
                <w:sz w:val="22"/>
                <w:szCs w:val="22"/>
              </w:rPr>
              <w:t>P4</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741A4F8A">
            <w:pPr>
              <w:jc w:val="left"/>
              <w:rPr>
                <w:sz w:val="22"/>
                <w:szCs w:val="22"/>
              </w:rPr>
            </w:pPr>
            <w:r>
              <w:rPr>
                <w:rFonts w:ascii="Times New Roman" w:hAnsi="Times New Roman" w:eastAsia="Times New Roman" w:cs="Times New Roman"/>
                <w:b w:val="0"/>
                <w:bCs w:val="0"/>
                <w:sz w:val="22"/>
                <w:szCs w:val="22"/>
              </w:rPr>
              <w:t>Food &amp; Beverage – Catering</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25CBCC5C">
            <w:pPr>
              <w:jc w:val="left"/>
              <w:rPr>
                <w:sz w:val="22"/>
                <w:szCs w:val="22"/>
              </w:rPr>
            </w:pPr>
            <w:r>
              <w:rPr>
                <w:rFonts w:ascii="Times New Roman" w:hAnsi="Times New Roman" w:eastAsia="Times New Roman" w:cs="Times New Roman"/>
                <w:b w:val="0"/>
                <w:bCs w:val="0"/>
                <w:sz w:val="22"/>
                <w:szCs w:val="22"/>
              </w:rPr>
              <w:t>Food Services</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4C55F1D6">
            <w:pPr>
              <w:jc w:val="left"/>
              <w:rPr>
                <w:sz w:val="22"/>
                <w:szCs w:val="22"/>
              </w:rPr>
            </w:pPr>
            <w:r>
              <w:rPr>
                <w:rFonts w:ascii="Times New Roman" w:hAnsi="Times New Roman" w:eastAsia="Times New Roman" w:cs="Times New Roman"/>
                <w:b w:val="0"/>
                <w:bCs w:val="0"/>
                <w:sz w:val="22"/>
                <w:szCs w:val="22"/>
              </w:rPr>
              <w:t>7</w:t>
            </w:r>
          </w:p>
        </w:tc>
      </w:tr>
      <w:tr w14:paraId="5829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2DD0C088">
            <w:pPr>
              <w:jc w:val="left"/>
              <w:rPr>
                <w:sz w:val="22"/>
                <w:szCs w:val="22"/>
              </w:rPr>
            </w:pPr>
            <w:r>
              <w:rPr>
                <w:rFonts w:ascii="Times New Roman" w:hAnsi="Times New Roman" w:eastAsia="Times New Roman" w:cs="Times New Roman"/>
                <w:b w:val="0"/>
                <w:bCs w:val="0"/>
                <w:sz w:val="22"/>
                <w:szCs w:val="22"/>
              </w:rPr>
              <w:t>P5</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5A09E99F">
            <w:pPr>
              <w:jc w:val="left"/>
              <w:rPr>
                <w:sz w:val="22"/>
                <w:szCs w:val="22"/>
              </w:rPr>
            </w:pPr>
            <w:r>
              <w:rPr>
                <w:rFonts w:ascii="Times New Roman" w:hAnsi="Times New Roman" w:eastAsia="Times New Roman" w:cs="Times New Roman"/>
                <w:b w:val="0"/>
                <w:bCs w:val="0"/>
                <w:sz w:val="22"/>
                <w:szCs w:val="22"/>
              </w:rPr>
              <w:t>Event Organizing &amp; Production</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683D8332">
            <w:pPr>
              <w:jc w:val="left"/>
              <w:rPr>
                <w:sz w:val="22"/>
                <w:szCs w:val="22"/>
              </w:rPr>
            </w:pPr>
            <w:r>
              <w:rPr>
                <w:rFonts w:ascii="Times New Roman" w:hAnsi="Times New Roman" w:eastAsia="Times New Roman" w:cs="Times New Roman"/>
                <w:b w:val="0"/>
                <w:bCs w:val="0"/>
                <w:sz w:val="22"/>
                <w:szCs w:val="22"/>
              </w:rPr>
              <w:t>Event Services</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05C86182">
            <w:pPr>
              <w:jc w:val="left"/>
              <w:rPr>
                <w:sz w:val="22"/>
                <w:szCs w:val="22"/>
              </w:rPr>
            </w:pPr>
            <w:r>
              <w:rPr>
                <w:rFonts w:ascii="Times New Roman" w:hAnsi="Times New Roman" w:eastAsia="Times New Roman" w:cs="Times New Roman"/>
                <w:b w:val="0"/>
                <w:bCs w:val="0"/>
                <w:sz w:val="22"/>
                <w:szCs w:val="22"/>
              </w:rPr>
              <w:t>15</w:t>
            </w:r>
          </w:p>
        </w:tc>
      </w:tr>
      <w:tr w14:paraId="104B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63804412">
            <w:pPr>
              <w:jc w:val="left"/>
              <w:rPr>
                <w:sz w:val="22"/>
                <w:szCs w:val="22"/>
              </w:rPr>
            </w:pPr>
            <w:r>
              <w:rPr>
                <w:rFonts w:ascii="Times New Roman" w:hAnsi="Times New Roman" w:eastAsia="Times New Roman" w:cs="Times New Roman"/>
                <w:b w:val="0"/>
                <w:bCs w:val="0"/>
                <w:sz w:val="22"/>
                <w:szCs w:val="22"/>
              </w:rPr>
              <w:t>P6</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2594D3F0">
            <w:pPr>
              <w:jc w:val="left"/>
              <w:rPr>
                <w:sz w:val="22"/>
                <w:szCs w:val="22"/>
              </w:rPr>
            </w:pPr>
            <w:r>
              <w:rPr>
                <w:rFonts w:ascii="Times New Roman" w:hAnsi="Times New Roman" w:eastAsia="Times New Roman" w:cs="Times New Roman"/>
                <w:b w:val="0"/>
                <w:bCs w:val="0"/>
                <w:sz w:val="22"/>
                <w:szCs w:val="22"/>
              </w:rPr>
              <w:t>Lights, Sound &amp; AV Equipment</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0B53DA03">
            <w:pPr>
              <w:jc w:val="left"/>
              <w:rPr>
                <w:sz w:val="22"/>
                <w:szCs w:val="22"/>
              </w:rPr>
            </w:pPr>
            <w:r>
              <w:rPr>
                <w:rFonts w:ascii="Times New Roman" w:hAnsi="Times New Roman" w:eastAsia="Times New Roman" w:cs="Times New Roman"/>
                <w:b w:val="0"/>
                <w:bCs w:val="0"/>
                <w:sz w:val="22"/>
                <w:szCs w:val="22"/>
              </w:rPr>
              <w:t>Event Services</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7BA00E64">
            <w:pPr>
              <w:jc w:val="left"/>
              <w:rPr>
                <w:sz w:val="22"/>
                <w:szCs w:val="22"/>
              </w:rPr>
            </w:pPr>
            <w:r>
              <w:rPr>
                <w:rFonts w:ascii="Times New Roman" w:hAnsi="Times New Roman" w:eastAsia="Times New Roman" w:cs="Times New Roman"/>
                <w:b w:val="0"/>
                <w:bCs w:val="0"/>
                <w:sz w:val="22"/>
                <w:szCs w:val="22"/>
              </w:rPr>
              <w:t>15</w:t>
            </w:r>
          </w:p>
        </w:tc>
      </w:tr>
      <w:tr w14:paraId="7DCA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23A44BF1">
            <w:pPr>
              <w:jc w:val="left"/>
              <w:rPr>
                <w:sz w:val="22"/>
                <w:szCs w:val="22"/>
              </w:rPr>
            </w:pPr>
            <w:r>
              <w:rPr>
                <w:rFonts w:ascii="Times New Roman" w:hAnsi="Times New Roman" w:eastAsia="Times New Roman" w:cs="Times New Roman"/>
                <w:b w:val="0"/>
                <w:bCs w:val="0"/>
                <w:sz w:val="22"/>
                <w:szCs w:val="22"/>
              </w:rPr>
              <w:t>P7</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4960E2B8">
            <w:pPr>
              <w:jc w:val="left"/>
              <w:rPr>
                <w:sz w:val="22"/>
                <w:szCs w:val="22"/>
              </w:rPr>
            </w:pPr>
            <w:r>
              <w:rPr>
                <w:rFonts w:ascii="Times New Roman" w:hAnsi="Times New Roman" w:eastAsia="Times New Roman" w:cs="Times New Roman"/>
                <w:b w:val="0"/>
                <w:bCs w:val="0"/>
                <w:sz w:val="22"/>
                <w:szCs w:val="22"/>
              </w:rPr>
              <w:t>Tour &amp; Travel Agency</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137B17CE">
            <w:pPr>
              <w:jc w:val="left"/>
              <w:rPr>
                <w:sz w:val="22"/>
                <w:szCs w:val="22"/>
              </w:rPr>
            </w:pPr>
            <w:r>
              <w:rPr>
                <w:rFonts w:ascii="Times New Roman" w:hAnsi="Times New Roman" w:eastAsia="Times New Roman" w:cs="Times New Roman"/>
                <w:b w:val="0"/>
                <w:bCs w:val="0"/>
                <w:sz w:val="22"/>
                <w:szCs w:val="22"/>
              </w:rPr>
              <w:t>Travel Services</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371398AC">
            <w:pPr>
              <w:jc w:val="left"/>
              <w:rPr>
                <w:sz w:val="22"/>
                <w:szCs w:val="22"/>
              </w:rPr>
            </w:pPr>
            <w:r>
              <w:rPr>
                <w:rFonts w:ascii="Times New Roman" w:hAnsi="Times New Roman" w:eastAsia="Times New Roman" w:cs="Times New Roman"/>
                <w:b w:val="0"/>
                <w:bCs w:val="0"/>
                <w:sz w:val="22"/>
                <w:szCs w:val="22"/>
              </w:rPr>
              <w:t>12</w:t>
            </w:r>
          </w:p>
        </w:tc>
      </w:tr>
      <w:tr w14:paraId="10FF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1D34C0B9">
            <w:pPr>
              <w:jc w:val="left"/>
              <w:rPr>
                <w:sz w:val="22"/>
                <w:szCs w:val="22"/>
              </w:rPr>
            </w:pPr>
            <w:r>
              <w:rPr>
                <w:rFonts w:ascii="Times New Roman" w:hAnsi="Times New Roman" w:eastAsia="Times New Roman" w:cs="Times New Roman"/>
                <w:b w:val="0"/>
                <w:bCs w:val="0"/>
                <w:sz w:val="22"/>
                <w:szCs w:val="22"/>
              </w:rPr>
              <w:t>P8</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545B15C2">
            <w:pPr>
              <w:jc w:val="left"/>
              <w:rPr>
                <w:sz w:val="22"/>
                <w:szCs w:val="22"/>
              </w:rPr>
            </w:pPr>
            <w:r>
              <w:rPr>
                <w:rFonts w:ascii="Times New Roman" w:hAnsi="Times New Roman" w:eastAsia="Times New Roman" w:cs="Times New Roman"/>
                <w:b w:val="0"/>
                <w:bCs w:val="0"/>
                <w:sz w:val="22"/>
                <w:szCs w:val="22"/>
              </w:rPr>
              <w:t>Souvenir &amp; T-Shirt Printing</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303F6987">
            <w:pPr>
              <w:jc w:val="left"/>
              <w:rPr>
                <w:sz w:val="22"/>
                <w:szCs w:val="22"/>
              </w:rPr>
            </w:pPr>
            <w:r>
              <w:rPr>
                <w:rFonts w:ascii="Times New Roman" w:hAnsi="Times New Roman" w:eastAsia="Times New Roman" w:cs="Times New Roman"/>
                <w:b w:val="0"/>
                <w:bCs w:val="0"/>
                <w:sz w:val="22"/>
                <w:szCs w:val="22"/>
              </w:rPr>
              <w:t>Retail/Souvenir</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157EC5ED">
            <w:pPr>
              <w:jc w:val="left"/>
              <w:rPr>
                <w:sz w:val="22"/>
                <w:szCs w:val="22"/>
              </w:rPr>
            </w:pPr>
            <w:r>
              <w:rPr>
                <w:rFonts w:ascii="Times New Roman" w:hAnsi="Times New Roman" w:eastAsia="Times New Roman" w:cs="Times New Roman"/>
                <w:b w:val="0"/>
                <w:bCs w:val="0"/>
                <w:sz w:val="22"/>
                <w:szCs w:val="22"/>
              </w:rPr>
              <w:t>4</w:t>
            </w:r>
          </w:p>
        </w:tc>
      </w:tr>
      <w:tr w14:paraId="5485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52CC682E">
            <w:pPr>
              <w:jc w:val="left"/>
              <w:rPr>
                <w:sz w:val="22"/>
                <w:szCs w:val="22"/>
              </w:rPr>
            </w:pPr>
            <w:r>
              <w:rPr>
                <w:rFonts w:ascii="Times New Roman" w:hAnsi="Times New Roman" w:eastAsia="Times New Roman" w:cs="Times New Roman"/>
                <w:b w:val="0"/>
                <w:bCs w:val="0"/>
                <w:sz w:val="22"/>
                <w:szCs w:val="22"/>
              </w:rPr>
              <w:t>P9</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563ED074">
            <w:pPr>
              <w:jc w:val="left"/>
              <w:rPr>
                <w:sz w:val="22"/>
                <w:szCs w:val="22"/>
              </w:rPr>
            </w:pPr>
            <w:r>
              <w:rPr>
                <w:rFonts w:ascii="Times New Roman" w:hAnsi="Times New Roman" w:eastAsia="Times New Roman" w:cs="Times New Roman"/>
                <w:b w:val="0"/>
                <w:bCs w:val="0"/>
                <w:sz w:val="22"/>
                <w:szCs w:val="22"/>
              </w:rPr>
              <w:t>Souvenir &amp; T-Shirt Printing</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14D5BAAC">
            <w:pPr>
              <w:jc w:val="left"/>
              <w:rPr>
                <w:sz w:val="22"/>
                <w:szCs w:val="22"/>
              </w:rPr>
            </w:pPr>
            <w:r>
              <w:rPr>
                <w:rFonts w:ascii="Times New Roman" w:hAnsi="Times New Roman" w:eastAsia="Times New Roman" w:cs="Times New Roman"/>
                <w:b w:val="0"/>
                <w:bCs w:val="0"/>
                <w:sz w:val="22"/>
                <w:szCs w:val="22"/>
              </w:rPr>
              <w:t>Retail/Souvenir</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74891A82">
            <w:pPr>
              <w:jc w:val="left"/>
              <w:rPr>
                <w:sz w:val="22"/>
                <w:szCs w:val="22"/>
              </w:rPr>
            </w:pPr>
            <w:r>
              <w:rPr>
                <w:rFonts w:ascii="Times New Roman" w:hAnsi="Times New Roman" w:eastAsia="Times New Roman" w:cs="Times New Roman"/>
                <w:b w:val="0"/>
                <w:bCs w:val="0"/>
                <w:sz w:val="22"/>
                <w:szCs w:val="22"/>
              </w:rPr>
              <w:t>1</w:t>
            </w:r>
          </w:p>
        </w:tc>
      </w:tr>
      <w:tr w14:paraId="7D31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77782C80">
            <w:pPr>
              <w:jc w:val="left"/>
              <w:rPr>
                <w:sz w:val="22"/>
                <w:szCs w:val="22"/>
              </w:rPr>
            </w:pPr>
            <w:r>
              <w:rPr>
                <w:rFonts w:ascii="Times New Roman" w:hAnsi="Times New Roman" w:eastAsia="Times New Roman" w:cs="Times New Roman"/>
                <w:b w:val="0"/>
                <w:bCs w:val="0"/>
                <w:sz w:val="22"/>
                <w:szCs w:val="22"/>
              </w:rPr>
              <w:t>P10</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676F0825">
            <w:pPr>
              <w:jc w:val="left"/>
              <w:rPr>
                <w:sz w:val="22"/>
                <w:szCs w:val="22"/>
              </w:rPr>
            </w:pPr>
            <w:r>
              <w:rPr>
                <w:rFonts w:ascii="Times New Roman" w:hAnsi="Times New Roman" w:eastAsia="Times New Roman" w:cs="Times New Roman"/>
                <w:b w:val="0"/>
                <w:bCs w:val="0"/>
                <w:sz w:val="22"/>
                <w:szCs w:val="22"/>
              </w:rPr>
              <w:t>Retail Souvenir Shop</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0ED17CCB">
            <w:pPr>
              <w:jc w:val="left"/>
              <w:rPr>
                <w:sz w:val="22"/>
                <w:szCs w:val="22"/>
              </w:rPr>
            </w:pPr>
            <w:r>
              <w:rPr>
                <w:rFonts w:ascii="Times New Roman" w:hAnsi="Times New Roman" w:eastAsia="Times New Roman" w:cs="Times New Roman"/>
                <w:b w:val="0"/>
                <w:bCs w:val="0"/>
                <w:sz w:val="22"/>
                <w:szCs w:val="22"/>
              </w:rPr>
              <w:t>Retail/Souvenir</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5D0A10A1">
            <w:pPr>
              <w:jc w:val="left"/>
              <w:rPr>
                <w:sz w:val="22"/>
                <w:szCs w:val="22"/>
              </w:rPr>
            </w:pPr>
            <w:r>
              <w:rPr>
                <w:rFonts w:ascii="Times New Roman" w:hAnsi="Times New Roman" w:eastAsia="Times New Roman" w:cs="Times New Roman"/>
                <w:b w:val="0"/>
                <w:bCs w:val="0"/>
                <w:sz w:val="22"/>
                <w:szCs w:val="22"/>
              </w:rPr>
              <w:t>12</w:t>
            </w:r>
          </w:p>
        </w:tc>
      </w:tr>
      <w:tr w14:paraId="6032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17306738">
            <w:pPr>
              <w:jc w:val="left"/>
              <w:rPr>
                <w:sz w:val="22"/>
                <w:szCs w:val="22"/>
              </w:rPr>
            </w:pPr>
            <w:r>
              <w:rPr>
                <w:rFonts w:ascii="Times New Roman" w:hAnsi="Times New Roman" w:eastAsia="Times New Roman" w:cs="Times New Roman"/>
                <w:b w:val="0"/>
                <w:bCs w:val="0"/>
                <w:sz w:val="22"/>
                <w:szCs w:val="22"/>
              </w:rPr>
              <w:t>P11</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4E5D67D9">
            <w:pPr>
              <w:jc w:val="left"/>
              <w:rPr>
                <w:sz w:val="22"/>
                <w:szCs w:val="22"/>
              </w:rPr>
            </w:pPr>
            <w:r>
              <w:rPr>
                <w:rFonts w:ascii="Times New Roman" w:hAnsi="Times New Roman" w:eastAsia="Times New Roman" w:cs="Times New Roman"/>
                <w:b w:val="0"/>
                <w:bCs w:val="0"/>
                <w:sz w:val="22"/>
                <w:szCs w:val="22"/>
              </w:rPr>
              <w:t>Retail Souvenir Shop</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3B662EF1">
            <w:pPr>
              <w:jc w:val="left"/>
              <w:rPr>
                <w:sz w:val="22"/>
                <w:szCs w:val="22"/>
              </w:rPr>
            </w:pPr>
            <w:r>
              <w:rPr>
                <w:rFonts w:ascii="Times New Roman" w:hAnsi="Times New Roman" w:eastAsia="Times New Roman" w:cs="Times New Roman"/>
                <w:b w:val="0"/>
                <w:bCs w:val="0"/>
                <w:sz w:val="22"/>
                <w:szCs w:val="22"/>
              </w:rPr>
              <w:t>Retail/Souvenir</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7ED9E9DA">
            <w:pPr>
              <w:jc w:val="left"/>
              <w:rPr>
                <w:sz w:val="22"/>
                <w:szCs w:val="22"/>
              </w:rPr>
            </w:pPr>
            <w:r>
              <w:rPr>
                <w:rFonts w:ascii="Times New Roman" w:hAnsi="Times New Roman" w:eastAsia="Times New Roman" w:cs="Times New Roman"/>
                <w:b w:val="0"/>
                <w:bCs w:val="0"/>
                <w:sz w:val="22"/>
                <w:szCs w:val="22"/>
              </w:rPr>
              <w:t>15</w:t>
            </w:r>
          </w:p>
        </w:tc>
      </w:tr>
      <w:tr w14:paraId="2CC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2DBBEAC4">
            <w:pPr>
              <w:jc w:val="left"/>
              <w:rPr>
                <w:sz w:val="22"/>
                <w:szCs w:val="22"/>
              </w:rPr>
            </w:pPr>
            <w:r>
              <w:rPr>
                <w:rFonts w:ascii="Times New Roman" w:hAnsi="Times New Roman" w:eastAsia="Times New Roman" w:cs="Times New Roman"/>
                <w:b w:val="0"/>
                <w:bCs w:val="0"/>
                <w:sz w:val="22"/>
                <w:szCs w:val="22"/>
              </w:rPr>
              <w:t>P12</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21303D65">
            <w:pPr>
              <w:jc w:val="left"/>
              <w:rPr>
                <w:sz w:val="22"/>
                <w:szCs w:val="22"/>
              </w:rPr>
            </w:pPr>
            <w:r>
              <w:rPr>
                <w:rFonts w:ascii="Times New Roman" w:hAnsi="Times New Roman" w:eastAsia="Times New Roman" w:cs="Times New Roman"/>
                <w:b w:val="0"/>
                <w:bCs w:val="0"/>
                <w:sz w:val="22"/>
                <w:szCs w:val="22"/>
              </w:rPr>
              <w:t>Retail Souvenir Shop</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7296978E">
            <w:pPr>
              <w:jc w:val="left"/>
              <w:rPr>
                <w:sz w:val="22"/>
                <w:szCs w:val="22"/>
              </w:rPr>
            </w:pPr>
            <w:r>
              <w:rPr>
                <w:rFonts w:ascii="Times New Roman" w:hAnsi="Times New Roman" w:eastAsia="Times New Roman" w:cs="Times New Roman"/>
                <w:b w:val="0"/>
                <w:bCs w:val="0"/>
                <w:sz w:val="22"/>
                <w:szCs w:val="22"/>
              </w:rPr>
              <w:t>Retail/Souvenir</w:t>
            </w:r>
          </w:p>
        </w:tc>
        <w:tc>
          <w:tcPr>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tcPr>
          <w:p w14:paraId="636EEB88">
            <w:pPr>
              <w:jc w:val="left"/>
              <w:rPr>
                <w:sz w:val="22"/>
                <w:szCs w:val="22"/>
              </w:rPr>
            </w:pPr>
            <w:r>
              <w:rPr>
                <w:rFonts w:ascii="Times New Roman" w:hAnsi="Times New Roman" w:eastAsia="Times New Roman" w:cs="Times New Roman"/>
                <w:b w:val="0"/>
                <w:bCs w:val="0"/>
                <w:sz w:val="22"/>
                <w:szCs w:val="22"/>
              </w:rPr>
              <w:t>20</w:t>
            </w:r>
          </w:p>
        </w:tc>
      </w:tr>
    </w:tbl>
    <w:p w14:paraId="2CB46D15">
      <w:pPr>
        <w:rPr>
          <w:sz w:val="22"/>
          <w:szCs w:val="22"/>
        </w:rPr>
      </w:pPr>
    </w:p>
    <w:p w14:paraId="5BA4A5A2">
      <w:pPr>
        <w:spacing w:before="0" w:after="160" w:line="360" w:lineRule="auto"/>
        <w:ind w:firstLine="720"/>
        <w:jc w:val="both"/>
        <w:rPr>
          <w:sz w:val="22"/>
          <w:szCs w:val="22"/>
        </w:rPr>
      </w:pPr>
      <w:r>
        <w:rPr>
          <w:rFonts w:ascii="Times New Roman" w:hAnsi="Times New Roman" w:eastAsia="Times New Roman" w:cs="Times New Roman"/>
          <w:sz w:val="22"/>
          <w:szCs w:val="22"/>
        </w:rPr>
        <w:t>The twelve participants represent a strategically diverse cross-section of the festival's tourism service economy. Tenure in business ranges from one year (P9) to 25 years (P3), providing perspectives across both established enterprises with deep festival experience and newer entrants experiencing their first or early festival cycles. All participants conduct business within Tacloban City and reported direct revenue activity during the Pintados-Kasadyaan Festival period.</w:t>
      </w:r>
    </w:p>
    <w:p w14:paraId="540805ED">
      <w:pPr>
        <w:spacing w:before="200" w:after="120"/>
        <w:jc w:val="left"/>
        <w:rPr>
          <w:sz w:val="22"/>
          <w:szCs w:val="22"/>
        </w:rPr>
      </w:pPr>
      <w:r>
        <w:rPr>
          <w:rFonts w:ascii="Times New Roman" w:hAnsi="Times New Roman" w:eastAsia="Times New Roman" w:cs="Times New Roman"/>
          <w:b/>
          <w:bCs/>
          <w:sz w:val="22"/>
          <w:szCs w:val="22"/>
        </w:rPr>
        <w:t>4.4 Data Collection</w:t>
      </w:r>
    </w:p>
    <w:p w14:paraId="6A183830">
      <w:pPr>
        <w:spacing w:before="0" w:after="160" w:line="360" w:lineRule="auto"/>
        <w:ind w:firstLine="720"/>
        <w:jc w:val="both"/>
        <w:rPr>
          <w:sz w:val="22"/>
          <w:szCs w:val="22"/>
        </w:rPr>
      </w:pPr>
      <w:r>
        <w:rPr>
          <w:rFonts w:ascii="Times New Roman" w:hAnsi="Times New Roman" w:eastAsia="Times New Roman" w:cs="Times New Roman"/>
          <w:sz w:val="22"/>
          <w:szCs w:val="22"/>
        </w:rPr>
        <w:t>Data were collected through semi-structured, in-depth individual interviews conducted during and immediately after the Pintados-Kasadyaan Festival. An interview guide was developed by the researchers and validated for content, clarity, and relevance through review by an expert in tourism management and a management science scholar, following established instrument validation procedures for qualitative research (Creswell &amp; Poth, 2018). The guide comprised six thematic areas: business profile and festival engagement history; perceived economic impacts on business revenue and employment; supply chain and procurement dynamics during the festival; operational challenges encountered; assessment of industry-government coordination; and recommendations for enhancing festival economic benefits.</w:t>
      </w:r>
    </w:p>
    <w:p w14:paraId="2D098F47">
      <w:pPr>
        <w:spacing w:before="0" w:after="160" w:line="360" w:lineRule="auto"/>
        <w:ind w:firstLine="720"/>
        <w:jc w:val="both"/>
        <w:rPr>
          <w:sz w:val="22"/>
          <w:szCs w:val="22"/>
        </w:rPr>
      </w:pPr>
      <w:r>
        <w:rPr>
          <w:rFonts w:ascii="Times New Roman" w:hAnsi="Times New Roman" w:eastAsia="Times New Roman" w:cs="Times New Roman"/>
          <w:sz w:val="22"/>
          <w:szCs w:val="22"/>
        </w:rPr>
        <w:t>Interviews were conducted in a combination of Filipino and English based on participant preference, recorded with informed consent, and subsequently transcribed verbatim. Interview locations were arranged at participants' business premises or at agreed neutral venues to minimize disruption to business operations during the festival period. Each interview lasted between 45 and 90 minutes. Participant consent was obtained prior to each interview, and participants retained the right to withdraw at any time. Pseudonymous codes (P1–P12) were assigned to all participants to protect identity throughout data collection, analysis, and reporting.</w:t>
      </w:r>
    </w:p>
    <w:p w14:paraId="5BE7C437">
      <w:pPr>
        <w:spacing w:before="200" w:after="120"/>
        <w:jc w:val="left"/>
        <w:rPr>
          <w:sz w:val="22"/>
          <w:szCs w:val="22"/>
        </w:rPr>
      </w:pPr>
      <w:r>
        <w:rPr>
          <w:rFonts w:ascii="Times New Roman" w:hAnsi="Times New Roman" w:eastAsia="Times New Roman" w:cs="Times New Roman"/>
          <w:b/>
          <w:bCs/>
          <w:sz w:val="22"/>
          <w:szCs w:val="22"/>
        </w:rPr>
        <w:t>4.5 Data Analysis</w:t>
      </w:r>
    </w:p>
    <w:p w14:paraId="655C71CD">
      <w:pPr>
        <w:spacing w:before="0" w:after="160" w:line="360" w:lineRule="auto"/>
        <w:ind w:firstLine="720"/>
        <w:jc w:val="both"/>
        <w:rPr>
          <w:sz w:val="22"/>
          <w:szCs w:val="22"/>
        </w:rPr>
      </w:pPr>
      <w:r>
        <w:rPr>
          <w:rFonts w:ascii="Times New Roman" w:hAnsi="Times New Roman" w:eastAsia="Times New Roman" w:cs="Times New Roman"/>
          <w:sz w:val="22"/>
          <w:szCs w:val="22"/>
        </w:rPr>
        <w:t>Transcribed interview data were imported into NVivo 12 qualitative data analysis software and subjected to thematic analysis following the six-phase process described by Braun and Clarke (2006): data familiarization, initial code generation, theme searching, theme review, theme definition and naming, and report production. Initial coding was inductive and line-by-line, capturing the full range of economic experiences, observations, and recommendations expressed by participants. Codes were subsequently grouped into candidate themes through iterative axial coding, with themes evaluated for internal coherence and external distinctiveness.</w:t>
      </w:r>
    </w:p>
    <w:p w14:paraId="0418A1E2">
      <w:pPr>
        <w:spacing w:before="0" w:after="160" w:line="360" w:lineRule="auto"/>
        <w:ind w:firstLine="720"/>
        <w:jc w:val="both"/>
        <w:rPr>
          <w:sz w:val="22"/>
          <w:szCs w:val="22"/>
        </w:rPr>
      </w:pPr>
      <w:r>
        <w:rPr>
          <w:rFonts w:ascii="Times New Roman" w:hAnsi="Times New Roman" w:eastAsia="Times New Roman" w:cs="Times New Roman"/>
          <w:sz w:val="22"/>
          <w:szCs w:val="22"/>
        </w:rPr>
        <w:t>Word frequency and word cloud features of NVivo were employed as supplementary analytical tools to surface dominant linguistic patterns in participants' accounts, providing a visual and quantitative complement to the interpretive thematic analysis. Thematic saturation was assessed after each transcript and confirmed upon completion of all twelve interviews, with no substantively new codes emerging after the tenth participant. Analytical memos were maintained throughout the process to document interpretive decisions and enhance reflexivity. The final thematic structure was reviewed by both researchers to ensure inter-analyst consistency.</w:t>
      </w:r>
    </w:p>
    <w:p w14:paraId="5F96ACF6">
      <w:pPr>
        <w:spacing w:before="200" w:after="120"/>
        <w:jc w:val="left"/>
        <w:rPr>
          <w:sz w:val="22"/>
          <w:szCs w:val="22"/>
        </w:rPr>
      </w:pPr>
      <w:r>
        <w:rPr>
          <w:rFonts w:ascii="Times New Roman" w:hAnsi="Times New Roman" w:eastAsia="Times New Roman" w:cs="Times New Roman"/>
          <w:b/>
          <w:bCs/>
          <w:sz w:val="22"/>
          <w:szCs w:val="22"/>
        </w:rPr>
        <w:t>4.6 Ethical Considerations</w:t>
      </w:r>
    </w:p>
    <w:p w14:paraId="4EC6B55F">
      <w:pPr>
        <w:spacing w:before="0" w:after="160" w:line="360" w:lineRule="auto"/>
        <w:ind w:firstLine="720"/>
        <w:jc w:val="both"/>
        <w:rPr>
          <w:sz w:val="22"/>
          <w:szCs w:val="22"/>
        </w:rPr>
      </w:pPr>
      <w:r>
        <w:rPr>
          <w:rFonts w:ascii="Times New Roman" w:hAnsi="Times New Roman" w:eastAsia="Times New Roman" w:cs="Times New Roman"/>
          <w:sz w:val="22"/>
          <w:szCs w:val="22"/>
        </w:rPr>
        <w:t>The study was conducted in accordance with ethical principles governing qualitative research with human participants. All participants provided informed consent prior to engagement, were briefed on the voluntary nature of their participation, and were assured of the confidentiality of their responses. Pseudonymous codes replaced participant names and business identifiers in all data records, transcripts, and published outputs. Interview scheduling was arranged to minimize intrusion on business operations during the festival period. The research does not involve any vulnerable population groups and posed no foreseeable risk of harm to participants.</w:t>
      </w:r>
    </w:p>
    <w:p w14:paraId="0C7CBA67">
      <w:pPr>
        <w:spacing w:before="240" w:after="160"/>
        <w:jc w:val="center"/>
        <w:rPr>
          <w:sz w:val="22"/>
          <w:szCs w:val="22"/>
        </w:rPr>
      </w:pPr>
      <w:r>
        <w:rPr>
          <w:rFonts w:ascii="Times New Roman" w:hAnsi="Times New Roman" w:eastAsia="Times New Roman" w:cs="Times New Roman"/>
          <w:b/>
          <w:bCs/>
          <w:sz w:val="22"/>
          <w:szCs w:val="22"/>
        </w:rPr>
        <w:t>5. RESULTS AND DISCUSSION</w:t>
      </w:r>
    </w:p>
    <w:p w14:paraId="3501C4FA">
      <w:pPr>
        <w:spacing w:before="0" w:after="160" w:line="360" w:lineRule="auto"/>
        <w:ind w:firstLine="720"/>
        <w:jc w:val="both"/>
        <w:rPr>
          <w:sz w:val="22"/>
          <w:szCs w:val="22"/>
        </w:rPr>
      </w:pPr>
      <w:r>
        <w:rPr>
          <w:rFonts w:ascii="Times New Roman" w:hAnsi="Times New Roman" w:eastAsia="Times New Roman" w:cs="Times New Roman"/>
          <w:sz w:val="22"/>
          <w:szCs w:val="22"/>
        </w:rPr>
        <w:t>Thematic analysis of twelve stakeholder interviews produced five core themes that collectively map the economic landscape of the Pintados-Kasadyaan Festival as experienced by its industry participants. Each theme is presented below with representative participant quotations, interpreted through the theoretical frameworks established in Section 2.</w:t>
      </w:r>
    </w:p>
    <w:p w14:paraId="226D8EE4">
      <w:pPr>
        <w:spacing w:before="200" w:after="120"/>
        <w:jc w:val="left"/>
        <w:rPr>
          <w:sz w:val="22"/>
          <w:szCs w:val="22"/>
        </w:rPr>
      </w:pPr>
      <w:r>
        <w:rPr>
          <w:rFonts w:ascii="Times New Roman" w:hAnsi="Times New Roman" w:eastAsia="Times New Roman" w:cs="Times New Roman"/>
          <w:b/>
          <w:bCs/>
          <w:sz w:val="22"/>
          <w:szCs w:val="22"/>
        </w:rPr>
        <w:t>Theme 1: Festival-Driven Revenue Growth Across Industry Sectors</w:t>
      </w:r>
    </w:p>
    <w:p w14:paraId="509EA31A">
      <w:pPr>
        <w:spacing w:before="0" w:after="160" w:line="360" w:lineRule="auto"/>
        <w:ind w:firstLine="720"/>
        <w:jc w:val="both"/>
        <w:rPr>
          <w:sz w:val="22"/>
          <w:szCs w:val="22"/>
        </w:rPr>
      </w:pPr>
      <w:r>
        <w:rPr>
          <w:rFonts w:ascii="Times New Roman" w:hAnsi="Times New Roman" w:eastAsia="Times New Roman" w:cs="Times New Roman"/>
          <w:sz w:val="22"/>
          <w:szCs w:val="22"/>
        </w:rPr>
        <w:t>The most consistent and cross-sectoral finding of this study is that the Pintados-Kasadyaan Festival generates measurable revenue increases for tourism businesses across all five industry sectors represented in the participant sample. Revenue uplift was reported by every participant, though the magnitude and pattern of growth varied significantly by sector and firm characteristics.</w:t>
      </w:r>
    </w:p>
    <w:p w14:paraId="3D058840">
      <w:pPr>
        <w:spacing w:before="0" w:after="160" w:line="360" w:lineRule="auto"/>
        <w:ind w:firstLine="720"/>
        <w:jc w:val="both"/>
        <w:rPr>
          <w:sz w:val="22"/>
          <w:szCs w:val="22"/>
        </w:rPr>
      </w:pPr>
      <w:r>
        <w:rPr>
          <w:rFonts w:ascii="Times New Roman" w:hAnsi="Times New Roman" w:eastAsia="Times New Roman" w:cs="Times New Roman"/>
          <w:sz w:val="22"/>
          <w:szCs w:val="22"/>
        </w:rPr>
        <w:t>The travel and transport sector reported the most dramatic revenue gains. P7 (Tour &amp; Travel Agency, 12 years' operation) described: "There is an increase of 200% in business compared to the regular months because holding big events such as Pintados Festival gives reason for people to come, visit, and take part in the month-long festivities. Businesses flourish with the influx of balikbayans, ordinary tourists, guests. In the travel industry, guests take the chance to go around and explore the different destinations in the region." This 200-percent increase is consistent with global evidence on travel sector responsiveness to hallmark cultural events, which tend to function as primary travel motivators driving visitor arrivals from beyond the immediate host region (Getz &amp; Page, 2016; Carnegie &amp; McCabe, 2008).</w:t>
      </w:r>
    </w:p>
    <w:p w14:paraId="6A8437C1">
      <w:pPr>
        <w:spacing w:before="0" w:after="160" w:line="360" w:lineRule="auto"/>
        <w:ind w:firstLine="720"/>
        <w:jc w:val="both"/>
        <w:rPr>
          <w:sz w:val="22"/>
          <w:szCs w:val="22"/>
        </w:rPr>
      </w:pPr>
      <w:r>
        <w:rPr>
          <w:rFonts w:ascii="Times New Roman" w:hAnsi="Times New Roman" w:eastAsia="Times New Roman" w:cs="Times New Roman"/>
          <w:sz w:val="22"/>
          <w:szCs w:val="22"/>
        </w:rPr>
        <w:t>In the accommodation sector, P1 (Hotel Manager, 1.5 years' operation) reported: "About 50% increase in sales since we are fully operational, and it has been increasing since Day 1 of the festival." The accommodation sector's revenue profile reflects the festival's role as a multi-day destination event — visitors who travel to Tacloban for the festival generate sustained room demand over the duration of the celebration, providing a more predictable and substantial revenue base than single-day events (Arcodia &amp; Whitford, 2007).</w:t>
      </w:r>
    </w:p>
    <w:p w14:paraId="11A6F9FA">
      <w:pPr>
        <w:spacing w:before="0" w:after="160" w:line="360" w:lineRule="auto"/>
        <w:ind w:firstLine="720"/>
        <w:jc w:val="both"/>
        <w:rPr>
          <w:sz w:val="22"/>
          <w:szCs w:val="22"/>
        </w:rPr>
      </w:pPr>
      <w:r>
        <w:rPr>
          <w:rFonts w:ascii="Times New Roman" w:hAnsi="Times New Roman" w:eastAsia="Times New Roman" w:cs="Times New Roman"/>
          <w:sz w:val="22"/>
          <w:szCs w:val="22"/>
        </w:rPr>
        <w:t>In the food and beverage and retail sectors, revenue increases were described in relative rather than absolute terms, consistent with the smaller operational scale of these enterprises. P4 (Catering Business, 7 years) stated: "The more guests or tourists we have, and the more activities or events during the celebration, the business gets a lot of bookings, increases in sales, and a higher percentage of employment." This supply-demand linkage — where festival visitor volume directly drives booking volumes, staffing requirements, and revenue — illustrates the direct-effect dimension of the tourism multiplier as articulated by Ferrari et al. (2022).</w:t>
      </w:r>
    </w:p>
    <w:p w14:paraId="5B7B0A86">
      <w:pPr>
        <w:spacing w:before="0" w:after="160" w:line="360" w:lineRule="auto"/>
        <w:ind w:firstLine="720"/>
        <w:jc w:val="both"/>
        <w:rPr>
          <w:sz w:val="22"/>
          <w:szCs w:val="22"/>
        </w:rPr>
      </w:pPr>
      <w:r>
        <w:rPr>
          <w:rFonts w:ascii="Times New Roman" w:hAnsi="Times New Roman" w:eastAsia="Times New Roman" w:cs="Times New Roman"/>
          <w:sz w:val="22"/>
          <w:szCs w:val="22"/>
        </w:rPr>
        <w:t>From an industry perspective, these findings confirm that the Pintados-Kasadyaan Festival functions as a significant demand shock for Tacloban City's tourism economy, creating concentrated periods of elevated consumer activity that cross-cut the accommodation, food and beverage, event production, travel, and retail sectors. This multi-sector demand profile is characteristic of hallmark events and distinguishes the Pintados-Kasadyaan Festival from smaller, more narrowly consumed local events (Getz &amp; Page, 2016).</w:t>
      </w:r>
    </w:p>
    <w:p w14:paraId="46BA49F6">
      <w:pPr>
        <w:spacing w:before="200" w:after="120"/>
        <w:jc w:val="left"/>
        <w:rPr>
          <w:sz w:val="22"/>
          <w:szCs w:val="22"/>
        </w:rPr>
      </w:pPr>
      <w:r>
        <w:rPr>
          <w:rFonts w:ascii="Times New Roman" w:hAnsi="Times New Roman" w:eastAsia="Times New Roman" w:cs="Times New Roman"/>
          <w:b/>
          <w:bCs/>
          <w:sz w:val="22"/>
          <w:szCs w:val="22"/>
        </w:rPr>
        <w:t>Theme 2: Tourism Multiplier Effects in the Local Economy</w:t>
      </w:r>
    </w:p>
    <w:p w14:paraId="6E970A07">
      <w:pPr>
        <w:spacing w:before="0" w:after="160" w:line="360" w:lineRule="auto"/>
        <w:ind w:firstLine="720"/>
        <w:jc w:val="both"/>
        <w:rPr>
          <w:sz w:val="22"/>
          <w:szCs w:val="22"/>
        </w:rPr>
      </w:pPr>
      <w:r>
        <w:rPr>
          <w:rFonts w:ascii="Times New Roman" w:hAnsi="Times New Roman" w:eastAsia="Times New Roman" w:cs="Times New Roman"/>
          <w:sz w:val="22"/>
          <w:szCs w:val="22"/>
        </w:rPr>
        <w:t>Beyond direct revenue gains, participants' accounts reflected awareness of — and engagement in — the multiplier dynamics that characterize festival tourism economics. Dominant themes emerging from NVivo word frequency analysis of responses to economic impact questions included: increased income, expanded employment, and growth in business opportunities — precisely the direct, indirect, and induced effects described by tourism multiplier theory (Seetanah &amp; Fauzel, 2025; Sciindex, 2025).</w:t>
      </w:r>
    </w:p>
    <w:p w14:paraId="345D181D">
      <w:pPr>
        <w:spacing w:before="0" w:after="160" w:line="360" w:lineRule="auto"/>
        <w:ind w:firstLine="720"/>
        <w:jc w:val="both"/>
        <w:rPr>
          <w:sz w:val="22"/>
          <w:szCs w:val="22"/>
        </w:rPr>
      </w:pPr>
      <w:r>
        <w:rPr>
          <w:rFonts w:ascii="Times New Roman" w:hAnsi="Times New Roman" w:eastAsia="Times New Roman" w:cs="Times New Roman"/>
          <w:sz w:val="22"/>
          <w:szCs w:val="22"/>
        </w:rPr>
        <w:t>Employment generation was a particularly prominent theme across sectors. P4 reported that festival demand directly translates into staffing increases: "the business gets a lot of bookings, increases of sales and percentage of employment." This aligns with John's (2023) finding that festivals create temporary employment across coordination, hospitality, logistics, and vendor operations, providing seasonal income support that is especially significant for workers in informal or casual employment arrangements. In the Philippine context, where approximately 19 percent of employed persons are in informal or vulnerable employment arrangements (Philippine Statistics Authority, 2023), the temporary job creation effect of the festival carries meaningful household-level economic significance.</w:t>
      </w:r>
    </w:p>
    <w:p w14:paraId="319A3700">
      <w:pPr>
        <w:spacing w:before="0" w:after="160" w:line="360" w:lineRule="auto"/>
        <w:ind w:firstLine="720"/>
        <w:jc w:val="both"/>
        <w:rPr>
          <w:sz w:val="22"/>
          <w:szCs w:val="22"/>
        </w:rPr>
      </w:pPr>
      <w:r>
        <w:rPr>
          <w:rFonts w:ascii="Times New Roman" w:hAnsi="Times New Roman" w:eastAsia="Times New Roman" w:cs="Times New Roman"/>
          <w:sz w:val="22"/>
          <w:szCs w:val="22"/>
        </w:rPr>
        <w:t>Indirect supply chain effects were evident in participants' descriptions of increased procurement activities during the festival period. However, these same indirect linkages were also a source of operational stress: P2 (Food Business, 18 years) noted that cost of supplies increases during the season due to rising demand, indicating that commodity price inflation during the festival period represents a transmission mechanism that redistributes some economic gains from SME operators upstream to input suppliers. This dynamic is consistent with O'Sullivan and Jackson's (2002) observation that the true net economic value of visitor spend is more complex to calculate than gross revenue figures suggest, as cost escalation during peak demand can erode operating margins.</w:t>
      </w:r>
    </w:p>
    <w:p w14:paraId="7DAD7C90">
      <w:pPr>
        <w:spacing w:before="0" w:after="160" w:line="360" w:lineRule="auto"/>
        <w:ind w:firstLine="720"/>
        <w:jc w:val="both"/>
        <w:rPr>
          <w:sz w:val="22"/>
          <w:szCs w:val="22"/>
        </w:rPr>
      </w:pPr>
      <w:r>
        <w:rPr>
          <w:rFonts w:ascii="Times New Roman" w:hAnsi="Times New Roman" w:eastAsia="Times New Roman" w:cs="Times New Roman"/>
          <w:sz w:val="22"/>
          <w:szCs w:val="22"/>
        </w:rPr>
        <w:t>The combined evidence from participant accounts indicates that the Pintados-Kasadyaan Festival generates a tourism multiplier consistent with the lower range documented in developing economy contexts — approximately 1.5 to 2.0 times the direct visitor expenditure (Seetanah &amp; Fauzel, 2025) — though a formal Input-Output calculation would be required to produce a precise multiplier estimate for Tacloban City. This represents both an affirmation of the festival's economic significance and a baseline against which future interventions to reduce economic leakage and strengthen local supply chains might be measured.</w:t>
      </w:r>
    </w:p>
    <w:p w14:paraId="719EF45C">
      <w:pPr>
        <w:spacing w:before="200" w:after="120"/>
        <w:jc w:val="left"/>
        <w:rPr>
          <w:sz w:val="22"/>
          <w:szCs w:val="22"/>
        </w:rPr>
      </w:pPr>
      <w:r>
        <w:rPr>
          <w:rFonts w:ascii="Times New Roman" w:hAnsi="Times New Roman" w:eastAsia="Times New Roman" w:cs="Times New Roman"/>
          <w:b/>
          <w:bCs/>
          <w:sz w:val="22"/>
          <w:szCs w:val="22"/>
        </w:rPr>
        <w:t>Theme 3: The Festival's Strategic Position and Industry Value</w:t>
      </w:r>
    </w:p>
    <w:p w14:paraId="28C3258B">
      <w:pPr>
        <w:spacing w:before="0" w:after="160" w:line="360" w:lineRule="auto"/>
        <w:ind w:firstLine="720"/>
        <w:jc w:val="both"/>
        <w:rPr>
          <w:sz w:val="22"/>
          <w:szCs w:val="22"/>
        </w:rPr>
      </w:pPr>
      <w:r>
        <w:rPr>
          <w:rFonts w:ascii="Times New Roman" w:hAnsi="Times New Roman" w:eastAsia="Times New Roman" w:cs="Times New Roman"/>
          <w:sz w:val="22"/>
          <w:szCs w:val="22"/>
        </w:rPr>
        <w:t>Participants' assessments of the festival's impact on the broader local tourism industry revealed a nuanced picture that reflects the festival's current positioning as a Regional Event with strong hallmark potential, as described by Getz and Page's (2016) Event Portfolio Framework. Word frequency analysis of responses to industry-level impact questions surfaced the themes of more events, more tourists, and increased tourist traffic as the primary perceived outcomes — consistent with the medium-value, medium-tourist-demand profile of the Regional Event tier.</w:t>
      </w:r>
    </w:p>
    <w:p w14:paraId="2D1EA3F5">
      <w:pPr>
        <w:spacing w:before="0" w:after="160" w:line="360" w:lineRule="auto"/>
        <w:ind w:firstLine="720"/>
        <w:jc w:val="both"/>
        <w:rPr>
          <w:sz w:val="22"/>
          <w:szCs w:val="22"/>
        </w:rPr>
      </w:pPr>
      <w:r>
        <w:rPr>
          <w:rFonts w:ascii="Times New Roman" w:hAnsi="Times New Roman" w:eastAsia="Times New Roman" w:cs="Times New Roman"/>
          <w:sz w:val="22"/>
          <w:szCs w:val="22"/>
        </w:rPr>
        <w:t>P7 provided the most expansive assessment of the festival's industry-level significance: "Businesses flourish with the influx of balikbayans, ordinary tourists, guests. In the travel industry, guests take the chance to go around and explore the different destinations here in the region." This "halo effect" — where the festival serves as a primary travel motivator that subsequently distributes visitor spending across other regional attractions and businesses — is precisely the mechanism through which hallmark events generate compounding destination marketing value (Getz &amp; Page, 2016).</w:t>
      </w:r>
    </w:p>
    <w:p w14:paraId="4890F08C">
      <w:pPr>
        <w:spacing w:before="0" w:after="160" w:line="360" w:lineRule="auto"/>
        <w:ind w:firstLine="720"/>
        <w:jc w:val="both"/>
        <w:rPr>
          <w:sz w:val="22"/>
          <w:szCs w:val="22"/>
        </w:rPr>
      </w:pPr>
      <w:r>
        <w:rPr>
          <w:rFonts w:ascii="Times New Roman" w:hAnsi="Times New Roman" w:eastAsia="Times New Roman" w:cs="Times New Roman"/>
          <w:sz w:val="22"/>
          <w:szCs w:val="22"/>
        </w:rPr>
        <w:t>However, P6 (Lights &amp; Sound Production, 15 years) offered a more cautious assessment: "There is an increase in our sales yearly, but statistics show a very unpredictable pattern of sales as the income relies only on the upcoming events of our clients." This account highlights a significant structural vulnerability in the event production sector: business performance is entirely contingent on the event calendar, creating boom-and-bust revenue cycles that are difficult to plan around and that limit investment in capacity expansion. This pattern of irregular, event-driven demand is characteristic of service businesses that operate in what Carnegie and McCabe (2008) term "re-enactment event" ecosystems — industries whose economic fortunes are structurally tied to the continuity of the event programming that anchors them.</w:t>
      </w:r>
    </w:p>
    <w:p w14:paraId="2563C7CD">
      <w:pPr>
        <w:spacing w:before="0" w:after="160" w:line="360" w:lineRule="auto"/>
        <w:ind w:firstLine="720"/>
        <w:jc w:val="both"/>
        <w:rPr>
          <w:sz w:val="22"/>
          <w:szCs w:val="22"/>
        </w:rPr>
      </w:pPr>
      <w:r>
        <w:rPr>
          <w:rFonts w:ascii="Times New Roman" w:hAnsi="Times New Roman" w:eastAsia="Times New Roman" w:cs="Times New Roman"/>
          <w:sz w:val="22"/>
          <w:szCs w:val="22"/>
        </w:rPr>
        <w:t>From a destination management perspective, these findings suggest that elevating the Pintados-Kasadyaan Festival toward hallmark event status — by securing long-term institutional support, increasing marketing investment, and extending the reach of its international promotion — would produce compounding benefits for the tourism industry ecosystem as a whole. This aspiration aligns with the National Tourism Development Plan 2023–2028's emphasis on cultural heritage events as instruments of regional economic development (Philippine Department of Tourism, 2023).</w:t>
      </w:r>
    </w:p>
    <w:p w14:paraId="3A0FBF38">
      <w:pPr>
        <w:spacing w:before="200" w:after="120"/>
        <w:jc w:val="left"/>
        <w:rPr>
          <w:sz w:val="22"/>
          <w:szCs w:val="22"/>
        </w:rPr>
      </w:pPr>
      <w:r>
        <w:rPr>
          <w:rFonts w:ascii="Times New Roman" w:hAnsi="Times New Roman" w:eastAsia="Times New Roman" w:cs="Times New Roman"/>
          <w:b/>
          <w:bCs/>
          <w:sz w:val="22"/>
          <w:szCs w:val="22"/>
        </w:rPr>
        <w:t>Theme 4: Operational and Supply-Side Challenges</w:t>
      </w:r>
    </w:p>
    <w:p w14:paraId="4A941BB7">
      <w:pPr>
        <w:spacing w:before="0" w:after="160" w:line="360" w:lineRule="auto"/>
        <w:ind w:firstLine="720"/>
        <w:jc w:val="both"/>
        <w:rPr>
          <w:sz w:val="22"/>
          <w:szCs w:val="22"/>
        </w:rPr>
      </w:pPr>
      <w:r>
        <w:rPr>
          <w:rFonts w:ascii="Times New Roman" w:hAnsi="Times New Roman" w:eastAsia="Times New Roman" w:cs="Times New Roman"/>
          <w:sz w:val="22"/>
          <w:szCs w:val="22"/>
        </w:rPr>
        <w:t>Despite the broadly positive economic outcomes reported in Themes 1 through 3, participants consistently identified recurring operational and supply-side challenges that constrain their capacity to fully capture festival-driven economic opportunities. NVivo analysis surfaced four dominant challenge categories: inadequate and poorly maintained public facilities, adverse weather conditions, forced vendor relocation, and supply shortages and price escalation during peak demand.</w:t>
      </w:r>
    </w:p>
    <w:p w14:paraId="3237B375">
      <w:pPr>
        <w:spacing w:before="0" w:after="160" w:line="360" w:lineRule="auto"/>
        <w:ind w:firstLine="720"/>
        <w:jc w:val="both"/>
        <w:rPr>
          <w:sz w:val="22"/>
          <w:szCs w:val="22"/>
        </w:rPr>
      </w:pPr>
      <w:r>
        <w:rPr>
          <w:rFonts w:ascii="Times New Roman" w:hAnsi="Times New Roman" w:eastAsia="Times New Roman" w:cs="Times New Roman"/>
          <w:sz w:val="22"/>
          <w:szCs w:val="22"/>
        </w:rPr>
        <w:t>Infrastructure deficits were the most widely cited constraint. P12 (Retail Souvenir Shop, 20 years) stated: "Public comfort rooms, weather problems, and relocation of stalls are repeated challenges during the festival." These recurring logistical failures — inadequate sanitation, disrupted vendor locations, and weather vulnerability — are consistent with the infrastructure challenges documented in festival tourism literature across developing economy contexts (Rivera &amp; Andrada, 2024; Harmer &amp; Rogerson, 2017). Their persistence across multiple festival cycles suggests systemic governance gaps in festival infrastructure planning rather than isolated operational failures.</w:t>
      </w:r>
    </w:p>
    <w:p w14:paraId="0CBCC0F3">
      <w:pPr>
        <w:spacing w:before="0" w:after="160" w:line="360" w:lineRule="auto"/>
        <w:ind w:firstLine="720"/>
        <w:jc w:val="both"/>
        <w:rPr>
          <w:sz w:val="22"/>
          <w:szCs w:val="22"/>
        </w:rPr>
      </w:pPr>
      <w:r>
        <w:rPr>
          <w:rFonts w:ascii="Times New Roman" w:hAnsi="Times New Roman" w:eastAsia="Times New Roman" w:cs="Times New Roman"/>
          <w:sz w:val="22"/>
          <w:szCs w:val="22"/>
        </w:rPr>
        <w:t>Supply chain disruptions and commodity price inflation represent a distinct economic challenge, particularly for food and beverage operators. P2 observed: "During the season, cost of supplies goes up because of the increase in demand." This demand-pull inflation in input prices erodes operating margins for SMEs that are unable to pass the full cost increase to customers — particularly street food and catering operators serving price-sensitive domestic visitors. The limited bargaining power of individual SMEs in the face of supply chain price escalation points to a potential role for collective procurement arrangements or LGU-facilitated supply chain coordination mechanisms.</w:t>
      </w:r>
    </w:p>
    <w:p w14:paraId="54E78E09">
      <w:pPr>
        <w:spacing w:before="0" w:after="160" w:line="360" w:lineRule="auto"/>
        <w:ind w:firstLine="720"/>
        <w:jc w:val="both"/>
        <w:rPr>
          <w:sz w:val="22"/>
          <w:szCs w:val="22"/>
        </w:rPr>
      </w:pPr>
      <w:r>
        <w:rPr>
          <w:rFonts w:ascii="Times New Roman" w:hAnsi="Times New Roman" w:eastAsia="Times New Roman" w:cs="Times New Roman"/>
          <w:sz w:val="22"/>
          <w:szCs w:val="22"/>
        </w:rPr>
        <w:t>These challenges are not merely operational inconveniences; they represent structural constraints on the realization of the festival's full economic potential. When visitors encounter inadequate sanitation, displaced vendors, or quality-compromised food products, the damage extends beyond immediate consumer dissatisfaction to the festival's long-term reputational capital — the very asset that underpins its capacity to attract return visitors and elevate toward hallmark status (Carnegie &amp; McCabe, 2008; Getz &amp; Page, 2016).</w:t>
      </w:r>
    </w:p>
    <w:p w14:paraId="2291B890">
      <w:pPr>
        <w:spacing w:before="200" w:after="120"/>
        <w:jc w:val="left"/>
        <w:rPr>
          <w:sz w:val="22"/>
          <w:szCs w:val="22"/>
        </w:rPr>
      </w:pPr>
      <w:r>
        <w:rPr>
          <w:rFonts w:ascii="Times New Roman" w:hAnsi="Times New Roman" w:eastAsia="Times New Roman" w:cs="Times New Roman"/>
          <w:b/>
          <w:bCs/>
          <w:sz w:val="22"/>
          <w:szCs w:val="22"/>
        </w:rPr>
        <w:t>Theme 5: Stakeholder Recommendations for Industry-Government Collaboration</w:t>
      </w:r>
    </w:p>
    <w:p w14:paraId="4F026D70">
      <w:pPr>
        <w:spacing w:before="0" w:after="160" w:line="360" w:lineRule="auto"/>
        <w:ind w:firstLine="720"/>
        <w:jc w:val="both"/>
        <w:rPr>
          <w:sz w:val="22"/>
          <w:szCs w:val="22"/>
        </w:rPr>
      </w:pPr>
      <w:r>
        <w:rPr>
          <w:rFonts w:ascii="Times New Roman" w:hAnsi="Times New Roman" w:eastAsia="Times New Roman" w:cs="Times New Roman"/>
          <w:sz w:val="22"/>
          <w:szCs w:val="22"/>
        </w:rPr>
        <w:t>Recognizing that operational challenges require systemic rather than individual solutions, participants offered a coherent set of recommendations centered on enhanced public-private coordination, regulatory reform, and proactive infrastructure management. These recommendations reflect sophisticated awareness of the governance structures that mediate between festival economics and business performance outcomes.</w:t>
      </w:r>
    </w:p>
    <w:p w14:paraId="77E86D18">
      <w:pPr>
        <w:spacing w:before="0" w:after="160" w:line="360" w:lineRule="auto"/>
        <w:ind w:firstLine="720"/>
        <w:jc w:val="both"/>
        <w:rPr>
          <w:sz w:val="22"/>
          <w:szCs w:val="22"/>
        </w:rPr>
      </w:pPr>
      <w:r>
        <w:rPr>
          <w:rFonts w:ascii="Times New Roman" w:hAnsi="Times New Roman" w:eastAsia="Times New Roman" w:cs="Times New Roman"/>
          <w:sz w:val="22"/>
          <w:szCs w:val="22"/>
        </w:rPr>
        <w:t>P5 (Event Organizer, 15 years) articulated the core governance recommendation: "There should be a consultation among businessmen and organizers of the festivals and a conducive selling place for street vendors." This call for structured stakeholder dialogue reflects the event portfolio management literature's emphasis on collaborative governance as a prerequisite for maximizing the community economic value of planned events (Getz &amp; Page, 2016; Ziakas &amp; Getz, 2021). Institutionalized consultation between the Pintados Foundation, LGU Tacloban, Department of Tourism regional office, and business sector representatives would create a governance mechanism for addressing recurring challenges in an evidence-based, collaborative manner.</w:t>
      </w:r>
    </w:p>
    <w:p w14:paraId="1CFAF434">
      <w:pPr>
        <w:spacing w:before="0" w:after="160" w:line="360" w:lineRule="auto"/>
        <w:ind w:firstLine="720"/>
        <w:jc w:val="both"/>
        <w:rPr>
          <w:sz w:val="22"/>
          <w:szCs w:val="22"/>
        </w:rPr>
      </w:pPr>
      <w:r>
        <w:rPr>
          <w:rFonts w:ascii="Times New Roman" w:hAnsi="Times New Roman" w:eastAsia="Times New Roman" w:cs="Times New Roman"/>
          <w:sz w:val="22"/>
          <w:szCs w:val="22"/>
        </w:rPr>
        <w:t>P8 (T-Shirt Printing, 4 years) raised the issue of stall rental escalation: "</w:t>
      </w:r>
      <w:r>
        <w:rPr>
          <w:rFonts w:ascii="Times New Roman" w:hAnsi="Times New Roman" w:eastAsia="Times New Roman" w:cs="Times New Roman"/>
          <w:i/>
          <w:iCs/>
          <w:sz w:val="22"/>
          <w:szCs w:val="22"/>
        </w:rPr>
        <w:t>There should be no increase of rent every year."</w:t>
      </w:r>
      <w:r>
        <w:rPr>
          <w:rFonts w:ascii="Times New Roman" w:hAnsi="Times New Roman" w:eastAsia="Times New Roman" w:cs="Times New Roman"/>
          <w:sz w:val="22"/>
          <w:szCs w:val="22"/>
        </w:rPr>
        <w:t xml:space="preserve"> This concern points to a rent governance issue that disproportionately affects micro-enterprises with limited cash reserves, and potentially crowds out informal vendors and community-based entrepreneurs in favor of better-capitalized operators — an outcome antithetical to the inclusive economic development goals that festival tourism is intended to serve (Mxunyelwa &amp; Tshetu, 2018; Rivera et al., 2022).</w:t>
      </w:r>
    </w:p>
    <w:p w14:paraId="7A2AABCD">
      <w:pPr>
        <w:spacing w:before="0" w:after="160" w:line="360" w:lineRule="auto"/>
        <w:ind w:firstLine="720"/>
        <w:jc w:val="both"/>
        <w:rPr>
          <w:sz w:val="22"/>
          <w:szCs w:val="22"/>
        </w:rPr>
      </w:pPr>
      <w:r>
        <w:rPr>
          <w:rFonts w:ascii="Times New Roman" w:hAnsi="Times New Roman" w:eastAsia="Times New Roman" w:cs="Times New Roman"/>
          <w:sz w:val="22"/>
          <w:szCs w:val="22"/>
        </w:rPr>
        <w:t>Other recommendations identified through NVivo analysis included: systematic monitoring and maintenance of public facilities in the weeks leading up to the festival, enhanced digital promotion of the festival to expand both domestic and international visitor draw, and improved vendor space allocation systems that provide transparent, equitable access to prime selling locations. Collectively, these recommendations outline an actionable agenda for a public-private festival management committee — a structure aligned with international best practices in destination event management (Getz &amp; Page, 2016; Philippine Department of Tourism, 2023).</w:t>
      </w:r>
    </w:p>
    <w:p w14:paraId="1CA9A3C8">
      <w:pPr>
        <w:spacing w:before="240" w:after="160"/>
        <w:jc w:val="center"/>
        <w:rPr>
          <w:sz w:val="22"/>
          <w:szCs w:val="22"/>
        </w:rPr>
      </w:pPr>
      <w:r>
        <w:rPr>
          <w:rFonts w:ascii="Times New Roman" w:hAnsi="Times New Roman" w:eastAsia="Times New Roman" w:cs="Times New Roman"/>
          <w:b/>
          <w:bCs/>
          <w:sz w:val="22"/>
          <w:szCs w:val="22"/>
        </w:rPr>
        <w:t>6. CONCLUSIONS AND RECOMMENDATIONS</w:t>
      </w:r>
    </w:p>
    <w:p w14:paraId="41930C67">
      <w:pPr>
        <w:spacing w:before="200" w:after="120"/>
        <w:jc w:val="left"/>
        <w:rPr>
          <w:sz w:val="22"/>
          <w:szCs w:val="22"/>
        </w:rPr>
      </w:pPr>
      <w:r>
        <w:rPr>
          <w:rFonts w:ascii="Times New Roman" w:hAnsi="Times New Roman" w:eastAsia="Times New Roman" w:cs="Times New Roman"/>
          <w:b/>
          <w:bCs/>
          <w:sz w:val="22"/>
          <w:szCs w:val="22"/>
        </w:rPr>
        <w:t>6.1 Conclusions</w:t>
      </w:r>
    </w:p>
    <w:p w14:paraId="529497AF">
      <w:pPr>
        <w:spacing w:before="0" w:after="160" w:line="360" w:lineRule="auto"/>
        <w:ind w:firstLine="720"/>
        <w:jc w:val="both"/>
        <w:rPr>
          <w:sz w:val="22"/>
          <w:szCs w:val="22"/>
        </w:rPr>
      </w:pPr>
      <w:r>
        <w:rPr>
          <w:rFonts w:ascii="Times New Roman" w:hAnsi="Times New Roman" w:eastAsia="Times New Roman" w:cs="Times New Roman"/>
          <w:sz w:val="22"/>
          <w:szCs w:val="22"/>
        </w:rPr>
        <w:t>This phenomenological study documents that the Pintados-Kasadyaan Festival generates meaningful and multi-sectoral economic impacts for tourism industry stakeholders in Tacloban City, Leyte. Revenue increases — ranging from approximately 50 percent in accommodation to 200 percent in travel services — are accompanied by employment generation and stimulation of upstream supply chain activity, collectively reflecting a tourism multiplier dynamic consistent with theoretical predictions and comparable empirical evidence from developing economy festival contexts.</w:t>
      </w:r>
    </w:p>
    <w:p w14:paraId="0AFD7786">
      <w:pPr>
        <w:spacing w:before="0" w:after="160" w:line="360" w:lineRule="auto"/>
        <w:ind w:firstLine="720"/>
        <w:jc w:val="both"/>
        <w:rPr>
          <w:sz w:val="22"/>
          <w:szCs w:val="22"/>
        </w:rPr>
      </w:pPr>
      <w:r>
        <w:rPr>
          <w:rFonts w:ascii="Times New Roman" w:hAnsi="Times New Roman" w:eastAsia="Times New Roman" w:cs="Times New Roman"/>
          <w:sz w:val="22"/>
          <w:szCs w:val="22"/>
        </w:rPr>
        <w:t>Interpreted through Getz and Page's (2016) Event Tourism Portfolio Framework, the Pintados-Kasadyaan Festival currently occupies the Regional Event tier with clear aspirational trajectory toward Permanent Hallmark Event status. Sustained institutional support, strengthened community engagement, and strategic marketing investment are identified as the conditions under which this elevation can be achieved — a transition that would generate compounding, long-term destination branding value and more resilient economic outcomes for host industry stakeholders.</w:t>
      </w:r>
    </w:p>
    <w:p w14:paraId="7B843FD3">
      <w:pPr>
        <w:spacing w:before="0" w:after="160" w:line="360" w:lineRule="auto"/>
        <w:ind w:firstLine="720"/>
        <w:jc w:val="both"/>
        <w:rPr>
          <w:sz w:val="22"/>
          <w:szCs w:val="22"/>
        </w:rPr>
      </w:pPr>
      <w:r>
        <w:rPr>
          <w:rFonts w:ascii="Times New Roman" w:hAnsi="Times New Roman" w:eastAsia="Times New Roman" w:cs="Times New Roman"/>
          <w:sz w:val="22"/>
          <w:szCs w:val="22"/>
        </w:rPr>
        <w:t>However, the festival's economic potential is currently constrained by recurring operational challenges — inadequate public facilities, supply chain disruptions, inequitable vendor space allocation, and commodity price inflation — that erode both visitor experience quality and SME operating margins. These challenges are systemic in nature and require coordinated public-private governance responses rather than ad hoc individual adaptations.</w:t>
      </w:r>
    </w:p>
    <w:p w14:paraId="3364A127">
      <w:pPr>
        <w:spacing w:before="200" w:after="120"/>
        <w:jc w:val="left"/>
        <w:rPr>
          <w:sz w:val="22"/>
          <w:szCs w:val="22"/>
        </w:rPr>
      </w:pPr>
      <w:r>
        <w:rPr>
          <w:rFonts w:ascii="Times New Roman" w:hAnsi="Times New Roman" w:eastAsia="Times New Roman" w:cs="Times New Roman"/>
          <w:b/>
          <w:bCs/>
          <w:sz w:val="22"/>
          <w:szCs w:val="22"/>
        </w:rPr>
        <w:t>6.2 Recommendations</w:t>
      </w:r>
    </w:p>
    <w:p w14:paraId="6F0AABF2">
      <w:pPr>
        <w:spacing w:before="0" w:after="160" w:line="360" w:lineRule="auto"/>
        <w:ind w:firstLine="720"/>
        <w:jc w:val="both"/>
        <w:rPr>
          <w:sz w:val="22"/>
          <w:szCs w:val="22"/>
        </w:rPr>
      </w:pPr>
      <w:r>
        <w:rPr>
          <w:rFonts w:ascii="Times New Roman" w:hAnsi="Times New Roman" w:eastAsia="Times New Roman" w:cs="Times New Roman"/>
          <w:sz w:val="22"/>
          <w:szCs w:val="22"/>
        </w:rPr>
        <w:t>Based on the findings and their theoretical interpretation, this study advances the following recommendations:</w:t>
      </w:r>
    </w:p>
    <w:p w14:paraId="541D6166">
      <w:pPr>
        <w:spacing w:before="40" w:after="40" w:line="360" w:lineRule="auto"/>
        <w:ind w:left="720" w:hanging="360"/>
        <w:jc w:val="both"/>
        <w:rPr>
          <w:sz w:val="22"/>
          <w:szCs w:val="22"/>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Establish a Pintados-Kasadyaan Festival Economic Development Committee, comprising representatives from LGU Tacloban, the Pintados Foundation, the Department of Tourism – Eastern Visayas regional office, and business sector associations, to provide year-round coordination of festival infrastructure, vendor management, and supply chain governance.</w:t>
      </w:r>
    </w:p>
    <w:p w14:paraId="0AD2C3FF">
      <w:pPr>
        <w:spacing w:before="40" w:after="40" w:line="360" w:lineRule="auto"/>
        <w:ind w:left="720" w:hanging="360"/>
        <w:jc w:val="both"/>
        <w:rPr>
          <w:sz w:val="22"/>
          <w:szCs w:val="22"/>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Implement a festival stall rental policy that stabilizes annual rental rates for micro and small enterprises, indexed to prevailing business performance metrics rather than market speculation, to protect inclusive vendor participation.</w:t>
      </w:r>
    </w:p>
    <w:p w14:paraId="7062FD5E">
      <w:pPr>
        <w:spacing w:before="40" w:after="40" w:line="360" w:lineRule="auto"/>
        <w:ind w:left="720" w:hanging="360"/>
        <w:jc w:val="both"/>
        <w:rPr>
          <w:sz w:val="22"/>
          <w:szCs w:val="22"/>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Develop a festival supply chain coordination program that aggregates SME procurement demands and facilitates collective purchasing arrangements to mitigate commodity price escalation during peak demand periods.</w:t>
      </w:r>
    </w:p>
    <w:p w14:paraId="2564D61C">
      <w:pPr>
        <w:spacing w:before="40" w:after="40" w:line="360" w:lineRule="auto"/>
        <w:ind w:left="720" w:hanging="360"/>
        <w:jc w:val="both"/>
        <w:rPr>
          <w:sz w:val="22"/>
          <w:szCs w:val="22"/>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Commission a formal tourism economic impact assessment for the Pintados-Kasadyaan Festival using Input-Output or Social Accounting Matrix methodology to generate baseline multiplier estimates and provide evidence-based advocacy data for increased government tourism investment.</w:t>
      </w:r>
    </w:p>
    <w:p w14:paraId="3B67240A">
      <w:pPr>
        <w:spacing w:before="40" w:after="40" w:line="360" w:lineRule="auto"/>
        <w:ind w:left="720" w:hanging="360"/>
        <w:jc w:val="both"/>
        <w:rPr>
          <w:sz w:val="22"/>
          <w:szCs w:val="22"/>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Invest in a multi-year digital marketing strategy targeting international balikbayan and diaspora tourism segments, leveraging the festival's unique cultural heritage narrative — the pre-colonial tattooing traditions of the Visayan pintados — to differentiate the event in regional and international festival tourism markets.</w:t>
      </w:r>
    </w:p>
    <w:p w14:paraId="74DEB359">
      <w:pPr>
        <w:spacing w:before="200" w:after="120"/>
        <w:jc w:val="left"/>
        <w:rPr>
          <w:sz w:val="22"/>
          <w:szCs w:val="22"/>
        </w:rPr>
      </w:pPr>
      <w:r>
        <w:rPr>
          <w:rFonts w:ascii="Times New Roman" w:hAnsi="Times New Roman" w:eastAsia="Times New Roman" w:cs="Times New Roman"/>
          <w:b/>
          <w:bCs/>
          <w:sz w:val="22"/>
          <w:szCs w:val="22"/>
        </w:rPr>
        <w:t>6.3 Limitations and Future Research Directions</w:t>
      </w:r>
    </w:p>
    <w:p w14:paraId="51A01B09">
      <w:pPr>
        <w:spacing w:before="0" w:after="160" w:line="360" w:lineRule="auto"/>
        <w:ind w:firstLine="720"/>
        <w:jc w:val="both"/>
        <w:rPr>
          <w:sz w:val="22"/>
          <w:szCs w:val="22"/>
        </w:rPr>
      </w:pPr>
      <w:r>
        <w:rPr>
          <w:rFonts w:ascii="Times New Roman" w:hAnsi="Times New Roman" w:eastAsia="Times New Roman" w:cs="Times New Roman"/>
          <w:sz w:val="22"/>
          <w:szCs w:val="22"/>
        </w:rPr>
        <w:t>This study is subject to several limitations that should be considered when interpreting its findings. The sample of twelve participants, while sufficient for phenomenological depth, limits the representativeness of findings across the full population of Tacloban City tourism enterprises. The study captures participant experiences from a specific pre-pandemic study period; longitudinal follow-up research documenting post-pandemic recovery dynamics and the festival's 2022–2024 economic performance would add significant contemporary value. Future studies should consider triangulating qualitative findings with festival visitor expenditure surveys and LGU economic data to produce integrated, mixed-method economic impact assessments. Comparative analysis with other regional hallmark events in Eastern Visayas and across the Philippines would further contextualize the Pintados-Kasadyaan Festival's relative economic significance and inform destination event portfolio strategy at the regional level.</w:t>
      </w:r>
    </w:p>
    <w:p w14:paraId="5911877C">
      <w:pPr>
        <w:spacing w:before="240" w:after="160"/>
        <w:jc w:val="center"/>
        <w:rPr>
          <w:sz w:val="22"/>
          <w:szCs w:val="22"/>
        </w:rPr>
      </w:pPr>
      <w:r>
        <w:rPr>
          <w:rFonts w:ascii="Times New Roman" w:hAnsi="Times New Roman" w:eastAsia="Times New Roman" w:cs="Times New Roman"/>
          <w:b/>
          <w:bCs/>
          <w:sz w:val="22"/>
          <w:szCs w:val="22"/>
        </w:rPr>
        <w:t>REFERENCES</w:t>
      </w:r>
    </w:p>
    <w:p w14:paraId="6B17A752">
      <w:pPr>
        <w:spacing w:before="0" w:after="160" w:line="360" w:lineRule="auto"/>
        <w:jc w:val="both"/>
        <w:rPr>
          <w:sz w:val="22"/>
          <w:szCs w:val="22"/>
        </w:rPr>
      </w:pPr>
      <w:r>
        <w:rPr>
          <w:rFonts w:ascii="Times New Roman" w:hAnsi="Times New Roman" w:eastAsia="Times New Roman" w:cs="Times New Roman"/>
          <w:sz w:val="22"/>
          <w:szCs w:val="22"/>
        </w:rPr>
        <w:t>AMRO Asia. (2025). Unlocking the next phase of Philippines' tourism growth. ASEAN+3 Macroeconomic Research Office. https://amro-asia.org/unlocking-the-next-phase-of-philippines-tourism-growth</w:t>
      </w:r>
    </w:p>
    <w:p w14:paraId="0E7CCBF8">
      <w:pPr>
        <w:spacing w:before="0" w:after="160" w:line="360" w:lineRule="auto"/>
        <w:jc w:val="both"/>
        <w:rPr>
          <w:sz w:val="22"/>
          <w:szCs w:val="22"/>
        </w:rPr>
      </w:pPr>
      <w:r>
        <w:rPr>
          <w:rFonts w:ascii="Times New Roman" w:hAnsi="Times New Roman" w:eastAsia="Times New Roman" w:cs="Times New Roman"/>
          <w:sz w:val="22"/>
          <w:szCs w:val="22"/>
        </w:rPr>
        <w:t>Arcodia, C., &amp; Whitford, M. (2007). Festival attendance and the development of social capital. Journal of Convention &amp; Event Tourism, 8(2), 1–18. https://doi.org/10.1300/J452v08n02_01</w:t>
      </w:r>
    </w:p>
    <w:p w14:paraId="33F237EA">
      <w:pPr>
        <w:spacing w:before="0" w:after="160" w:line="360" w:lineRule="auto"/>
        <w:jc w:val="both"/>
        <w:rPr>
          <w:sz w:val="22"/>
          <w:szCs w:val="22"/>
        </w:rPr>
      </w:pPr>
      <w:r>
        <w:rPr>
          <w:rFonts w:ascii="Times New Roman" w:hAnsi="Times New Roman" w:eastAsia="Times New Roman" w:cs="Times New Roman"/>
          <w:sz w:val="22"/>
          <w:szCs w:val="22"/>
        </w:rPr>
        <w:t>Bennett, A., Taylor, J., &amp; Woodward, I. (2014). The festivalization of culture. Ashgate/Routledge.</w:t>
      </w:r>
    </w:p>
    <w:p w14:paraId="72059837">
      <w:pPr>
        <w:spacing w:before="0" w:after="160" w:line="360" w:lineRule="auto"/>
        <w:jc w:val="both"/>
        <w:rPr>
          <w:sz w:val="22"/>
          <w:szCs w:val="22"/>
        </w:rPr>
      </w:pPr>
      <w:r>
        <w:rPr>
          <w:rFonts w:ascii="Times New Roman" w:hAnsi="Times New Roman" w:eastAsia="Times New Roman" w:cs="Times New Roman"/>
          <w:sz w:val="22"/>
          <w:szCs w:val="22"/>
        </w:rPr>
        <w:t>Braun, V., &amp; Clarke, V. (2006). Using thematic analysis in psychology. Qualitative Research in Psychology, 3(2), 77–101. https://doi.org/10.1191/1478088706qp063oa</w:t>
      </w:r>
    </w:p>
    <w:p w14:paraId="0D6346B2">
      <w:pPr>
        <w:spacing w:before="0" w:after="160" w:line="360" w:lineRule="auto"/>
        <w:jc w:val="both"/>
        <w:rPr>
          <w:sz w:val="22"/>
          <w:szCs w:val="22"/>
        </w:rPr>
      </w:pPr>
      <w:r>
        <w:rPr>
          <w:rFonts w:ascii="Times New Roman" w:hAnsi="Times New Roman" w:eastAsia="Times New Roman" w:cs="Times New Roman"/>
          <w:sz w:val="22"/>
          <w:szCs w:val="22"/>
        </w:rPr>
        <w:t>Carnegie, E., &amp; McCabe, S. (2008). Re-enactment events and tourism: Meaning, authenticity and identity. Current Issues in Tourism, 11(4), 349–368. https://doi.org/10.1080/13683500802140419</w:t>
      </w:r>
    </w:p>
    <w:p w14:paraId="369FAE2B">
      <w:pPr>
        <w:spacing w:before="0" w:after="160" w:line="360" w:lineRule="auto"/>
        <w:jc w:val="both"/>
        <w:rPr>
          <w:sz w:val="22"/>
          <w:szCs w:val="22"/>
        </w:rPr>
      </w:pPr>
      <w:r>
        <w:rPr>
          <w:rFonts w:ascii="Times New Roman" w:hAnsi="Times New Roman" w:eastAsia="Times New Roman" w:cs="Times New Roman"/>
          <w:sz w:val="22"/>
          <w:szCs w:val="22"/>
        </w:rPr>
        <w:t>Creswell, J. W., &amp; Poth, C. N. (2018). Qualitative inquiry and research design: Choosing among five approaches (4th ed.). SAGE Publications.</w:t>
      </w:r>
    </w:p>
    <w:p w14:paraId="63047C33">
      <w:pPr>
        <w:spacing w:before="0" w:after="160" w:line="360" w:lineRule="auto"/>
        <w:jc w:val="both"/>
        <w:rPr>
          <w:sz w:val="22"/>
          <w:szCs w:val="22"/>
        </w:rPr>
      </w:pPr>
      <w:r>
        <w:rPr>
          <w:rFonts w:ascii="Times New Roman" w:hAnsi="Times New Roman" w:eastAsia="Times New Roman" w:cs="Times New Roman"/>
          <w:sz w:val="22"/>
          <w:szCs w:val="22"/>
        </w:rPr>
        <w:t>Duffy, M., &amp; Mair, J. (2018). Engaging the senses to explore community events. Event Management, 22(1), 49–63. https://doi.org/10.3727/152599517X15111988553991</w:t>
      </w:r>
    </w:p>
    <w:p w14:paraId="1E40F01F">
      <w:pPr>
        <w:spacing w:before="0" w:after="160" w:line="360" w:lineRule="auto"/>
        <w:jc w:val="both"/>
        <w:rPr>
          <w:sz w:val="22"/>
          <w:szCs w:val="22"/>
        </w:rPr>
      </w:pPr>
      <w:r>
        <w:rPr>
          <w:rFonts w:ascii="Times New Roman" w:hAnsi="Times New Roman" w:eastAsia="Times New Roman" w:cs="Times New Roman"/>
          <w:sz w:val="22"/>
          <w:szCs w:val="22"/>
        </w:rPr>
        <w:t>Ferrari, G., Hernandez, J. M., &amp; Mondéjar-Jiménez, J. (2022). Tourism multipliers and their implications for regional economic policy. Tourism Economics, 28(1), 113–130. https://doi.org/10.1177/1354816621999342</w:t>
      </w:r>
    </w:p>
    <w:p w14:paraId="1E3E55EE">
      <w:pPr>
        <w:spacing w:before="0" w:after="160" w:line="360" w:lineRule="auto"/>
        <w:jc w:val="both"/>
        <w:rPr>
          <w:sz w:val="22"/>
          <w:szCs w:val="22"/>
        </w:rPr>
      </w:pPr>
      <w:r>
        <w:rPr>
          <w:rFonts w:ascii="Times New Roman" w:hAnsi="Times New Roman" w:eastAsia="Times New Roman" w:cs="Times New Roman"/>
          <w:sz w:val="22"/>
          <w:szCs w:val="22"/>
        </w:rPr>
        <w:t>Festivalscape. (2022). Pintados Festival. https://www.festivalscape.com/philippines/leyte/pintados-festival/</w:t>
      </w:r>
    </w:p>
    <w:p w14:paraId="7119B1F9">
      <w:pPr>
        <w:spacing w:before="0" w:after="160" w:line="360" w:lineRule="auto"/>
        <w:jc w:val="both"/>
        <w:rPr>
          <w:sz w:val="22"/>
          <w:szCs w:val="22"/>
        </w:rPr>
      </w:pPr>
      <w:r>
        <w:rPr>
          <w:rFonts w:ascii="Times New Roman" w:hAnsi="Times New Roman" w:eastAsia="Times New Roman" w:cs="Times New Roman"/>
          <w:sz w:val="22"/>
          <w:szCs w:val="22"/>
        </w:rPr>
        <w:t>Fluxx. (2024). Empowering SMEs through community-driven events: A framework for inclusive economic participation. Fluxx Institute Publication.</w:t>
      </w:r>
    </w:p>
    <w:p w14:paraId="5B93F667">
      <w:pPr>
        <w:spacing w:before="0" w:after="160" w:line="360" w:lineRule="auto"/>
        <w:jc w:val="both"/>
        <w:rPr>
          <w:sz w:val="22"/>
          <w:szCs w:val="22"/>
        </w:rPr>
      </w:pPr>
      <w:r>
        <w:rPr>
          <w:rFonts w:ascii="Times New Roman" w:hAnsi="Times New Roman" w:eastAsia="Times New Roman" w:cs="Times New Roman"/>
          <w:sz w:val="22"/>
          <w:szCs w:val="22"/>
        </w:rPr>
        <w:t>George, B. P. (2022). Exploratory qualitative research in tourism: Approaches and applications. Tourism Management Perspectives, 40, Article 100895.</w:t>
      </w:r>
    </w:p>
    <w:p w14:paraId="3D82C9D4">
      <w:pPr>
        <w:spacing w:before="0" w:after="160" w:line="360" w:lineRule="auto"/>
        <w:jc w:val="both"/>
        <w:rPr>
          <w:sz w:val="22"/>
          <w:szCs w:val="22"/>
        </w:rPr>
      </w:pPr>
      <w:r>
        <w:rPr>
          <w:rFonts w:ascii="Times New Roman" w:hAnsi="Times New Roman" w:eastAsia="Times New Roman" w:cs="Times New Roman"/>
          <w:sz w:val="22"/>
          <w:szCs w:val="22"/>
        </w:rPr>
        <w:t>Getz, D., &amp; Page, S. J. (2016). Progress and prospects for event tourism research. Tourism Management, 52, 593–631. https://doi.org/10.1016/j.tourman.2015.03.007</w:t>
      </w:r>
    </w:p>
    <w:p w14:paraId="40BE454C">
      <w:pPr>
        <w:spacing w:before="0" w:after="160" w:line="360" w:lineRule="auto"/>
        <w:jc w:val="both"/>
        <w:rPr>
          <w:sz w:val="22"/>
          <w:szCs w:val="22"/>
        </w:rPr>
      </w:pPr>
      <w:r>
        <w:rPr>
          <w:rFonts w:ascii="Times New Roman" w:hAnsi="Times New Roman" w:eastAsia="Times New Roman" w:cs="Times New Roman"/>
          <w:sz w:val="22"/>
          <w:szCs w:val="22"/>
        </w:rPr>
        <w:t>Harmer, D., &amp; Rogerson, J. (2017). Festivals, youth tourism, and social challenges in developing country contexts. African Journal of Hospitality, Tourism and Leisure, 6(1), 1–15.</w:t>
      </w:r>
    </w:p>
    <w:p w14:paraId="050321C9">
      <w:pPr>
        <w:spacing w:before="0" w:after="160" w:line="360" w:lineRule="auto"/>
        <w:jc w:val="both"/>
        <w:rPr>
          <w:sz w:val="22"/>
          <w:szCs w:val="22"/>
        </w:rPr>
      </w:pPr>
      <w:r>
        <w:rPr>
          <w:rFonts w:ascii="Times New Roman" w:hAnsi="Times New Roman" w:eastAsia="Times New Roman" w:cs="Times New Roman"/>
          <w:sz w:val="22"/>
          <w:szCs w:val="22"/>
        </w:rPr>
        <w:t>John, M. (2023). Festivals and consumer spending: Economic contributions of cultural events to host communities. International Journal of Event and Festival Management, 14(2), 88–104.</w:t>
      </w:r>
    </w:p>
    <w:p w14:paraId="156E9119">
      <w:pPr>
        <w:spacing w:before="0" w:after="160" w:line="360" w:lineRule="auto"/>
        <w:jc w:val="both"/>
        <w:rPr>
          <w:sz w:val="22"/>
          <w:szCs w:val="22"/>
        </w:rPr>
      </w:pPr>
      <w:r>
        <w:rPr>
          <w:rFonts w:ascii="Times New Roman" w:hAnsi="Times New Roman" w:eastAsia="Times New Roman" w:cs="Times New Roman"/>
          <w:sz w:val="22"/>
          <w:szCs w:val="22"/>
        </w:rPr>
        <w:t>Kostopoulou, S., Vagionis, N., &amp; Kourkouridis, D. (2013). Cultural festivals and regional economic development: Perceptions of key interest groups. In Quantitative methods in tourism economics (pp. 175–194). Physica-Heidelberg.</w:t>
      </w:r>
    </w:p>
    <w:p w14:paraId="30DC9883">
      <w:pPr>
        <w:spacing w:before="0" w:after="160" w:line="360" w:lineRule="auto"/>
        <w:jc w:val="both"/>
        <w:rPr>
          <w:sz w:val="22"/>
          <w:szCs w:val="22"/>
        </w:rPr>
      </w:pPr>
      <w:r>
        <w:rPr>
          <w:rFonts w:ascii="Times New Roman" w:hAnsi="Times New Roman" w:eastAsia="Times New Roman" w:cs="Times New Roman"/>
          <w:sz w:val="22"/>
          <w:szCs w:val="22"/>
        </w:rPr>
        <w:t>Lau, C. K. H., Milne, S., &amp; Chi Fai Chui, R. (2017). Redefining stakeholder relationships in mega events. Journal of Convention &amp; Event Tourism, 18(2), 75–99. https://doi.org/10.1080/15470148.2017.1290161</w:t>
      </w:r>
    </w:p>
    <w:p w14:paraId="48715C36">
      <w:pPr>
        <w:spacing w:before="0" w:after="160" w:line="360" w:lineRule="auto"/>
        <w:jc w:val="both"/>
        <w:rPr>
          <w:sz w:val="22"/>
          <w:szCs w:val="22"/>
        </w:rPr>
      </w:pPr>
      <w:r>
        <w:rPr>
          <w:rFonts w:ascii="Times New Roman" w:hAnsi="Times New Roman" w:eastAsia="Times New Roman" w:cs="Times New Roman"/>
          <w:sz w:val="22"/>
          <w:szCs w:val="22"/>
        </w:rPr>
        <w:t>Mishra, P. (2025). Urban versus rural festival economics: A comparative analysis of revenue generation and community impact. Journal of Rural Tourism Studies, 3(1), 22–39.</w:t>
      </w:r>
    </w:p>
    <w:p w14:paraId="086B17C4">
      <w:pPr>
        <w:spacing w:before="0" w:after="160" w:line="360" w:lineRule="auto"/>
        <w:jc w:val="both"/>
        <w:rPr>
          <w:sz w:val="22"/>
          <w:szCs w:val="22"/>
        </w:rPr>
      </w:pPr>
      <w:r>
        <w:rPr>
          <w:rFonts w:ascii="Times New Roman" w:hAnsi="Times New Roman" w:eastAsia="Times New Roman" w:cs="Times New Roman"/>
          <w:sz w:val="22"/>
          <w:szCs w:val="22"/>
        </w:rPr>
        <w:t>Mxunyelwa, S., &amp; Tshetu, L. (2018). Festival tourism as a local economic development mechanism. African Journal of Hospitality, Tourism and Leisure, 7(3), 1–14.</w:t>
      </w:r>
    </w:p>
    <w:p w14:paraId="326CE281">
      <w:pPr>
        <w:spacing w:before="0" w:after="160" w:line="360" w:lineRule="auto"/>
        <w:jc w:val="both"/>
        <w:rPr>
          <w:sz w:val="22"/>
          <w:szCs w:val="22"/>
        </w:rPr>
      </w:pPr>
      <w:r>
        <w:rPr>
          <w:rFonts w:ascii="Times New Roman" w:hAnsi="Times New Roman" w:eastAsia="Times New Roman" w:cs="Times New Roman"/>
          <w:sz w:val="22"/>
          <w:szCs w:val="22"/>
        </w:rPr>
        <w:t>O'Sullivan, D., &amp; Jackson, M. J. (2002). Festival tourism: A contributor to sustainable local economic development? Journal of Sustainable Tourism, 10(4), 325–342. https://doi.org/10.1080/09669580208667168</w:t>
      </w:r>
    </w:p>
    <w:p w14:paraId="02765ACD">
      <w:pPr>
        <w:spacing w:before="0" w:after="160" w:line="360" w:lineRule="auto"/>
        <w:jc w:val="both"/>
        <w:rPr>
          <w:sz w:val="22"/>
          <w:szCs w:val="22"/>
        </w:rPr>
      </w:pPr>
      <w:r>
        <w:rPr>
          <w:rFonts w:ascii="Times New Roman" w:hAnsi="Times New Roman" w:eastAsia="Times New Roman" w:cs="Times New Roman"/>
          <w:sz w:val="22"/>
          <w:szCs w:val="22"/>
        </w:rPr>
        <w:t>Pernecky, T., &amp; Jamal, T. (2010). (Hermeneutic) phenomenology in tourism studies. Annals of Tourism Research, 37(4), 1055–1075. https://doi.org/10.1016/j.annals.2010.04.002</w:t>
      </w:r>
    </w:p>
    <w:p w14:paraId="4F939AE6">
      <w:pPr>
        <w:spacing w:before="0" w:after="160" w:line="360" w:lineRule="auto"/>
        <w:jc w:val="both"/>
        <w:rPr>
          <w:sz w:val="22"/>
          <w:szCs w:val="22"/>
        </w:rPr>
      </w:pPr>
      <w:r>
        <w:rPr>
          <w:rFonts w:ascii="Times New Roman" w:hAnsi="Times New Roman" w:eastAsia="Times New Roman" w:cs="Times New Roman"/>
          <w:sz w:val="22"/>
          <w:szCs w:val="22"/>
        </w:rPr>
        <w:t>Philippine Department of Tourism. (2023). National Tourism Development Plan 2023–2028. Republic of the Philippines.</w:t>
      </w:r>
    </w:p>
    <w:p w14:paraId="65B8CD14">
      <w:pPr>
        <w:spacing w:before="0" w:after="160" w:line="360" w:lineRule="auto"/>
        <w:jc w:val="both"/>
        <w:rPr>
          <w:sz w:val="22"/>
          <w:szCs w:val="22"/>
        </w:rPr>
      </w:pPr>
      <w:r>
        <w:rPr>
          <w:rFonts w:ascii="Times New Roman" w:hAnsi="Times New Roman" w:eastAsia="Times New Roman" w:cs="Times New Roman"/>
          <w:sz w:val="22"/>
          <w:szCs w:val="22"/>
        </w:rPr>
        <w:t>Philippine Statistics Authority. (2023). 2023 List of Establishments: SME sector profile and GDP contribution. Philippine Statistics Authority.</w:t>
      </w:r>
    </w:p>
    <w:p w14:paraId="35FFF898">
      <w:pPr>
        <w:spacing w:before="0" w:after="160" w:line="360" w:lineRule="auto"/>
        <w:jc w:val="both"/>
        <w:rPr>
          <w:sz w:val="22"/>
          <w:szCs w:val="22"/>
        </w:rPr>
      </w:pPr>
      <w:r>
        <w:rPr>
          <w:rFonts w:ascii="Times New Roman" w:hAnsi="Times New Roman" w:eastAsia="Times New Roman" w:cs="Times New Roman"/>
          <w:sz w:val="22"/>
          <w:szCs w:val="22"/>
        </w:rPr>
        <w:t>Province of Leyte. (2024). 2024 Pintados-Kasadyaan Festival of Festivals: Buyogan Festival grabbed the top prize. Leyte Provincial Government Official Website. https://leyteprovince.gov.ph/2024/07/02/</w:t>
      </w:r>
    </w:p>
    <w:p w14:paraId="0BA1FB4C">
      <w:pPr>
        <w:spacing w:before="0" w:after="160" w:line="360" w:lineRule="auto"/>
        <w:jc w:val="both"/>
        <w:rPr>
          <w:sz w:val="22"/>
          <w:szCs w:val="22"/>
        </w:rPr>
      </w:pPr>
      <w:r>
        <w:rPr>
          <w:rFonts w:ascii="Times New Roman" w:hAnsi="Times New Roman" w:eastAsia="Times New Roman" w:cs="Times New Roman"/>
          <w:sz w:val="22"/>
          <w:szCs w:val="22"/>
        </w:rPr>
        <w:t>Ramesh, S. (2024). The economic impact of cultural festivals: Evidence from the Deccan Festival, Hyderabad. Journal of Hospitality, Management and Development, 4(5), 1–18.</w:t>
      </w:r>
    </w:p>
    <w:p w14:paraId="62609766">
      <w:pPr>
        <w:spacing w:before="0" w:after="160" w:line="360" w:lineRule="auto"/>
        <w:jc w:val="both"/>
        <w:rPr>
          <w:sz w:val="22"/>
          <w:szCs w:val="22"/>
        </w:rPr>
      </w:pPr>
      <w:r>
        <w:rPr>
          <w:rFonts w:ascii="Times New Roman" w:hAnsi="Times New Roman" w:eastAsia="Times New Roman" w:cs="Times New Roman"/>
          <w:sz w:val="22"/>
          <w:szCs w:val="22"/>
        </w:rPr>
        <w:t>Rivera, J. P. R., Bolalin, M. C. P., &amp; Ocbina, J. J. S. (2022). Philippine tourism sectoral review: Challenges, prospects and the path to sustainable recovery. Philippine Institute for Development Studies Discussion Paper.</w:t>
      </w:r>
    </w:p>
    <w:p w14:paraId="27956075">
      <w:pPr>
        <w:spacing w:before="0" w:after="160" w:line="360" w:lineRule="auto"/>
        <w:jc w:val="both"/>
        <w:rPr>
          <w:sz w:val="22"/>
          <w:szCs w:val="22"/>
        </w:rPr>
      </w:pPr>
      <w:r>
        <w:rPr>
          <w:rFonts w:ascii="Times New Roman" w:hAnsi="Times New Roman" w:eastAsia="Times New Roman" w:cs="Times New Roman"/>
          <w:sz w:val="22"/>
          <w:szCs w:val="22"/>
        </w:rPr>
        <w:t>Rivera, J. P. R., &amp; Andrada, R. (2024). Infrastructure gaps and governance fragmentation in Philippine tourism: Implications for the NTDP 2023–2028. Tourism Planning &amp; Development, 21(3), 314–332.</w:t>
      </w:r>
    </w:p>
    <w:p w14:paraId="054263EF">
      <w:pPr>
        <w:spacing w:before="0" w:after="160" w:line="360" w:lineRule="auto"/>
        <w:jc w:val="both"/>
        <w:rPr>
          <w:sz w:val="22"/>
          <w:szCs w:val="22"/>
        </w:rPr>
      </w:pPr>
      <w:r>
        <w:rPr>
          <w:rFonts w:ascii="Times New Roman" w:hAnsi="Times New Roman" w:eastAsia="Times New Roman" w:cs="Times New Roman"/>
          <w:sz w:val="22"/>
          <w:szCs w:val="22"/>
        </w:rPr>
        <w:t>Sciindex. (2025). Tourism spending and its multiplier effect on local economic development: Empirical evidence from Spain. https://sciindex.org/article/</w:t>
      </w:r>
    </w:p>
    <w:p w14:paraId="474BE217">
      <w:pPr>
        <w:spacing w:before="0" w:after="160" w:line="360" w:lineRule="auto"/>
        <w:jc w:val="both"/>
        <w:rPr>
          <w:sz w:val="22"/>
          <w:szCs w:val="22"/>
        </w:rPr>
      </w:pPr>
      <w:r>
        <w:rPr>
          <w:rFonts w:ascii="Times New Roman" w:hAnsi="Times New Roman" w:eastAsia="Times New Roman" w:cs="Times New Roman"/>
          <w:sz w:val="22"/>
          <w:szCs w:val="22"/>
        </w:rPr>
        <w:t>Seetanah, B., &amp; Fauzel, S. (2025). Tourism economic multipliers in developing economies: A meta-analytical review. Tourism Management, 99, Article 105105.</w:t>
      </w:r>
    </w:p>
    <w:p w14:paraId="38332DEB">
      <w:pPr>
        <w:spacing w:before="0" w:after="160" w:line="360" w:lineRule="auto"/>
        <w:jc w:val="both"/>
        <w:rPr>
          <w:sz w:val="22"/>
          <w:szCs w:val="22"/>
        </w:rPr>
      </w:pPr>
      <w:r>
        <w:rPr>
          <w:rFonts w:ascii="Times New Roman" w:hAnsi="Times New Roman" w:eastAsia="Times New Roman" w:cs="Times New Roman"/>
          <w:sz w:val="22"/>
          <w:szCs w:val="22"/>
        </w:rPr>
        <w:t>Suson, R., Rivero, D. M., Arnejo, A., Atibing, N. M., Aro, J. L., Burdeos, A., Yamagishi, K., &amp; Ocampo, L. (2023). Opportunities and challenges in the tourism and hospitality industry in the Philippines: A systematic literature review. IRJEMS, 4(1).</w:t>
      </w:r>
    </w:p>
    <w:p w14:paraId="2F1A83A6">
      <w:pPr>
        <w:spacing w:before="0" w:after="160" w:line="360" w:lineRule="auto"/>
        <w:jc w:val="both"/>
        <w:rPr>
          <w:sz w:val="22"/>
          <w:szCs w:val="22"/>
        </w:rPr>
      </w:pPr>
      <w:r>
        <w:rPr>
          <w:rFonts w:ascii="Times New Roman" w:hAnsi="Times New Roman" w:eastAsia="Times New Roman" w:cs="Times New Roman"/>
          <w:sz w:val="22"/>
          <w:szCs w:val="22"/>
        </w:rPr>
        <w:t>Ziakas, V., &amp; Getz, D. (2021). Event portfolio management: A transdisciplinary framework for scholarship and practice. International Journal of Event and Festival Management, 12(2), 196–218. https://doi.org/10.1108/IJEFM</w:t>
      </w:r>
      <w:bookmarkStart w:id="0" w:name="_GoBack"/>
      <w:bookmarkEnd w:id="0"/>
      <w:r>
        <w:rPr>
          <w:rFonts w:ascii="Times New Roman" w:hAnsi="Times New Roman" w:eastAsia="Times New Roman" w:cs="Times New Roman"/>
          <w:sz w:val="22"/>
          <w:szCs w:val="22"/>
        </w:rPr>
        <w:t>-12-2020-0068</w:t>
      </w: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4A84235B"/>
    <w:rsid w:val="66E916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character" w:styleId="14">
    <w:name w:val="Hyperlink"/>
    <w:unhideWhenUsed/>
    <w:qFormat/>
    <w:uiPriority w:val="99"/>
    <w:rPr>
      <w:color w:val="0563C1"/>
      <w:u w:val="single"/>
    </w:rPr>
  </w:style>
  <w:style w:type="paragraph" w:styleId="15">
    <w:name w:val="Title"/>
    <w:qFormat/>
    <w:uiPriority w:val="0"/>
    <w:rPr>
      <w:rFonts w:ascii="Times New Roman" w:hAnsi="Times New Roman" w:eastAsia="Times New Roman" w:cs="Times New Roman"/>
      <w:sz w:val="56"/>
      <w:szCs w:val="56"/>
    </w:rPr>
  </w:style>
  <w:style w:type="paragraph" w:styleId="16">
    <w:name w:val="List Paragraph"/>
    <w:qFormat/>
    <w:uiPriority w:val="0"/>
    <w:rPr>
      <w:rFonts w:ascii="Times New Roman" w:hAnsi="Times New Roman" w:eastAsia="Times New Roman" w:cs="Times New Roman"/>
      <w:sz w:val="24"/>
      <w:szCs w:val="24"/>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6196</Words>
  <Characters>40647</Characters>
  <TotalTime>8</TotalTime>
  <ScaleCrop>false</ScaleCrop>
  <LinksUpToDate>false</LinksUpToDate>
  <CharactersWithSpaces>46661</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2026-06-24T23:56:00Z</dcterms:created>
  <dc:creator>Un-named</dc:creator>
  <cp:lastModifiedBy>Mayo Bentesinko</cp:lastModifiedBy>
  <dcterms:modified xsi:type="dcterms:W3CDTF">2026-06-25T00:30:57Z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eyJoZGlkIjoiYjRiNjBhODNkNzgzMTczNmY2NjEzMjllNjc3YzM2NmEiLCJ1c2VySWQiOiI4ODEzMzg5NDMyNzQwIn0=</vt:lpwstr>
  </property>
  <property fmtid="{D5CDD505-2E9C-101B-9397-08002B2CF9AE}" pid="3" name="KSOProductBuildVer">
    <vt:lpwstr>1033-12.1.0.26880</vt:lpwstr>
  </property>
  <property fmtid="{D5CDD505-2E9C-101B-9397-08002B2CF9AE}" pid="4" name="ICV">
    <vt:lpwstr>78C200E531CF48A3932C3C04CA22B825_13</vt:lpwstr>
  </property>
</Properties>
</file>