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979D" w14:textId="77777777" w:rsidR="00CE2004" w:rsidRDefault="00CE2004" w:rsidP="00683AEA">
      <w:pPr>
        <w:jc w:val="center"/>
        <w:rPr>
          <w:rFonts w:cstheme="minorHAnsi"/>
          <w:b/>
          <w:bCs/>
        </w:rPr>
      </w:pPr>
      <w:r w:rsidRPr="00CE2004">
        <w:rPr>
          <w:rFonts w:cstheme="minorHAnsi"/>
          <w:b/>
          <w:bCs/>
        </w:rPr>
        <w:t>Strategic Use of AI-Based Chatbot Learning Companions: Implications for Students’ Self-Efficacy and Learning Outcomes in Private Universities in Central Kalimantan, Indonesia</w:t>
      </w:r>
    </w:p>
    <w:p w14:paraId="3FED596B" w14:textId="0CBE27E3" w:rsidR="003A2F98" w:rsidRDefault="00B92A52" w:rsidP="00683AEA">
      <w:pPr>
        <w:jc w:val="center"/>
        <w:rPr>
          <w:rFonts w:cstheme="minorHAnsi"/>
          <w:i/>
          <w:iCs/>
        </w:rPr>
      </w:pPr>
      <w:r w:rsidRPr="00F31905">
        <w:rPr>
          <w:rFonts w:cstheme="minorHAnsi"/>
          <w:i/>
          <w:iCs/>
        </w:rPr>
        <w:t/>
      </w:r>
      <w:proofErr w:type="gramStart"/>
      <w:r w:rsidRPr="00F31905">
        <w:rPr>
          <w:rFonts w:cstheme="minorHAnsi"/>
          <w:i/>
          <w:iCs/>
        </w:rPr>
        <w:t/>
      </w:r>
      <w:r w:rsidR="00991C52">
        <w:rPr>
          <w:rFonts w:cstheme="minorHAnsi"/>
          <w:i/>
          <w:iCs/>
        </w:rPr>
        <w:t/>
      </w:r>
      <w:proofErr w:type="gramEnd"/>
      <w:r w:rsidR="003A2F98">
        <w:fldChar w:fldCharType="begin"/>
      </w:r>
      <w:r w:rsidR="003A2F98">
        <w:instrText>HYPERLINK "mailto:fransisjanu@gmail.com"</w:instrText>
      </w:r>
      <w:r w:rsidR="003A2F98">
        <w:fldChar w:fldCharType="separate"/>
      </w:r>
      <w:r w:rsidR="003A2F98" w:rsidRPr="00890DDB">
        <w:rPr>
          <w:rStyle w:val="Hyperlink"/>
          <w:rFonts w:cstheme="minorHAnsi"/>
          <w:i/>
          <w:iCs/>
        </w:rPr>
        <w:t/>
      </w:r>
      <w:r w:rsidR="003A2F98">
        <w:fldChar w:fldCharType="end"/>
      </w:r>
      <w:r w:rsidR="003A2F98">
        <w:rPr>
          <w:rFonts w:cstheme="minorHAnsi"/>
          <w:i/>
          <w:iCs/>
        </w:rPr>
        <w:t/>
      </w:r>
    </w:p>
    <w:p w14:paraId="58211C58" w14:textId="5D6FC87D" w:rsidR="00B92A52" w:rsidRPr="00F31905" w:rsidRDefault="00B92A52" w:rsidP="00683AEA">
      <w:pPr>
        <w:jc w:val="center"/>
        <w:rPr>
          <w:rFonts w:cstheme="minorHAnsi"/>
        </w:rPr>
      </w:pPr>
      <w:r w:rsidRPr="00F31905">
        <w:rPr>
          <w:rFonts w:cstheme="minorHAnsi"/>
          <w:i/>
          <w:iCs/>
        </w:rPr>
        <w:t xml:space="preserve"/>
      </w:r>
      <w:r w:rsidR="003A2F98">
        <w:rPr>
          <w:rFonts w:cstheme="minorHAnsi"/>
          <w:i/>
          <w:iCs/>
        </w:rPr>
        <w:t xml:space="preserve"/>
      </w:r>
      <w:r w:rsidR="00D67FB7">
        <w:rPr>
          <w:rFonts w:cstheme="minorHAnsi"/>
          <w:i/>
          <w:iCs/>
        </w:rPr>
        <w:t/>
      </w:r>
    </w:p>
    <w:p w14:paraId="0949348A" w14:textId="77777777" w:rsidR="00B92A52" w:rsidRPr="00F31905" w:rsidRDefault="00B92A52" w:rsidP="00683AEA">
      <w:pPr>
        <w:jc w:val="center"/>
        <w:rPr>
          <w:rFonts w:cstheme="minorHAnsi"/>
        </w:rPr>
      </w:pPr>
      <w:r w:rsidRPr="00F31905">
        <w:rPr>
          <w:rFonts w:cstheme="minorHAnsi"/>
        </w:rPr>
        <w:t xml:space="preserve"/>
      </w:r>
      <w:proofErr w:type="spellStart"/>
      <w:r w:rsidRPr="00F31905">
        <w:rPr>
          <w:rFonts w:cstheme="minorHAnsi"/>
        </w:rPr>
        <w:t/>
      </w:r>
      <w:proofErr w:type="spellEnd"/>
      <w:r w:rsidRPr="00F31905">
        <w:rPr>
          <w:rFonts w:cstheme="minorHAnsi"/>
        </w:rPr>
        <w:t xml:space="preserve"/>
      </w:r>
      <w:proofErr w:type="spellStart"/>
      <w:r w:rsidRPr="00F31905">
        <w:rPr>
          <w:rFonts w:cstheme="minorHAnsi"/>
        </w:rPr>
        <w:t/>
      </w:r>
      <w:proofErr w:type="spellEnd"/>
      <w:r w:rsidRPr="00F31905">
        <w:rPr>
          <w:rFonts w:cstheme="minorHAnsi"/>
        </w:rPr>
        <w:t xml:space="preserve"/>
      </w:r>
      <w:proofErr w:type="spellStart"/>
      <w:r w:rsidRPr="00F31905">
        <w:rPr>
          <w:rFonts w:cstheme="minorHAnsi"/>
        </w:rPr>
        <w:t/>
      </w:r>
      <w:proofErr w:type="spellEnd"/>
      <w:r w:rsidRPr="00F31905">
        <w:rPr>
          <w:rFonts w:cstheme="minorHAnsi"/>
        </w:rPr>
        <w:t/>
      </w:r>
    </w:p>
    <w:p w14:paraId="58713A12" w14:textId="21C1F1D3" w:rsidR="00B92A52" w:rsidRPr="00F31905" w:rsidRDefault="00284EB7" w:rsidP="00683AEA">
      <w:pPr>
        <w:jc w:val="center"/>
        <w:rPr>
          <w:rFonts w:cstheme="minorHAnsi"/>
        </w:rPr>
      </w:pPr>
      <w:r w:rsidRPr="00284EB7">
        <w:rPr>
          <w:rFonts w:cstheme="minorHAnsi"/>
        </w:rPr>
        <w:t xml:space="preserve"/>
      </w:r>
      <w:hyperlink r:id="rId8" w:tgtFrame="_blank" w:history="1">
        <w:r w:rsidRPr="00284EB7">
          <w:rPr>
            <w:rStyle w:val="Hyperlink"/>
            <w:rFonts w:cstheme="minorHAnsi"/>
          </w:rPr>
          <w:t/>
        </w:r>
      </w:hyperlink>
    </w:p>
    <w:p w14:paraId="5DB2245E" w14:textId="4EEC07CF" w:rsidR="00CE2004" w:rsidRPr="00CE2004" w:rsidRDefault="007E1906" w:rsidP="00CE2004">
      <w:pPr>
        <w:jc w:val="both"/>
        <w:rPr>
          <w:rFonts w:cstheme="minorHAnsi"/>
        </w:rPr>
      </w:pPr>
      <w:r>
        <w:rPr>
          <w:rFonts w:cstheme="minorHAnsi"/>
          <w:b/>
          <w:bCs/>
        </w:rPr>
        <w:t xml:space="preserve">ABSTRACT </w:t>
      </w:r>
    </w:p>
    <w:p w14:paraId="6749372A" w14:textId="4BB84532" w:rsidR="00CE2004" w:rsidRPr="00CE2004" w:rsidRDefault="00CE2004" w:rsidP="00CE2004">
      <w:pPr>
        <w:jc w:val="both"/>
        <w:rPr>
          <w:rFonts w:cstheme="minorHAnsi"/>
        </w:rPr>
      </w:pPr>
      <w:r w:rsidRPr="00CE2004">
        <w:rPr>
          <w:rFonts w:cstheme="minorHAnsi"/>
        </w:rPr>
        <w:t>The use of artificial intelligence (AI)</w:t>
      </w:r>
      <w:r>
        <w:rPr>
          <w:rFonts w:cstheme="minorHAnsi"/>
        </w:rPr>
        <w:t xml:space="preserve"> </w:t>
      </w:r>
      <w:r w:rsidRPr="00CE2004">
        <w:rPr>
          <w:rFonts w:cstheme="minorHAnsi"/>
        </w:rPr>
        <w:t xml:space="preserve">based chatbots as learning companions in higher education is increasing, yet evidence from private universities in resource-constrained regions remains limited. This multi-case qualitative study </w:t>
      </w:r>
      <w:proofErr w:type="spellStart"/>
      <w:r w:rsidRPr="00CE2004">
        <w:rPr>
          <w:rFonts w:cstheme="minorHAnsi"/>
        </w:rPr>
        <w:t>analyzes</w:t>
      </w:r>
      <w:proofErr w:type="spellEnd"/>
      <w:r w:rsidRPr="00CE2004">
        <w:rPr>
          <w:rFonts w:cstheme="minorHAnsi"/>
        </w:rPr>
        <w:t xml:space="preserve"> strategies for using AI chatbots and how these relate to students’ self-efficacy and learning outcomes in three private universities in Central Kalimantan Province, Indonesia (27 students, 6 lecturers). Data were collected through semi-structured interviews, focus group discussions, observations, and institutional documents, and were </w:t>
      </w:r>
      <w:proofErr w:type="spellStart"/>
      <w:r w:rsidRPr="00CE2004">
        <w:rPr>
          <w:rFonts w:cstheme="minorHAnsi"/>
        </w:rPr>
        <w:t>analyzed</w:t>
      </w:r>
      <w:proofErr w:type="spellEnd"/>
      <w:r w:rsidRPr="00CE2004">
        <w:rPr>
          <w:rFonts w:cstheme="minorHAnsi"/>
        </w:rPr>
        <w:t xml:space="preserve"> thematically using the Miles and Huberman framework, with strong inter-coder reliability (Cohen’s κ = 0.82).</w:t>
      </w:r>
    </w:p>
    <w:p w14:paraId="78D66286" w14:textId="6400A263" w:rsidR="00CE2004" w:rsidRPr="00CE2004" w:rsidRDefault="00CE2004" w:rsidP="00CE2004">
      <w:pPr>
        <w:jc w:val="both"/>
        <w:rPr>
          <w:rFonts w:cstheme="minorHAnsi"/>
        </w:rPr>
      </w:pPr>
      <w:r w:rsidRPr="00CE2004">
        <w:rPr>
          <w:rFonts w:cstheme="minorHAnsi"/>
        </w:rPr>
        <w:t>Findings reveal three interrelated domains: (1) pedagogical integration, when chatbot-based tasks are embedded in lectures, assessment, and reflection; (2) interactional engagement, when immediate, non-judgmental feedback strengthens students’ confidence in addressing complex tasks; and (3) learning reinforcement, when chatbots are used for personalized review, regulation of study routines, and deepening conceptual understanding. Most participants reported increased academic self-efficacy and improved assignment quality when chatbot use was explicitly guided by lecturers, whereas unstructured use tended to foster superficial dependence on AI responses.</w:t>
      </w:r>
    </w:p>
    <w:p w14:paraId="24D4DA78" w14:textId="703FBB9C" w:rsidR="00CE2004" w:rsidRPr="00CE2004" w:rsidRDefault="00CE2004" w:rsidP="00CE2004">
      <w:pPr>
        <w:jc w:val="both"/>
        <w:rPr>
          <w:rFonts w:cstheme="minorHAnsi"/>
        </w:rPr>
      </w:pPr>
      <w:r w:rsidRPr="00CE2004">
        <w:rPr>
          <w:rFonts w:cstheme="minorHAnsi"/>
        </w:rPr>
        <w:t>The study proposes a conceptual model that positions AI chatbots as transformative learning companions mediating the reciprocal relationship between strategic use, strengthened self-efficacy, and cognitive</w:t>
      </w:r>
      <w:r>
        <w:rPr>
          <w:rFonts w:cstheme="minorHAnsi"/>
        </w:rPr>
        <w:t xml:space="preserve"> </w:t>
      </w:r>
      <w:r w:rsidRPr="00CE2004">
        <w:rPr>
          <w:rFonts w:cstheme="minorHAnsi"/>
        </w:rPr>
        <w:t>affective learning outcomes. It also offers implications for human–AI pedagogy design, lecturer capacity building, and institutional policy in resource-limited higher education contexts.</w:t>
      </w:r>
    </w:p>
    <w:p w14:paraId="5177F0BD" w14:textId="7671A83F" w:rsidR="0050183D" w:rsidRPr="00CE2004" w:rsidRDefault="00CE2004" w:rsidP="003C02D5">
      <w:pPr>
        <w:jc w:val="both"/>
        <w:rPr>
          <w:rFonts w:cstheme="minorHAnsi"/>
        </w:rPr>
      </w:pPr>
      <w:r w:rsidRPr="00CE2004">
        <w:rPr>
          <w:rFonts w:cstheme="minorHAnsi"/>
          <w:i/>
          <w:iCs/>
        </w:rPr>
        <w:t>Keywords:</w:t>
      </w:r>
      <w:r w:rsidRPr="00CE2004">
        <w:rPr>
          <w:rFonts w:cstheme="minorHAnsi"/>
        </w:rPr>
        <w:t xml:space="preserve"> AI chatbot; learning companion; self-efficacy; learning outcomes; private universities; higher education</w:t>
      </w:r>
    </w:p>
    <w:p w14:paraId="56BF80F7" w14:textId="350C2966" w:rsidR="00CE2004" w:rsidRPr="00CE2004" w:rsidRDefault="00CE2004" w:rsidP="00CE2004">
      <w:pPr>
        <w:jc w:val="both"/>
        <w:rPr>
          <w:rFonts w:cstheme="minorHAnsi"/>
          <w:b/>
          <w:bCs/>
        </w:rPr>
      </w:pPr>
      <w:r w:rsidRPr="00CE2004">
        <w:rPr>
          <w:rFonts w:cstheme="minorHAnsi"/>
          <w:b/>
          <w:bCs/>
        </w:rPr>
        <w:t xml:space="preserve">1. </w:t>
      </w:r>
      <w:r w:rsidR="006A2BA1">
        <w:rPr>
          <w:rFonts w:cstheme="minorHAnsi"/>
          <w:b/>
          <w:bCs/>
        </w:rPr>
        <w:t xml:space="preserve">INTRODUCTION </w:t>
      </w:r>
    </w:p>
    <w:p w14:paraId="63537FE7" w14:textId="570B8778" w:rsidR="00CE2004" w:rsidRPr="00CE2004" w:rsidRDefault="00CE2004" w:rsidP="00CE2004">
      <w:pPr>
        <w:jc w:val="both"/>
        <w:rPr>
          <w:rFonts w:cstheme="minorHAnsi"/>
        </w:rPr>
      </w:pPr>
      <w:r w:rsidRPr="00CE2004">
        <w:rPr>
          <w:rFonts w:cstheme="minorHAnsi"/>
        </w:rPr>
        <w:t>Over the past decade, rapid advances in artificial intelligence (AI) have transformed how higher education designs teaching and learning, including through more personalized, flexible, and student</w:t>
      </w:r>
      <w:r w:rsidR="006A2BA1">
        <w:rPr>
          <w:rFonts w:cstheme="minorHAnsi"/>
        </w:rPr>
        <w:t xml:space="preserve"> </w:t>
      </w:r>
      <w:proofErr w:type="spellStart"/>
      <w:r w:rsidRPr="00CE2004">
        <w:rPr>
          <w:rFonts w:cstheme="minorHAnsi"/>
        </w:rPr>
        <w:t>centered</w:t>
      </w:r>
      <w:proofErr w:type="spellEnd"/>
      <w:r w:rsidRPr="00CE2004">
        <w:rPr>
          <w:rFonts w:cstheme="minorHAnsi"/>
        </w:rPr>
        <w:t xml:space="preserve"> digital ecosystems. AI-based conversational agents or chatbots that rely on natural language processing are now widely integrated into learning management systems, </w:t>
      </w:r>
      <w:r w:rsidRPr="00CE2004">
        <w:rPr>
          <w:rFonts w:cstheme="minorHAnsi"/>
        </w:rPr>
        <w:lastRenderedPageBreak/>
        <w:t>virtual classrooms, and institutional portals to answer questions, guide navigation, and provide instant feedback. In line with the Education 4.0 agenda, the literature on educational chatbots has grown sharply since 2018, documenting their roles in academic advising, formative feedback, and administrative support across disciplines (Chen et al., 2020; Zawacki-Richter et al., 2019).</w:t>
      </w:r>
    </w:p>
    <w:p w14:paraId="6E857B0B" w14:textId="7C9A3F68" w:rsidR="00CE2004" w:rsidRPr="00CE2004" w:rsidRDefault="00CE2004" w:rsidP="00CE2004">
      <w:pPr>
        <w:jc w:val="both"/>
        <w:rPr>
          <w:rFonts w:cstheme="minorHAnsi"/>
        </w:rPr>
      </w:pPr>
      <w:r w:rsidRPr="00CE2004">
        <w:rPr>
          <w:rFonts w:cstheme="minorHAnsi"/>
        </w:rPr>
        <w:t>Recent meta-analyses show that interventions integrating ChatGPT are associated with large gains in learning performance (g = 0.867) and moderate positive effects on learning perceptions (g = 0.456) and higher-order thinking skills (g = 0.457), particularly when combined with explicit scaffolding and instructional design (Wang &amp; Fan, 2025). Complementary analyses of 51 studies report a pooled effect size of g+ = 0.712 (95% CI) for academic performance, reinforcing the position of chatbots as pedagogical partners that extend opportunities for explanations, practice, and reflection beyond formal class time (Deng &amp; Yu, 2024). In parallel, another body of research underscores the importance of affective and self-regulatory constructs</w:t>
      </w:r>
      <w:r>
        <w:rPr>
          <w:rFonts w:cstheme="minorHAnsi"/>
        </w:rPr>
        <w:t xml:space="preserve"> </w:t>
      </w:r>
      <w:r w:rsidRPr="00CE2004">
        <w:rPr>
          <w:rFonts w:cstheme="minorHAnsi"/>
        </w:rPr>
        <w:t>such as self-efficacy, engagement, and learning strategies—in explaining technology-mediated learning success. AI chatbot interventions have been reported to strengthen academic self-efficacy when they provide timely scaffolding, formative feedback, and low-risk spaces for practice, while also reducing evaluation anxiety (</w:t>
      </w:r>
      <w:proofErr w:type="spellStart"/>
      <w:r w:rsidRPr="00CE2004">
        <w:rPr>
          <w:rFonts w:cstheme="minorHAnsi"/>
        </w:rPr>
        <w:t>Kuhail</w:t>
      </w:r>
      <w:proofErr w:type="spellEnd"/>
      <w:r w:rsidRPr="00CE2004">
        <w:rPr>
          <w:rFonts w:cstheme="minorHAnsi"/>
        </w:rPr>
        <w:t xml:space="preserve"> et al., 2023; Okonkwo &amp; Ade</w:t>
      </w:r>
      <w:r>
        <w:rPr>
          <w:rFonts w:cstheme="minorHAnsi"/>
        </w:rPr>
        <w:t xml:space="preserve"> </w:t>
      </w:r>
      <w:proofErr w:type="spellStart"/>
      <w:r w:rsidRPr="00CE2004">
        <w:rPr>
          <w:rFonts w:cstheme="minorHAnsi"/>
        </w:rPr>
        <w:t>Ibijola</w:t>
      </w:r>
      <w:proofErr w:type="spellEnd"/>
      <w:r w:rsidRPr="00CE2004">
        <w:rPr>
          <w:rFonts w:cstheme="minorHAnsi"/>
        </w:rPr>
        <w:t>, 2021; Wollny et al., 2021).</w:t>
      </w:r>
    </w:p>
    <w:p w14:paraId="330EFE34" w14:textId="694E4D7F" w:rsidR="00CE2004" w:rsidRPr="00CE2004" w:rsidRDefault="00CE2004" w:rsidP="00CE2004">
      <w:pPr>
        <w:jc w:val="both"/>
        <w:rPr>
          <w:rFonts w:cstheme="minorHAnsi"/>
        </w:rPr>
      </w:pPr>
      <w:r w:rsidRPr="00CE2004">
        <w:rPr>
          <w:rFonts w:cstheme="minorHAnsi"/>
        </w:rPr>
        <w:t>However, several studies caution that these benefits are not automatic. ChatGPT and similar systems can accelerate task completion and produce fluent responses but do not necessarily improve grades or conceptual understanding when students use them to minimize their own cognitive effort (Deng &amp; Yu, 2024). Reviews of student perceptions portray an ambivalent stance: learners value personalized assistance and reduced anxiety yet express concern about overreliance, erosion of critical thinking, and risks to academic integrity (Chan &amp; Hu, 2023). Research on learning strategies further suggests that unstructured chatbot use may foster superficial copying and the “outsourcing” of higher-order reasoning unless educators explicitly design activities that require students to critically evaluate, compare, and justify AI-generated outputs (</w:t>
      </w:r>
      <w:proofErr w:type="spellStart"/>
      <w:r w:rsidRPr="00CE2004">
        <w:rPr>
          <w:rFonts w:cstheme="minorHAnsi"/>
        </w:rPr>
        <w:t>Kasneci</w:t>
      </w:r>
      <w:proofErr w:type="spellEnd"/>
      <w:r w:rsidRPr="00CE2004">
        <w:rPr>
          <w:rFonts w:cstheme="minorHAnsi"/>
        </w:rPr>
        <w:t xml:space="preserve"> et al., 2023).</w:t>
      </w:r>
    </w:p>
    <w:p w14:paraId="2C8DF6A2" w14:textId="572101AA" w:rsidR="00CE2004" w:rsidRPr="00CE2004" w:rsidRDefault="00CE2004" w:rsidP="00CE2004">
      <w:pPr>
        <w:jc w:val="both"/>
        <w:rPr>
          <w:rFonts w:cstheme="minorHAnsi"/>
        </w:rPr>
      </w:pPr>
      <w:r w:rsidRPr="00CE2004">
        <w:rPr>
          <w:rFonts w:cstheme="minorHAnsi"/>
        </w:rPr>
        <w:t>Geographically, the literature remains heavily skewed toward technologically advanced higher education systems in urban settings in North America, Europe, and East Asia, while institutions in the Global South and peripheral regions are comparatively underrepresented (Crompton &amp; Burke, 2023). Emerging studies from low- and middle-income countries highlight constraints related to connectivity, institutional capacity to design or adapt chatbots, uneven AI literacy, and challenges of linguistic and cultural appropriateness (Tlili et al., 2023). In Indonesia, various AI tools</w:t>
      </w:r>
      <w:r>
        <w:rPr>
          <w:rFonts w:cstheme="minorHAnsi"/>
        </w:rPr>
        <w:t xml:space="preserve"> </w:t>
      </w:r>
      <w:r w:rsidRPr="00CE2004">
        <w:rPr>
          <w:rFonts w:cstheme="minorHAnsi"/>
        </w:rPr>
        <w:t>including chatbots and generative systems</w:t>
      </w:r>
      <w:r>
        <w:rPr>
          <w:rFonts w:cstheme="minorHAnsi"/>
        </w:rPr>
        <w:t xml:space="preserve"> </w:t>
      </w:r>
      <w:r w:rsidRPr="00CE2004">
        <w:rPr>
          <w:rFonts w:cstheme="minorHAnsi"/>
        </w:rPr>
        <w:t xml:space="preserve">are increasingly used on campuses, yet adoption is often ad hoc, driven by individual lecturers, with fragmented institutional policies and uneven student readiness, particularly in private universities outside major urban </w:t>
      </w:r>
      <w:proofErr w:type="spellStart"/>
      <w:r w:rsidRPr="00CE2004">
        <w:rPr>
          <w:rFonts w:cstheme="minorHAnsi"/>
        </w:rPr>
        <w:t>centers</w:t>
      </w:r>
      <w:proofErr w:type="spellEnd"/>
      <w:r w:rsidRPr="00CE2004">
        <w:rPr>
          <w:rFonts w:cstheme="minorHAnsi"/>
        </w:rPr>
        <w:t xml:space="preserve"> (Pratama et al., 2024).</w:t>
      </w:r>
    </w:p>
    <w:p w14:paraId="5D3B6C2F" w14:textId="77777777" w:rsidR="00CE2004" w:rsidRPr="00CE2004" w:rsidRDefault="00CE2004" w:rsidP="00CE2004">
      <w:pPr>
        <w:jc w:val="both"/>
        <w:rPr>
          <w:rFonts w:cstheme="minorHAnsi"/>
        </w:rPr>
      </w:pPr>
      <w:r w:rsidRPr="00CE2004">
        <w:rPr>
          <w:rFonts w:cstheme="minorHAnsi"/>
        </w:rPr>
        <w:lastRenderedPageBreak/>
        <w:t>In provinces such as Central Kalimantan, limited digital infrastructure, heterogeneous student backgrounds, and scarce training in AI-based pedagogy compound these challenges. Initial indications suggest that chatbots are more often used for routine tasks than as reflective dialogic partners in learning processes, while the relationships between chatbot use, self-efficacy, and multidimensional learning outcomes remain rarely examined systematically. To address these gaps, this study seeks to answer three questions: (RQ1) How do lecturers and students in private universities in Central Kalimantan strategically employ AI-based chatbots as learning companions? (RQ2) How do these usage strategies shape self-efficacy and learning outcomes? and (RQ3) What conceptual model can explain the relationships between chatbot use, the development of self-efficacy, and learning outcomes in resource-constrained higher education contexts?</w:t>
      </w:r>
    </w:p>
    <w:p w14:paraId="38DD4038" w14:textId="598C311F" w:rsidR="009A1071" w:rsidRPr="009A1071" w:rsidRDefault="009A1071" w:rsidP="009A1071">
      <w:pPr>
        <w:jc w:val="both"/>
        <w:rPr>
          <w:rFonts w:cstheme="minorHAnsi"/>
          <w:b/>
          <w:bCs/>
        </w:rPr>
      </w:pPr>
      <w:r w:rsidRPr="009A1071">
        <w:rPr>
          <w:rFonts w:cstheme="minorHAnsi"/>
          <w:b/>
          <w:bCs/>
        </w:rPr>
        <w:t xml:space="preserve">2. </w:t>
      </w:r>
      <w:r w:rsidR="009205F5">
        <w:rPr>
          <w:rFonts w:cstheme="minorHAnsi"/>
          <w:b/>
          <w:bCs/>
        </w:rPr>
        <w:t xml:space="preserve">LITERATURE </w:t>
      </w:r>
      <w:r w:rsidR="006A2BA1">
        <w:rPr>
          <w:rFonts w:cstheme="minorHAnsi"/>
          <w:b/>
          <w:bCs/>
        </w:rPr>
        <w:t xml:space="preserve">REVIEW </w:t>
      </w:r>
    </w:p>
    <w:p w14:paraId="1AF56F6D" w14:textId="77777777" w:rsidR="009A1071" w:rsidRPr="009A1071" w:rsidRDefault="009A1071" w:rsidP="009A1071">
      <w:pPr>
        <w:jc w:val="both"/>
        <w:rPr>
          <w:rFonts w:cstheme="minorHAnsi"/>
          <w:b/>
          <w:bCs/>
        </w:rPr>
      </w:pPr>
      <w:r w:rsidRPr="009A1071">
        <w:rPr>
          <w:rFonts w:cstheme="minorHAnsi"/>
          <w:b/>
          <w:bCs/>
        </w:rPr>
        <w:t>2.1 AI chatbots in higher education</w:t>
      </w:r>
    </w:p>
    <w:p w14:paraId="729ED650" w14:textId="68EE3C84" w:rsidR="009A1071" w:rsidRPr="009A1071" w:rsidRDefault="009A1071" w:rsidP="009A1071">
      <w:pPr>
        <w:jc w:val="both"/>
        <w:rPr>
          <w:rFonts w:cstheme="minorHAnsi"/>
        </w:rPr>
      </w:pPr>
      <w:r w:rsidRPr="009A1071">
        <w:rPr>
          <w:rFonts w:cstheme="minorHAnsi"/>
        </w:rPr>
        <w:t>Recent systematic reviews position AI-based conversational agents as a key innovation in higher education, supporting tutoring, feedback, course navigation, and administrative assistance across disciplines and institutional types (Okonkwo &amp; Ade-</w:t>
      </w:r>
      <w:proofErr w:type="spellStart"/>
      <w:r w:rsidRPr="009A1071">
        <w:rPr>
          <w:rFonts w:cstheme="minorHAnsi"/>
        </w:rPr>
        <w:t>Ibijola</w:t>
      </w:r>
      <w:proofErr w:type="spellEnd"/>
      <w:r w:rsidRPr="009A1071">
        <w:rPr>
          <w:rFonts w:cstheme="minorHAnsi"/>
        </w:rPr>
        <w:t>, 2021; Wollny et al., 2021). A meta-analysis of 51 studies (November 2022–February 2025) indicates that integrating ChatGPT significantly improves academic performance, affective</w:t>
      </w:r>
      <w:r w:rsidR="00F537C2">
        <w:rPr>
          <w:rFonts w:cstheme="minorHAnsi"/>
        </w:rPr>
        <w:t xml:space="preserve"> </w:t>
      </w:r>
      <w:r w:rsidRPr="009A1071">
        <w:rPr>
          <w:rFonts w:cstheme="minorHAnsi"/>
        </w:rPr>
        <w:t>motivational states, and higher-order thinking, while reducing students’ cognitive load, with course type, learning model, and intervention duration moderating these effects and highlighting the centrality of pedagogical design for chatbot effectiveness (Wang &amp; Fan, 2025).</w:t>
      </w:r>
    </w:p>
    <w:p w14:paraId="141F8074" w14:textId="7F5F22D0" w:rsidR="009A1071" w:rsidRPr="009A1071" w:rsidRDefault="009A1071" w:rsidP="009A1071">
      <w:pPr>
        <w:jc w:val="both"/>
        <w:rPr>
          <w:rFonts w:cstheme="minorHAnsi"/>
        </w:rPr>
      </w:pPr>
      <w:r w:rsidRPr="009A1071">
        <w:rPr>
          <w:rFonts w:cstheme="minorHAnsi"/>
        </w:rPr>
        <w:t>Large-scale surveys show that students primarily use generative chatbots such as ChatGPT to generate ideas, summarize readings, clarify concepts, and explore the literature, with usage patterns shaped by perceived usefulness, ease of use, and low perceived risk (Chan &amp; Hu, 2023). Systematic reviews and rapid evidence syntheses conclude that pedagogical chatbots are most effective when tightly integrated into course design, where repeated dialogic interactions and ongoing feedback foster deeper processing and learner autonomy, particularly in blended and online settings; experimental and quasi</w:t>
      </w:r>
      <w:r w:rsidR="00F537C2">
        <w:rPr>
          <w:rFonts w:cstheme="minorHAnsi"/>
        </w:rPr>
        <w:t xml:space="preserve"> </w:t>
      </w:r>
      <w:r w:rsidRPr="009A1071">
        <w:rPr>
          <w:rFonts w:cstheme="minorHAnsi"/>
        </w:rPr>
        <w:t>experimental studies further show that ChatGPT</w:t>
      </w:r>
      <w:r w:rsidR="00F537C2">
        <w:rPr>
          <w:rFonts w:cstheme="minorHAnsi"/>
        </w:rPr>
        <w:t xml:space="preserve"> </w:t>
      </w:r>
      <w:r w:rsidRPr="009A1071">
        <w:rPr>
          <w:rFonts w:cstheme="minorHAnsi"/>
        </w:rPr>
        <w:t xml:space="preserve">mediated activities enhance writing quality, problem-solving, and transfer to authentic tasks when students are required to revise, justify, and reflect on AI-generated suggestions (Deng &amp; Yu, 2024; </w:t>
      </w:r>
      <w:proofErr w:type="spellStart"/>
      <w:r w:rsidRPr="009A1071">
        <w:rPr>
          <w:rFonts w:cstheme="minorHAnsi"/>
        </w:rPr>
        <w:t>Kuhail</w:t>
      </w:r>
      <w:proofErr w:type="spellEnd"/>
      <w:r w:rsidRPr="009A1071">
        <w:rPr>
          <w:rFonts w:cstheme="minorHAnsi"/>
        </w:rPr>
        <w:t xml:space="preserve"> et al., 2023).</w:t>
      </w:r>
    </w:p>
    <w:p w14:paraId="178FADD2" w14:textId="77777777" w:rsidR="009A1071" w:rsidRPr="009A1071" w:rsidRDefault="009A1071" w:rsidP="009A1071">
      <w:pPr>
        <w:jc w:val="both"/>
        <w:rPr>
          <w:rFonts w:cstheme="minorHAnsi"/>
          <w:b/>
          <w:bCs/>
        </w:rPr>
      </w:pPr>
      <w:r w:rsidRPr="009A1071">
        <w:rPr>
          <w:rFonts w:cstheme="minorHAnsi"/>
          <w:b/>
          <w:bCs/>
        </w:rPr>
        <w:t>2.2 Self-efficacy in technology-mediated learning</w:t>
      </w:r>
    </w:p>
    <w:p w14:paraId="30C0469D" w14:textId="21B1A0FE" w:rsidR="009A1071" w:rsidRPr="009A1071" w:rsidRDefault="009A1071" w:rsidP="009A1071">
      <w:pPr>
        <w:jc w:val="both"/>
        <w:rPr>
          <w:rFonts w:cstheme="minorHAnsi"/>
        </w:rPr>
      </w:pPr>
      <w:r w:rsidRPr="009A1071">
        <w:rPr>
          <w:rFonts w:cstheme="minorHAnsi"/>
        </w:rPr>
        <w:t>Grounded in Social Cognitive Theory, self-efficacy</w:t>
      </w:r>
      <w:r>
        <w:rPr>
          <w:rFonts w:cstheme="minorHAnsi"/>
        </w:rPr>
        <w:t xml:space="preserve"> </w:t>
      </w:r>
      <w:r w:rsidRPr="009A1071">
        <w:rPr>
          <w:rFonts w:cstheme="minorHAnsi"/>
        </w:rPr>
        <w:t>individuals’ beliefs in their capabilities to attain specified performance levels</w:t>
      </w:r>
      <w:r w:rsidR="00F537C2">
        <w:rPr>
          <w:rFonts w:cstheme="minorHAnsi"/>
        </w:rPr>
        <w:t xml:space="preserve"> </w:t>
      </w:r>
      <w:r w:rsidRPr="009A1071">
        <w:rPr>
          <w:rFonts w:cstheme="minorHAnsi"/>
        </w:rPr>
        <w:t xml:space="preserve">is recognized as a critical psychological resource in digital learning environments (Bandura, 1977, 1997). Self-efficacy shapes task choice, effort, persistence in the face of obstacles, and ultimately academic achievement, with structural equation </w:t>
      </w:r>
      <w:proofErr w:type="spellStart"/>
      <w:r w:rsidRPr="009A1071">
        <w:rPr>
          <w:rFonts w:cstheme="minorHAnsi"/>
        </w:rPr>
        <w:t>modeling</w:t>
      </w:r>
      <w:proofErr w:type="spellEnd"/>
      <w:r w:rsidRPr="009A1071">
        <w:rPr>
          <w:rFonts w:cstheme="minorHAnsi"/>
        </w:rPr>
        <w:t xml:space="preserve"> studies identifying academic self-efficacy as a strong predictor of digital </w:t>
      </w:r>
      <w:r w:rsidRPr="009A1071">
        <w:rPr>
          <w:rFonts w:cstheme="minorHAnsi"/>
        </w:rPr>
        <w:lastRenderedPageBreak/>
        <w:t>competence that can outweigh other motivational factors in technology-based learning (Hatlevik et al., 2018; Schunk &amp; DiBenedetto, 2021).</w:t>
      </w:r>
    </w:p>
    <w:p w14:paraId="516FC2E0" w14:textId="5FD85A6F" w:rsidR="009A1071" w:rsidRPr="009A1071" w:rsidRDefault="009A1071" w:rsidP="009A1071">
      <w:pPr>
        <w:jc w:val="both"/>
        <w:rPr>
          <w:rFonts w:cstheme="minorHAnsi"/>
        </w:rPr>
      </w:pPr>
      <w:r w:rsidRPr="009A1071">
        <w:rPr>
          <w:rFonts w:cstheme="minorHAnsi"/>
        </w:rPr>
        <w:t xml:space="preserve">Systematic reviews from 2020–2024 emphasize that students’ confidence in using technology influences how they engage with online platforms, manage time, and cope with technical and cognitive challenges (Alemayehu &amp; Chen, 2023; </w:t>
      </w:r>
      <w:proofErr w:type="spellStart"/>
      <w:r w:rsidRPr="009A1071">
        <w:rPr>
          <w:rFonts w:cstheme="minorHAnsi"/>
        </w:rPr>
        <w:t>Honicke</w:t>
      </w:r>
      <w:proofErr w:type="spellEnd"/>
      <w:r w:rsidRPr="009A1071">
        <w:rPr>
          <w:rFonts w:cstheme="minorHAnsi"/>
        </w:rPr>
        <w:t xml:space="preserve"> &amp; Broadbent, 2016). Research in technology-based language learning links higher technology self-efficacy to more proactive engagement and more frequent, varied use of digital tools, while a meta-analysis on ChatGPT’s effects on self-efficacy reports a moderate but heterogeneous pooled effect (g+ = 0.441, 95% CI [−0.141, 1.023]), suggesting strong contextual moderation; evidence from Indonesia shows a significant positive relationship between ChatGPT use and self-efficacy (R² = 0.546, p &lt; .001), indicating a substantial contribution of ChatGPT to self-efficacy variance in specific cultural and institutional configurations (Deng &amp; Yu, 2024; Hasanah &amp; Purnomo, 2025; Lai et al., 2022).</w:t>
      </w:r>
    </w:p>
    <w:p w14:paraId="4793EB0F" w14:textId="77777777" w:rsidR="009A1071" w:rsidRPr="009A1071" w:rsidRDefault="009A1071" w:rsidP="009A1071">
      <w:pPr>
        <w:jc w:val="both"/>
        <w:rPr>
          <w:rFonts w:cstheme="minorHAnsi"/>
          <w:b/>
          <w:bCs/>
        </w:rPr>
      </w:pPr>
      <w:r w:rsidRPr="009A1071">
        <w:rPr>
          <w:rFonts w:cstheme="minorHAnsi"/>
          <w:b/>
          <w:bCs/>
        </w:rPr>
        <w:t>2.3 AI chatbots in higher education in developing countries</w:t>
      </w:r>
    </w:p>
    <w:p w14:paraId="69AA6387" w14:textId="20B89B1B" w:rsidR="009A1071" w:rsidRPr="009A1071" w:rsidRDefault="009A1071" w:rsidP="009A1071">
      <w:pPr>
        <w:jc w:val="both"/>
        <w:rPr>
          <w:rFonts w:cstheme="minorHAnsi"/>
        </w:rPr>
      </w:pPr>
      <w:r w:rsidRPr="009A1071">
        <w:rPr>
          <w:rFonts w:cstheme="minorHAnsi"/>
        </w:rPr>
        <w:t xml:space="preserve">Scholarship from developing countries highlights both the potential and constraints of chatbot adoption in higher education. A study in a Zimbabwean university reports that lecturers perceive chatbots as promising for efficiency, personalization, and feedback, yet face challenges related to funding, infrastructure, technical support, and weak policy frameworks, while cross-context analyses identify unstable connectivity, uneven digital readiness, and limited organizational capacity as major barriers, alongside qualitative evidence portraying chatbots as a “blessing and a curse” that support assignment writing and exam preparation but raise concerns about plagiarism, shallow understanding, and student passivity (Crompton &amp; Burke, 2023; </w:t>
      </w:r>
      <w:proofErr w:type="spellStart"/>
      <w:r w:rsidRPr="009A1071">
        <w:rPr>
          <w:rFonts w:cstheme="minorHAnsi"/>
        </w:rPr>
        <w:t>Mugobo</w:t>
      </w:r>
      <w:proofErr w:type="spellEnd"/>
      <w:r w:rsidRPr="009A1071">
        <w:rPr>
          <w:rFonts w:cstheme="minorHAnsi"/>
        </w:rPr>
        <w:t xml:space="preserve"> et al., 2024; Tlili et al., 2023).</w:t>
      </w:r>
    </w:p>
    <w:p w14:paraId="00AD3063" w14:textId="0DC24E5E" w:rsidR="009A1071" w:rsidRPr="009A1071" w:rsidRDefault="009A1071" w:rsidP="009A1071">
      <w:pPr>
        <w:jc w:val="both"/>
        <w:rPr>
          <w:rFonts w:cstheme="minorHAnsi"/>
        </w:rPr>
      </w:pPr>
      <w:r w:rsidRPr="009A1071">
        <w:rPr>
          <w:rFonts w:cstheme="minorHAnsi"/>
        </w:rPr>
        <w:t>Research on chatbot adoption in service and education sectors in Africa and Asia shows that satisfaction, trust, and anthropomorphic cues can strengthen acceptance, whereas low AI literacy and perceptions of learning dehumanization undermine sustained use (Yen &amp; Chiang, 2024). In Indonesian and regional universities, students’ willingness to use ChatGPT and institutional chatbots is shaped by perceived pedagogical benefits, clarity of assessment policies, and alignment with local norms, while infrastructure constraints and limited staff training persist as key obstacles, underscoring that chatbot-supported learning in private universities in Central Kalimantan must be interpreted within local socio-cultural realities and infrastructural conditions rather than through generic technology-acceptance models (Pratama et al., 2024).</w:t>
      </w:r>
    </w:p>
    <w:p w14:paraId="0F25EFA1" w14:textId="77777777" w:rsidR="009A1071" w:rsidRPr="009A1071" w:rsidRDefault="009A1071" w:rsidP="009A1071">
      <w:pPr>
        <w:jc w:val="both"/>
        <w:rPr>
          <w:rFonts w:cstheme="minorHAnsi"/>
          <w:b/>
          <w:bCs/>
        </w:rPr>
      </w:pPr>
      <w:r w:rsidRPr="009A1071">
        <w:rPr>
          <w:rFonts w:cstheme="minorHAnsi"/>
          <w:b/>
          <w:bCs/>
        </w:rPr>
        <w:t>2.4 Linking chatbot use, self-efficacy, and learning outcomes</w:t>
      </w:r>
    </w:p>
    <w:p w14:paraId="2614AF6C" w14:textId="2CA0D71B" w:rsidR="009A1071" w:rsidRPr="009A1071" w:rsidRDefault="009A1071" w:rsidP="009A1071">
      <w:pPr>
        <w:jc w:val="both"/>
        <w:rPr>
          <w:rFonts w:cstheme="minorHAnsi"/>
        </w:rPr>
      </w:pPr>
      <w:r w:rsidRPr="009A1071">
        <w:rPr>
          <w:rFonts w:cstheme="minorHAnsi"/>
        </w:rPr>
        <w:t xml:space="preserve">Synthesizing these strands, the literature increasingly frames AI chatbots as “learning companions” that mediate reciprocal links between usage patterns, self-efficacy development, and learning outcomes. Systematic reviews indicate that fast, non-judgmental, and emotionally supportive feedback can create psychologically safe spaces for questioning </w:t>
      </w:r>
      <w:r w:rsidRPr="009A1071">
        <w:rPr>
          <w:rFonts w:cstheme="minorHAnsi"/>
        </w:rPr>
        <w:lastRenderedPageBreak/>
        <w:t>and experimentation, thereby fostering mastery experiences that build self-efficacy, which in turn is associated with more frequent and strategic chatbot use, deeper cognitive engagement, and improved academic performance and digital competence (</w:t>
      </w:r>
      <w:proofErr w:type="spellStart"/>
      <w:r w:rsidRPr="009A1071">
        <w:rPr>
          <w:rFonts w:cstheme="minorHAnsi"/>
        </w:rPr>
        <w:t>Kuhail</w:t>
      </w:r>
      <w:proofErr w:type="spellEnd"/>
      <w:r w:rsidRPr="009A1071">
        <w:rPr>
          <w:rFonts w:cstheme="minorHAnsi"/>
        </w:rPr>
        <w:t xml:space="preserve"> et al., 2023; Wang &amp; Fan, 2025).</w:t>
      </w:r>
    </w:p>
    <w:p w14:paraId="1A4F3C41" w14:textId="218CB4BD" w:rsidR="00CE2004" w:rsidRDefault="009A1071" w:rsidP="003C02D5">
      <w:pPr>
        <w:jc w:val="both"/>
        <w:rPr>
          <w:rFonts w:cstheme="minorHAnsi"/>
        </w:rPr>
      </w:pPr>
      <w:r w:rsidRPr="009A1071">
        <w:rPr>
          <w:rFonts w:cstheme="minorHAnsi"/>
        </w:rPr>
        <w:t xml:space="preserve">Research on relational agents shows that empathetic, personalized communication in conversational systems can enhance trust, motivation, and sustained engagement, particularly for users who feel socially or institutionally marginalized, whereas empirical studies in both high- and low-resource contexts warn that unstructured, task-completion–oriented chatbot use may encourage shallow dependence on AI answers and weaken self-regulation capacities (Bickmore &amp; Picard, 2005; </w:t>
      </w:r>
      <w:proofErr w:type="spellStart"/>
      <w:r w:rsidRPr="009A1071">
        <w:rPr>
          <w:rFonts w:cstheme="minorHAnsi"/>
        </w:rPr>
        <w:t>Kasneci</w:t>
      </w:r>
      <w:proofErr w:type="spellEnd"/>
      <w:r w:rsidRPr="009A1071">
        <w:rPr>
          <w:rFonts w:cstheme="minorHAnsi"/>
        </w:rPr>
        <w:t xml:space="preserve"> et al., 2023). Consequently, the literature calls for pedagogical frameworks that position AI chatbots not merely as information providers but as deliberately orchestrated mediators of cognitive, metacognitive, and affective processes, to be empirically tested in underrepresented private university contexts such as those in Central Kalimantan, Indonesia.</w:t>
      </w:r>
    </w:p>
    <w:p w14:paraId="07A154F1" w14:textId="514725C5" w:rsidR="009A1071" w:rsidRPr="009A1071" w:rsidRDefault="009A1071" w:rsidP="009A1071">
      <w:pPr>
        <w:jc w:val="both"/>
        <w:rPr>
          <w:rFonts w:cstheme="minorHAnsi"/>
          <w:b/>
          <w:bCs/>
        </w:rPr>
      </w:pPr>
      <w:r w:rsidRPr="009A1071">
        <w:rPr>
          <w:rFonts w:cstheme="minorHAnsi"/>
          <w:b/>
          <w:bCs/>
        </w:rPr>
        <w:t xml:space="preserve">3. </w:t>
      </w:r>
      <w:r w:rsidR="00B93D5B">
        <w:rPr>
          <w:rFonts w:cstheme="minorHAnsi"/>
          <w:b/>
          <w:bCs/>
        </w:rPr>
        <w:t xml:space="preserve">RESEARCH </w:t>
      </w:r>
      <w:r w:rsidR="009205F5">
        <w:rPr>
          <w:rFonts w:cstheme="minorHAnsi"/>
          <w:b/>
          <w:bCs/>
        </w:rPr>
        <w:t xml:space="preserve">METHODS </w:t>
      </w:r>
    </w:p>
    <w:p w14:paraId="534466EF" w14:textId="77777777" w:rsidR="009A1071" w:rsidRPr="009A1071" w:rsidRDefault="009A1071" w:rsidP="009A1071">
      <w:pPr>
        <w:jc w:val="both"/>
        <w:rPr>
          <w:rFonts w:cstheme="minorHAnsi"/>
          <w:b/>
          <w:bCs/>
        </w:rPr>
      </w:pPr>
      <w:r w:rsidRPr="009A1071">
        <w:rPr>
          <w:rFonts w:cstheme="minorHAnsi"/>
          <w:b/>
          <w:bCs/>
        </w:rPr>
        <w:t>3.1 Research design</w:t>
      </w:r>
    </w:p>
    <w:p w14:paraId="3037563D" w14:textId="3DAA9255" w:rsidR="009A1071" w:rsidRPr="009A1071" w:rsidRDefault="009A1071" w:rsidP="009A1071">
      <w:pPr>
        <w:jc w:val="both"/>
        <w:rPr>
          <w:rFonts w:cstheme="minorHAnsi"/>
        </w:rPr>
      </w:pPr>
      <w:r w:rsidRPr="009A1071">
        <w:rPr>
          <w:rFonts w:cstheme="minorHAnsi"/>
        </w:rPr>
        <w:t>This study employed a qualitative design within an interpretivist paradigm to examine how students and lecturers in private universities in Central Kalimantan make sense of AI-based chatbots as learning companions. Rather than testing causal relationships, a multiple-case study approach was adopted across three institutions to explore patterns and cross-context variation while preserving rich description and sensitivity to the social, cultural, and institutional dynamics surrounding technology practices (Merriam &amp; Tisdell, 2016; Yin, 2018).</w:t>
      </w:r>
    </w:p>
    <w:p w14:paraId="55F43D33" w14:textId="77777777" w:rsidR="009A1071" w:rsidRPr="009A1071" w:rsidRDefault="009A1071" w:rsidP="009A1071">
      <w:pPr>
        <w:jc w:val="both"/>
        <w:rPr>
          <w:rFonts w:cstheme="minorHAnsi"/>
          <w:b/>
          <w:bCs/>
        </w:rPr>
      </w:pPr>
      <w:r w:rsidRPr="009A1071">
        <w:rPr>
          <w:rFonts w:cstheme="minorHAnsi"/>
          <w:b/>
          <w:bCs/>
        </w:rPr>
        <w:t>3.2 Research setting</w:t>
      </w:r>
    </w:p>
    <w:p w14:paraId="4EBCBF6C" w14:textId="38C5C21A" w:rsidR="009A1071" w:rsidRPr="009A1071" w:rsidRDefault="009A1071" w:rsidP="009A1071">
      <w:pPr>
        <w:jc w:val="both"/>
        <w:rPr>
          <w:rFonts w:cstheme="minorHAnsi"/>
        </w:rPr>
      </w:pPr>
      <w:r w:rsidRPr="009A1071">
        <w:rPr>
          <w:rFonts w:cstheme="minorHAnsi"/>
        </w:rPr>
        <w:t xml:space="preserve">The research was conducted in three private universities in Central Kalimantan Province, Indonesia, selected to represent variation in institutional size, technological infrastructure, and student demographics. The three institutions, coded as Universities A, B, and C, were purposively chosen because they had integrated AI-based chatbots into learning management systems or student services to address academic inquiries, course guidance, and feedback, with locations in </w:t>
      </w:r>
      <w:proofErr w:type="spellStart"/>
      <w:r w:rsidRPr="009A1071">
        <w:rPr>
          <w:rFonts w:cstheme="minorHAnsi"/>
        </w:rPr>
        <w:t>Palangka</w:t>
      </w:r>
      <w:proofErr w:type="spellEnd"/>
      <w:r w:rsidRPr="009A1071">
        <w:rPr>
          <w:rFonts w:cstheme="minorHAnsi"/>
        </w:rPr>
        <w:t xml:space="preserve"> Raya and two satellite towns providing a geographically and socio-culturally typical provincial higher education context.</w:t>
      </w:r>
    </w:p>
    <w:p w14:paraId="3A086747" w14:textId="77777777" w:rsidR="009A1071" w:rsidRPr="009A1071" w:rsidRDefault="009A1071" w:rsidP="009A1071">
      <w:pPr>
        <w:jc w:val="both"/>
        <w:rPr>
          <w:rFonts w:cstheme="minorHAnsi"/>
          <w:b/>
          <w:bCs/>
        </w:rPr>
      </w:pPr>
      <w:r w:rsidRPr="009A1071">
        <w:rPr>
          <w:rFonts w:cstheme="minorHAnsi"/>
          <w:b/>
          <w:bCs/>
        </w:rPr>
        <w:t>3.3 Participants</w:t>
      </w:r>
    </w:p>
    <w:p w14:paraId="0DCDF5CB" w14:textId="56CC9839" w:rsidR="009A1071" w:rsidRPr="009A1071" w:rsidRDefault="009A1071" w:rsidP="009A1071">
      <w:pPr>
        <w:jc w:val="both"/>
        <w:rPr>
          <w:rFonts w:cstheme="minorHAnsi"/>
        </w:rPr>
      </w:pPr>
      <w:r w:rsidRPr="009A1071">
        <w:rPr>
          <w:rFonts w:cstheme="minorHAnsi"/>
        </w:rPr>
        <w:t xml:space="preserve">Participants comprised 27 undergraduate students and 6 lecturers recruited through criterion-based purposive sampling. Students were included if they (1) had used AI-based chatbots (e.g., ChatGPT, Bing Copilot, or institutional chatbots) in their learning for at least one semester, (2) came from diverse study programs (education, business, computer science, and social sciences), and (3) were willing to participate in in-depth interviews and focus group discussions (FGDs). Lecturers were recruited to provide complementary perspectives on </w:t>
      </w:r>
      <w:r w:rsidRPr="009A1071">
        <w:rPr>
          <w:rFonts w:cstheme="minorHAnsi"/>
        </w:rPr>
        <w:lastRenderedPageBreak/>
        <w:t xml:space="preserve">instructional strategies and student </w:t>
      </w:r>
      <w:proofErr w:type="spellStart"/>
      <w:r w:rsidRPr="009A1071">
        <w:rPr>
          <w:rFonts w:cstheme="minorHAnsi"/>
        </w:rPr>
        <w:t>behaviors</w:t>
      </w:r>
      <w:proofErr w:type="spellEnd"/>
      <w:r w:rsidRPr="009A1071">
        <w:rPr>
          <w:rFonts w:cstheme="minorHAnsi"/>
        </w:rPr>
        <w:t xml:space="preserve"> they observed, with attention to variation in gender, rural</w:t>
      </w:r>
      <w:r>
        <w:rPr>
          <w:rFonts w:cstheme="minorHAnsi"/>
        </w:rPr>
        <w:t xml:space="preserve"> </w:t>
      </w:r>
      <w:r w:rsidRPr="009A1071">
        <w:rPr>
          <w:rFonts w:cstheme="minorHAnsi"/>
        </w:rPr>
        <w:t>urban origin, and levels of digital literacy.</w:t>
      </w:r>
    </w:p>
    <w:p w14:paraId="315B2312" w14:textId="77777777" w:rsidR="009A1071" w:rsidRPr="009A1071" w:rsidRDefault="009A1071" w:rsidP="009A1071">
      <w:pPr>
        <w:jc w:val="both"/>
        <w:rPr>
          <w:rFonts w:cstheme="minorHAnsi"/>
          <w:b/>
          <w:bCs/>
        </w:rPr>
      </w:pPr>
      <w:r w:rsidRPr="009A1071">
        <w:rPr>
          <w:rFonts w:cstheme="minorHAnsi"/>
          <w:b/>
          <w:bCs/>
        </w:rPr>
        <w:t>3.4 Data collection methods</w:t>
      </w:r>
    </w:p>
    <w:p w14:paraId="6325A679" w14:textId="39CC95D4" w:rsidR="009A1071" w:rsidRPr="009A1071" w:rsidRDefault="009A1071" w:rsidP="009A1071">
      <w:pPr>
        <w:jc w:val="both"/>
        <w:rPr>
          <w:rFonts w:cstheme="minorHAnsi"/>
        </w:rPr>
      </w:pPr>
      <w:r w:rsidRPr="009A1071">
        <w:rPr>
          <w:rFonts w:cstheme="minorHAnsi"/>
        </w:rPr>
        <w:t>Four primary techniques were used to ensure triangulation: semi-structured interviews, FGDs, observations, and document analysis. Interviews with 27 students and 6 lecturers (45–75 minutes) were conducted between January and April 2025 in Indonesian, focusing on chatbot use patterns, perceived benefits and challenges, and influences on confidence and academic performance; all interviews were audio-recorded, transcribed verbatim, and translated into English for analysis. Three FGDs (one per university, each with 6–8 students) elicited collective reflections on chatbot experiences, peer influences, and institutional support, while classroom and selected online-session observations, together with institutional documents (usage logs, digital learning policies, course materials), provided contextual evidence of actual practices.</w:t>
      </w:r>
    </w:p>
    <w:p w14:paraId="36704C6B" w14:textId="77777777" w:rsidR="009A1071" w:rsidRPr="009A1071" w:rsidRDefault="009A1071" w:rsidP="009A1071">
      <w:pPr>
        <w:jc w:val="both"/>
        <w:rPr>
          <w:rFonts w:cstheme="minorHAnsi"/>
          <w:b/>
          <w:bCs/>
        </w:rPr>
      </w:pPr>
      <w:r w:rsidRPr="009A1071">
        <w:rPr>
          <w:rFonts w:cstheme="minorHAnsi"/>
          <w:b/>
          <w:bCs/>
        </w:rPr>
        <w:t>3.5 Data analysis procedures</w:t>
      </w:r>
    </w:p>
    <w:p w14:paraId="194E9439" w14:textId="39291F70" w:rsidR="009A1071" w:rsidRPr="009A1071" w:rsidRDefault="009A1071" w:rsidP="009A1071">
      <w:pPr>
        <w:jc w:val="both"/>
        <w:rPr>
          <w:rFonts w:cstheme="minorHAnsi"/>
        </w:rPr>
      </w:pPr>
      <w:r w:rsidRPr="009A1071">
        <w:rPr>
          <w:rFonts w:cstheme="minorHAnsi"/>
        </w:rPr>
        <w:t>Data analysis followed Miles, Huberman, and Saldaña’s framework, moving through iterative cycles of data condensation, data display, and conclusion drawing and verification (Miles et al., 2014). Inter-coder reliability was estimated using Cohen’s κ and reached 0.82, exceeding the commonly accepted threshold of 0.80 for strong agreement. Transcripts were coded line by line to generate initial codes (e.g., increased confidence, technical challenges, peer influence), which were then clustered into categories and themes related to chatbot use and learner transformation; findings were mapped in matrices and diagrams and refined through analytic memos and triangulation across interviews, FGDs, observations, and documents, with NVivo 14 supporting iterative data management and thematic development.</w:t>
      </w:r>
    </w:p>
    <w:p w14:paraId="769903AE" w14:textId="77777777" w:rsidR="009A1071" w:rsidRPr="009A1071" w:rsidRDefault="009A1071" w:rsidP="009A1071">
      <w:pPr>
        <w:jc w:val="both"/>
        <w:rPr>
          <w:rFonts w:cstheme="minorHAnsi"/>
          <w:b/>
          <w:bCs/>
        </w:rPr>
      </w:pPr>
      <w:r w:rsidRPr="009A1071">
        <w:rPr>
          <w:rFonts w:cstheme="minorHAnsi"/>
          <w:b/>
          <w:bCs/>
        </w:rPr>
        <w:t>3.6 Establishing inter-coder reliability</w:t>
      </w:r>
    </w:p>
    <w:p w14:paraId="14253CBE" w14:textId="17EF27B6" w:rsidR="009A1071" w:rsidRPr="009A1071" w:rsidRDefault="009A1071" w:rsidP="009A1071">
      <w:pPr>
        <w:jc w:val="both"/>
        <w:rPr>
          <w:rFonts w:cstheme="minorHAnsi"/>
        </w:rPr>
      </w:pPr>
      <w:r w:rsidRPr="009A1071">
        <w:rPr>
          <w:rFonts w:cstheme="minorHAnsi"/>
        </w:rPr>
        <w:t>Inter-coder reliability (ICR) was assessed by asking the lead researcher and a qualitative research assistant to independently code six interview transcripts (approximately 22% of the data) using the initial coding frame. The first calculation of Cohen’s kappa yielded κ = 0.74 (substantial agreement), and after discussion and refinement of the codebook, a second round on three additional transcripts produced κ = 0.82, indicating strong agreement and improved coding consistency (McHugh, 2012; O’Connor &amp; Joffe, 2020).</w:t>
      </w:r>
    </w:p>
    <w:p w14:paraId="73980250" w14:textId="77777777" w:rsidR="009A1071" w:rsidRPr="009A1071" w:rsidRDefault="009A1071" w:rsidP="009A1071">
      <w:pPr>
        <w:jc w:val="both"/>
        <w:rPr>
          <w:rFonts w:cstheme="minorHAnsi"/>
          <w:b/>
          <w:bCs/>
        </w:rPr>
      </w:pPr>
      <w:r w:rsidRPr="009A1071">
        <w:rPr>
          <w:rFonts w:cstheme="minorHAnsi"/>
          <w:b/>
          <w:bCs/>
        </w:rPr>
        <w:t>3.7 Achieving theoretical saturation</w:t>
      </w:r>
    </w:p>
    <w:p w14:paraId="20255921" w14:textId="22722A89" w:rsidR="009A1071" w:rsidRPr="009A1071" w:rsidRDefault="009A1071" w:rsidP="009A1071">
      <w:pPr>
        <w:jc w:val="both"/>
        <w:rPr>
          <w:rFonts w:cstheme="minorHAnsi"/>
        </w:rPr>
      </w:pPr>
      <w:r w:rsidRPr="009A1071">
        <w:rPr>
          <w:rFonts w:cstheme="minorHAnsi"/>
        </w:rPr>
        <w:t xml:space="preserve">Theoretical saturation was monitored through an overlapping and iterative process of data collection and analysis. Following Saunders et al. (2018) and </w:t>
      </w:r>
      <w:proofErr w:type="spellStart"/>
      <w:r w:rsidRPr="009A1071">
        <w:rPr>
          <w:rFonts w:cstheme="minorHAnsi"/>
        </w:rPr>
        <w:t>Hennink</w:t>
      </w:r>
      <w:proofErr w:type="spellEnd"/>
      <w:r w:rsidRPr="009A1071">
        <w:rPr>
          <w:rFonts w:cstheme="minorHAnsi"/>
        </w:rPr>
        <w:t xml:space="preserve"> and Kaiser (2022), saturation was defined as the point at which no new codes emerged, thematic categories were populated with varied examples, and relationships among themes were stable across groups and institutions. After interviews with 18 students and 4 lecturers, three main strategic domains</w:t>
      </w:r>
      <w:r>
        <w:rPr>
          <w:rFonts w:cstheme="minorHAnsi"/>
        </w:rPr>
        <w:t xml:space="preserve"> </w:t>
      </w:r>
      <w:r w:rsidRPr="009A1071">
        <w:rPr>
          <w:rFonts w:cstheme="minorHAnsi"/>
        </w:rPr>
        <w:t>pedagogical integration, interactional engagement, and learning reinforcement</w:t>
      </w:r>
      <w:r>
        <w:rPr>
          <w:rFonts w:cstheme="minorHAnsi"/>
        </w:rPr>
        <w:t xml:space="preserve"> </w:t>
      </w:r>
      <w:r w:rsidRPr="009A1071">
        <w:rPr>
          <w:rFonts w:cstheme="minorHAnsi"/>
        </w:rPr>
        <w:lastRenderedPageBreak/>
        <w:t>appeared consistently; subsequent interviews mainly deepened existing themes, and by the 27th interview, fieldnotes and analytic memos documented conceptual redundancy.</w:t>
      </w:r>
    </w:p>
    <w:p w14:paraId="53D90088" w14:textId="77777777" w:rsidR="009A1071" w:rsidRPr="009A1071" w:rsidRDefault="009A1071" w:rsidP="009A1071">
      <w:pPr>
        <w:jc w:val="both"/>
        <w:rPr>
          <w:rFonts w:cstheme="minorHAnsi"/>
          <w:b/>
          <w:bCs/>
        </w:rPr>
      </w:pPr>
      <w:r w:rsidRPr="009A1071">
        <w:rPr>
          <w:rFonts w:cstheme="minorHAnsi"/>
          <w:b/>
          <w:bCs/>
        </w:rPr>
        <w:t>3.8 Trustworthiness and validation</w:t>
      </w:r>
    </w:p>
    <w:p w14:paraId="722B9073" w14:textId="097B5930" w:rsidR="009A1071" w:rsidRPr="009A1071" w:rsidRDefault="009A1071" w:rsidP="009A1071">
      <w:pPr>
        <w:jc w:val="both"/>
        <w:rPr>
          <w:rFonts w:cstheme="minorHAnsi"/>
        </w:rPr>
      </w:pPr>
      <w:r w:rsidRPr="009A1071">
        <w:rPr>
          <w:rFonts w:cstheme="minorHAnsi"/>
        </w:rPr>
        <w:t>The quality of findings was guided by Lincoln and Guba’s trustworthiness criteria—credibility, transferability, dependability, and confirmability (Lincoln &amp; Guba, 1985). Credibility was enhanced through sufficient field engagement, method triangulation (interviews, FGDs, observations, documents), and member checking. Transferability was supported by thick contextual description; dependability was maintained through a detailed audit trail of data collection procedures and analytic decisions; and confirmability was promoted via reflexive journaling and peer debriefing with two external educational technology experts who reviewed the coding framework, thematic structure, and interpretations.</w:t>
      </w:r>
    </w:p>
    <w:p w14:paraId="0C51785A" w14:textId="77777777" w:rsidR="009A1071" w:rsidRPr="009A1071" w:rsidRDefault="009A1071" w:rsidP="009A1071">
      <w:pPr>
        <w:jc w:val="both"/>
        <w:rPr>
          <w:rFonts w:cstheme="minorHAnsi"/>
          <w:b/>
          <w:bCs/>
        </w:rPr>
      </w:pPr>
      <w:r w:rsidRPr="009A1071">
        <w:rPr>
          <w:rFonts w:cstheme="minorHAnsi"/>
          <w:b/>
          <w:bCs/>
        </w:rPr>
        <w:t>3.9 Member-checking procedures</w:t>
      </w:r>
    </w:p>
    <w:p w14:paraId="316B4477" w14:textId="35346EFC" w:rsidR="009A1071" w:rsidRPr="009A1071" w:rsidRDefault="009A1071" w:rsidP="009A1071">
      <w:pPr>
        <w:jc w:val="both"/>
        <w:rPr>
          <w:rFonts w:cstheme="minorHAnsi"/>
        </w:rPr>
      </w:pPr>
      <w:r w:rsidRPr="009A1071">
        <w:rPr>
          <w:rFonts w:cstheme="minorHAnsi"/>
        </w:rPr>
        <w:t>Member checking was conducted in two stages. In March 2025, preliminary thematic summaries and illustrative excerpts were shared with 12 participants (9 students, 3 lecturers) to obtain feedback on accuracy and completeness, leading to minor adjustments to theme labels and narrative context. In May 2025, the conceptual model and draft findings were presented to 8 participants in one online and one face-to-face workshop, where they confirmed the model’s relevance and contributed additional reflections on institutional constraints and developmental directions.</w:t>
      </w:r>
    </w:p>
    <w:p w14:paraId="7B2E6444" w14:textId="77777777" w:rsidR="009A1071" w:rsidRPr="009A1071" w:rsidRDefault="009A1071" w:rsidP="009A1071">
      <w:pPr>
        <w:jc w:val="both"/>
        <w:rPr>
          <w:rFonts w:cstheme="minorHAnsi"/>
          <w:b/>
          <w:bCs/>
        </w:rPr>
      </w:pPr>
      <w:r w:rsidRPr="009A1071">
        <w:rPr>
          <w:rFonts w:cstheme="minorHAnsi"/>
          <w:b/>
          <w:bCs/>
        </w:rPr>
        <w:t>3.10 Ethical considerations</w:t>
      </w:r>
    </w:p>
    <w:p w14:paraId="75393E67" w14:textId="1FF188DF" w:rsidR="009A1071" w:rsidRPr="009A1071" w:rsidRDefault="009A1071" w:rsidP="009A1071">
      <w:pPr>
        <w:jc w:val="both"/>
        <w:rPr>
          <w:rFonts w:cstheme="minorHAnsi"/>
        </w:rPr>
      </w:pPr>
      <w:r w:rsidRPr="009A1071">
        <w:rPr>
          <w:rFonts w:cstheme="minorHAnsi"/>
        </w:rPr>
        <w:t xml:space="preserve">The study complied with the guidelines of the Indonesian National Research Ethics Committee and received ethical clearance from the ethics board of </w:t>
      </w:r>
      <w:proofErr w:type="spellStart"/>
      <w:r w:rsidRPr="009A1071">
        <w:rPr>
          <w:rFonts w:cstheme="minorHAnsi"/>
        </w:rPr>
        <w:t>Sekolah</w:t>
      </w:r>
      <w:proofErr w:type="spellEnd"/>
      <w:r w:rsidRPr="009A1071">
        <w:rPr>
          <w:rFonts w:cstheme="minorHAnsi"/>
        </w:rPr>
        <w:t xml:space="preserve"> Tinggi Pastoral </w:t>
      </w:r>
      <w:proofErr w:type="spellStart"/>
      <w:r w:rsidRPr="009A1071">
        <w:rPr>
          <w:rFonts w:cstheme="minorHAnsi"/>
        </w:rPr>
        <w:t>Tahasak</w:t>
      </w:r>
      <w:proofErr w:type="spellEnd"/>
      <w:r w:rsidRPr="009A1071">
        <w:rPr>
          <w:rFonts w:cstheme="minorHAnsi"/>
        </w:rPr>
        <w:t xml:space="preserve"> Danum </w:t>
      </w:r>
      <w:proofErr w:type="spellStart"/>
      <w:r w:rsidRPr="009A1071">
        <w:rPr>
          <w:rFonts w:cstheme="minorHAnsi"/>
        </w:rPr>
        <w:t>Pambelum</w:t>
      </w:r>
      <w:proofErr w:type="spellEnd"/>
      <w:r w:rsidRPr="009A1071">
        <w:rPr>
          <w:rFonts w:cstheme="minorHAnsi"/>
        </w:rPr>
        <w:t xml:space="preserve"> </w:t>
      </w:r>
      <w:proofErr w:type="spellStart"/>
      <w:r w:rsidRPr="009A1071">
        <w:rPr>
          <w:rFonts w:cstheme="minorHAnsi"/>
        </w:rPr>
        <w:t>Palangkaraya</w:t>
      </w:r>
      <w:proofErr w:type="spellEnd"/>
      <w:r w:rsidRPr="009A1071">
        <w:rPr>
          <w:rFonts w:cstheme="minorHAnsi"/>
        </w:rPr>
        <w:t xml:space="preserve"> (No. 2025/ETIK/041) prior to data collection. All participants received information sheets, signed informed consent forms, participated voluntarily without coercive incentives, and had no personal identifiers included in reported data; digital data were stored in encrypted form and accessible only to the research team. Cultural sensitivity was maintained by respecting local communication norms, particularly in rural communities, and by guaranteeing participants’ right to withdraw at any time without consequences.</w:t>
      </w:r>
    </w:p>
    <w:p w14:paraId="301BFDF0" w14:textId="77777777" w:rsidR="009A1071" w:rsidRPr="009A1071" w:rsidRDefault="009A1071" w:rsidP="009A1071">
      <w:pPr>
        <w:jc w:val="both"/>
        <w:rPr>
          <w:rFonts w:cstheme="minorHAnsi"/>
          <w:b/>
          <w:bCs/>
        </w:rPr>
      </w:pPr>
      <w:r w:rsidRPr="009A1071">
        <w:rPr>
          <w:rFonts w:cstheme="minorHAnsi"/>
          <w:b/>
          <w:bCs/>
        </w:rPr>
        <w:t>3.11 Researcher reflexivity</w:t>
      </w:r>
    </w:p>
    <w:p w14:paraId="3625A2FF" w14:textId="61991F9F" w:rsidR="00CE2004" w:rsidRDefault="009A1071" w:rsidP="003C02D5">
      <w:pPr>
        <w:jc w:val="both"/>
        <w:rPr>
          <w:rFonts w:cstheme="minorHAnsi"/>
        </w:rPr>
      </w:pPr>
      <w:r w:rsidRPr="009A1071">
        <w:rPr>
          <w:rFonts w:cstheme="minorHAnsi"/>
        </w:rPr>
        <w:t>Recognizing the interpretive nature of qualitative research and the lead researcher’s dual position as an educator in the same province, the study incorporated reflexive practices through memo writing on assumptions, emotional responses, and contextual observations that might shape interpretation. Triangulation with external reviewers and transparent procedural documentation were used to minimize individual bias and strengthen the integrity of the analysis.</w:t>
      </w:r>
    </w:p>
    <w:p w14:paraId="21BF67EB" w14:textId="77777777" w:rsidR="00BF5846" w:rsidRDefault="00BF5846" w:rsidP="009A1071">
      <w:pPr>
        <w:jc w:val="both"/>
        <w:rPr>
          <w:rFonts w:cstheme="minorHAnsi"/>
          <w:b/>
          <w:bCs/>
        </w:rPr>
      </w:pPr>
    </w:p>
    <w:p w14:paraId="6B4DCAF4" w14:textId="491E12AE" w:rsidR="009A1071" w:rsidRPr="009A1071" w:rsidRDefault="009A1071" w:rsidP="009A1071">
      <w:pPr>
        <w:jc w:val="both"/>
        <w:rPr>
          <w:rFonts w:cstheme="minorHAnsi"/>
          <w:b/>
          <w:bCs/>
        </w:rPr>
      </w:pPr>
      <w:r w:rsidRPr="009A1071">
        <w:rPr>
          <w:rFonts w:cstheme="minorHAnsi"/>
          <w:b/>
          <w:bCs/>
        </w:rPr>
        <w:lastRenderedPageBreak/>
        <w:t xml:space="preserve">4. </w:t>
      </w:r>
      <w:r w:rsidR="002944C2">
        <w:rPr>
          <w:rFonts w:cstheme="minorHAnsi"/>
          <w:b/>
          <w:bCs/>
        </w:rPr>
        <w:t xml:space="preserve">FINDINGS </w:t>
      </w:r>
    </w:p>
    <w:p w14:paraId="226FE655" w14:textId="77777777" w:rsidR="009A1071" w:rsidRPr="009A1071" w:rsidRDefault="009A1071" w:rsidP="009A1071">
      <w:pPr>
        <w:jc w:val="both"/>
        <w:rPr>
          <w:rFonts w:cstheme="minorHAnsi"/>
          <w:b/>
          <w:bCs/>
        </w:rPr>
      </w:pPr>
      <w:r w:rsidRPr="009A1071">
        <w:rPr>
          <w:rFonts w:cstheme="minorHAnsi"/>
          <w:b/>
          <w:bCs/>
        </w:rPr>
        <w:t>4.1 Overview of themes and frequencies</w:t>
      </w:r>
    </w:p>
    <w:p w14:paraId="7D3C9CB9" w14:textId="2031A341" w:rsidR="009A1071" w:rsidRPr="009A1071" w:rsidRDefault="009A1071" w:rsidP="009A1071">
      <w:pPr>
        <w:jc w:val="both"/>
        <w:rPr>
          <w:rFonts w:cstheme="minorHAnsi"/>
        </w:rPr>
      </w:pPr>
      <w:r w:rsidRPr="009A1071">
        <w:rPr>
          <w:rFonts w:cstheme="minorHAnsi"/>
        </w:rPr>
        <w:t>Analysis of interviews with 27 students and 6 lecturers, complemented by FGDs, observations, and institutional documents, produced three main thematic clusters concerning the strategic use of AI-based chatbots as learning companions in the three private universities. These clusters are: (1) pedagogical integration strategies, (2) mechanisms of interactional engagement and self-efficacy, and (3) learning reinforcement and academic outcomes.</w:t>
      </w:r>
    </w:p>
    <w:p w14:paraId="195567F6" w14:textId="77777777" w:rsidR="009A1071" w:rsidRPr="009A1071" w:rsidRDefault="009A1071" w:rsidP="009A1071">
      <w:pPr>
        <w:jc w:val="both"/>
        <w:rPr>
          <w:rFonts w:cstheme="minorHAnsi"/>
        </w:rPr>
      </w:pPr>
      <w:r w:rsidRPr="009A1071">
        <w:rPr>
          <w:rFonts w:cstheme="minorHAnsi"/>
        </w:rPr>
        <w:t>Table 1 presents the proportion of student and lecturer narratives coded within each domain, showing that most students and all lecturers contributed to all three domains, indicating that these themes represent cross-case patterns rather than isolated findings tied to particular individuals or institutions. The table is used to underline the breadth of participation and the robustness of the three strategic domains across the sites.</w:t>
      </w:r>
    </w:p>
    <w:p w14:paraId="50E5C020" w14:textId="34F869DD" w:rsidR="00C14F0C" w:rsidRPr="00F93B89" w:rsidRDefault="009A1071" w:rsidP="00F93B89">
      <w:pPr>
        <w:jc w:val="center"/>
        <w:rPr>
          <w:rFonts w:cstheme="minorHAnsi"/>
          <w:b/>
          <w:bCs/>
        </w:rPr>
      </w:pPr>
      <w:r w:rsidRPr="009A1071">
        <w:rPr>
          <w:rFonts w:cstheme="minorHAnsi"/>
          <w:b/>
          <w:bCs/>
        </w:rPr>
        <w:t>​</w:t>
      </w:r>
      <w:r w:rsidR="00F93B89" w:rsidRPr="00F93B89">
        <w:rPr>
          <w:rFonts w:cstheme="minorHAnsi"/>
          <w:b/>
          <w:bCs/>
        </w:rPr>
        <w:t>Table 1. Frequency of themes across participants</w:t>
      </w:r>
    </w:p>
    <w:tbl>
      <w:tblPr>
        <w:tblStyle w:val="TableGrid"/>
        <w:tblW w:w="0" w:type="auto"/>
        <w:tblLook w:val="04A0" w:firstRow="1" w:lastRow="0" w:firstColumn="1" w:lastColumn="0" w:noHBand="0" w:noVBand="1"/>
      </w:tblPr>
      <w:tblGrid>
        <w:gridCol w:w="9016"/>
      </w:tblGrid>
      <w:tr w:rsidR="00C14F0C" w14:paraId="1E63C3B7" w14:textId="77777777">
        <w:tc>
          <w:tcPr>
            <w:tcW w:w="90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4"/>
              <w:gridCol w:w="1315"/>
              <w:gridCol w:w="1295"/>
              <w:gridCol w:w="3226"/>
            </w:tblGrid>
            <w:tr w:rsidR="00C14F0C" w:rsidRPr="00C14F0C" w14:paraId="31FC6569" w14:textId="77777777" w:rsidTr="00C14F0C">
              <w:trPr>
                <w:tblHeader/>
                <w:tblCellSpacing w:w="15" w:type="dxa"/>
              </w:trPr>
              <w:tc>
                <w:tcPr>
                  <w:tcW w:w="0" w:type="auto"/>
                  <w:tcBorders>
                    <w:top w:val="single" w:sz="4" w:space="0" w:color="auto"/>
                  </w:tcBorders>
                  <w:vAlign w:val="center"/>
                  <w:hideMark/>
                </w:tcPr>
                <w:p w14:paraId="14984516" w14:textId="0B9A5654" w:rsidR="00C14F0C" w:rsidRPr="00C14F0C" w:rsidRDefault="00B30D8D" w:rsidP="00E15A74">
                  <w:pPr>
                    <w:jc w:val="both"/>
                    <w:rPr>
                      <w:rFonts w:cstheme="minorHAnsi"/>
                      <w:b/>
                      <w:bCs/>
                    </w:rPr>
                  </w:pPr>
                  <w:r>
                    <w:rPr>
                      <w:rFonts w:cstheme="minorHAnsi"/>
                      <w:b/>
                      <w:bCs/>
                    </w:rPr>
                    <w:t>T</w:t>
                  </w:r>
                  <w:r w:rsidR="00C14F0C" w:rsidRPr="00C14F0C">
                    <w:rPr>
                      <w:rFonts w:cstheme="minorHAnsi"/>
                      <w:b/>
                      <w:bCs/>
                    </w:rPr>
                    <w:t>hematic domain</w:t>
                  </w:r>
                </w:p>
              </w:tc>
              <w:tc>
                <w:tcPr>
                  <w:tcW w:w="0" w:type="auto"/>
                  <w:tcBorders>
                    <w:top w:val="single" w:sz="4" w:space="0" w:color="auto"/>
                  </w:tcBorders>
                  <w:vAlign w:val="center"/>
                  <w:hideMark/>
                </w:tcPr>
                <w:p w14:paraId="309F0767" w14:textId="77777777" w:rsidR="00C14F0C" w:rsidRPr="00C14F0C" w:rsidRDefault="00C14F0C" w:rsidP="00E15A74">
                  <w:pPr>
                    <w:jc w:val="both"/>
                    <w:rPr>
                      <w:rFonts w:cstheme="minorHAnsi"/>
                      <w:b/>
                      <w:bCs/>
                    </w:rPr>
                  </w:pPr>
                  <w:r w:rsidRPr="00C14F0C">
                    <w:rPr>
                      <w:rFonts w:cstheme="minorHAnsi"/>
                      <w:b/>
                      <w:bCs/>
                    </w:rPr>
                    <w:t>Students (n = 27)</w:t>
                  </w:r>
                </w:p>
              </w:tc>
              <w:tc>
                <w:tcPr>
                  <w:tcW w:w="0" w:type="auto"/>
                  <w:tcBorders>
                    <w:top w:val="single" w:sz="4" w:space="0" w:color="auto"/>
                  </w:tcBorders>
                  <w:vAlign w:val="center"/>
                  <w:hideMark/>
                </w:tcPr>
                <w:p w14:paraId="5FEBCCEA" w14:textId="77777777" w:rsidR="00C14F0C" w:rsidRPr="00C14F0C" w:rsidRDefault="00C14F0C" w:rsidP="00E15A74">
                  <w:pPr>
                    <w:jc w:val="both"/>
                    <w:rPr>
                      <w:rFonts w:cstheme="minorHAnsi"/>
                      <w:b/>
                      <w:bCs/>
                    </w:rPr>
                  </w:pPr>
                  <w:r w:rsidRPr="00C14F0C">
                    <w:rPr>
                      <w:rFonts w:cstheme="minorHAnsi"/>
                      <w:b/>
                      <w:bCs/>
                    </w:rPr>
                    <w:t>Lecturers (n = 6)</w:t>
                  </w:r>
                </w:p>
              </w:tc>
              <w:tc>
                <w:tcPr>
                  <w:tcW w:w="0" w:type="auto"/>
                  <w:tcBorders>
                    <w:top w:val="single" w:sz="4" w:space="0" w:color="auto"/>
                  </w:tcBorders>
                  <w:vAlign w:val="center"/>
                  <w:hideMark/>
                </w:tcPr>
                <w:p w14:paraId="74210652" w14:textId="77777777" w:rsidR="00C14F0C" w:rsidRPr="00C14F0C" w:rsidRDefault="00C14F0C" w:rsidP="00E15A74">
                  <w:pPr>
                    <w:jc w:val="both"/>
                    <w:rPr>
                      <w:rFonts w:cstheme="minorHAnsi"/>
                      <w:b/>
                      <w:bCs/>
                    </w:rPr>
                  </w:pPr>
                  <w:r w:rsidRPr="00C14F0C">
                    <w:rPr>
                      <w:rFonts w:cstheme="minorHAnsi"/>
                      <w:b/>
                      <w:bCs/>
                    </w:rPr>
                    <w:t>Illustrative focus</w:t>
                  </w:r>
                </w:p>
              </w:tc>
            </w:tr>
            <w:tr w:rsidR="00C14F0C" w:rsidRPr="00C14F0C" w14:paraId="7C6999B9" w14:textId="77777777" w:rsidTr="00E15A74">
              <w:trPr>
                <w:tblCellSpacing w:w="15" w:type="dxa"/>
              </w:trPr>
              <w:tc>
                <w:tcPr>
                  <w:tcW w:w="0" w:type="auto"/>
                  <w:vAlign w:val="center"/>
                  <w:hideMark/>
                </w:tcPr>
                <w:p w14:paraId="3ACB3D18" w14:textId="77777777" w:rsidR="00C14F0C" w:rsidRPr="00C14F0C" w:rsidRDefault="00C14F0C" w:rsidP="00E15A74">
                  <w:pPr>
                    <w:jc w:val="both"/>
                    <w:rPr>
                      <w:rFonts w:cstheme="minorHAnsi"/>
                    </w:rPr>
                  </w:pPr>
                  <w:r w:rsidRPr="00C14F0C">
                    <w:rPr>
                      <w:rFonts w:cstheme="minorHAnsi"/>
                    </w:rPr>
                    <w:t>Pedagogical integration strategies</w:t>
                  </w:r>
                </w:p>
              </w:tc>
              <w:tc>
                <w:tcPr>
                  <w:tcW w:w="0" w:type="auto"/>
                  <w:vAlign w:val="center"/>
                  <w:hideMark/>
                </w:tcPr>
                <w:p w14:paraId="21F3944B" w14:textId="77777777" w:rsidR="00C14F0C" w:rsidRPr="00C14F0C" w:rsidRDefault="00C14F0C" w:rsidP="00E15A74">
                  <w:pPr>
                    <w:jc w:val="both"/>
                    <w:rPr>
                      <w:rFonts w:cstheme="minorHAnsi"/>
                    </w:rPr>
                  </w:pPr>
                  <w:r w:rsidRPr="00C14F0C">
                    <w:rPr>
                      <w:rFonts w:cstheme="minorHAnsi"/>
                    </w:rPr>
                    <w:t>24 (89%)</w:t>
                  </w:r>
                </w:p>
              </w:tc>
              <w:tc>
                <w:tcPr>
                  <w:tcW w:w="0" w:type="auto"/>
                  <w:vAlign w:val="center"/>
                  <w:hideMark/>
                </w:tcPr>
                <w:p w14:paraId="188CBB2B" w14:textId="77777777" w:rsidR="00C14F0C" w:rsidRPr="00C14F0C" w:rsidRDefault="00C14F0C" w:rsidP="00E15A74">
                  <w:pPr>
                    <w:jc w:val="both"/>
                    <w:rPr>
                      <w:rFonts w:cstheme="minorHAnsi"/>
                    </w:rPr>
                  </w:pPr>
                  <w:r w:rsidRPr="00C14F0C">
                    <w:rPr>
                      <w:rFonts w:cstheme="minorHAnsi"/>
                    </w:rPr>
                    <w:t>6 (100%)</w:t>
                  </w:r>
                </w:p>
              </w:tc>
              <w:tc>
                <w:tcPr>
                  <w:tcW w:w="0" w:type="auto"/>
                  <w:vAlign w:val="center"/>
                  <w:hideMark/>
                </w:tcPr>
                <w:p w14:paraId="69F523C1" w14:textId="77777777" w:rsidR="00C14F0C" w:rsidRPr="00C14F0C" w:rsidRDefault="00C14F0C" w:rsidP="00E15A74">
                  <w:pPr>
                    <w:jc w:val="both"/>
                    <w:rPr>
                      <w:rFonts w:cstheme="minorHAnsi"/>
                    </w:rPr>
                  </w:pPr>
                  <w:r w:rsidRPr="00C14F0C">
                    <w:rPr>
                      <w:rFonts w:cstheme="minorHAnsi"/>
                    </w:rPr>
                    <w:t>Embedding chatbot-based assignments into courses</w:t>
                  </w:r>
                </w:p>
              </w:tc>
            </w:tr>
            <w:tr w:rsidR="00C14F0C" w:rsidRPr="00C14F0C" w14:paraId="72E33943" w14:textId="77777777" w:rsidTr="00E15A74">
              <w:trPr>
                <w:tblCellSpacing w:w="15" w:type="dxa"/>
              </w:trPr>
              <w:tc>
                <w:tcPr>
                  <w:tcW w:w="0" w:type="auto"/>
                  <w:vAlign w:val="center"/>
                  <w:hideMark/>
                </w:tcPr>
                <w:p w14:paraId="7A3B3CA6" w14:textId="77777777" w:rsidR="00C14F0C" w:rsidRPr="00C14F0C" w:rsidRDefault="00C14F0C" w:rsidP="00E15A74">
                  <w:pPr>
                    <w:jc w:val="both"/>
                    <w:rPr>
                      <w:rFonts w:cstheme="minorHAnsi"/>
                    </w:rPr>
                  </w:pPr>
                  <w:r w:rsidRPr="00C14F0C">
                    <w:rPr>
                      <w:rFonts w:cstheme="minorHAnsi"/>
                    </w:rPr>
                    <w:t>Interactional engagement and self-efficacy</w:t>
                  </w:r>
                </w:p>
              </w:tc>
              <w:tc>
                <w:tcPr>
                  <w:tcW w:w="0" w:type="auto"/>
                  <w:vAlign w:val="center"/>
                  <w:hideMark/>
                </w:tcPr>
                <w:p w14:paraId="4D92A29E" w14:textId="77777777" w:rsidR="00C14F0C" w:rsidRPr="00C14F0C" w:rsidRDefault="00C14F0C" w:rsidP="00E15A74">
                  <w:pPr>
                    <w:jc w:val="both"/>
                    <w:rPr>
                      <w:rFonts w:cstheme="minorHAnsi"/>
                    </w:rPr>
                  </w:pPr>
                  <w:r w:rsidRPr="00C14F0C">
                    <w:rPr>
                      <w:rFonts w:cstheme="minorHAnsi"/>
                    </w:rPr>
                    <w:t>22 (81%)</w:t>
                  </w:r>
                </w:p>
              </w:tc>
              <w:tc>
                <w:tcPr>
                  <w:tcW w:w="0" w:type="auto"/>
                  <w:vAlign w:val="center"/>
                  <w:hideMark/>
                </w:tcPr>
                <w:p w14:paraId="0D755A0C" w14:textId="77777777" w:rsidR="00C14F0C" w:rsidRPr="00C14F0C" w:rsidRDefault="00C14F0C" w:rsidP="00E15A74">
                  <w:pPr>
                    <w:jc w:val="both"/>
                    <w:rPr>
                      <w:rFonts w:cstheme="minorHAnsi"/>
                    </w:rPr>
                  </w:pPr>
                  <w:r w:rsidRPr="00C14F0C">
                    <w:rPr>
                      <w:rFonts w:cstheme="minorHAnsi"/>
                    </w:rPr>
                    <w:t>5 (83%)</w:t>
                  </w:r>
                </w:p>
              </w:tc>
              <w:tc>
                <w:tcPr>
                  <w:tcW w:w="0" w:type="auto"/>
                  <w:vAlign w:val="center"/>
                  <w:hideMark/>
                </w:tcPr>
                <w:p w14:paraId="6A0C3F3F" w14:textId="77777777" w:rsidR="00C14F0C" w:rsidRPr="00C14F0C" w:rsidRDefault="00C14F0C" w:rsidP="00E15A74">
                  <w:pPr>
                    <w:jc w:val="both"/>
                    <w:rPr>
                      <w:rFonts w:cstheme="minorHAnsi"/>
                    </w:rPr>
                  </w:pPr>
                  <w:r w:rsidRPr="00C14F0C">
                    <w:rPr>
                      <w:rFonts w:cstheme="minorHAnsi"/>
                    </w:rPr>
                    <w:t>Confidence, motivation, emotional support</w:t>
                  </w:r>
                </w:p>
              </w:tc>
            </w:tr>
            <w:tr w:rsidR="00C14F0C" w:rsidRPr="00C14F0C" w14:paraId="6B3221DD" w14:textId="77777777" w:rsidTr="00E15A74">
              <w:trPr>
                <w:tblCellSpacing w:w="15" w:type="dxa"/>
              </w:trPr>
              <w:tc>
                <w:tcPr>
                  <w:tcW w:w="0" w:type="auto"/>
                  <w:vAlign w:val="center"/>
                  <w:hideMark/>
                </w:tcPr>
                <w:p w14:paraId="1218B654" w14:textId="77777777" w:rsidR="00C14F0C" w:rsidRPr="00C14F0C" w:rsidRDefault="00C14F0C" w:rsidP="00E15A74">
                  <w:pPr>
                    <w:jc w:val="both"/>
                    <w:rPr>
                      <w:rFonts w:cstheme="minorHAnsi"/>
                    </w:rPr>
                  </w:pPr>
                  <w:r w:rsidRPr="00C14F0C">
                    <w:rPr>
                      <w:rFonts w:cstheme="minorHAnsi"/>
                    </w:rPr>
                    <w:t>Learning enhancement and academic outcomes</w:t>
                  </w:r>
                </w:p>
              </w:tc>
              <w:tc>
                <w:tcPr>
                  <w:tcW w:w="0" w:type="auto"/>
                  <w:vAlign w:val="center"/>
                  <w:hideMark/>
                </w:tcPr>
                <w:p w14:paraId="59177913" w14:textId="77777777" w:rsidR="00C14F0C" w:rsidRPr="00C14F0C" w:rsidRDefault="00C14F0C" w:rsidP="00E15A74">
                  <w:pPr>
                    <w:jc w:val="both"/>
                    <w:rPr>
                      <w:rFonts w:cstheme="minorHAnsi"/>
                    </w:rPr>
                  </w:pPr>
                  <w:r w:rsidRPr="00C14F0C">
                    <w:rPr>
                      <w:rFonts w:cstheme="minorHAnsi"/>
                    </w:rPr>
                    <w:t>25 (93%)</w:t>
                  </w:r>
                </w:p>
              </w:tc>
              <w:tc>
                <w:tcPr>
                  <w:tcW w:w="0" w:type="auto"/>
                  <w:vAlign w:val="center"/>
                  <w:hideMark/>
                </w:tcPr>
                <w:p w14:paraId="748CAF75" w14:textId="77777777" w:rsidR="00C14F0C" w:rsidRPr="00C14F0C" w:rsidRDefault="00C14F0C" w:rsidP="00E15A74">
                  <w:pPr>
                    <w:jc w:val="both"/>
                    <w:rPr>
                      <w:rFonts w:cstheme="minorHAnsi"/>
                    </w:rPr>
                  </w:pPr>
                  <w:r w:rsidRPr="00C14F0C">
                    <w:rPr>
                      <w:rFonts w:cstheme="minorHAnsi"/>
                    </w:rPr>
                    <w:t>6 (100%)</w:t>
                  </w:r>
                </w:p>
              </w:tc>
              <w:tc>
                <w:tcPr>
                  <w:tcW w:w="0" w:type="auto"/>
                  <w:vAlign w:val="center"/>
                  <w:hideMark/>
                </w:tcPr>
                <w:p w14:paraId="54340860" w14:textId="77777777" w:rsidR="00C14F0C" w:rsidRPr="00C14F0C" w:rsidRDefault="00C14F0C" w:rsidP="00E15A74">
                  <w:pPr>
                    <w:jc w:val="both"/>
                    <w:rPr>
                      <w:rFonts w:cstheme="minorHAnsi"/>
                    </w:rPr>
                  </w:pPr>
                  <w:r w:rsidRPr="00C14F0C">
                    <w:rPr>
                      <w:rFonts w:cstheme="minorHAnsi"/>
                    </w:rPr>
                    <w:t>Understanding, writing quality, study discipline</w:t>
                  </w:r>
                </w:p>
              </w:tc>
            </w:tr>
          </w:tbl>
          <w:p w14:paraId="7D4A1710" w14:textId="77777777" w:rsidR="00C14F0C" w:rsidRDefault="00C14F0C"/>
        </w:tc>
      </w:tr>
    </w:tbl>
    <w:p w14:paraId="2B9CC38F" w14:textId="63D72CFD" w:rsidR="00F24C6F" w:rsidRPr="009A1071" w:rsidRDefault="00F24C6F" w:rsidP="009A1071">
      <w:pPr>
        <w:jc w:val="both"/>
        <w:rPr>
          <w:rFonts w:cstheme="minorHAnsi"/>
        </w:rPr>
      </w:pPr>
    </w:p>
    <w:p w14:paraId="33B7880E" w14:textId="234D3E41" w:rsidR="009A1071" w:rsidRPr="009A1071" w:rsidRDefault="009A1071" w:rsidP="009A1071">
      <w:pPr>
        <w:jc w:val="both"/>
        <w:rPr>
          <w:rFonts w:cstheme="minorHAnsi"/>
          <w:b/>
          <w:bCs/>
        </w:rPr>
      </w:pPr>
      <w:r w:rsidRPr="009A1071">
        <w:rPr>
          <w:rFonts w:cstheme="minorHAnsi"/>
          <w:b/>
          <w:bCs/>
        </w:rPr>
        <w:t>4.2 Theme 1: pedagogical integration strategies</w:t>
      </w:r>
    </w:p>
    <w:p w14:paraId="38E11538" w14:textId="35308EAE" w:rsidR="009A1071" w:rsidRPr="009A1071" w:rsidRDefault="009A1071" w:rsidP="009A1071">
      <w:pPr>
        <w:jc w:val="both"/>
        <w:rPr>
          <w:rFonts w:cstheme="minorHAnsi"/>
        </w:rPr>
      </w:pPr>
      <w:r w:rsidRPr="009A1071">
        <w:rPr>
          <w:rFonts w:cstheme="minorHAnsi"/>
        </w:rPr>
        <w:t>The first theme highlights how chatbots are woven into everyday academic practice. Students generally positioned AI chatbots as cognitive scaffolds to clarify concepts, generate examples, and break down complex readings, while lecturers designed tasks that required students to summarize texts, critique arguments, or rehearse explanations before in-class presentations. At University A, some courses explicitly required structured interactions with ChatGPT, including comparing chatbot explanations with textbooks or drafting and then revising essay outlines after consulting the chatbot, whereas at Universities B and C, where use was more student-initiated and unstructured, lecturers reported greater variability in information quality and a rising tendency to copy AI output without critical evaluation.</w:t>
      </w:r>
    </w:p>
    <w:p w14:paraId="2DF7E554" w14:textId="77777777" w:rsidR="009A1071" w:rsidRPr="009A1071" w:rsidRDefault="009A1071" w:rsidP="009A1071">
      <w:pPr>
        <w:jc w:val="both"/>
        <w:rPr>
          <w:rFonts w:cstheme="minorHAnsi"/>
        </w:rPr>
      </w:pPr>
      <w:r w:rsidRPr="009A1071">
        <w:rPr>
          <w:rFonts w:cstheme="minorHAnsi"/>
        </w:rPr>
        <w:t>4.3 Theme 2: interactional engagement and self-efficacy</w:t>
      </w:r>
    </w:p>
    <w:p w14:paraId="2ED766D0" w14:textId="45C7F6A0" w:rsidR="009A1071" w:rsidRPr="009A1071" w:rsidRDefault="009A1071" w:rsidP="009A1071">
      <w:pPr>
        <w:jc w:val="both"/>
        <w:rPr>
          <w:rFonts w:cstheme="minorHAnsi"/>
        </w:rPr>
      </w:pPr>
      <w:r w:rsidRPr="009A1071">
        <w:rPr>
          <w:rFonts w:cstheme="minorHAnsi"/>
        </w:rPr>
        <w:lastRenderedPageBreak/>
        <w:t>The second theme underscores the psychological and relational dimensions of chatbot interaction and their links to self-efficacy. Around 81% of students (n = 22) reported that routine dialogue with chatbots increased their confidence in dealing with difficult readings, solving problems, and preparing assignments, largely because they could “ask anything” without fear of judgment, and because rapid, non-judgmental feedback felt less intimidating than speaking in large classes. At the same time, about 19% of students (n = 5) acknowledged becoming overly dependent, for example delaying critical thinking or rarely returning to textbooks and peers, which raised lecturers’ concerns about an “outsourced self-efficacy” grounded more in access to AI than in internalized competence.</w:t>
      </w:r>
    </w:p>
    <w:p w14:paraId="18900026" w14:textId="77777777" w:rsidR="009A1071" w:rsidRPr="009A1071" w:rsidRDefault="009A1071" w:rsidP="009A1071">
      <w:pPr>
        <w:jc w:val="both"/>
        <w:rPr>
          <w:rFonts w:cstheme="minorHAnsi"/>
        </w:rPr>
      </w:pPr>
      <w:r w:rsidRPr="009A1071">
        <w:rPr>
          <w:rFonts w:cstheme="minorHAnsi"/>
        </w:rPr>
        <w:t>4.4 Theme 3: learning reinforcement and academic outcomes</w:t>
      </w:r>
    </w:p>
    <w:p w14:paraId="433CFD26" w14:textId="323B470F" w:rsidR="00CB7CBA" w:rsidRDefault="009A1071" w:rsidP="00D93B8D">
      <w:pPr>
        <w:jc w:val="both"/>
        <w:rPr>
          <w:rFonts w:cstheme="minorHAnsi"/>
        </w:rPr>
      </w:pPr>
      <w:r w:rsidRPr="009A1071">
        <w:rPr>
          <w:rFonts w:cstheme="minorHAnsi"/>
        </w:rPr>
        <w:t>The third theme focuses on how chatbot use reinforced conceptual understanding, writing quality, and study habits. Most students (n = 25; 93%) reported using chatbots for personalized review before quizzes and exams requesting practice questions, alternative explanations, or step-by-step guidance and lecturers observed that regular users tended to produce more coherent assignments with clearer arguments and better structure, albeit with some concern about stylistic homogenization and overly polished phrasing. Students also described improved time management and study discipline when using chatbots to plan schedules, reminders, and checklists, though the depth of benefit depended on the extent to which they critically compared chatbot outputs with lecture notes and other sources rather than reproducing AI-generated text uncritically.</w:t>
      </w:r>
    </w:p>
    <w:p w14:paraId="1EB7A892" w14:textId="77777777" w:rsidR="009A1071" w:rsidRPr="009A1071" w:rsidRDefault="009A1071" w:rsidP="009A1071">
      <w:pPr>
        <w:jc w:val="both"/>
        <w:rPr>
          <w:rFonts w:cstheme="minorHAnsi"/>
          <w:b/>
          <w:bCs/>
        </w:rPr>
      </w:pPr>
      <w:r w:rsidRPr="009A1071">
        <w:rPr>
          <w:rFonts w:cstheme="minorHAnsi"/>
          <w:b/>
          <w:bCs/>
        </w:rPr>
        <w:t>4.5 Synthesis: from utilisation to transformative companionship</w:t>
      </w:r>
    </w:p>
    <w:p w14:paraId="29F9968D" w14:textId="27DB3933" w:rsidR="009A1071" w:rsidRPr="009A1071" w:rsidRDefault="009A1071" w:rsidP="009A1071">
      <w:pPr>
        <w:jc w:val="both"/>
        <w:rPr>
          <w:rFonts w:cstheme="minorHAnsi"/>
        </w:rPr>
      </w:pPr>
      <w:r w:rsidRPr="009A1071">
        <w:rPr>
          <w:rFonts w:cstheme="minorHAnsi"/>
        </w:rPr>
        <w:t>Synthesizing the three themes yields a reciprocal model linking structured chatbot use, strengthened self-efficacy, and enhanced learning outcomes. Deliberate pedagogical integration (Theme 1) creates guided dialogic spaces with the chatbot that reinforce students’ self-efficacy and emotional safety (Theme 2), which in turn supports more sustained, reflective learning practices and stronger academic products (Theme 3).</w:t>
      </w:r>
    </w:p>
    <w:p w14:paraId="671174B7" w14:textId="77777777" w:rsidR="009A1071" w:rsidRPr="009A1071" w:rsidRDefault="009A1071" w:rsidP="009A1071">
      <w:pPr>
        <w:jc w:val="both"/>
        <w:rPr>
          <w:rFonts w:cstheme="minorHAnsi"/>
        </w:rPr>
      </w:pPr>
      <w:r w:rsidRPr="009A1071">
        <w:rPr>
          <w:rFonts w:cstheme="minorHAnsi"/>
        </w:rPr>
        <w:t>This pattern aligns with meta-analytic findings recommending continuous use of ChatGPT over 4–8 weeks to stabilize learning effects, with problem-based learning showing particularly strong gains (Wang &amp; Fan, 2025). Consistent with theories of fit, students benefit most when chatbots are used to activate prior knowledge, clarify misconceptions, and build explanations rather than as decontextualized information providers, while risks of shallow dependence and reduced cognitive effort underscore the need for explicit pedagogical strategies that foster critical use, verification of AI outputs, and gradual internalization of self-regulated learning skills. Within this framework, AI chatbots are positioned as potential transformative learning companions whose impact is largely shaped by how students, lecturers, and institutions jointly configure the conditions of interaction.</w:t>
      </w:r>
    </w:p>
    <w:p w14:paraId="1F16403C" w14:textId="7A1901E7" w:rsidR="00955E27" w:rsidRPr="00955E27" w:rsidRDefault="009A1071" w:rsidP="00955E27">
      <w:pPr>
        <w:jc w:val="both"/>
        <w:rPr>
          <w:rFonts w:cstheme="minorHAnsi"/>
          <w:b/>
          <w:bCs/>
        </w:rPr>
      </w:pPr>
      <w:r w:rsidRPr="009A1071">
        <w:rPr>
          <w:rFonts w:cstheme="minorHAnsi"/>
        </w:rPr>
        <w:t>​</w:t>
      </w:r>
      <w:r w:rsidR="00955E27" w:rsidRPr="00955E27">
        <w:rPr>
          <w:rFonts w:cstheme="minorHAnsi"/>
          <w:b/>
          <w:bCs/>
        </w:rPr>
        <w:t xml:space="preserve">5. </w:t>
      </w:r>
      <w:r w:rsidR="007B12F3">
        <w:rPr>
          <w:rFonts w:cstheme="minorHAnsi"/>
          <w:b/>
          <w:bCs/>
        </w:rPr>
        <w:t>DIS</w:t>
      </w:r>
      <w:r w:rsidR="002944C2">
        <w:rPr>
          <w:rFonts w:cstheme="minorHAnsi"/>
          <w:b/>
          <w:bCs/>
        </w:rPr>
        <w:t xml:space="preserve">CUSSION </w:t>
      </w:r>
    </w:p>
    <w:p w14:paraId="33AAF0D3" w14:textId="77777777" w:rsidR="00955E27" w:rsidRPr="00955E27" w:rsidRDefault="00955E27" w:rsidP="00955E27">
      <w:pPr>
        <w:jc w:val="both"/>
        <w:rPr>
          <w:rFonts w:cstheme="minorHAnsi"/>
          <w:b/>
          <w:bCs/>
        </w:rPr>
      </w:pPr>
      <w:r w:rsidRPr="00955E27">
        <w:rPr>
          <w:rFonts w:cstheme="minorHAnsi"/>
          <w:b/>
          <w:bCs/>
        </w:rPr>
        <w:lastRenderedPageBreak/>
        <w:t>5.1 Local digital pedagogy in constrained contexts</w:t>
      </w:r>
    </w:p>
    <w:p w14:paraId="66C02F7D" w14:textId="7B16E77C" w:rsidR="00955E27" w:rsidRPr="00955E27" w:rsidRDefault="00955E27" w:rsidP="00955E27">
      <w:pPr>
        <w:jc w:val="both"/>
        <w:rPr>
          <w:rFonts w:cstheme="minorHAnsi"/>
        </w:rPr>
      </w:pPr>
      <w:r w:rsidRPr="00955E27">
        <w:rPr>
          <w:rFonts w:cstheme="minorHAnsi"/>
        </w:rPr>
        <w:t>The findings indicate that when lecturers in Central Kalimantan deliberately embed chatbot-based tasks into teaching and assessment, chatbots cease to function merely as information sources and instead act as pedagogical partners that scaffold students’ inquiry, reflection, and revision. This pattern aligns with international evidence that the learning benefits of conversational agents are strongest when activities are explicitly designed around the chatbot rather than offered as optional add-ons (</w:t>
      </w:r>
      <w:proofErr w:type="spellStart"/>
      <w:r w:rsidRPr="00955E27">
        <w:rPr>
          <w:rFonts w:cstheme="minorHAnsi"/>
        </w:rPr>
        <w:t>Kuhail</w:t>
      </w:r>
      <w:proofErr w:type="spellEnd"/>
      <w:r w:rsidRPr="00955E27">
        <w:rPr>
          <w:rFonts w:cstheme="minorHAnsi"/>
        </w:rPr>
        <w:t xml:space="preserve"> et al., 2023; Wang &amp; Fan, 2025). In contexts of limited bandwidth, uneven device access, and diverse digital competence, “local digital pedagogy” requires careful task sequencing, systematic offline cross-checking of chatbot outputs, and a blend of AI-mediated dialogue with face-to-face support to prevent technological constraints from turning into pedagogical deficits.</w:t>
      </w:r>
    </w:p>
    <w:p w14:paraId="75EAC0BF" w14:textId="77777777" w:rsidR="00955E27" w:rsidRPr="00955E27" w:rsidRDefault="00955E27" w:rsidP="00955E27">
      <w:pPr>
        <w:jc w:val="both"/>
        <w:rPr>
          <w:rFonts w:cstheme="minorHAnsi"/>
          <w:b/>
          <w:bCs/>
        </w:rPr>
      </w:pPr>
      <w:r w:rsidRPr="00955E27">
        <w:rPr>
          <w:rFonts w:cstheme="minorHAnsi"/>
          <w:b/>
          <w:bCs/>
        </w:rPr>
        <w:t>5.2 Infrastructural challenges and regional parallels</w:t>
      </w:r>
    </w:p>
    <w:p w14:paraId="4CFB2972" w14:textId="3674703D" w:rsidR="00955E27" w:rsidRPr="00955E27" w:rsidRDefault="00955E27" w:rsidP="00955E27">
      <w:pPr>
        <w:jc w:val="both"/>
        <w:rPr>
          <w:rFonts w:cstheme="minorHAnsi"/>
        </w:rPr>
      </w:pPr>
      <w:r w:rsidRPr="00955E27">
        <w:rPr>
          <w:rFonts w:cstheme="minorHAnsi"/>
        </w:rPr>
        <w:t>Lecturers’ reports of unstable internet connectivity, minimal institutional server capacity, and limited technical support mirror findings from a Zimbabwean university, where cloud infrastructure and IT support are viewed as prerequisites for meaningful chatbot integration (</w:t>
      </w:r>
      <w:proofErr w:type="spellStart"/>
      <w:r w:rsidRPr="00955E27">
        <w:rPr>
          <w:rFonts w:cstheme="minorHAnsi"/>
        </w:rPr>
        <w:t>Mugobo</w:t>
      </w:r>
      <w:proofErr w:type="spellEnd"/>
      <w:r w:rsidRPr="00955E27">
        <w:rPr>
          <w:rFonts w:cstheme="minorHAnsi"/>
        </w:rPr>
        <w:t xml:space="preserve"> et al., 2024). Similar patterns emerge in Afghanistan, where AI-enabled distance learning is hampered by unreliable electricity, poor internet quality, and restricted access to affordable devices, even though AI continues to provide vital pathways for educational continuity, positioning Central Kalimantan as a “low-infrastructure, high-need” context in which chatbot innovation must be coupled with infrastructural investment and strengthened human support systems (Tlili et al., 2023).</w:t>
      </w:r>
    </w:p>
    <w:p w14:paraId="5A71D706" w14:textId="77777777" w:rsidR="00955E27" w:rsidRPr="00955E27" w:rsidRDefault="00955E27" w:rsidP="00955E27">
      <w:pPr>
        <w:jc w:val="both"/>
        <w:rPr>
          <w:rFonts w:cstheme="minorHAnsi"/>
          <w:b/>
          <w:bCs/>
        </w:rPr>
      </w:pPr>
      <w:r w:rsidRPr="00955E27">
        <w:rPr>
          <w:rFonts w:cstheme="minorHAnsi"/>
          <w:b/>
          <w:bCs/>
        </w:rPr>
        <w:t>5.3 Cultural norms, relationality, and learner agency</w:t>
      </w:r>
    </w:p>
    <w:p w14:paraId="74947EDC" w14:textId="2FD75C77" w:rsidR="00955E27" w:rsidRPr="00955E27" w:rsidRDefault="00955E27" w:rsidP="00955E27">
      <w:pPr>
        <w:jc w:val="both"/>
        <w:rPr>
          <w:rFonts w:cstheme="minorHAnsi"/>
        </w:rPr>
      </w:pPr>
      <w:r w:rsidRPr="00955E27">
        <w:rPr>
          <w:rFonts w:cstheme="minorHAnsi"/>
        </w:rPr>
        <w:t>Students’ preference for chatbots as “non-judgmental partners” reflects local classroom cultures in which speaking up in public forums is perceived as risky or inappropriate, particularly for first-generation and rural-background students. This resonates with relational-agent research showing that warm, personalized communication can cultivate trust and sustained engagement, especially among users who feel marginalized, with chatbots lowering social barriers, enabling quieter students to rehearse explanations and test ideas before class, and gradually strengthening their academic self-efficacy and sense of agency (Bickmore &amp; Picard, 2005).</w:t>
      </w:r>
    </w:p>
    <w:p w14:paraId="7FD3C05E" w14:textId="77777777" w:rsidR="00955E27" w:rsidRPr="00955E27" w:rsidRDefault="00955E27" w:rsidP="00955E27">
      <w:pPr>
        <w:jc w:val="both"/>
        <w:rPr>
          <w:rFonts w:cstheme="minorHAnsi"/>
          <w:b/>
          <w:bCs/>
        </w:rPr>
      </w:pPr>
      <w:r w:rsidRPr="00955E27">
        <w:rPr>
          <w:rFonts w:cstheme="minorHAnsi"/>
          <w:b/>
          <w:bCs/>
        </w:rPr>
        <w:t>5.4 Resistance, risk perceptions, and innovation dynamics</w:t>
      </w:r>
    </w:p>
    <w:p w14:paraId="6C95BCA9" w14:textId="6B17BDA5" w:rsidR="00955E27" w:rsidRPr="00955E27" w:rsidRDefault="00955E27" w:rsidP="00955E27">
      <w:pPr>
        <w:jc w:val="both"/>
        <w:rPr>
          <w:rFonts w:cstheme="minorHAnsi"/>
        </w:rPr>
      </w:pPr>
      <w:r w:rsidRPr="00955E27">
        <w:rPr>
          <w:rFonts w:cstheme="minorHAnsi"/>
        </w:rPr>
        <w:t xml:space="preserve">Alongside enthusiasm, the data reveal pockets of resistance and ambivalence among lecturers and students, including concerns about plagiarism, dehumanization of teaching, and the reliability of AI-generated content. These concerns align with Innovation Resistance Theory–informed studies that identify information quality, workflow disruption, and psychological risk as key drivers of educators’ reluctance to adopt chatbots, with limited policy guidance and institutional training in Central Kalimantan amplifying perceptions that AI </w:t>
      </w:r>
      <w:proofErr w:type="gramStart"/>
      <w:r w:rsidRPr="00955E27">
        <w:rPr>
          <w:rFonts w:cstheme="minorHAnsi"/>
        </w:rPr>
        <w:t>challenges</w:t>
      </w:r>
      <w:proofErr w:type="gramEnd"/>
      <w:r w:rsidRPr="00955E27">
        <w:rPr>
          <w:rFonts w:cstheme="minorHAnsi"/>
        </w:rPr>
        <w:t xml:space="preserve"> </w:t>
      </w:r>
      <w:r w:rsidRPr="00955E27">
        <w:rPr>
          <w:rFonts w:cstheme="minorHAnsi"/>
        </w:rPr>
        <w:lastRenderedPageBreak/>
        <w:t>professional identity, local epistemic norms, and established hierarchies of expertise (Chan &amp; Hu, 2023).</w:t>
      </w:r>
    </w:p>
    <w:p w14:paraId="4773A225" w14:textId="77777777" w:rsidR="00955E27" w:rsidRPr="00955E27" w:rsidRDefault="00955E27" w:rsidP="00955E27">
      <w:pPr>
        <w:jc w:val="both"/>
        <w:rPr>
          <w:rFonts w:cstheme="minorHAnsi"/>
          <w:b/>
          <w:bCs/>
        </w:rPr>
      </w:pPr>
      <w:r w:rsidRPr="00955E27">
        <w:rPr>
          <w:rFonts w:cstheme="minorHAnsi"/>
          <w:b/>
          <w:bCs/>
        </w:rPr>
        <w:t>5.5 From support tool to transformative companion</w:t>
      </w:r>
    </w:p>
    <w:p w14:paraId="3A203DEF" w14:textId="77777777" w:rsidR="00955E27" w:rsidRPr="00955E27" w:rsidRDefault="00955E27" w:rsidP="00955E27">
      <w:pPr>
        <w:jc w:val="both"/>
        <w:rPr>
          <w:rFonts w:cstheme="minorHAnsi"/>
        </w:rPr>
      </w:pPr>
      <w:r w:rsidRPr="00955E27">
        <w:rPr>
          <w:rFonts w:cstheme="minorHAnsi"/>
        </w:rPr>
        <w:t xml:space="preserve">Overall, the findings support conceptualizing AI chatbots as potential “transformative learning companions” whose impact is mediated by how human actors negotiate infrastructural boundaries, cultural expectations, and innovation resistance dynamics. When lecturers align curricular goals, students’ prior knowledge, and chatbot capabilities, interactions tend to bolster self-efficacy, deepen understanding, and foster more inclusive participation; by contrast, when infrastructural vulnerabilities, cultural </w:t>
      </w:r>
      <w:proofErr w:type="spellStart"/>
      <w:r w:rsidRPr="00955E27">
        <w:rPr>
          <w:rFonts w:cstheme="minorHAnsi"/>
        </w:rPr>
        <w:t>skepticism</w:t>
      </w:r>
      <w:proofErr w:type="spellEnd"/>
      <w:r w:rsidRPr="00955E27">
        <w:rPr>
          <w:rFonts w:cstheme="minorHAnsi"/>
        </w:rPr>
        <w:t>, and unaddressed anxieties dominate, chatbots risk being reduced to shallow answer engines or symbols of imposed technological change, underscoring the need for context-sensitive, human-</w:t>
      </w:r>
      <w:proofErr w:type="spellStart"/>
      <w:r w:rsidRPr="00955E27">
        <w:rPr>
          <w:rFonts w:cstheme="minorHAnsi"/>
        </w:rPr>
        <w:t>centered</w:t>
      </w:r>
      <w:proofErr w:type="spellEnd"/>
      <w:r w:rsidRPr="00955E27">
        <w:rPr>
          <w:rFonts w:cstheme="minorHAnsi"/>
        </w:rPr>
        <w:t xml:space="preserve"> AI policies and systematic professional development in private universities in Central Kalimantan and comparable regions.</w:t>
      </w:r>
    </w:p>
    <w:p w14:paraId="52C8C48D" w14:textId="50ADBF76" w:rsidR="00955E27" w:rsidRPr="00955E27" w:rsidRDefault="00955E27" w:rsidP="00955E27">
      <w:pPr>
        <w:jc w:val="both"/>
        <w:rPr>
          <w:rFonts w:cstheme="minorHAnsi"/>
          <w:b/>
          <w:bCs/>
        </w:rPr>
      </w:pPr>
      <w:r w:rsidRPr="00955E27">
        <w:rPr>
          <w:rFonts w:cstheme="minorHAnsi"/>
          <w:b/>
          <w:bCs/>
        </w:rPr>
        <w:t>6.</w:t>
      </w:r>
      <w:r w:rsidR="007B12F3">
        <w:rPr>
          <w:rFonts w:cstheme="minorHAnsi"/>
          <w:b/>
          <w:bCs/>
        </w:rPr>
        <w:t xml:space="preserve">CONCEPTUAL MODEL </w:t>
      </w:r>
      <w:r w:rsidRPr="00955E27">
        <w:rPr>
          <w:rFonts w:cstheme="minorHAnsi"/>
          <w:b/>
          <w:bCs/>
        </w:rPr>
        <w:t xml:space="preserve"> </w:t>
      </w:r>
    </w:p>
    <w:p w14:paraId="7B29264B" w14:textId="77777777" w:rsidR="00955E27" w:rsidRPr="00955E27" w:rsidRDefault="00955E27" w:rsidP="00955E27">
      <w:pPr>
        <w:jc w:val="both"/>
        <w:rPr>
          <w:rFonts w:cstheme="minorHAnsi"/>
          <w:b/>
          <w:bCs/>
        </w:rPr>
      </w:pPr>
      <w:r w:rsidRPr="00955E27">
        <w:rPr>
          <w:rFonts w:cstheme="minorHAnsi"/>
          <w:b/>
          <w:bCs/>
        </w:rPr>
        <w:t>6.1 Model overview</w:t>
      </w:r>
    </w:p>
    <w:p w14:paraId="77AAEB4D" w14:textId="1DFF595A" w:rsidR="00955E27" w:rsidRPr="00955E27" w:rsidRDefault="00955E27" w:rsidP="00955E27">
      <w:pPr>
        <w:jc w:val="both"/>
        <w:rPr>
          <w:rFonts w:cstheme="minorHAnsi"/>
        </w:rPr>
      </w:pPr>
      <w:r w:rsidRPr="00955E27">
        <w:rPr>
          <w:rFonts w:cstheme="minorHAnsi"/>
        </w:rPr>
        <w:t>The conceptual model positions AI-based chatbots as transformative learning companions that mediate reciprocal relationships between strategic use, strengthened self-efficacy, and learning outcomes in resource-constrained higher education settings. As illustrated in Figure 1, three strategic domains</w:t>
      </w:r>
      <w:r w:rsidR="004923DB">
        <w:rPr>
          <w:rFonts w:cstheme="minorHAnsi"/>
        </w:rPr>
        <w:t xml:space="preserve"> </w:t>
      </w:r>
      <w:r w:rsidRPr="00955E27">
        <w:rPr>
          <w:rFonts w:cstheme="minorHAnsi"/>
        </w:rPr>
        <w:t>(1) pedagogical integration, (2) interactional engagement, and (3) learning reinforcement</w:t>
      </w:r>
      <w:r w:rsidR="004923DB">
        <w:rPr>
          <w:rFonts w:cstheme="minorHAnsi"/>
        </w:rPr>
        <w:t xml:space="preserve"> </w:t>
      </w:r>
      <w:r w:rsidRPr="00955E27">
        <w:rPr>
          <w:rFonts w:cstheme="minorHAnsi"/>
        </w:rPr>
        <w:t>are organized within a feedback loop that links patterns of chatbot use to students’ self-efficacy dynamics and cognitive–affective achievement.</w:t>
      </w:r>
    </w:p>
    <w:p w14:paraId="0FAA066D" w14:textId="0EEBCF61" w:rsidR="00955E27" w:rsidRPr="00955E27" w:rsidRDefault="00955E27" w:rsidP="00955E27">
      <w:pPr>
        <w:jc w:val="both"/>
        <w:rPr>
          <w:rFonts w:cstheme="minorHAnsi"/>
        </w:rPr>
      </w:pPr>
      <w:r w:rsidRPr="00955E27">
        <w:rPr>
          <w:rFonts w:cstheme="minorHAnsi"/>
        </w:rPr>
        <w:t xml:space="preserve">Theoretically, the structure is grounded in Social Cognitive Theory, which emphasizes the role of efficacy beliefs in connecting learning experiences with </w:t>
      </w:r>
      <w:proofErr w:type="spellStart"/>
      <w:r w:rsidRPr="00955E27">
        <w:rPr>
          <w:rFonts w:cstheme="minorHAnsi"/>
        </w:rPr>
        <w:t>behavior</w:t>
      </w:r>
      <w:proofErr w:type="spellEnd"/>
      <w:r w:rsidRPr="00955E27">
        <w:rPr>
          <w:rFonts w:cstheme="minorHAnsi"/>
        </w:rPr>
        <w:t xml:space="preserve"> and performance (Bandura, 1997). It is further supported by research on relational conversational agents showing that empathetic, personalized communication can enhance users’ trust and engagement, and by recent meta-analytic evidence that highlights interaction design and communication principles</w:t>
      </w:r>
      <w:r w:rsidR="004923DB">
        <w:rPr>
          <w:rFonts w:cstheme="minorHAnsi"/>
        </w:rPr>
        <w:t xml:space="preserve"> </w:t>
      </w:r>
      <w:r w:rsidRPr="00955E27">
        <w:rPr>
          <w:rFonts w:cstheme="minorHAnsi"/>
        </w:rPr>
        <w:t>including emotional support and dialogic feedback</w:t>
      </w:r>
      <w:r w:rsidR="004923DB">
        <w:rPr>
          <w:rFonts w:cstheme="minorHAnsi"/>
        </w:rPr>
        <w:t xml:space="preserve"> </w:t>
      </w:r>
      <w:r w:rsidRPr="00955E27">
        <w:rPr>
          <w:rFonts w:cstheme="minorHAnsi"/>
        </w:rPr>
        <w:t>as key factors explaining the extent to which AI agents such as ChatGPT can positively influence learning (Bickmore &amp; Picard, 2005; Wang &amp; Fan, 2025).</w:t>
      </w:r>
    </w:p>
    <w:p w14:paraId="08C54CCE" w14:textId="77777777" w:rsidR="00955E27" w:rsidRPr="00955E27" w:rsidRDefault="00955E27" w:rsidP="00955E27">
      <w:pPr>
        <w:jc w:val="both"/>
        <w:rPr>
          <w:rFonts w:cstheme="minorHAnsi"/>
          <w:b/>
          <w:bCs/>
        </w:rPr>
      </w:pPr>
      <w:r w:rsidRPr="00955E27">
        <w:rPr>
          <w:rFonts w:cstheme="minorHAnsi"/>
          <w:b/>
          <w:bCs/>
        </w:rPr>
        <w:t>6.2 Transformative learning feedback loop (Figure 1)</w:t>
      </w:r>
    </w:p>
    <w:p w14:paraId="14204013" w14:textId="77777777" w:rsidR="00955E27" w:rsidRPr="00955E27" w:rsidRDefault="00955E27" w:rsidP="00955E27">
      <w:pPr>
        <w:jc w:val="both"/>
        <w:rPr>
          <w:rFonts w:cstheme="minorHAnsi"/>
        </w:rPr>
      </w:pPr>
      <w:r w:rsidRPr="00955E27">
        <w:rPr>
          <w:rFonts w:cstheme="minorHAnsi"/>
        </w:rPr>
        <w:t>In this model, AI chatbots are framed as transformative learning companions mediating reciprocal links among the three strategic domains. The bidirectional arrows represent feedback loops connecting (1) pedagogical integration strategies → (2) interactional engagement and self-efficacy → (3) learning reinforcement and outcomes, as well as return paths from learning outcomes back to self-efficacy and pedagogical strategies, illustrating how successful learning experiences strengthen students’ confidence and drive ongoing refinement of lecturers’ instructional designs.</w:t>
      </w:r>
    </w:p>
    <w:p w14:paraId="3446C616" w14:textId="77777777" w:rsidR="00955E27" w:rsidRPr="00955E27" w:rsidRDefault="00955E27" w:rsidP="00955E27">
      <w:pPr>
        <w:jc w:val="both"/>
        <w:rPr>
          <w:rFonts w:cstheme="minorHAnsi"/>
        </w:rPr>
      </w:pPr>
      <w:r w:rsidRPr="00955E27">
        <w:rPr>
          <w:rFonts w:cstheme="minorHAnsi"/>
        </w:rPr>
        <w:lastRenderedPageBreak/>
        <w:t>​</w:t>
      </w:r>
    </w:p>
    <w:p w14:paraId="09664059" w14:textId="01F4C129" w:rsidR="009A1071" w:rsidRPr="009A1071" w:rsidRDefault="009A1071" w:rsidP="00D93B8D">
      <w:pPr>
        <w:jc w:val="both"/>
        <w:rPr>
          <w:rFonts w:cstheme="minorHAnsi"/>
        </w:rPr>
      </w:pPr>
    </w:p>
    <w:p w14:paraId="4C5E5392" w14:textId="77777777" w:rsidR="00D94396" w:rsidRPr="00D94396" w:rsidRDefault="00D94396" w:rsidP="00D94396">
      <w:pPr>
        <w:jc w:val="both"/>
        <w:rPr>
          <w:rFonts w:cstheme="minorHAnsi"/>
          <w:b/>
          <w:bCs/>
        </w:rPr>
      </w:pPr>
      <w:r w:rsidRPr="00D94396">
        <w:rPr>
          <w:rFonts w:cstheme="minorHAnsi"/>
          <w:b/>
          <w:bCs/>
        </w:rPr>
        <w:t>Figure 1. Conceptual Model of AI Chatbots as Transformative Learning Companions: Feedback Loop Between Strategic Utilisation, Self-Efficacy Development, and Learning Outcomes</w:t>
      </w:r>
    </w:p>
    <w:p w14:paraId="046302F3" w14:textId="77777777" w:rsidR="004D34CC" w:rsidRPr="00F31905" w:rsidRDefault="004D34CC" w:rsidP="003C02D5">
      <w:pPr>
        <w:jc w:val="both"/>
        <w:rPr>
          <w:rFonts w:cstheme="minorHAnsi"/>
          <w:b/>
          <w:bCs/>
        </w:rPr>
      </w:pPr>
    </w:p>
    <w:p w14:paraId="65AA29BC" w14:textId="04B9932B" w:rsidR="00E92E07" w:rsidRPr="00F31905" w:rsidRDefault="00B92A52" w:rsidP="00683AEA">
      <w:pPr>
        <w:jc w:val="both"/>
        <w:rPr>
          <w:rFonts w:cstheme="minorHAnsi"/>
        </w:rPr>
      </w:pPr>
      <w:r w:rsidRPr="00F31905">
        <w:rPr>
          <w:rFonts w:cstheme="minorHAnsi"/>
          <w:noProof/>
          <w:highlight w:val="yellow"/>
        </w:rPr>
        <w:drawing>
          <wp:inline distT="0" distB="0" distL="0" distR="0" wp14:anchorId="617EA85D" wp14:editId="47786BBD">
            <wp:extent cx="6007100" cy="6045200"/>
            <wp:effectExtent l="0" t="0" r="0" b="0"/>
            <wp:docPr id="140277096" name="Picture 1" descr="Gambar 1. Model Konseptual AI Chatbots sebagai Pendamping Pembelajaran Transformatif: Lingkaran Umpan Balik Antara Pemanfaatan Strategis, Pengembangan Efikasi Diri, dan Hasil Pembelaja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igure 1. Conceptual Model of AI Chatbots as Transformative Learning Companions: Feedback Loop Between Strategic Utilisation, Self-Efficacy Development, and Learning Outcom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7100" cy="6045200"/>
                    </a:xfrm>
                    <a:prstGeom prst="rect">
                      <a:avLst/>
                    </a:prstGeom>
                    <a:noFill/>
                    <a:ln>
                      <a:noFill/>
                    </a:ln>
                  </pic:spPr>
                </pic:pic>
              </a:graphicData>
            </a:graphic>
          </wp:inline>
        </w:drawing>
      </w:r>
    </w:p>
    <w:p w14:paraId="578C7F6D" w14:textId="77777777" w:rsidR="00243004" w:rsidRPr="00243004" w:rsidRDefault="00243004" w:rsidP="00243004">
      <w:pPr>
        <w:rPr>
          <w:rFonts w:cstheme="minorHAnsi"/>
          <w:b/>
          <w:bCs/>
        </w:rPr>
      </w:pPr>
      <w:r w:rsidRPr="00243004">
        <w:rPr>
          <w:rFonts w:cstheme="minorHAnsi"/>
          <w:b/>
          <w:bCs/>
        </w:rPr>
        <w:t>6.3 Operationalising the model for chatbot-mediated learning</w:t>
      </w:r>
    </w:p>
    <w:p w14:paraId="43B90E9D" w14:textId="0784741E" w:rsidR="00955E27" w:rsidRPr="009036FC" w:rsidRDefault="00243004" w:rsidP="009036FC">
      <w:pPr>
        <w:jc w:val="both"/>
        <w:rPr>
          <w:rFonts w:cstheme="minorHAnsi"/>
        </w:rPr>
      </w:pPr>
      <w:r w:rsidRPr="00243004">
        <w:rPr>
          <w:rFonts w:cstheme="minorHAnsi"/>
        </w:rPr>
        <w:t xml:space="preserve">Table 2 operationalizes the conceptual model by outlining a strategic framework that specifies key processes, typical practices observed in the study, and proximal outcomes, as well as risks that arise when each domain is not purposefully guided. In doing so, Table 2 provides a </w:t>
      </w:r>
      <w:r w:rsidRPr="00243004">
        <w:rPr>
          <w:rFonts w:cstheme="minorHAnsi"/>
        </w:rPr>
        <w:lastRenderedPageBreak/>
        <w:t>practical bridge between the idea of AI chatbots as transformative learning companions and the concrete pedagogical design decisions made at the classroom level</w:t>
      </w:r>
      <w:r>
        <w:rPr>
          <w:rFonts w:cstheme="minorHAnsi"/>
        </w:rPr>
        <w:t>.</w:t>
      </w:r>
    </w:p>
    <w:p w14:paraId="54211D55" w14:textId="189707BD" w:rsidR="00683AEA" w:rsidRPr="009036FC" w:rsidRDefault="00683AEA" w:rsidP="009036FC">
      <w:pPr>
        <w:jc w:val="center"/>
        <w:rPr>
          <w:rFonts w:cstheme="minorHAnsi"/>
          <w:b/>
          <w:bCs/>
        </w:rPr>
      </w:pPr>
      <w:bookmarkStart w:id="0" w:name="_Hlk216013099"/>
      <w:r w:rsidRPr="009036FC">
        <w:rPr>
          <w:rFonts w:cstheme="minorHAnsi"/>
          <w:b/>
          <w:bCs/>
        </w:rPr>
        <w:t xml:space="preserve">Tabel 2. </w:t>
      </w:r>
      <w:r w:rsidR="00D56041">
        <w:rPr>
          <w:rFonts w:cstheme="minorHAnsi"/>
          <w:b/>
          <w:bCs/>
        </w:rPr>
        <w:t xml:space="preserve">Model </w:t>
      </w:r>
      <w:r w:rsidR="00243004">
        <w:rPr>
          <w:rFonts w:cstheme="minorHAnsi"/>
          <w:b/>
          <w:bCs/>
        </w:rPr>
        <w:t xml:space="preserve">Components </w:t>
      </w:r>
    </w:p>
    <w:tbl>
      <w:tblPr>
        <w:tblStyle w:val="TableGrid"/>
        <w:tblW w:w="0" w:type="auto"/>
        <w:tblLook w:val="04A0" w:firstRow="1" w:lastRow="0" w:firstColumn="1" w:lastColumn="0" w:noHBand="0" w:noVBand="1"/>
      </w:tblPr>
      <w:tblGrid>
        <w:gridCol w:w="9016"/>
      </w:tblGrid>
      <w:tr w:rsidR="00BD0385" w:rsidRPr="00F31905" w14:paraId="1AADED99" w14:textId="77777777">
        <w:tc>
          <w:tcPr>
            <w:tcW w:w="9016" w:type="dxa"/>
          </w:tcPr>
          <w:tbl>
            <w:tblPr>
              <w:tblStyle w:val="TableGrid"/>
              <w:tblW w:w="0" w:type="auto"/>
              <w:tblLook w:val="04A0" w:firstRow="1" w:lastRow="0" w:firstColumn="1" w:lastColumn="0" w:noHBand="0" w:noVBand="1"/>
            </w:tblPr>
            <w:tblGrid>
              <w:gridCol w:w="8790"/>
            </w:tblGrid>
            <w:tr w:rsidR="00BD0385" w:rsidRPr="00F31905" w14:paraId="0AD00142" w14:textId="77777777" w:rsidTr="009725C3">
              <w:tc>
                <w:tcPr>
                  <w:tcW w:w="90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6"/>
                    <w:gridCol w:w="3377"/>
                    <w:gridCol w:w="3251"/>
                  </w:tblGrid>
                  <w:tr w:rsidR="00BD0385" w:rsidRPr="00F31905" w14:paraId="768B6065" w14:textId="77777777" w:rsidTr="00761733">
                    <w:trPr>
                      <w:tblHeader/>
                      <w:tblCellSpacing w:w="15" w:type="dxa"/>
                    </w:trPr>
                    <w:tc>
                      <w:tcPr>
                        <w:tcW w:w="0" w:type="auto"/>
                        <w:vAlign w:val="center"/>
                        <w:hideMark/>
                      </w:tcPr>
                      <w:p w14:paraId="6C7C1B55" w14:textId="40AF4607" w:rsidR="00BD0385" w:rsidRPr="00F31905" w:rsidRDefault="00243004" w:rsidP="009725C3">
                        <w:pPr>
                          <w:jc w:val="both"/>
                          <w:rPr>
                            <w:rFonts w:cstheme="minorHAnsi"/>
                            <w:b/>
                            <w:bCs/>
                          </w:rPr>
                        </w:pPr>
                        <w:r>
                          <w:rPr>
                            <w:rFonts w:cstheme="minorHAnsi"/>
                            <w:b/>
                            <w:bCs/>
                          </w:rPr>
                          <w:t>Domain</w:t>
                        </w:r>
                      </w:p>
                    </w:tc>
                    <w:tc>
                      <w:tcPr>
                        <w:tcW w:w="0" w:type="auto"/>
                        <w:tcBorders>
                          <w:top w:val="single" w:sz="4" w:space="0" w:color="auto"/>
                        </w:tcBorders>
                        <w:vAlign w:val="center"/>
                        <w:hideMark/>
                      </w:tcPr>
                      <w:p w14:paraId="70316B09" w14:textId="197177E0" w:rsidR="00BD0385" w:rsidRPr="00F31905" w:rsidRDefault="00243004" w:rsidP="009725C3">
                        <w:pPr>
                          <w:jc w:val="both"/>
                          <w:rPr>
                            <w:rFonts w:cstheme="minorHAnsi"/>
                            <w:b/>
                            <w:bCs/>
                          </w:rPr>
                        </w:pPr>
                        <w:r w:rsidRPr="00243004">
                          <w:rPr>
                            <w:rFonts w:cstheme="minorHAnsi"/>
                            <w:b/>
                            <w:bCs/>
                          </w:rPr>
                          <w:t>Key components</w:t>
                        </w:r>
                      </w:p>
                    </w:tc>
                    <w:tc>
                      <w:tcPr>
                        <w:tcW w:w="0" w:type="auto"/>
                        <w:tcBorders>
                          <w:left w:val="single" w:sz="4" w:space="0" w:color="auto"/>
                        </w:tcBorders>
                        <w:vAlign w:val="center"/>
                        <w:hideMark/>
                      </w:tcPr>
                      <w:p w14:paraId="32E42C7C" w14:textId="570160C5" w:rsidR="00BD0385" w:rsidRPr="00F31905" w:rsidRDefault="00243004" w:rsidP="009725C3">
                        <w:pPr>
                          <w:jc w:val="both"/>
                          <w:rPr>
                            <w:rFonts w:cstheme="minorHAnsi"/>
                            <w:b/>
                            <w:bCs/>
                          </w:rPr>
                        </w:pPr>
                        <w:r w:rsidRPr="00243004">
                          <w:rPr>
                            <w:rFonts w:cstheme="minorHAnsi"/>
                            <w:b/>
                            <w:bCs/>
                          </w:rPr>
                          <w:t>Function in the feedback loop</w:t>
                        </w:r>
                      </w:p>
                    </w:tc>
                  </w:tr>
                  <w:tr w:rsidR="00BD0385" w:rsidRPr="00F31905" w14:paraId="529EF325" w14:textId="77777777" w:rsidTr="00761733">
                    <w:trPr>
                      <w:tblCellSpacing w:w="15" w:type="dxa"/>
                    </w:trPr>
                    <w:tc>
                      <w:tcPr>
                        <w:tcW w:w="0" w:type="auto"/>
                        <w:vAlign w:val="center"/>
                        <w:hideMark/>
                      </w:tcPr>
                      <w:p w14:paraId="5BFDEA3E" w14:textId="77777777" w:rsidR="00BD0385" w:rsidRPr="00F31905" w:rsidRDefault="00BD0385" w:rsidP="009725C3">
                        <w:pPr>
                          <w:jc w:val="both"/>
                          <w:rPr>
                            <w:rFonts w:cstheme="minorHAnsi"/>
                          </w:rPr>
                        </w:pPr>
                        <w:r w:rsidRPr="00F31905">
                          <w:rPr>
                            <w:rFonts w:cstheme="minorHAnsi"/>
                          </w:rPr>
                          <w:t>Pedagogical Integration</w:t>
                        </w:r>
                      </w:p>
                    </w:tc>
                    <w:tc>
                      <w:tcPr>
                        <w:tcW w:w="0" w:type="auto"/>
                        <w:vAlign w:val="center"/>
                        <w:hideMark/>
                      </w:tcPr>
                      <w:p w14:paraId="37102790" w14:textId="77777777" w:rsidR="00BD0385" w:rsidRPr="00F31905" w:rsidRDefault="00BD0385" w:rsidP="009725C3">
                        <w:pPr>
                          <w:jc w:val="both"/>
                          <w:rPr>
                            <w:rFonts w:cstheme="minorHAnsi"/>
                          </w:rPr>
                        </w:pPr>
                        <w:r w:rsidRPr="00F31905">
                          <w:rPr>
                            <w:rFonts w:cstheme="minorHAnsi"/>
                          </w:rPr>
                          <w:t>Task embedding, assessment design, reflection prompts</w:t>
                        </w:r>
                      </w:p>
                    </w:tc>
                    <w:tc>
                      <w:tcPr>
                        <w:tcW w:w="0" w:type="auto"/>
                        <w:tcBorders>
                          <w:left w:val="single" w:sz="4" w:space="0" w:color="auto"/>
                        </w:tcBorders>
                        <w:vAlign w:val="center"/>
                        <w:hideMark/>
                      </w:tcPr>
                      <w:p w14:paraId="01CA8D64" w14:textId="13D5999B" w:rsidR="00BD0385" w:rsidRPr="00F31905" w:rsidRDefault="00243004" w:rsidP="009725C3">
                        <w:pPr>
                          <w:jc w:val="both"/>
                          <w:rPr>
                            <w:rFonts w:cstheme="minorHAnsi"/>
                          </w:rPr>
                        </w:pPr>
                        <w:r w:rsidRPr="00243004">
                          <w:rPr>
                            <w:rFonts w:cstheme="minorHAnsi"/>
                          </w:rPr>
                          <w:t>Creating structure for meaningful chatbot use</w:t>
                        </w:r>
                      </w:p>
                    </w:tc>
                  </w:tr>
                  <w:tr w:rsidR="00BD0385" w:rsidRPr="00F31905" w14:paraId="25A0563C" w14:textId="77777777" w:rsidTr="00761733">
                    <w:trPr>
                      <w:tblCellSpacing w:w="15" w:type="dxa"/>
                    </w:trPr>
                    <w:tc>
                      <w:tcPr>
                        <w:tcW w:w="0" w:type="auto"/>
                        <w:vAlign w:val="center"/>
                        <w:hideMark/>
                      </w:tcPr>
                      <w:p w14:paraId="36E2A6AA" w14:textId="77777777" w:rsidR="00BD0385" w:rsidRPr="00F31905" w:rsidRDefault="00BD0385" w:rsidP="009725C3">
                        <w:pPr>
                          <w:jc w:val="both"/>
                          <w:rPr>
                            <w:rFonts w:cstheme="minorHAnsi"/>
                          </w:rPr>
                        </w:pPr>
                        <w:r w:rsidRPr="00F31905">
                          <w:rPr>
                            <w:rFonts w:cstheme="minorHAnsi"/>
                          </w:rPr>
                          <w:t>Interactional Engagement</w:t>
                        </w:r>
                      </w:p>
                    </w:tc>
                    <w:tc>
                      <w:tcPr>
                        <w:tcW w:w="0" w:type="auto"/>
                        <w:vAlign w:val="center"/>
                        <w:hideMark/>
                      </w:tcPr>
                      <w:p w14:paraId="30209888" w14:textId="77777777" w:rsidR="00BD0385" w:rsidRPr="00F31905" w:rsidRDefault="00BD0385" w:rsidP="009725C3">
                        <w:pPr>
                          <w:jc w:val="both"/>
                          <w:rPr>
                            <w:rFonts w:cstheme="minorHAnsi"/>
                          </w:rPr>
                        </w:pPr>
                        <w:r w:rsidRPr="00F31905">
                          <w:rPr>
                            <w:rFonts w:cstheme="minorHAnsi"/>
                          </w:rPr>
                          <w:t>Immediate feedback, non-judgmental dialogue, relational cues</w:t>
                        </w:r>
                      </w:p>
                    </w:tc>
                    <w:tc>
                      <w:tcPr>
                        <w:tcW w:w="0" w:type="auto"/>
                        <w:tcBorders>
                          <w:left w:val="single" w:sz="4" w:space="0" w:color="auto"/>
                        </w:tcBorders>
                        <w:vAlign w:val="center"/>
                        <w:hideMark/>
                      </w:tcPr>
                      <w:p w14:paraId="6D886BE6" w14:textId="71EBF777" w:rsidR="00BD0385" w:rsidRPr="00F31905" w:rsidRDefault="00243004" w:rsidP="009725C3">
                        <w:pPr>
                          <w:jc w:val="both"/>
                          <w:rPr>
                            <w:rFonts w:cstheme="minorHAnsi"/>
                          </w:rPr>
                        </w:pPr>
                        <w:r w:rsidRPr="00243004">
                          <w:rPr>
                            <w:rFonts w:cstheme="minorHAnsi"/>
                          </w:rPr>
                          <w:t>Building self-efficacy and emotional safety</w:t>
                        </w:r>
                        <w:r>
                          <w:rPr>
                            <w:rFonts w:cstheme="minorHAnsi"/>
                          </w:rPr>
                          <w:t xml:space="preserve"> </w:t>
                        </w:r>
                      </w:p>
                    </w:tc>
                  </w:tr>
                  <w:tr w:rsidR="00BD0385" w:rsidRPr="00F31905" w14:paraId="15FD4D80" w14:textId="77777777" w:rsidTr="00761733">
                    <w:trPr>
                      <w:tblCellSpacing w:w="15" w:type="dxa"/>
                    </w:trPr>
                    <w:tc>
                      <w:tcPr>
                        <w:tcW w:w="0" w:type="auto"/>
                        <w:vAlign w:val="center"/>
                        <w:hideMark/>
                      </w:tcPr>
                      <w:p w14:paraId="1319030F" w14:textId="77777777" w:rsidR="00BD0385" w:rsidRPr="00F31905" w:rsidRDefault="00BD0385" w:rsidP="009725C3">
                        <w:pPr>
                          <w:jc w:val="both"/>
                          <w:rPr>
                            <w:rFonts w:cstheme="minorHAnsi"/>
                          </w:rPr>
                        </w:pPr>
                        <w:r w:rsidRPr="00F31905">
                          <w:rPr>
                            <w:rFonts w:cstheme="minorHAnsi"/>
                          </w:rPr>
                          <w:t>Learning Reinforcement</w:t>
                        </w:r>
                      </w:p>
                    </w:tc>
                    <w:tc>
                      <w:tcPr>
                        <w:tcW w:w="0" w:type="auto"/>
                        <w:vAlign w:val="center"/>
                        <w:hideMark/>
                      </w:tcPr>
                      <w:p w14:paraId="4196FFF6" w14:textId="77777777" w:rsidR="00BD0385" w:rsidRPr="00F31905" w:rsidRDefault="00BD0385" w:rsidP="009725C3">
                        <w:pPr>
                          <w:jc w:val="both"/>
                          <w:rPr>
                            <w:rFonts w:cstheme="minorHAnsi"/>
                          </w:rPr>
                        </w:pPr>
                        <w:r w:rsidRPr="00F31905">
                          <w:rPr>
                            <w:rFonts w:cstheme="minorHAnsi"/>
                          </w:rPr>
                          <w:t>Personalized review, study discipline, conceptual deepening</w:t>
                        </w:r>
                      </w:p>
                    </w:tc>
                    <w:tc>
                      <w:tcPr>
                        <w:tcW w:w="0" w:type="auto"/>
                        <w:tcBorders>
                          <w:left w:val="single" w:sz="4" w:space="0" w:color="auto"/>
                        </w:tcBorders>
                        <w:vAlign w:val="center"/>
                        <w:hideMark/>
                      </w:tcPr>
                      <w:p w14:paraId="58E64BF8" w14:textId="68CDF4A7" w:rsidR="00BD0385" w:rsidRPr="00F31905" w:rsidRDefault="00243004" w:rsidP="009725C3">
                        <w:pPr>
                          <w:jc w:val="both"/>
                          <w:rPr>
                            <w:rFonts w:cstheme="minorHAnsi"/>
                          </w:rPr>
                        </w:pPr>
                        <w:r w:rsidRPr="00243004">
                          <w:rPr>
                            <w:rFonts w:cstheme="minorHAnsi"/>
                          </w:rPr>
                          <w:t>Producing measurable cognitive–affective learning outcomes</w:t>
                        </w:r>
                      </w:p>
                    </w:tc>
                  </w:tr>
                  <w:tr w:rsidR="00BD0385" w:rsidRPr="00F31905" w14:paraId="5DFCBBEC" w14:textId="77777777" w:rsidTr="00761733">
                    <w:trPr>
                      <w:trHeight w:val="810"/>
                      <w:tblCellSpacing w:w="15" w:type="dxa"/>
                    </w:trPr>
                    <w:tc>
                      <w:tcPr>
                        <w:tcW w:w="0" w:type="auto"/>
                        <w:tcBorders>
                          <w:bottom w:val="single" w:sz="4" w:space="0" w:color="auto"/>
                        </w:tcBorders>
                        <w:vAlign w:val="center"/>
                        <w:hideMark/>
                      </w:tcPr>
                      <w:p w14:paraId="3192EA43" w14:textId="77777777" w:rsidR="00BD0385" w:rsidRPr="00F31905" w:rsidRDefault="00BD0385" w:rsidP="009725C3">
                        <w:pPr>
                          <w:jc w:val="both"/>
                          <w:rPr>
                            <w:rFonts w:cstheme="minorHAnsi"/>
                          </w:rPr>
                        </w:pPr>
                        <w:r w:rsidRPr="00F31905">
                          <w:rPr>
                            <w:rFonts w:cstheme="minorHAnsi"/>
                          </w:rPr>
                          <w:t>Contextual Moderators</w:t>
                        </w:r>
                      </w:p>
                    </w:tc>
                    <w:tc>
                      <w:tcPr>
                        <w:tcW w:w="0" w:type="auto"/>
                        <w:tcBorders>
                          <w:bottom w:val="single" w:sz="4" w:space="0" w:color="auto"/>
                        </w:tcBorders>
                        <w:vAlign w:val="center"/>
                        <w:hideMark/>
                      </w:tcPr>
                      <w:p w14:paraId="6C31E01B" w14:textId="77777777" w:rsidR="00BD0385" w:rsidRPr="00F31905" w:rsidRDefault="00BD0385" w:rsidP="009725C3">
                        <w:pPr>
                          <w:jc w:val="both"/>
                          <w:rPr>
                            <w:rFonts w:cstheme="minorHAnsi"/>
                          </w:rPr>
                        </w:pPr>
                        <w:r w:rsidRPr="00F31905">
                          <w:rPr>
                            <w:rFonts w:cstheme="minorHAnsi"/>
                          </w:rPr>
                          <w:t>Infrastructure, cultural norms, institutional policies</w:t>
                        </w:r>
                      </w:p>
                    </w:tc>
                    <w:tc>
                      <w:tcPr>
                        <w:tcW w:w="0" w:type="auto"/>
                        <w:tcBorders>
                          <w:left w:val="single" w:sz="4" w:space="0" w:color="auto"/>
                          <w:bottom w:val="single" w:sz="4" w:space="0" w:color="auto"/>
                        </w:tcBorders>
                        <w:vAlign w:val="center"/>
                        <w:hideMark/>
                      </w:tcPr>
                      <w:p w14:paraId="506F6EDC" w14:textId="7E7F767A" w:rsidR="00BD0385" w:rsidRPr="00F31905" w:rsidRDefault="00243004" w:rsidP="009725C3">
                        <w:pPr>
                          <w:jc w:val="both"/>
                          <w:rPr>
                            <w:rFonts w:cstheme="minorHAnsi"/>
                          </w:rPr>
                        </w:pPr>
                        <w:r w:rsidRPr="00243004">
                          <w:rPr>
                            <w:rFonts w:cstheme="minorHAnsi"/>
                          </w:rPr>
                          <w:t>Moderating the effectiveness of the overall system</w:t>
                        </w:r>
                      </w:p>
                    </w:tc>
                  </w:tr>
                </w:tbl>
                <w:p w14:paraId="43C229F2" w14:textId="77777777" w:rsidR="00BD0385" w:rsidRPr="00F31905" w:rsidRDefault="00BD0385" w:rsidP="009725C3">
                  <w:pPr>
                    <w:rPr>
                      <w:rFonts w:cstheme="minorHAnsi"/>
                    </w:rPr>
                  </w:pPr>
                </w:p>
              </w:tc>
            </w:tr>
          </w:tbl>
          <w:p w14:paraId="68CCFA5F" w14:textId="77777777" w:rsidR="00BD0385" w:rsidRPr="00F31905" w:rsidRDefault="00BD0385" w:rsidP="003C02D5">
            <w:pPr>
              <w:jc w:val="both"/>
              <w:rPr>
                <w:rFonts w:cstheme="minorHAnsi"/>
                <w:b/>
                <w:bCs/>
              </w:rPr>
            </w:pPr>
          </w:p>
        </w:tc>
      </w:tr>
      <w:bookmarkEnd w:id="0"/>
    </w:tbl>
    <w:p w14:paraId="2EF79326" w14:textId="77777777" w:rsidR="00D94396" w:rsidRDefault="00D94396" w:rsidP="003C02D5">
      <w:pPr>
        <w:jc w:val="both"/>
        <w:rPr>
          <w:rFonts w:cstheme="minorHAnsi"/>
          <w:b/>
          <w:bCs/>
        </w:rPr>
      </w:pPr>
    </w:p>
    <w:p w14:paraId="5F3FC766" w14:textId="77777777" w:rsidR="00243004" w:rsidRPr="00243004" w:rsidRDefault="00243004" w:rsidP="00243004">
      <w:pPr>
        <w:jc w:val="both"/>
        <w:rPr>
          <w:rFonts w:cstheme="minorHAnsi"/>
          <w:b/>
          <w:bCs/>
        </w:rPr>
      </w:pPr>
      <w:r w:rsidRPr="00243004">
        <w:rPr>
          <w:rFonts w:cstheme="minorHAnsi"/>
          <w:b/>
          <w:bCs/>
        </w:rPr>
        <w:t>6.4 Strategic framework for chatbot</w:t>
      </w:r>
      <w:r w:rsidRPr="00243004">
        <w:rPr>
          <w:rFonts w:cstheme="minorHAnsi"/>
          <w:b/>
          <w:bCs/>
        </w:rPr>
        <w:noBreakHyphen/>
        <w:t>mediated learning</w:t>
      </w:r>
    </w:p>
    <w:p w14:paraId="7E4B83FE" w14:textId="25C29D63" w:rsidR="00243004" w:rsidRPr="00243004" w:rsidRDefault="00243004" w:rsidP="00243004">
      <w:pPr>
        <w:jc w:val="both"/>
        <w:rPr>
          <w:rFonts w:cstheme="minorHAnsi"/>
        </w:rPr>
      </w:pPr>
      <w:r w:rsidRPr="00243004">
        <w:rPr>
          <w:rFonts w:cstheme="minorHAnsi"/>
        </w:rPr>
        <w:t>Table 3 synthesizes a strategic framework for leveraging AI chatbots as supports for transformative learning by mapping the three strategic domains onto key processes, typical practices, proximal outcomes, and associated risks. The narrative explanation maintains the substance of the table while presenting it in a form that is clearer and easier to integrate into the manuscript text.</w:t>
      </w:r>
    </w:p>
    <w:p w14:paraId="1260CEA0" w14:textId="3E6884AE" w:rsidR="00C46EF7" w:rsidRPr="00C46EF7" w:rsidRDefault="00243004" w:rsidP="003C02D5">
      <w:pPr>
        <w:jc w:val="both"/>
        <w:rPr>
          <w:rFonts w:cstheme="minorHAnsi"/>
        </w:rPr>
      </w:pPr>
      <w:r w:rsidRPr="00243004">
        <w:rPr>
          <w:rFonts w:cstheme="minorHAnsi"/>
        </w:rPr>
        <w:t>Taken together, Table 3 highlights that each domain requires intentional pedagogical design, with processes, practices, and outcomes closely interconnected, and with identified risks serving as reminders of the need for critical regulation of chatbot use in learning. This framing underscores that AI chatbots contribute most productively when their integration is systematically planned rather than left to ad hoc or purely instrumental use</w:t>
      </w:r>
    </w:p>
    <w:p w14:paraId="71DFBB0D" w14:textId="3A1352EB" w:rsidR="00B92A52" w:rsidRPr="00F31905" w:rsidRDefault="00C46EF7" w:rsidP="003C02D5">
      <w:pPr>
        <w:jc w:val="both"/>
        <w:rPr>
          <w:rFonts w:cstheme="minorHAnsi"/>
        </w:rPr>
      </w:pPr>
      <w:r w:rsidRPr="00C46EF7">
        <w:rPr>
          <w:rFonts w:cstheme="minorHAnsi"/>
          <w:b/>
          <w:bCs/>
        </w:rPr>
        <w:t>Table 3. Strategic Framework for Leveraging AI Chatbots as Supports for Transformative Learning</w:t>
      </w:r>
    </w:p>
    <w:tbl>
      <w:tblPr>
        <w:tblStyle w:val="TableGrid"/>
        <w:tblW w:w="0" w:type="auto"/>
        <w:tblLook w:val="04A0" w:firstRow="1" w:lastRow="0" w:firstColumn="1" w:lastColumn="0" w:noHBand="0" w:noVBand="1"/>
      </w:tblPr>
      <w:tblGrid>
        <w:gridCol w:w="9016"/>
      </w:tblGrid>
      <w:tr w:rsidR="00243004" w14:paraId="073CB708" w14:textId="77777777">
        <w:tc>
          <w:tcPr>
            <w:tcW w:w="9016" w:type="dxa"/>
          </w:tcPr>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1665"/>
              <w:gridCol w:w="1959"/>
              <w:gridCol w:w="2117"/>
              <w:gridCol w:w="1641"/>
              <w:gridCol w:w="1978"/>
            </w:tblGrid>
            <w:tr w:rsidR="00243004" w:rsidRPr="00243004" w14:paraId="6912710E" w14:textId="77777777" w:rsidTr="0007416E">
              <w:trPr>
                <w:tblHeader/>
                <w:tblCellSpacing w:w="15" w:type="dxa"/>
              </w:trPr>
              <w:tc>
                <w:tcPr>
                  <w:tcW w:w="0" w:type="auto"/>
                  <w:vAlign w:val="center"/>
                  <w:hideMark/>
                </w:tcPr>
                <w:p w14:paraId="5E59A72D" w14:textId="77777777" w:rsidR="00243004" w:rsidRPr="00243004" w:rsidRDefault="00243004" w:rsidP="0007416E">
                  <w:pPr>
                    <w:spacing w:after="0" w:line="240" w:lineRule="auto"/>
                    <w:jc w:val="center"/>
                    <w:rPr>
                      <w:rFonts w:ascii="Times New Roman" w:eastAsia="Times New Roman" w:hAnsi="Times New Roman" w:cs="Times New Roman"/>
                      <w:b/>
                      <w:bCs/>
                      <w:kern w:val="0"/>
                      <w:lang w:eastAsia="en-ID"/>
                      <w14:ligatures w14:val="none"/>
                    </w:rPr>
                  </w:pPr>
                  <w:r w:rsidRPr="00243004">
                    <w:rPr>
                      <w:rFonts w:ascii="Times New Roman" w:eastAsia="Times New Roman" w:hAnsi="Times New Roman" w:cs="Times New Roman"/>
                      <w:b/>
                      <w:bCs/>
                      <w:kern w:val="0"/>
                      <w:lang w:eastAsia="en-ID"/>
                      <w14:ligatures w14:val="none"/>
                    </w:rPr>
                    <w:t>Strategic domain</w:t>
                  </w:r>
                </w:p>
              </w:tc>
              <w:tc>
                <w:tcPr>
                  <w:tcW w:w="0" w:type="auto"/>
                  <w:vAlign w:val="center"/>
                  <w:hideMark/>
                </w:tcPr>
                <w:p w14:paraId="306F4609" w14:textId="77777777" w:rsidR="00243004" w:rsidRPr="00243004" w:rsidRDefault="00243004" w:rsidP="0007416E">
                  <w:pPr>
                    <w:spacing w:after="0" w:line="240" w:lineRule="auto"/>
                    <w:jc w:val="center"/>
                    <w:rPr>
                      <w:rFonts w:ascii="Times New Roman" w:eastAsia="Times New Roman" w:hAnsi="Times New Roman" w:cs="Times New Roman"/>
                      <w:b/>
                      <w:bCs/>
                      <w:kern w:val="0"/>
                      <w:lang w:eastAsia="en-ID"/>
                      <w14:ligatures w14:val="none"/>
                    </w:rPr>
                  </w:pPr>
                  <w:r w:rsidRPr="00243004">
                    <w:rPr>
                      <w:rFonts w:ascii="Times New Roman" w:eastAsia="Times New Roman" w:hAnsi="Times New Roman" w:cs="Times New Roman"/>
                      <w:b/>
                      <w:bCs/>
                      <w:kern w:val="0"/>
                      <w:lang w:eastAsia="en-ID"/>
                      <w14:ligatures w14:val="none"/>
                    </w:rPr>
                    <w:t>Key processes</w:t>
                  </w:r>
                </w:p>
              </w:tc>
              <w:tc>
                <w:tcPr>
                  <w:tcW w:w="0" w:type="auto"/>
                  <w:vAlign w:val="center"/>
                  <w:hideMark/>
                </w:tcPr>
                <w:p w14:paraId="37DE9532" w14:textId="77777777" w:rsidR="00243004" w:rsidRPr="00243004" w:rsidRDefault="00243004" w:rsidP="0007416E">
                  <w:pPr>
                    <w:spacing w:after="0" w:line="240" w:lineRule="auto"/>
                    <w:jc w:val="center"/>
                    <w:rPr>
                      <w:rFonts w:ascii="Times New Roman" w:eastAsia="Times New Roman" w:hAnsi="Times New Roman" w:cs="Times New Roman"/>
                      <w:b/>
                      <w:bCs/>
                      <w:kern w:val="0"/>
                      <w:lang w:eastAsia="en-ID"/>
                      <w14:ligatures w14:val="none"/>
                    </w:rPr>
                  </w:pPr>
                  <w:r w:rsidRPr="00243004">
                    <w:rPr>
                      <w:rFonts w:ascii="Times New Roman" w:eastAsia="Times New Roman" w:hAnsi="Times New Roman" w:cs="Times New Roman"/>
                      <w:b/>
                      <w:bCs/>
                      <w:kern w:val="0"/>
                      <w:lang w:eastAsia="en-ID"/>
                      <w14:ligatures w14:val="none"/>
                    </w:rPr>
                    <w:t>Typical practices</w:t>
                  </w:r>
                </w:p>
              </w:tc>
              <w:tc>
                <w:tcPr>
                  <w:tcW w:w="0" w:type="auto"/>
                  <w:vAlign w:val="center"/>
                  <w:hideMark/>
                </w:tcPr>
                <w:p w14:paraId="710E7567" w14:textId="77777777" w:rsidR="00243004" w:rsidRPr="00243004" w:rsidRDefault="00243004" w:rsidP="0007416E">
                  <w:pPr>
                    <w:spacing w:after="0" w:line="240" w:lineRule="auto"/>
                    <w:jc w:val="center"/>
                    <w:rPr>
                      <w:rFonts w:ascii="Times New Roman" w:eastAsia="Times New Roman" w:hAnsi="Times New Roman" w:cs="Times New Roman"/>
                      <w:b/>
                      <w:bCs/>
                      <w:kern w:val="0"/>
                      <w:lang w:eastAsia="en-ID"/>
                      <w14:ligatures w14:val="none"/>
                    </w:rPr>
                  </w:pPr>
                  <w:r w:rsidRPr="00243004">
                    <w:rPr>
                      <w:rFonts w:ascii="Times New Roman" w:eastAsia="Times New Roman" w:hAnsi="Times New Roman" w:cs="Times New Roman"/>
                      <w:b/>
                      <w:bCs/>
                      <w:kern w:val="0"/>
                      <w:lang w:eastAsia="en-ID"/>
                      <w14:ligatures w14:val="none"/>
                    </w:rPr>
                    <w:t>Proximal outcomes</w:t>
                  </w:r>
                </w:p>
              </w:tc>
              <w:tc>
                <w:tcPr>
                  <w:tcW w:w="0" w:type="auto"/>
                  <w:vAlign w:val="center"/>
                  <w:hideMark/>
                </w:tcPr>
                <w:p w14:paraId="52BAF33E" w14:textId="77777777" w:rsidR="00243004" w:rsidRPr="00243004" w:rsidRDefault="00243004" w:rsidP="0007416E">
                  <w:pPr>
                    <w:spacing w:after="0" w:line="240" w:lineRule="auto"/>
                    <w:jc w:val="center"/>
                    <w:rPr>
                      <w:rFonts w:ascii="Times New Roman" w:eastAsia="Times New Roman" w:hAnsi="Times New Roman" w:cs="Times New Roman"/>
                      <w:b/>
                      <w:bCs/>
                      <w:kern w:val="0"/>
                      <w:lang w:eastAsia="en-ID"/>
                      <w14:ligatures w14:val="none"/>
                    </w:rPr>
                  </w:pPr>
                  <w:r w:rsidRPr="00243004">
                    <w:rPr>
                      <w:rFonts w:ascii="Times New Roman" w:eastAsia="Times New Roman" w:hAnsi="Times New Roman" w:cs="Times New Roman"/>
                      <w:b/>
                      <w:bCs/>
                      <w:kern w:val="0"/>
                      <w:lang w:eastAsia="en-ID"/>
                      <w14:ligatures w14:val="none"/>
                    </w:rPr>
                    <w:t>Risks if unguided</w:t>
                  </w:r>
                </w:p>
              </w:tc>
            </w:tr>
            <w:tr w:rsidR="00243004" w:rsidRPr="00243004" w14:paraId="53552011" w14:textId="77777777" w:rsidTr="0007416E">
              <w:trPr>
                <w:tblCellSpacing w:w="15" w:type="dxa"/>
              </w:trPr>
              <w:tc>
                <w:tcPr>
                  <w:tcW w:w="0" w:type="auto"/>
                  <w:vAlign w:val="center"/>
                  <w:hideMark/>
                </w:tcPr>
                <w:p w14:paraId="038816A2" w14:textId="77777777" w:rsidR="00243004" w:rsidRPr="00243004" w:rsidRDefault="00243004" w:rsidP="0007416E">
                  <w:pPr>
                    <w:spacing w:after="0" w:line="240" w:lineRule="auto"/>
                    <w:rPr>
                      <w:rFonts w:ascii="Times New Roman" w:eastAsia="Times New Roman" w:hAnsi="Times New Roman" w:cs="Times New Roman"/>
                      <w:kern w:val="0"/>
                      <w:lang w:eastAsia="en-ID"/>
                      <w14:ligatures w14:val="none"/>
                    </w:rPr>
                  </w:pPr>
                  <w:r w:rsidRPr="00243004">
                    <w:rPr>
                      <w:rFonts w:ascii="Times New Roman" w:eastAsia="Times New Roman" w:hAnsi="Times New Roman" w:cs="Times New Roman"/>
                      <w:kern w:val="0"/>
                      <w:lang w:eastAsia="en-ID"/>
                      <w14:ligatures w14:val="none"/>
                    </w:rPr>
                    <w:t>Pedagogical integration</w:t>
                  </w:r>
                </w:p>
              </w:tc>
              <w:tc>
                <w:tcPr>
                  <w:tcW w:w="0" w:type="auto"/>
                  <w:vAlign w:val="center"/>
                  <w:hideMark/>
                </w:tcPr>
                <w:p w14:paraId="16D8F196" w14:textId="77777777" w:rsidR="00243004" w:rsidRPr="00243004" w:rsidRDefault="00243004" w:rsidP="0007416E">
                  <w:pPr>
                    <w:spacing w:after="0" w:line="240" w:lineRule="auto"/>
                    <w:rPr>
                      <w:rFonts w:ascii="Times New Roman" w:eastAsia="Times New Roman" w:hAnsi="Times New Roman" w:cs="Times New Roman"/>
                      <w:kern w:val="0"/>
                      <w:lang w:eastAsia="en-ID"/>
                      <w14:ligatures w14:val="none"/>
                    </w:rPr>
                  </w:pPr>
                  <w:r w:rsidRPr="00243004">
                    <w:rPr>
                      <w:rFonts w:ascii="Times New Roman" w:eastAsia="Times New Roman" w:hAnsi="Times New Roman" w:cs="Times New Roman"/>
                      <w:kern w:val="0"/>
                      <w:lang w:eastAsia="en-ID"/>
                      <w14:ligatures w14:val="none"/>
                    </w:rPr>
                    <w:t>Aligning chatbot tasks with learning outcomes and assessment</w:t>
                  </w:r>
                </w:p>
              </w:tc>
              <w:tc>
                <w:tcPr>
                  <w:tcW w:w="0" w:type="auto"/>
                  <w:vAlign w:val="center"/>
                  <w:hideMark/>
                </w:tcPr>
                <w:p w14:paraId="1BB8CBD4" w14:textId="77777777" w:rsidR="00243004" w:rsidRPr="00243004" w:rsidRDefault="00243004" w:rsidP="0007416E">
                  <w:pPr>
                    <w:spacing w:after="0" w:line="240" w:lineRule="auto"/>
                    <w:rPr>
                      <w:rFonts w:ascii="Times New Roman" w:eastAsia="Times New Roman" w:hAnsi="Times New Roman" w:cs="Times New Roman"/>
                      <w:kern w:val="0"/>
                      <w:lang w:eastAsia="en-ID"/>
                      <w14:ligatures w14:val="none"/>
                    </w:rPr>
                  </w:pPr>
                  <w:r w:rsidRPr="00243004">
                    <w:rPr>
                      <w:rFonts w:ascii="Times New Roman" w:eastAsia="Times New Roman" w:hAnsi="Times New Roman" w:cs="Times New Roman"/>
                      <w:kern w:val="0"/>
                      <w:lang w:eastAsia="en-ID"/>
                      <w14:ligatures w14:val="none"/>
                    </w:rPr>
                    <w:t xml:space="preserve">Embedding chatbot prompts in readings, essays, and exam reviews; requiring </w:t>
                  </w:r>
                  <w:r w:rsidRPr="00243004">
                    <w:rPr>
                      <w:rFonts w:ascii="Times New Roman" w:eastAsia="Times New Roman" w:hAnsi="Times New Roman" w:cs="Times New Roman"/>
                      <w:kern w:val="0"/>
                      <w:lang w:eastAsia="en-ID"/>
                      <w14:ligatures w14:val="none"/>
                    </w:rPr>
                    <w:lastRenderedPageBreak/>
                    <w:t>comparison with textbooks</w:t>
                  </w:r>
                </w:p>
              </w:tc>
              <w:tc>
                <w:tcPr>
                  <w:tcW w:w="0" w:type="auto"/>
                  <w:vAlign w:val="center"/>
                  <w:hideMark/>
                </w:tcPr>
                <w:p w14:paraId="1B7050AB" w14:textId="77777777" w:rsidR="00243004" w:rsidRPr="00243004" w:rsidRDefault="00243004" w:rsidP="0007416E">
                  <w:pPr>
                    <w:spacing w:after="0" w:line="240" w:lineRule="auto"/>
                    <w:rPr>
                      <w:rFonts w:ascii="Times New Roman" w:eastAsia="Times New Roman" w:hAnsi="Times New Roman" w:cs="Times New Roman"/>
                      <w:kern w:val="0"/>
                      <w:lang w:eastAsia="en-ID"/>
                      <w14:ligatures w14:val="none"/>
                    </w:rPr>
                  </w:pPr>
                  <w:r w:rsidRPr="00243004">
                    <w:rPr>
                      <w:rFonts w:ascii="Times New Roman" w:eastAsia="Times New Roman" w:hAnsi="Times New Roman" w:cs="Times New Roman"/>
                      <w:kern w:val="0"/>
                      <w:lang w:eastAsia="en-ID"/>
                      <w14:ligatures w14:val="none"/>
                    </w:rPr>
                    <w:lastRenderedPageBreak/>
                    <w:t>Clearer task structures; more purposeful chatbot use</w:t>
                  </w:r>
                </w:p>
              </w:tc>
              <w:tc>
                <w:tcPr>
                  <w:tcW w:w="0" w:type="auto"/>
                  <w:vAlign w:val="center"/>
                  <w:hideMark/>
                </w:tcPr>
                <w:p w14:paraId="3ED382FE" w14:textId="77777777" w:rsidR="00243004" w:rsidRPr="00243004" w:rsidRDefault="00243004" w:rsidP="0007416E">
                  <w:pPr>
                    <w:spacing w:after="0" w:line="240" w:lineRule="auto"/>
                    <w:rPr>
                      <w:rFonts w:ascii="Times New Roman" w:eastAsia="Times New Roman" w:hAnsi="Times New Roman" w:cs="Times New Roman"/>
                      <w:kern w:val="0"/>
                      <w:lang w:eastAsia="en-ID"/>
                      <w14:ligatures w14:val="none"/>
                    </w:rPr>
                  </w:pPr>
                  <w:r w:rsidRPr="00243004">
                    <w:rPr>
                      <w:rFonts w:ascii="Times New Roman" w:eastAsia="Times New Roman" w:hAnsi="Times New Roman" w:cs="Times New Roman"/>
                      <w:kern w:val="0"/>
                      <w:lang w:eastAsia="en-ID"/>
                      <w14:ligatures w14:val="none"/>
                    </w:rPr>
                    <w:t>Last</w:t>
                  </w:r>
                  <w:r w:rsidRPr="00243004">
                    <w:rPr>
                      <w:rFonts w:ascii="Times New Roman" w:eastAsia="Times New Roman" w:hAnsi="Times New Roman" w:cs="Times New Roman"/>
                      <w:kern w:val="0"/>
                      <w:lang w:eastAsia="en-ID"/>
                      <w14:ligatures w14:val="none"/>
                    </w:rPr>
                    <w:noBreakHyphen/>
                    <w:t>minute superficial use; copying AI answers</w:t>
                  </w:r>
                </w:p>
              </w:tc>
            </w:tr>
            <w:tr w:rsidR="00243004" w:rsidRPr="00243004" w14:paraId="652B96BC" w14:textId="77777777" w:rsidTr="0007416E">
              <w:trPr>
                <w:tblCellSpacing w:w="15" w:type="dxa"/>
              </w:trPr>
              <w:tc>
                <w:tcPr>
                  <w:tcW w:w="0" w:type="auto"/>
                  <w:vAlign w:val="center"/>
                  <w:hideMark/>
                </w:tcPr>
                <w:p w14:paraId="03BC0532" w14:textId="77777777" w:rsidR="00243004" w:rsidRPr="00243004" w:rsidRDefault="00243004" w:rsidP="0007416E">
                  <w:pPr>
                    <w:spacing w:after="0" w:line="240" w:lineRule="auto"/>
                    <w:rPr>
                      <w:rFonts w:ascii="Times New Roman" w:eastAsia="Times New Roman" w:hAnsi="Times New Roman" w:cs="Times New Roman"/>
                      <w:kern w:val="0"/>
                      <w:lang w:eastAsia="en-ID"/>
                      <w14:ligatures w14:val="none"/>
                    </w:rPr>
                  </w:pPr>
                  <w:r w:rsidRPr="00243004">
                    <w:rPr>
                      <w:rFonts w:ascii="Times New Roman" w:eastAsia="Times New Roman" w:hAnsi="Times New Roman" w:cs="Times New Roman"/>
                      <w:kern w:val="0"/>
                      <w:lang w:eastAsia="en-ID"/>
                      <w14:ligatures w14:val="none"/>
                    </w:rPr>
                    <w:t>Interactional engagement &amp; self</w:t>
                  </w:r>
                  <w:r w:rsidRPr="00243004">
                    <w:rPr>
                      <w:rFonts w:ascii="Times New Roman" w:eastAsia="Times New Roman" w:hAnsi="Times New Roman" w:cs="Times New Roman"/>
                      <w:kern w:val="0"/>
                      <w:lang w:eastAsia="en-ID"/>
                      <w14:ligatures w14:val="none"/>
                    </w:rPr>
                    <w:noBreakHyphen/>
                    <w:t>efficacy</w:t>
                  </w:r>
                </w:p>
              </w:tc>
              <w:tc>
                <w:tcPr>
                  <w:tcW w:w="0" w:type="auto"/>
                  <w:vAlign w:val="center"/>
                  <w:hideMark/>
                </w:tcPr>
                <w:p w14:paraId="5F1FFA8C" w14:textId="77777777" w:rsidR="00243004" w:rsidRPr="00243004" w:rsidRDefault="00243004" w:rsidP="0007416E">
                  <w:pPr>
                    <w:spacing w:after="0" w:line="240" w:lineRule="auto"/>
                    <w:rPr>
                      <w:rFonts w:ascii="Times New Roman" w:eastAsia="Times New Roman" w:hAnsi="Times New Roman" w:cs="Times New Roman"/>
                      <w:kern w:val="0"/>
                      <w:lang w:eastAsia="en-ID"/>
                      <w14:ligatures w14:val="none"/>
                    </w:rPr>
                  </w:pPr>
                  <w:r w:rsidRPr="00243004">
                    <w:rPr>
                      <w:rFonts w:ascii="Times New Roman" w:eastAsia="Times New Roman" w:hAnsi="Times New Roman" w:cs="Times New Roman"/>
                      <w:kern w:val="0"/>
                      <w:lang w:eastAsia="en-ID"/>
                      <w14:ligatures w14:val="none"/>
                    </w:rPr>
                    <w:t>Designing supportive relational dialogue and critical prompts</w:t>
                  </w:r>
                </w:p>
              </w:tc>
              <w:tc>
                <w:tcPr>
                  <w:tcW w:w="0" w:type="auto"/>
                  <w:vAlign w:val="center"/>
                  <w:hideMark/>
                </w:tcPr>
                <w:p w14:paraId="68DBAD37" w14:textId="77777777" w:rsidR="00243004" w:rsidRPr="00243004" w:rsidRDefault="00243004" w:rsidP="0007416E">
                  <w:pPr>
                    <w:spacing w:after="0" w:line="240" w:lineRule="auto"/>
                    <w:rPr>
                      <w:rFonts w:ascii="Times New Roman" w:eastAsia="Times New Roman" w:hAnsi="Times New Roman" w:cs="Times New Roman"/>
                      <w:kern w:val="0"/>
                      <w:lang w:eastAsia="en-ID"/>
                      <w14:ligatures w14:val="none"/>
                    </w:rPr>
                  </w:pPr>
                  <w:r w:rsidRPr="00243004">
                    <w:rPr>
                      <w:rFonts w:ascii="Times New Roman" w:eastAsia="Times New Roman" w:hAnsi="Times New Roman" w:cs="Times New Roman"/>
                      <w:kern w:val="0"/>
                      <w:lang w:eastAsia="en-ID"/>
                      <w14:ligatures w14:val="none"/>
                    </w:rPr>
                    <w:t>Encouraging iterative questioning, justification, and reflection; normalizing errors</w:t>
                  </w:r>
                </w:p>
              </w:tc>
              <w:tc>
                <w:tcPr>
                  <w:tcW w:w="0" w:type="auto"/>
                  <w:vAlign w:val="center"/>
                  <w:hideMark/>
                </w:tcPr>
                <w:p w14:paraId="4E910773" w14:textId="77777777" w:rsidR="00243004" w:rsidRPr="00243004" w:rsidRDefault="00243004" w:rsidP="0007416E">
                  <w:pPr>
                    <w:spacing w:after="0" w:line="240" w:lineRule="auto"/>
                    <w:rPr>
                      <w:rFonts w:ascii="Times New Roman" w:eastAsia="Times New Roman" w:hAnsi="Times New Roman" w:cs="Times New Roman"/>
                      <w:kern w:val="0"/>
                      <w:lang w:eastAsia="en-ID"/>
                      <w14:ligatures w14:val="none"/>
                    </w:rPr>
                  </w:pPr>
                  <w:r w:rsidRPr="00243004">
                    <w:rPr>
                      <w:rFonts w:ascii="Times New Roman" w:eastAsia="Times New Roman" w:hAnsi="Times New Roman" w:cs="Times New Roman"/>
                      <w:kern w:val="0"/>
                      <w:lang w:eastAsia="en-ID"/>
                      <w14:ligatures w14:val="none"/>
                    </w:rPr>
                    <w:t>Higher confidence, reduced anxiety, greater persistence</w:t>
                  </w:r>
                </w:p>
              </w:tc>
              <w:tc>
                <w:tcPr>
                  <w:tcW w:w="0" w:type="auto"/>
                  <w:vAlign w:val="center"/>
                  <w:hideMark/>
                </w:tcPr>
                <w:p w14:paraId="2CD792E8" w14:textId="77777777" w:rsidR="00243004" w:rsidRPr="00243004" w:rsidRDefault="00243004" w:rsidP="0007416E">
                  <w:pPr>
                    <w:spacing w:after="0" w:line="240" w:lineRule="auto"/>
                    <w:rPr>
                      <w:rFonts w:ascii="Times New Roman" w:eastAsia="Times New Roman" w:hAnsi="Times New Roman" w:cs="Times New Roman"/>
                      <w:kern w:val="0"/>
                      <w:lang w:eastAsia="en-ID"/>
                      <w14:ligatures w14:val="none"/>
                    </w:rPr>
                  </w:pPr>
                  <w:r w:rsidRPr="00243004">
                    <w:rPr>
                      <w:rFonts w:ascii="Times New Roman" w:eastAsia="Times New Roman" w:hAnsi="Times New Roman" w:cs="Times New Roman"/>
                      <w:kern w:val="0"/>
                      <w:lang w:eastAsia="en-ID"/>
                      <w14:ligatures w14:val="none"/>
                    </w:rPr>
                    <w:t>Over</w:t>
                  </w:r>
                  <w:r w:rsidRPr="00243004">
                    <w:rPr>
                      <w:rFonts w:ascii="Times New Roman" w:eastAsia="Times New Roman" w:hAnsi="Times New Roman" w:cs="Times New Roman"/>
                      <w:kern w:val="0"/>
                      <w:lang w:eastAsia="en-ID"/>
                      <w14:ligatures w14:val="none"/>
                    </w:rPr>
                    <w:noBreakHyphen/>
                    <w:t>reliance on AI; “outsourced” self</w:t>
                  </w:r>
                  <w:r w:rsidRPr="00243004">
                    <w:rPr>
                      <w:rFonts w:ascii="Times New Roman" w:eastAsia="Times New Roman" w:hAnsi="Times New Roman" w:cs="Times New Roman"/>
                      <w:kern w:val="0"/>
                      <w:lang w:eastAsia="en-ID"/>
                      <w14:ligatures w14:val="none"/>
                    </w:rPr>
                    <w:noBreakHyphen/>
                    <w:t>efficacy</w:t>
                  </w:r>
                </w:p>
              </w:tc>
            </w:tr>
            <w:tr w:rsidR="00243004" w:rsidRPr="00243004" w14:paraId="06FF5F50" w14:textId="77777777" w:rsidTr="0007416E">
              <w:trPr>
                <w:tblCellSpacing w:w="15" w:type="dxa"/>
              </w:trPr>
              <w:tc>
                <w:tcPr>
                  <w:tcW w:w="0" w:type="auto"/>
                  <w:vAlign w:val="center"/>
                  <w:hideMark/>
                </w:tcPr>
                <w:p w14:paraId="54429CF0" w14:textId="77777777" w:rsidR="00243004" w:rsidRPr="00243004" w:rsidRDefault="00243004" w:rsidP="0007416E">
                  <w:pPr>
                    <w:spacing w:after="0" w:line="240" w:lineRule="auto"/>
                    <w:rPr>
                      <w:rFonts w:ascii="Times New Roman" w:eastAsia="Times New Roman" w:hAnsi="Times New Roman" w:cs="Times New Roman"/>
                      <w:kern w:val="0"/>
                      <w:lang w:eastAsia="en-ID"/>
                      <w14:ligatures w14:val="none"/>
                    </w:rPr>
                  </w:pPr>
                  <w:r w:rsidRPr="00243004">
                    <w:rPr>
                      <w:rFonts w:ascii="Times New Roman" w:eastAsia="Times New Roman" w:hAnsi="Times New Roman" w:cs="Times New Roman"/>
                      <w:kern w:val="0"/>
                      <w:lang w:eastAsia="en-ID"/>
                      <w14:ligatures w14:val="none"/>
                    </w:rPr>
                    <w:t>Learning reinforcement &amp; outcomes</w:t>
                  </w:r>
                </w:p>
              </w:tc>
              <w:tc>
                <w:tcPr>
                  <w:tcW w:w="0" w:type="auto"/>
                  <w:vAlign w:val="center"/>
                  <w:hideMark/>
                </w:tcPr>
                <w:p w14:paraId="1A8B7995" w14:textId="77777777" w:rsidR="00243004" w:rsidRPr="00243004" w:rsidRDefault="00243004" w:rsidP="0007416E">
                  <w:pPr>
                    <w:spacing w:after="0" w:line="240" w:lineRule="auto"/>
                    <w:rPr>
                      <w:rFonts w:ascii="Times New Roman" w:eastAsia="Times New Roman" w:hAnsi="Times New Roman" w:cs="Times New Roman"/>
                      <w:kern w:val="0"/>
                      <w:lang w:eastAsia="en-ID"/>
                      <w14:ligatures w14:val="none"/>
                    </w:rPr>
                  </w:pPr>
                  <w:r w:rsidRPr="00243004">
                    <w:rPr>
                      <w:rFonts w:ascii="Times New Roman" w:eastAsia="Times New Roman" w:hAnsi="Times New Roman" w:cs="Times New Roman"/>
                      <w:kern w:val="0"/>
                      <w:lang w:eastAsia="en-ID"/>
                      <w14:ligatures w14:val="none"/>
                    </w:rPr>
                    <w:t>Personalizing review, structuring study routines, deepening understanding</w:t>
                  </w:r>
                </w:p>
              </w:tc>
              <w:tc>
                <w:tcPr>
                  <w:tcW w:w="0" w:type="auto"/>
                  <w:vAlign w:val="center"/>
                  <w:hideMark/>
                </w:tcPr>
                <w:p w14:paraId="73C40D29" w14:textId="77777777" w:rsidR="00243004" w:rsidRPr="00243004" w:rsidRDefault="00243004" w:rsidP="0007416E">
                  <w:pPr>
                    <w:spacing w:after="0" w:line="240" w:lineRule="auto"/>
                    <w:rPr>
                      <w:rFonts w:ascii="Times New Roman" w:eastAsia="Times New Roman" w:hAnsi="Times New Roman" w:cs="Times New Roman"/>
                      <w:kern w:val="0"/>
                      <w:lang w:eastAsia="en-ID"/>
                      <w14:ligatures w14:val="none"/>
                    </w:rPr>
                  </w:pPr>
                  <w:r w:rsidRPr="00243004">
                    <w:rPr>
                      <w:rFonts w:ascii="Times New Roman" w:eastAsia="Times New Roman" w:hAnsi="Times New Roman" w:cs="Times New Roman"/>
                      <w:kern w:val="0"/>
                      <w:lang w:eastAsia="en-ID"/>
                      <w14:ligatures w14:val="none"/>
                    </w:rPr>
                    <w:t>Using chatbots for practice questions, study planning, and conceptual clarification</w:t>
                  </w:r>
                </w:p>
              </w:tc>
              <w:tc>
                <w:tcPr>
                  <w:tcW w:w="0" w:type="auto"/>
                  <w:vAlign w:val="center"/>
                  <w:hideMark/>
                </w:tcPr>
                <w:p w14:paraId="4339DB66" w14:textId="77777777" w:rsidR="00243004" w:rsidRPr="00243004" w:rsidRDefault="00243004" w:rsidP="0007416E">
                  <w:pPr>
                    <w:spacing w:after="0" w:line="240" w:lineRule="auto"/>
                    <w:rPr>
                      <w:rFonts w:ascii="Times New Roman" w:eastAsia="Times New Roman" w:hAnsi="Times New Roman" w:cs="Times New Roman"/>
                      <w:kern w:val="0"/>
                      <w:lang w:eastAsia="en-ID"/>
                      <w14:ligatures w14:val="none"/>
                    </w:rPr>
                  </w:pPr>
                  <w:r w:rsidRPr="00243004">
                    <w:rPr>
                      <w:rFonts w:ascii="Times New Roman" w:eastAsia="Times New Roman" w:hAnsi="Times New Roman" w:cs="Times New Roman"/>
                      <w:kern w:val="0"/>
                      <w:lang w:eastAsia="en-ID"/>
                      <w14:ligatures w14:val="none"/>
                    </w:rPr>
                    <w:t>Improved writing quality, better retention, stronger study habits</w:t>
                  </w:r>
                </w:p>
              </w:tc>
              <w:tc>
                <w:tcPr>
                  <w:tcW w:w="0" w:type="auto"/>
                  <w:vAlign w:val="center"/>
                  <w:hideMark/>
                </w:tcPr>
                <w:p w14:paraId="1DA2BB7D" w14:textId="77777777" w:rsidR="00243004" w:rsidRPr="00243004" w:rsidRDefault="00243004" w:rsidP="0007416E">
                  <w:pPr>
                    <w:spacing w:after="0" w:line="240" w:lineRule="auto"/>
                    <w:rPr>
                      <w:rFonts w:ascii="Times New Roman" w:eastAsia="Times New Roman" w:hAnsi="Times New Roman" w:cs="Times New Roman"/>
                      <w:kern w:val="0"/>
                      <w:lang w:eastAsia="en-ID"/>
                      <w14:ligatures w14:val="none"/>
                    </w:rPr>
                  </w:pPr>
                  <w:r w:rsidRPr="00243004">
                    <w:rPr>
                      <w:rFonts w:ascii="Times New Roman" w:eastAsia="Times New Roman" w:hAnsi="Times New Roman" w:cs="Times New Roman"/>
                      <w:kern w:val="0"/>
                      <w:lang w:eastAsia="en-ID"/>
                      <w14:ligatures w14:val="none"/>
                    </w:rPr>
                    <w:t>Stylistic homogenization; uncritical reproduction</w:t>
                  </w:r>
                </w:p>
              </w:tc>
            </w:tr>
          </w:tbl>
          <w:p w14:paraId="0DF83CAF" w14:textId="77777777" w:rsidR="00243004" w:rsidRDefault="00243004"/>
        </w:tc>
      </w:tr>
    </w:tbl>
    <w:p w14:paraId="0F6D4572" w14:textId="77777777" w:rsidR="00FF6AD4" w:rsidRDefault="00FF6AD4" w:rsidP="00FF6AD4">
      <w:pPr>
        <w:jc w:val="both"/>
        <w:rPr>
          <w:rFonts w:cstheme="minorHAnsi"/>
          <w:b/>
          <w:bCs/>
        </w:rPr>
      </w:pPr>
    </w:p>
    <w:p w14:paraId="2B199CBA" w14:textId="4ADF4B6F" w:rsidR="00C46EF7" w:rsidRPr="00C46EF7" w:rsidRDefault="00C46EF7" w:rsidP="00C46EF7">
      <w:pPr>
        <w:jc w:val="both"/>
        <w:rPr>
          <w:rFonts w:cstheme="minorHAnsi"/>
          <w:b/>
          <w:bCs/>
        </w:rPr>
      </w:pPr>
      <w:r w:rsidRPr="00C46EF7">
        <w:rPr>
          <w:rFonts w:cstheme="minorHAnsi"/>
          <w:b/>
          <w:bCs/>
        </w:rPr>
        <w:t>7. I</w:t>
      </w:r>
      <w:r w:rsidR="008B41DD">
        <w:rPr>
          <w:rFonts w:cstheme="minorHAnsi"/>
          <w:b/>
          <w:bCs/>
        </w:rPr>
        <w:t>MPLICATIONS</w:t>
      </w:r>
    </w:p>
    <w:p w14:paraId="109E4F9C" w14:textId="77777777" w:rsidR="00C46EF7" w:rsidRPr="00C46EF7" w:rsidRDefault="00C46EF7" w:rsidP="00C46EF7">
      <w:pPr>
        <w:jc w:val="both"/>
        <w:rPr>
          <w:rFonts w:cstheme="minorHAnsi"/>
          <w:b/>
          <w:bCs/>
        </w:rPr>
      </w:pPr>
      <w:r w:rsidRPr="00C46EF7">
        <w:rPr>
          <w:rFonts w:cstheme="minorHAnsi"/>
          <w:b/>
          <w:bCs/>
        </w:rPr>
        <w:t>7.1 Implications for practice</w:t>
      </w:r>
    </w:p>
    <w:p w14:paraId="2460C474" w14:textId="0E0B6FE2" w:rsidR="00C46EF7" w:rsidRPr="00C46EF7" w:rsidRDefault="00C46EF7" w:rsidP="00C46EF7">
      <w:pPr>
        <w:jc w:val="both"/>
        <w:rPr>
          <w:rFonts w:cstheme="minorHAnsi"/>
        </w:rPr>
      </w:pPr>
      <w:r w:rsidRPr="00C46EF7">
        <w:rPr>
          <w:rFonts w:cstheme="minorHAnsi"/>
        </w:rPr>
        <w:t>The findings highlight the need to integrate chatbots through structured, learning-aligned tasks that require students to compare, evaluate, and justify AI outputs rather than simply “look up answers.” Students should be explicitly supported to become critical users who verify, cross-check, and appropriately cite chatbot-generated content. At the same time, affective design matters: systems should provide supportive, non-judgmental feedback, particularly for students from cultures where asking questions in public is perceived as risky. Institutions are encouraged to develop clear written guidelines on AI use and academic integrity, and to invest in professional development that equips lecturers not only with technical skills, but also with pedagogical principles for human</w:t>
      </w:r>
      <w:r w:rsidR="00CF63DC">
        <w:rPr>
          <w:rFonts w:cstheme="minorHAnsi"/>
        </w:rPr>
        <w:t xml:space="preserve"> </w:t>
      </w:r>
      <w:r w:rsidRPr="00C46EF7">
        <w:rPr>
          <w:rFonts w:cstheme="minorHAnsi"/>
        </w:rPr>
        <w:t>AI collaboration, including prompt design, assessment redesign, and strategies to monitor student engagement.</w:t>
      </w:r>
    </w:p>
    <w:p w14:paraId="2F5D5322" w14:textId="77777777" w:rsidR="00C46EF7" w:rsidRPr="00C46EF7" w:rsidRDefault="00C46EF7" w:rsidP="00C46EF7">
      <w:pPr>
        <w:jc w:val="both"/>
        <w:rPr>
          <w:rFonts w:cstheme="minorHAnsi"/>
          <w:b/>
          <w:bCs/>
        </w:rPr>
      </w:pPr>
      <w:r w:rsidRPr="00C46EF7">
        <w:rPr>
          <w:rFonts w:cstheme="minorHAnsi"/>
          <w:b/>
          <w:bCs/>
        </w:rPr>
        <w:t>7.2 Theoretical implications</w:t>
      </w:r>
    </w:p>
    <w:p w14:paraId="2A4B13A6" w14:textId="77777777" w:rsidR="00C46EF7" w:rsidRPr="00C46EF7" w:rsidRDefault="00C46EF7" w:rsidP="00C46EF7">
      <w:pPr>
        <w:jc w:val="both"/>
        <w:rPr>
          <w:rFonts w:cstheme="minorHAnsi"/>
        </w:rPr>
      </w:pPr>
      <w:r w:rsidRPr="00C46EF7">
        <w:rPr>
          <w:rFonts w:cstheme="minorHAnsi"/>
        </w:rPr>
        <w:t>At the theoretical level, this study extends self-efficacy theory to AI-mediated learning by showing that chatbot interactions can both strengthen academic self-efficacy and trigger “outsourced self-efficacy,” where confidence rests on access to AI rather than internalised competence. The proposed conceptual model positions pedagogical integration, interactional engagement, and learning reinforcement as interwoven domains rather than discrete factors. Grounded in low-resource private universities, the study also contextualises global technology acceptance frameworks and underscores the need to adapt universal models to institutional realities shaped by infrastructural constraints and local cultural dynamics.</w:t>
      </w:r>
    </w:p>
    <w:p w14:paraId="1D3D880C" w14:textId="77777777" w:rsidR="00C46EF7" w:rsidRPr="00C46EF7" w:rsidRDefault="00C46EF7" w:rsidP="00C46EF7">
      <w:pPr>
        <w:jc w:val="both"/>
        <w:rPr>
          <w:rFonts w:cstheme="minorHAnsi"/>
          <w:b/>
          <w:bCs/>
        </w:rPr>
      </w:pPr>
      <w:r w:rsidRPr="00C46EF7">
        <w:rPr>
          <w:rFonts w:cstheme="minorHAnsi"/>
          <w:b/>
          <w:bCs/>
        </w:rPr>
        <w:t>7.3 Policy implications</w:t>
      </w:r>
    </w:p>
    <w:p w14:paraId="5C98E570" w14:textId="77777777" w:rsidR="00C46EF7" w:rsidRPr="00C46EF7" w:rsidRDefault="00C46EF7" w:rsidP="00C46EF7">
      <w:pPr>
        <w:jc w:val="both"/>
        <w:rPr>
          <w:rFonts w:cstheme="minorHAnsi"/>
        </w:rPr>
      </w:pPr>
      <w:r w:rsidRPr="00C46EF7">
        <w:rPr>
          <w:rFonts w:cstheme="minorHAnsi"/>
        </w:rPr>
        <w:t xml:space="preserve">For institutional and public policy, the results point to the importance of targeted infrastructure investment (connectivity, devices, and technical support), deliberate action to address gaps in AI access and literacy so that chatbot adoption does not widen inequalities between well-resourced and under-resourced institutions, and the development of a national </w:t>
      </w:r>
      <w:r w:rsidRPr="00C46EF7">
        <w:rPr>
          <w:rFonts w:cstheme="minorHAnsi"/>
        </w:rPr>
        <w:lastRenderedPageBreak/>
        <w:t>AI-in-education framework that balances innovation with academic integrity while offering flexible guidance for context-sensitive institutional policies.</w:t>
      </w:r>
    </w:p>
    <w:p w14:paraId="4AE85565" w14:textId="616A7C31" w:rsidR="00C46EF7" w:rsidRPr="00C46EF7" w:rsidRDefault="00C46EF7" w:rsidP="00C46EF7">
      <w:pPr>
        <w:jc w:val="both"/>
        <w:rPr>
          <w:rFonts w:cstheme="minorHAnsi"/>
          <w:b/>
          <w:bCs/>
        </w:rPr>
      </w:pPr>
      <w:r w:rsidRPr="00C46EF7">
        <w:rPr>
          <w:rFonts w:cstheme="minorHAnsi"/>
          <w:b/>
          <w:bCs/>
        </w:rPr>
        <w:t xml:space="preserve">8. </w:t>
      </w:r>
      <w:r w:rsidR="00754FD7">
        <w:rPr>
          <w:rFonts w:cstheme="minorHAnsi"/>
          <w:b/>
          <w:bCs/>
        </w:rPr>
        <w:t>LIMITAT</w:t>
      </w:r>
      <w:r w:rsidR="007B12F3">
        <w:rPr>
          <w:rFonts w:cstheme="minorHAnsi"/>
          <w:b/>
          <w:bCs/>
        </w:rPr>
        <w:t xml:space="preserve">IONS AND FUTURE DIRECTIONS </w:t>
      </w:r>
    </w:p>
    <w:p w14:paraId="4E20EC5E" w14:textId="77777777" w:rsidR="00C46EF7" w:rsidRPr="00C46EF7" w:rsidRDefault="00C46EF7" w:rsidP="00C46EF7">
      <w:pPr>
        <w:jc w:val="both"/>
        <w:rPr>
          <w:rFonts w:cstheme="minorHAnsi"/>
        </w:rPr>
      </w:pPr>
      <w:r w:rsidRPr="00C46EF7">
        <w:rPr>
          <w:rFonts w:cstheme="minorHAnsi"/>
        </w:rPr>
        <w:t>This study is limited by its qualitative design, which does not allow causal inferences, by a sample drawn from only three private universities in a single province, by its reliance on self-reported gains without triangulation using objective performance indicators, and by the absence of institutional policy-makers’ perspectives. Future research should adopt mixed-methods designs with quasi-experimental components, longitudinal studies across semesters, and cross-provincial and cross-institutional comparisons to test the effects of chatbot use more robustly and broadly. Incorporating objective performance measures and systematically evaluating lecturer training programmes on chatbot integration will be important for strengthening the empirical basis of policy and pedagogical decision-making in higher education.</w:t>
      </w:r>
    </w:p>
    <w:p w14:paraId="2C1DCB02" w14:textId="0F15FCBC" w:rsidR="00C46EF7" w:rsidRPr="00C46EF7" w:rsidRDefault="00C46EF7" w:rsidP="00C46EF7">
      <w:pPr>
        <w:jc w:val="both"/>
        <w:rPr>
          <w:rFonts w:cstheme="minorHAnsi"/>
          <w:b/>
          <w:bCs/>
        </w:rPr>
      </w:pPr>
      <w:r w:rsidRPr="00C46EF7">
        <w:rPr>
          <w:rFonts w:cstheme="minorHAnsi"/>
          <w:b/>
          <w:bCs/>
        </w:rPr>
        <w:t>9. C</w:t>
      </w:r>
      <w:r w:rsidR="00754FD7">
        <w:rPr>
          <w:rFonts w:cstheme="minorHAnsi"/>
          <w:b/>
          <w:bCs/>
        </w:rPr>
        <w:t>ONCLUSION</w:t>
      </w:r>
    </w:p>
    <w:p w14:paraId="0E01D768" w14:textId="389D0083" w:rsidR="00C46EF7" w:rsidRPr="00C46EF7" w:rsidRDefault="00C46EF7" w:rsidP="00C46EF7">
      <w:pPr>
        <w:jc w:val="both"/>
        <w:rPr>
          <w:rFonts w:cstheme="minorHAnsi"/>
        </w:rPr>
      </w:pPr>
      <w:r w:rsidRPr="00C46EF7">
        <w:rPr>
          <w:rFonts w:cstheme="minorHAnsi"/>
        </w:rPr>
        <w:t>This qualitative multiple-case study examined how AI-based chatbots are used as learning companions and how their use relates to students’ self-efficacy and learning outcomes in three private universities in Central Kalimantan. Analysis of data from 27 students and 6 lecturers identified three interrelated domains</w:t>
      </w:r>
      <w:r>
        <w:rPr>
          <w:rFonts w:cstheme="minorHAnsi"/>
        </w:rPr>
        <w:t xml:space="preserve"> </w:t>
      </w:r>
      <w:r w:rsidRPr="00C46EF7">
        <w:rPr>
          <w:rFonts w:cstheme="minorHAnsi"/>
        </w:rPr>
        <w:t>pedagogical integration, interactional engagement and self-efficacy, and learning reinforcement and academic outcomes</w:t>
      </w:r>
      <w:r>
        <w:rPr>
          <w:rFonts w:cstheme="minorHAnsi"/>
        </w:rPr>
        <w:t xml:space="preserve"> </w:t>
      </w:r>
      <w:r w:rsidRPr="00C46EF7">
        <w:rPr>
          <w:rFonts w:cstheme="minorHAnsi"/>
        </w:rPr>
        <w:t>and showed that structured, lecturer-guided, and critically oriented chatbot use is associated with higher academic self-efficacy, better assignment quality, and more disciplined study habits, whereas unstructured use tends to foster shallow dependence on AI outputs. The study proposes a conceptual model that positions AI chatbots as transformative learning companions mediating the feedback loop between strategic utilisation, strengthened self-efficacy, and cognitive</w:t>
      </w:r>
      <w:r>
        <w:rPr>
          <w:rFonts w:cstheme="minorHAnsi"/>
        </w:rPr>
        <w:t xml:space="preserve"> </w:t>
      </w:r>
      <w:r w:rsidRPr="00C46EF7">
        <w:rPr>
          <w:rFonts w:cstheme="minorHAnsi"/>
        </w:rPr>
        <w:t>affective outcomes, and argues that their transformative potential is shaped less by the technology itself than by pedagogical design, critical engagement practices, and institutional policies in low-resource higher education contexts.</w:t>
      </w:r>
    </w:p>
    <w:p w14:paraId="00F75E32" w14:textId="77777777" w:rsidR="00892AEF" w:rsidRPr="00C46EF7" w:rsidRDefault="00892AEF" w:rsidP="003C02D5">
      <w:pPr>
        <w:jc w:val="both"/>
        <w:rPr>
          <w:rFonts w:cstheme="minorHAnsi"/>
        </w:rPr>
      </w:pPr>
    </w:p>
    <w:p w14:paraId="36FA7D03" w14:textId="4ACCFA90" w:rsidR="001416DD" w:rsidRPr="009109CE" w:rsidRDefault="003C02D5" w:rsidP="009109CE">
      <w:pPr>
        <w:jc w:val="both"/>
        <w:rPr>
          <w:rFonts w:cstheme="minorHAnsi"/>
          <w:b/>
          <w:bCs/>
        </w:rPr>
      </w:pPr>
      <w:r w:rsidRPr="00A65B00">
        <w:rPr>
          <w:rFonts w:cstheme="minorHAnsi"/>
          <w:b/>
          <w:bCs/>
        </w:rPr>
        <w:t>R</w:t>
      </w:r>
      <w:r w:rsidR="003870C5">
        <w:rPr>
          <w:rFonts w:cstheme="minorHAnsi"/>
          <w:b/>
          <w:bCs/>
        </w:rPr>
        <w:t>EFERENCE</w:t>
      </w:r>
      <w:r w:rsidR="00135172" w:rsidRPr="00F31905">
        <w:rPr>
          <w:rFonts w:eastAsia="Times New Roman" w:cstheme="minorHAnsi"/>
          <w:color w:val="000000"/>
          <w:kern w:val="0"/>
          <w:lang w:val="en-US"/>
          <w14:ligatures w14:val="none"/>
        </w:rPr>
        <w:fldChar w:fldCharType="begin" w:fldLock="1"/>
      </w:r>
      <w:r w:rsidR="00135172" w:rsidRPr="00135172">
        <w:rPr>
          <w:rFonts w:eastAsia="Times New Roman" w:cstheme="minorHAnsi"/>
          <w:color w:val="000000"/>
          <w:kern w:val="0"/>
          <w:lang w:val="en-US"/>
          <w14:ligatures w14:val="none"/>
        </w:rPr>
        <w:instrText xml:space="preserve">ADDIN Mendeley Bibliography CSL_BIBLIOGRAPHY </w:instrText>
      </w:r>
      <w:r w:rsidR="00135172" w:rsidRPr="00F31905">
        <w:rPr>
          <w:rFonts w:eastAsia="Times New Roman" w:cstheme="minorHAnsi"/>
          <w:color w:val="000000"/>
          <w:kern w:val="0"/>
          <w:lang w:val="en-US"/>
          <w14:ligatures w14:val="none"/>
        </w:rPr>
        <w:fldChar w:fldCharType="separate"/>
      </w:r>
      <w:bookmarkStart w:id="1" w:name="_Hlk215947040"/>
    </w:p>
    <w:p w14:paraId="29894D5F" w14:textId="21C25318" w:rsidR="001416DD" w:rsidRPr="00F31905"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F31905">
        <w:rPr>
          <w:rFonts w:eastAsia="Calibri" w:cstheme="minorHAnsi"/>
          <w:noProof/>
        </w:rPr>
        <w:t>Alemayehu, L., &amp; Chen, H. (2023). The effect of motivation and self-efficacy on students' digital learning outcomes: A systematic review. Educational Technology Research and Development, 71(3), 985–1014.  https://doi.org/10.1007/s11423-023-10256-7</w:t>
      </w:r>
    </w:p>
    <w:p w14:paraId="136A05FD"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Bandura, A. (1977). Self-efficacy: Towards a unifying theory of behavior change.  Psychological Review, 84(2), 191–215. https://doi.org/10.1037/0033-295X.84.2.191</w:t>
      </w:r>
    </w:p>
    <w:p w14:paraId="65747188"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Bandura, A. (1997). Self-efficacy: Control exercises. W.H. Freeman.</w:t>
      </w:r>
    </w:p>
    <w:p w14:paraId="3F345835"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Bickmore, T., &amp; Picard, R. (2005). Build and maintain long-term human-computer relationships. ACM Transactions in Human-Computer Interaction, 12(2), 293–327. https://doi.org/10.1145/1067860.1067867</w:t>
      </w:r>
    </w:p>
    <w:p w14:paraId="5628AF03"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 xml:space="preserve">Chan, C.K., &amp; Hu, W. (2023). Student voices on generative AI: Perceptions, benefits, and </w:t>
      </w:r>
      <w:r w:rsidRPr="00E92F2F">
        <w:rPr>
          <w:rFonts w:eastAsia="Calibri" w:cstheme="minorHAnsi"/>
          <w:noProof/>
        </w:rPr>
        <w:lastRenderedPageBreak/>
        <w:t>challenges in higher education. International Journal of Educational Technology in Higher Education, 20(1), Article 43. https://doi.org/10.1186/s41239-023-00411-8</w:t>
      </w:r>
    </w:p>
    <w:p w14:paraId="71CEE40C"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Chen, L., Chen, P., &amp; Lin, Z. (2020). Artificial intelligence in education: A review. IEEE Access, 8, 75264–75278.  https://doi.org/10.1109/ACCESS.2020.2988510</w:t>
      </w:r>
    </w:p>
    <w:p w14:paraId="290F9806"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Crompton, H., &amp; Burke, D. (2023). Artificial intelligence in higher education: The state of the field. International Journal of Educational Technology in Higher Education, 20(1), Article 22.  https://doi.org/10.1186/s41239-023-00392-8</w:t>
      </w:r>
    </w:p>
    <w:p w14:paraId="5647D4CD"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Deng, X., &amp; Yu, Z. (2024). A meta-analysis and systematic review of ChatGPT's effects on learning performance and attitudes. Interactive Learning Environment. Advanced online publications. https://doi.org/10.1080/10494820.2024.2355399</w:t>
      </w:r>
    </w:p>
    <w:p w14:paraId="1CBBA646"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Hasanah, U., &amp; Purnomo, A. (2025). The impact of the use of ChatGPT on academic self-efficacy among Indonesian students. Journal of Educational Computing Research, 63(1), 45–68.  https://doi.org/10.1177/07356331241285642</w:t>
      </w:r>
    </w:p>
    <w:p w14:paraId="65E69130"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Hatlevik, O. E., Throndsen, I., Loi, M., &amp; Gudmundsdottir, G. B. (2018). Self-efficacy of students' ICT and computer and information literacy: Determinants and relationships. Computer &amp; Education, 118, 107–119. https://doi.org/10.1016/j.compedu.2017.11.011</w:t>
      </w:r>
    </w:p>
    <w:p w14:paraId="595CBC65"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Hennink, M., &amp; Kaiser, B.B. (2022). Sample size for saturation in qualitative research: A systematic review of empirical tests. Social Sciences &amp; Medicine, 292, Article 114523. https://doi.org/10.1016/j.socscimed.2021.114523</w:t>
      </w:r>
    </w:p>
    <w:p w14:paraId="55B4665A"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Honicke, T., &amp; Broadbent, J. (2016). The effect of academic self-efficacy on academic performance: A systematic review. Educational Research Review, 17, 63–84. https://doi.org/10.1016/j.edurev.2015.11.002</w:t>
      </w:r>
    </w:p>
    <w:p w14:paraId="04C7679C"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Kasneci, E., Seßler, K., Küchemann, S., Bannert, M., Dementieva, D., Fischer, F., Gasser, U., Groh, G., Günnemann, S., Hüllermeier, E., Kruber, S., Kuber, N., Metsch, L., Nerdel, C., Pfeffer, J., Poquet, O., Sailer, M., Schmidt, A., Seidel, T., ... Kasneci, G. (2023). ChatGPT for good? About the opportunities and challenges of large language models for education. Learning and Individual Differences, 103, Article 102274. https://doi.org/10.1016/j.lindif.2023.102274</w:t>
      </w:r>
    </w:p>
    <w:p w14:paraId="70DE8823"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Kuhail, M.A., Alturki, N., Alramlawi, S., &amp; Alhejori, K. (2023). Interacting with educational chatbots: A systematic review. Education and Information Technology, 28(1), 973–1018. https://doi.org/10.1007/s10639-022-11177-3</w:t>
      </w:r>
    </w:p>
    <w:p w14:paraId="241996F6"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D56041">
        <w:rPr>
          <w:rFonts w:eastAsia="Calibri" w:cstheme="minorHAnsi"/>
          <w:noProof/>
          <w:lang w:val="fi-FI"/>
        </w:rPr>
        <w:t xml:space="preserve">Lai, C., Hu, X., &amp; Lyu, B. (2022). </w:t>
      </w:r>
      <w:r w:rsidRPr="00E92F2F">
        <w:rPr>
          <w:rFonts w:eastAsia="Calibri" w:cstheme="minorHAnsi"/>
          <w:noProof/>
        </w:rPr>
        <w:t>Self-efficacy of technology and digital competence as predictors of self-regulated learning behavior. Computers in Human Behavior, 137, Article 107390. https://doi.org/10.1016/j.chb.2022.107390</w:t>
      </w:r>
    </w:p>
    <w:p w14:paraId="04C112BE"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Lincoln, Y. S., &amp; Guba, E. G. (1985). Naturalistic research. SAGE Publications.</w:t>
      </w:r>
    </w:p>
    <w:p w14:paraId="7DF8BF6A"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McHugh, ML (2012). Interrater reliability: Kappa statistics. Biochemia Medica, 22(3), 276–282. https://doi.org/10.11613/BM.2012.031</w:t>
      </w:r>
    </w:p>
    <w:p w14:paraId="4AD42EC8"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Merriam, SB, &amp; Tisdell, E.J. (2016). Qualitative research: A guide to design and implementation (4th edition). Jossey-Bass.</w:t>
      </w:r>
    </w:p>
    <w:p w14:paraId="49139070"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Miles, M.B., Huberman, A.M., &amp; Saldaña, J. (2014). Qualitative data analysis: A source book of methods (3rd edition). SAGE Publications.</w:t>
      </w:r>
    </w:p>
    <w:p w14:paraId="0E98F41A"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Mugobo, V. V., Manzira, F. M., &amp; Chikuni, P. R. (2024). Artificial intelligence chatbots in higher education: Opportunities and challenges in Zimbabwe. International Journal of Educational Technology in Higher Education, 21(2), Article 15. https://doi.org/10.1186/s41239-024-00447-2</w:t>
      </w:r>
    </w:p>
    <w:p w14:paraId="1CD95400"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 xml:space="preserve">O'Connor, C., &amp; Joffe, H. (2020). Intercoder reliability in qualitative research: Debates and practical guidelines. International Journal of Qualitative Methods, 19, Article </w:t>
      </w:r>
      <w:r w:rsidRPr="00E92F2F">
        <w:rPr>
          <w:rFonts w:eastAsia="Calibri" w:cstheme="minorHAnsi"/>
          <w:noProof/>
        </w:rPr>
        <w:lastRenderedPageBreak/>
        <w:t>1609406919899220. https://doi.org/10.1177/1609406919899220</w:t>
      </w:r>
    </w:p>
    <w:p w14:paraId="58785393"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Okonkwo, C.W., &amp; Ade-Ibijola, A. (2021). Application of chatbots in education: A systematic review. Computers and Education: Artificial Intelligence, 2, Article 100033. https://doi.org/10.1016/j.caeai.2021.100033</w:t>
      </w:r>
    </w:p>
    <w:p w14:paraId="1B2B047F"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D56041">
        <w:rPr>
          <w:rFonts w:eastAsia="Calibri" w:cstheme="minorHAnsi"/>
          <w:noProof/>
          <w:lang w:val="fi-FI"/>
        </w:rPr>
        <w:t xml:space="preserve">Pratama, A. R., Dewi, R. S., &amp; Hidayat, T. (2024). </w:t>
      </w:r>
      <w:r w:rsidRPr="00E92F2F">
        <w:rPr>
          <w:rFonts w:eastAsia="Calibri" w:cstheme="minorHAnsi"/>
          <w:noProof/>
        </w:rPr>
        <w:t>Adoption of ChatGPT in Indonesian higher education: Opportunities, challenges, and policy implications. Journal of Southeast Asian Education, 5(1), 78–95.</w:t>
      </w:r>
    </w:p>
    <w:p w14:paraId="5C584AA9"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Saunders, B., Sim, J., Kingstone, T., Baker, S., Waterfield, J., Bartlam, B., Burroughs, H., &amp; Jinks, C. (2018). Saturation in qualitative research: Exploring its conceptualization and operationalization. Quality and Quantity, 52(4), 1893–1907. https://doi.org/10.1007/s11135-017-0574-8</w:t>
      </w:r>
    </w:p>
    <w:p w14:paraId="42351D05"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Schunk, D.H., &amp; DiBenedetto, M.K. (2021). Self-efficacy and human motivation.  Advances in Motivational Science, 8, 153–179. https://doi.org/10.1016/bs.adms.2020.10.001</w:t>
      </w:r>
    </w:p>
    <w:p w14:paraId="0AA72AAD"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Tlili, A., Shehata, B., Adarkwah, M.A., Bozkurt, A., Hickey, D.T., Huang, R., &amp; Agyemang, B. (2023). What if the devil were my guardian angel: ChatGPT as a case study of the use of chatbots in education. Smart Learning Environment, 10(1), Article 15. https://doi.org/10.1186/s40561-023-00237-x</w:t>
      </w:r>
    </w:p>
    <w:p w14:paraId="4A1CEADD"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Wang, X., &amp; Fan, X. (2025). Effects of ChatGPT on learning: A meta-analysis of 51 studies. Communication of Natural Humanities and Social Sciences, 12(1), Article 87. https://doi.org/10.1057/s41599-025-04512-x</w:t>
      </w:r>
    </w:p>
    <w:p w14:paraId="526B0D15"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Wollny, S., Schneider, J., Di Mitri, D., Weidlich, J., Rittberger, M., &amp; Drachsler, H. (2021). Have we arrived? A systematic literature review on chatbots in education. Frontiers in Artificial Intelligence, 4, Article 654924. https://doi.org/10.3389/frai.2021.654924</w:t>
      </w:r>
    </w:p>
    <w:p w14:paraId="6FE1AE93"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Yen, C., &amp; Chiang, M.C. (2024). Trust and anthropomorphism in chatbot adoption: A cross-cultural perspective. Computers in Human Behavior, 150, Article 107982. https://doi.org/10.1016/j.chb.2023.107982</w:t>
      </w:r>
    </w:p>
    <w:p w14:paraId="3FF33656" w14:textId="77777777" w:rsidR="001416DD" w:rsidRPr="00E92F2F"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Yin, R.K. (2018). Research and application case studies: Design and methods (6th edition). SAGE Publications.</w:t>
      </w:r>
    </w:p>
    <w:p w14:paraId="707861AC" w14:textId="77777777" w:rsidR="001416DD" w:rsidRPr="00F31905" w:rsidRDefault="001416DD" w:rsidP="001416DD">
      <w:pPr>
        <w:widowControl w:val="0"/>
        <w:autoSpaceDE w:val="0"/>
        <w:autoSpaceDN w:val="0"/>
        <w:adjustRightInd w:val="0"/>
        <w:spacing w:after="0" w:line="240" w:lineRule="auto"/>
        <w:ind w:left="480" w:hanging="480"/>
        <w:jc w:val="both"/>
        <w:rPr>
          <w:rFonts w:eastAsia="Calibri" w:cstheme="minorHAnsi"/>
          <w:noProof/>
        </w:rPr>
      </w:pPr>
      <w:r w:rsidRPr="00E92F2F">
        <w:rPr>
          <w:rFonts w:eastAsia="Calibri" w:cstheme="minorHAnsi"/>
          <w:noProof/>
        </w:rPr>
        <w:t xml:space="preserve">Zawacki-Richter, O., Marin, V. I., Bond, M., &amp; Gouverneur, F. (2019). A systematic review of research on the applications of artificial intelligence in higher education: Where are the educators? International Journal of Educational Technology in Higher Education, 16(1), Article 39. https://doi.org/10.1186/s41239-019-0171-0 </w:t>
      </w:r>
    </w:p>
    <w:p w14:paraId="5547FAEB" w14:textId="77777777" w:rsidR="001416DD" w:rsidRDefault="001416DD" w:rsidP="001416DD"/>
    <w:bookmarkEnd w:id="1"/>
    <w:p w14:paraId="60EE870D" w14:textId="6A0DA08D" w:rsidR="00135172" w:rsidRPr="00135172" w:rsidRDefault="00135172" w:rsidP="007A22D1">
      <w:pPr>
        <w:widowControl w:val="0"/>
        <w:autoSpaceDE w:val="0"/>
        <w:autoSpaceDN w:val="0"/>
        <w:adjustRightInd w:val="0"/>
        <w:spacing w:after="0" w:line="240" w:lineRule="auto"/>
        <w:jc w:val="both"/>
        <w:rPr>
          <w:rFonts w:eastAsia="Calibri" w:cstheme="minorHAnsi"/>
          <w:noProof/>
          <w:lang w:val="en-US"/>
        </w:rPr>
      </w:pPr>
    </w:p>
    <w:p w14:paraId="06BB6353" w14:textId="77777777" w:rsidR="00A65B00" w:rsidRPr="00A65B00" w:rsidRDefault="00135172" w:rsidP="00A65B00">
      <w:pPr>
        <w:jc w:val="both"/>
        <w:rPr>
          <w:rFonts w:eastAsia="Times New Roman" w:cstheme="minorHAnsi"/>
          <w:b/>
          <w:bCs/>
          <w:color w:val="000000"/>
          <w:kern w:val="0"/>
          <w14:ligatures w14:val="none"/>
        </w:rPr>
      </w:pPr>
      <w:r w:rsidRPr="00F31905">
        <w:rPr>
          <w:rFonts w:eastAsia="Times New Roman" w:cstheme="minorHAnsi"/>
          <w:color w:val="000000"/>
          <w:kern w:val="0"/>
          <w:lang w:val="en-US"/>
          <w14:ligatures w14:val="none"/>
        </w:rPr>
        <w:fldChar w:fldCharType="end"/>
      </w:r>
      <w:r w:rsidR="00A65B00" w:rsidRPr="00A65B00">
        <w:rPr>
          <w:rFonts w:eastAsia="Times New Roman" w:cstheme="minorHAnsi"/>
          <w:b/>
          <w:bCs/>
          <w:color w:val="000000"/>
          <w:kern w:val="0"/>
          <w14:ligatures w14:val="none"/>
        </w:rPr>
        <w:t>ACKNOWLEDGEMENTS</w:t>
      </w:r>
    </w:p>
    <w:p w14:paraId="5DDE12FC" w14:textId="77777777" w:rsidR="00A65B00" w:rsidRPr="00A65B00" w:rsidRDefault="00A65B00" w:rsidP="00A65B00">
      <w:pPr>
        <w:jc w:val="both"/>
        <w:rPr>
          <w:rFonts w:eastAsia="Times New Roman" w:cstheme="minorHAnsi"/>
          <w:color w:val="000000"/>
          <w:kern w:val="0"/>
          <w14:ligatures w14:val="none"/>
        </w:rPr>
      </w:pPr>
      <w:r w:rsidRPr="00A65B00">
        <w:rPr>
          <w:rFonts w:eastAsia="Times New Roman" w:cstheme="minorHAnsi"/>
          <w:color w:val="000000"/>
          <w:kern w:val="0"/>
          <w14:ligatures w14:val="none"/>
        </w:rPr>
        <w:t>The authors express their deepest appreciation and gratitude to the students and lecturers from the three participating universities, who generously shared their experiences and insights in support of this study. The authors also wish to thank the external reviewers for their constructive comments and highly valuable feedback on an earlier draft of this manuscript.</w:t>
      </w:r>
    </w:p>
    <w:p w14:paraId="5B099902" w14:textId="2B8B315A" w:rsidR="00C30DB7" w:rsidRPr="00F31905" w:rsidRDefault="00C30DB7" w:rsidP="003C02D5">
      <w:pPr>
        <w:jc w:val="both"/>
        <w:rPr>
          <w:rFonts w:eastAsia="Times New Roman" w:cstheme="minorHAnsi"/>
          <w:color w:val="000000"/>
          <w:kern w:val="0"/>
          <w:lang w:val="en-US"/>
          <w14:ligatures w14:val="none"/>
        </w:rPr>
      </w:pPr>
    </w:p>
    <w:p w14:paraId="0B942BCD" w14:textId="2AF56856" w:rsidR="00B92A52" w:rsidRPr="00F31905" w:rsidRDefault="00B92A52" w:rsidP="003C02D5">
      <w:pPr>
        <w:jc w:val="both"/>
        <w:rPr>
          <w:rFonts w:cstheme="minorHAnsi"/>
        </w:rPr>
      </w:pPr>
    </w:p>
    <w:sectPr w:rsidR="00B92A52" w:rsidRPr="00F3190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9638" w14:textId="77777777" w:rsidR="007F00A7" w:rsidRDefault="007F00A7" w:rsidP="00B92A52">
      <w:pPr>
        <w:spacing w:after="0" w:line="240" w:lineRule="auto"/>
      </w:pPr>
      <w:r>
        <w:separator/>
      </w:r>
    </w:p>
  </w:endnote>
  <w:endnote w:type="continuationSeparator" w:id="0">
    <w:p w14:paraId="194F45C6" w14:textId="77777777" w:rsidR="007F00A7" w:rsidRDefault="007F00A7" w:rsidP="00B92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347239"/>
      <w:docPartObj>
        <w:docPartGallery w:val="Page Numbers (Bottom of Page)"/>
        <w:docPartUnique/>
      </w:docPartObj>
    </w:sdtPr>
    <w:sdtEndPr>
      <w:rPr>
        <w:noProof/>
      </w:rPr>
    </w:sdtEndPr>
    <w:sdtContent>
      <w:p w14:paraId="4DE537AE" w14:textId="5E829959" w:rsidR="00B92A52" w:rsidRDefault="00B92A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A543B4" w14:textId="77777777" w:rsidR="00B92A52" w:rsidRDefault="00B92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1F9D" w14:textId="77777777" w:rsidR="007F00A7" w:rsidRDefault="007F00A7" w:rsidP="00B92A52">
      <w:pPr>
        <w:spacing w:after="0" w:line="240" w:lineRule="auto"/>
      </w:pPr>
      <w:r>
        <w:separator/>
      </w:r>
    </w:p>
  </w:footnote>
  <w:footnote w:type="continuationSeparator" w:id="0">
    <w:p w14:paraId="414FE6CE" w14:textId="77777777" w:rsidR="007F00A7" w:rsidRDefault="007F00A7" w:rsidP="00B92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287E"/>
    <w:multiLevelType w:val="multilevel"/>
    <w:tmpl w:val="41F6D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97692C"/>
    <w:multiLevelType w:val="multilevel"/>
    <w:tmpl w:val="1846A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5A4B17"/>
    <w:multiLevelType w:val="multilevel"/>
    <w:tmpl w:val="F90859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50686E"/>
    <w:multiLevelType w:val="hybridMultilevel"/>
    <w:tmpl w:val="727C644E"/>
    <w:lvl w:ilvl="0" w:tplc="3809000F">
      <w:start w:val="8"/>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084773B"/>
    <w:multiLevelType w:val="hybridMultilevel"/>
    <w:tmpl w:val="CF30016C"/>
    <w:lvl w:ilvl="0" w:tplc="3809000F">
      <w:start w:val="8"/>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44E508E"/>
    <w:multiLevelType w:val="multilevel"/>
    <w:tmpl w:val="41803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C34B79"/>
    <w:multiLevelType w:val="multilevel"/>
    <w:tmpl w:val="3FA4CE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635694">
    <w:abstractNumId w:val="0"/>
  </w:num>
  <w:num w:numId="2" w16cid:durableId="2088190864">
    <w:abstractNumId w:val="5"/>
  </w:num>
  <w:num w:numId="3" w16cid:durableId="1831602351">
    <w:abstractNumId w:val="1"/>
  </w:num>
  <w:num w:numId="4" w16cid:durableId="178929779">
    <w:abstractNumId w:val="6"/>
  </w:num>
  <w:num w:numId="5" w16cid:durableId="1402247">
    <w:abstractNumId w:val="2"/>
  </w:num>
  <w:num w:numId="6" w16cid:durableId="1061908165">
    <w:abstractNumId w:val="3"/>
  </w:num>
  <w:num w:numId="7" w16cid:durableId="799492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52"/>
    <w:rsid w:val="0000505D"/>
    <w:rsid w:val="00040343"/>
    <w:rsid w:val="000557BA"/>
    <w:rsid w:val="0007708C"/>
    <w:rsid w:val="00087624"/>
    <w:rsid w:val="000911BC"/>
    <w:rsid w:val="000A35CB"/>
    <w:rsid w:val="000A5803"/>
    <w:rsid w:val="000B04D3"/>
    <w:rsid w:val="000C7F7A"/>
    <w:rsid w:val="000F2F0B"/>
    <w:rsid w:val="00111ABF"/>
    <w:rsid w:val="00135172"/>
    <w:rsid w:val="00135350"/>
    <w:rsid w:val="001416DD"/>
    <w:rsid w:val="001571AF"/>
    <w:rsid w:val="0016792B"/>
    <w:rsid w:val="00193727"/>
    <w:rsid w:val="001C4F17"/>
    <w:rsid w:val="001D45BA"/>
    <w:rsid w:val="001F0182"/>
    <w:rsid w:val="001F6113"/>
    <w:rsid w:val="00202C95"/>
    <w:rsid w:val="00203E64"/>
    <w:rsid w:val="0021183C"/>
    <w:rsid w:val="00226C91"/>
    <w:rsid w:val="00234B35"/>
    <w:rsid w:val="00243004"/>
    <w:rsid w:val="00281B73"/>
    <w:rsid w:val="00284EB7"/>
    <w:rsid w:val="002944C2"/>
    <w:rsid w:val="002A6674"/>
    <w:rsid w:val="002B3C47"/>
    <w:rsid w:val="002C44A0"/>
    <w:rsid w:val="002C644F"/>
    <w:rsid w:val="002D0773"/>
    <w:rsid w:val="002D7E59"/>
    <w:rsid w:val="003043FE"/>
    <w:rsid w:val="0032294E"/>
    <w:rsid w:val="0033076A"/>
    <w:rsid w:val="00353A0D"/>
    <w:rsid w:val="00386751"/>
    <w:rsid w:val="003870C5"/>
    <w:rsid w:val="00391DF0"/>
    <w:rsid w:val="003A2F98"/>
    <w:rsid w:val="003A2FED"/>
    <w:rsid w:val="003A3928"/>
    <w:rsid w:val="003C02D5"/>
    <w:rsid w:val="004125B7"/>
    <w:rsid w:val="00414BBE"/>
    <w:rsid w:val="00441578"/>
    <w:rsid w:val="00442ECC"/>
    <w:rsid w:val="00444136"/>
    <w:rsid w:val="00445A66"/>
    <w:rsid w:val="0045405B"/>
    <w:rsid w:val="00454F96"/>
    <w:rsid w:val="004641E6"/>
    <w:rsid w:val="00470624"/>
    <w:rsid w:val="0047166C"/>
    <w:rsid w:val="00472F8D"/>
    <w:rsid w:val="00487A2C"/>
    <w:rsid w:val="004923DB"/>
    <w:rsid w:val="004A0A37"/>
    <w:rsid w:val="004B32ED"/>
    <w:rsid w:val="004D34CC"/>
    <w:rsid w:val="0050183D"/>
    <w:rsid w:val="00506D69"/>
    <w:rsid w:val="00531BE4"/>
    <w:rsid w:val="00532944"/>
    <w:rsid w:val="00551D15"/>
    <w:rsid w:val="0055665D"/>
    <w:rsid w:val="00574600"/>
    <w:rsid w:val="00577709"/>
    <w:rsid w:val="005D699B"/>
    <w:rsid w:val="005D6A16"/>
    <w:rsid w:val="005E12C0"/>
    <w:rsid w:val="00632698"/>
    <w:rsid w:val="00683AEA"/>
    <w:rsid w:val="006A2BA1"/>
    <w:rsid w:val="006C2B93"/>
    <w:rsid w:val="006D6595"/>
    <w:rsid w:val="006E107F"/>
    <w:rsid w:val="006F5ABF"/>
    <w:rsid w:val="00754FD7"/>
    <w:rsid w:val="0076633F"/>
    <w:rsid w:val="007806E0"/>
    <w:rsid w:val="007A22D1"/>
    <w:rsid w:val="007B12F3"/>
    <w:rsid w:val="007D17A3"/>
    <w:rsid w:val="007D22F6"/>
    <w:rsid w:val="007D4D6C"/>
    <w:rsid w:val="007E0474"/>
    <w:rsid w:val="007E1906"/>
    <w:rsid w:val="007E7758"/>
    <w:rsid w:val="007F00A7"/>
    <w:rsid w:val="008017C2"/>
    <w:rsid w:val="00856F40"/>
    <w:rsid w:val="00877E1B"/>
    <w:rsid w:val="00892AEF"/>
    <w:rsid w:val="008A523B"/>
    <w:rsid w:val="008A68C8"/>
    <w:rsid w:val="008B41DD"/>
    <w:rsid w:val="008C5469"/>
    <w:rsid w:val="008D4E83"/>
    <w:rsid w:val="008F0A34"/>
    <w:rsid w:val="009036FC"/>
    <w:rsid w:val="0090440B"/>
    <w:rsid w:val="009109CE"/>
    <w:rsid w:val="009205F5"/>
    <w:rsid w:val="00922C71"/>
    <w:rsid w:val="009330C4"/>
    <w:rsid w:val="00954E09"/>
    <w:rsid w:val="00955E27"/>
    <w:rsid w:val="00975BE9"/>
    <w:rsid w:val="00991C52"/>
    <w:rsid w:val="00997536"/>
    <w:rsid w:val="009A1071"/>
    <w:rsid w:val="009C507E"/>
    <w:rsid w:val="009D10F6"/>
    <w:rsid w:val="00A04D8E"/>
    <w:rsid w:val="00A3366E"/>
    <w:rsid w:val="00A3742D"/>
    <w:rsid w:val="00A65B00"/>
    <w:rsid w:val="00A735AF"/>
    <w:rsid w:val="00A85394"/>
    <w:rsid w:val="00A96614"/>
    <w:rsid w:val="00AA68DE"/>
    <w:rsid w:val="00AB536D"/>
    <w:rsid w:val="00AC09F5"/>
    <w:rsid w:val="00AE08E3"/>
    <w:rsid w:val="00B30D8D"/>
    <w:rsid w:val="00B41C0E"/>
    <w:rsid w:val="00B54ABE"/>
    <w:rsid w:val="00B7177D"/>
    <w:rsid w:val="00B90FED"/>
    <w:rsid w:val="00B917A3"/>
    <w:rsid w:val="00B92A52"/>
    <w:rsid w:val="00B93D5B"/>
    <w:rsid w:val="00BA70AD"/>
    <w:rsid w:val="00BD0385"/>
    <w:rsid w:val="00BD1A65"/>
    <w:rsid w:val="00BF5846"/>
    <w:rsid w:val="00BF62BF"/>
    <w:rsid w:val="00C14F0C"/>
    <w:rsid w:val="00C30DB7"/>
    <w:rsid w:val="00C4239A"/>
    <w:rsid w:val="00C46EF7"/>
    <w:rsid w:val="00C57506"/>
    <w:rsid w:val="00C75FAE"/>
    <w:rsid w:val="00CB7CBA"/>
    <w:rsid w:val="00CD512B"/>
    <w:rsid w:val="00CE2004"/>
    <w:rsid w:val="00CE6A58"/>
    <w:rsid w:val="00CF63DC"/>
    <w:rsid w:val="00D21DE3"/>
    <w:rsid w:val="00D23E05"/>
    <w:rsid w:val="00D32790"/>
    <w:rsid w:val="00D45051"/>
    <w:rsid w:val="00D56041"/>
    <w:rsid w:val="00D67CE7"/>
    <w:rsid w:val="00D67FB7"/>
    <w:rsid w:val="00D73FCC"/>
    <w:rsid w:val="00D93B8D"/>
    <w:rsid w:val="00D94396"/>
    <w:rsid w:val="00DB555E"/>
    <w:rsid w:val="00DD1D8A"/>
    <w:rsid w:val="00DD560D"/>
    <w:rsid w:val="00DE3BF4"/>
    <w:rsid w:val="00E04BF5"/>
    <w:rsid w:val="00E052D0"/>
    <w:rsid w:val="00E2148F"/>
    <w:rsid w:val="00E6785C"/>
    <w:rsid w:val="00E92E07"/>
    <w:rsid w:val="00E92F2F"/>
    <w:rsid w:val="00EE47D0"/>
    <w:rsid w:val="00F02266"/>
    <w:rsid w:val="00F03902"/>
    <w:rsid w:val="00F24C6F"/>
    <w:rsid w:val="00F31905"/>
    <w:rsid w:val="00F537C2"/>
    <w:rsid w:val="00F53EB4"/>
    <w:rsid w:val="00F60DC5"/>
    <w:rsid w:val="00F60E60"/>
    <w:rsid w:val="00F74F82"/>
    <w:rsid w:val="00F81A8C"/>
    <w:rsid w:val="00F93B89"/>
    <w:rsid w:val="00FC4432"/>
    <w:rsid w:val="00FC6A23"/>
    <w:rsid w:val="00FD2145"/>
    <w:rsid w:val="00FF6A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7E37"/>
  <w15:chartTrackingRefBased/>
  <w15:docId w15:val="{B7B64FBD-663E-46D5-BEC2-9DCA7D29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A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2A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A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A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2A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2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A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2A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2A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A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2A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2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A52"/>
    <w:rPr>
      <w:rFonts w:eastAsiaTheme="majorEastAsia" w:cstheme="majorBidi"/>
      <w:color w:val="272727" w:themeColor="text1" w:themeTint="D8"/>
    </w:rPr>
  </w:style>
  <w:style w:type="paragraph" w:styleId="Title">
    <w:name w:val="Title"/>
    <w:basedOn w:val="Normal"/>
    <w:next w:val="Normal"/>
    <w:link w:val="TitleChar"/>
    <w:uiPriority w:val="10"/>
    <w:qFormat/>
    <w:rsid w:val="00B92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A52"/>
    <w:pPr>
      <w:spacing w:before="160"/>
      <w:jc w:val="center"/>
    </w:pPr>
    <w:rPr>
      <w:i/>
      <w:iCs/>
      <w:color w:val="404040" w:themeColor="text1" w:themeTint="BF"/>
    </w:rPr>
  </w:style>
  <w:style w:type="character" w:customStyle="1" w:styleId="QuoteChar">
    <w:name w:val="Quote Char"/>
    <w:basedOn w:val="DefaultParagraphFont"/>
    <w:link w:val="Quote"/>
    <w:uiPriority w:val="29"/>
    <w:rsid w:val="00B92A52"/>
    <w:rPr>
      <w:i/>
      <w:iCs/>
      <w:color w:val="404040" w:themeColor="text1" w:themeTint="BF"/>
    </w:rPr>
  </w:style>
  <w:style w:type="paragraph" w:styleId="ListParagraph">
    <w:name w:val="List Paragraph"/>
    <w:basedOn w:val="Normal"/>
    <w:uiPriority w:val="34"/>
    <w:qFormat/>
    <w:rsid w:val="00B92A52"/>
    <w:pPr>
      <w:ind w:left="720"/>
      <w:contextualSpacing/>
    </w:pPr>
  </w:style>
  <w:style w:type="character" w:styleId="IntenseEmphasis">
    <w:name w:val="Intense Emphasis"/>
    <w:basedOn w:val="DefaultParagraphFont"/>
    <w:uiPriority w:val="21"/>
    <w:qFormat/>
    <w:rsid w:val="00B92A52"/>
    <w:rPr>
      <w:i/>
      <w:iCs/>
      <w:color w:val="2F5496" w:themeColor="accent1" w:themeShade="BF"/>
    </w:rPr>
  </w:style>
  <w:style w:type="paragraph" w:styleId="IntenseQuote">
    <w:name w:val="Intense Quote"/>
    <w:basedOn w:val="Normal"/>
    <w:next w:val="Normal"/>
    <w:link w:val="IntenseQuoteChar"/>
    <w:uiPriority w:val="30"/>
    <w:qFormat/>
    <w:rsid w:val="00B92A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A52"/>
    <w:rPr>
      <w:i/>
      <w:iCs/>
      <w:color w:val="2F5496" w:themeColor="accent1" w:themeShade="BF"/>
    </w:rPr>
  </w:style>
  <w:style w:type="character" w:styleId="IntenseReference">
    <w:name w:val="Intense Reference"/>
    <w:basedOn w:val="DefaultParagraphFont"/>
    <w:uiPriority w:val="32"/>
    <w:qFormat/>
    <w:rsid w:val="00B92A52"/>
    <w:rPr>
      <w:b/>
      <w:bCs/>
      <w:smallCaps/>
      <w:color w:val="2F5496" w:themeColor="accent1" w:themeShade="BF"/>
      <w:spacing w:val="5"/>
    </w:rPr>
  </w:style>
  <w:style w:type="character" w:styleId="Hyperlink">
    <w:name w:val="Hyperlink"/>
    <w:basedOn w:val="DefaultParagraphFont"/>
    <w:uiPriority w:val="99"/>
    <w:unhideWhenUsed/>
    <w:rsid w:val="00B92A52"/>
    <w:rPr>
      <w:color w:val="0563C1" w:themeColor="hyperlink"/>
      <w:u w:val="single"/>
    </w:rPr>
  </w:style>
  <w:style w:type="character" w:styleId="UnresolvedMention">
    <w:name w:val="Unresolved Mention"/>
    <w:basedOn w:val="DefaultParagraphFont"/>
    <w:uiPriority w:val="99"/>
    <w:semiHidden/>
    <w:unhideWhenUsed/>
    <w:rsid w:val="00B92A52"/>
    <w:rPr>
      <w:color w:val="605E5C"/>
      <w:shd w:val="clear" w:color="auto" w:fill="E1DFDD"/>
    </w:rPr>
  </w:style>
  <w:style w:type="paragraph" w:styleId="Header">
    <w:name w:val="header"/>
    <w:basedOn w:val="Normal"/>
    <w:link w:val="HeaderChar"/>
    <w:uiPriority w:val="99"/>
    <w:unhideWhenUsed/>
    <w:rsid w:val="00B92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A52"/>
  </w:style>
  <w:style w:type="paragraph" w:styleId="Footer">
    <w:name w:val="footer"/>
    <w:basedOn w:val="Normal"/>
    <w:link w:val="FooterChar"/>
    <w:uiPriority w:val="99"/>
    <w:unhideWhenUsed/>
    <w:rsid w:val="00B92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A52"/>
  </w:style>
  <w:style w:type="character" w:styleId="PlaceholderText">
    <w:name w:val="Placeholder Text"/>
    <w:basedOn w:val="DefaultParagraphFont"/>
    <w:uiPriority w:val="99"/>
    <w:semiHidden/>
    <w:rsid w:val="00683AEA"/>
    <w:rPr>
      <w:color w:val="666666"/>
    </w:rPr>
  </w:style>
  <w:style w:type="table" w:styleId="TableGrid">
    <w:name w:val="Table Grid"/>
    <w:basedOn w:val="TableNormal"/>
    <w:uiPriority w:val="39"/>
    <w:rsid w:val="00BD0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sisjanu@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F97ED-966A-4A58-8468-0DD48197E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17</Pages>
  <Words>6983</Words>
  <Characters>39809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Fransiskus Janu Hamu</dc:creator>
  <cp:keywords/>
  <dc:description/>
  <cp:lastModifiedBy>Fransiskus Janu Hamu</cp:lastModifiedBy>
  <cp:revision>2</cp:revision>
  <dcterms:created xsi:type="dcterms:W3CDTF">2026-07-05T12:08:00Z</dcterms:created>
  <dcterms:modified xsi:type="dcterms:W3CDTF">2026-07-05T12:08:00Z</dcterms:modified>
</cp:coreProperties>
</file>