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AE6" w:rsidRPr="00184AE6" w:rsidRDefault="00B014A1" w:rsidP="00184AE6">
      <w:pPr>
        <w:jc w:val="center"/>
        <w:rPr>
          <w:rFonts w:ascii="Times New Roman" w:hAnsi="Times New Roman" w:cs="Times New Roman"/>
          <w:b/>
          <w:sz w:val="36"/>
        </w:rPr>
      </w:pPr>
      <w:r w:rsidRPr="00184AE6">
        <w:rPr>
          <w:rFonts w:ascii="Times New Roman" w:hAnsi="Times New Roman" w:cs="Times New Roman"/>
          <w:b/>
          <w:sz w:val="36"/>
        </w:rPr>
        <w:t>EXPLORING TAX PLANNING AWARE</w:t>
      </w:r>
      <w:r w:rsidR="00184AE6" w:rsidRPr="00184AE6">
        <w:rPr>
          <w:rFonts w:ascii="Times New Roman" w:hAnsi="Times New Roman" w:cs="Times New Roman"/>
          <w:b/>
          <w:sz w:val="36"/>
        </w:rPr>
        <w:t>NESS AMONG</w:t>
      </w:r>
    </w:p>
    <w:p w:rsidR="00442447" w:rsidRPr="00184AE6" w:rsidRDefault="00184AE6" w:rsidP="00184AE6">
      <w:pPr>
        <w:jc w:val="center"/>
        <w:rPr>
          <w:rFonts w:ascii="Times New Roman" w:hAnsi="Times New Roman" w:cs="Times New Roman"/>
          <w:b/>
          <w:sz w:val="36"/>
        </w:rPr>
      </w:pPr>
      <w:r w:rsidRPr="00184AE6">
        <w:rPr>
          <w:rFonts w:ascii="Times New Roman" w:hAnsi="Times New Roman" w:cs="Times New Roman"/>
          <w:b/>
          <w:sz w:val="36"/>
        </w:rPr>
        <w:t xml:space="preserve"/>
      </w:r>
      <w:r w:rsidR="00B014A1" w:rsidRPr="00184AE6">
        <w:rPr>
          <w:rFonts w:ascii="Times New Roman" w:hAnsi="Times New Roman" w:cs="Times New Roman"/>
          <w:b/>
          <w:sz w:val="36"/>
        </w:rPr>
        <w:t/>
      </w:r>
    </w:p>
    <w:p w:rsidR="00442447" w:rsidRPr="00171D57" w:rsidRDefault="00442447" w:rsidP="00B014A1">
      <w:pPr>
        <w:rPr>
          <w:rFonts w:ascii="Times New Roman" w:hAnsi="Times New Roman" w:cs="Times New Roman"/>
          <w:b/>
          <w:sz w:val="24"/>
        </w:rPr>
      </w:pPr>
      <w:r w:rsidRPr="00171D57">
        <w:rPr>
          <w:rFonts w:ascii="Times New Roman" w:hAnsi="Times New Roman" w:cs="Times New Roman"/>
          <w:b/>
          <w:sz w:val="28"/>
        </w:rPr>
        <w:t xml:space="preserve"/>
      </w:r>
      <w:r w:rsidR="008E5EDB" w:rsidRPr="00171D57">
        <w:rPr>
          <w:rFonts w:ascii="Times New Roman" w:hAnsi="Times New Roman" w:cs="Times New Roman"/>
          <w:b/>
          <w:sz w:val="28"/>
        </w:rPr>
        <w:t xml:space="preserve"/>
      </w:r>
      <w:r w:rsidRPr="00171D57">
        <w:rPr>
          <w:rFonts w:ascii="Times New Roman" w:hAnsi="Times New Roman" w:cs="Times New Roman"/>
          <w:b/>
          <w:sz w:val="28"/>
        </w:rPr>
        <w:t xml:space="preserve"/>
      </w:r>
      <w:r w:rsidRPr="00171D57">
        <w:rPr>
          <w:rFonts w:ascii="Times New Roman" w:hAnsi="Times New Roman" w:cs="Times New Roman"/>
          <w:b/>
          <w:sz w:val="24"/>
        </w:rPr>
        <w:t xml:space="preserve"/>
      </w:r>
      <w:r w:rsidR="00184AE6">
        <w:rPr>
          <w:rFonts w:ascii="Times New Roman" w:hAnsi="Times New Roman" w:cs="Times New Roman"/>
          <w:b/>
          <w:sz w:val="24"/>
        </w:rPr>
        <w:t xml:space="preserve"/>
      </w:r>
      <w:r w:rsidRPr="00171D57">
        <w:rPr>
          <w:rFonts w:ascii="Times New Roman" w:hAnsi="Times New Roman" w:cs="Times New Roman"/>
          <w:b/>
          <w:sz w:val="24"/>
        </w:rPr>
        <w:t/>
      </w:r>
    </w:p>
    <w:p w:rsidR="00B014A1" w:rsidRPr="00171D57" w:rsidRDefault="008E5EDB" w:rsidP="00B014A1">
      <w:pPr>
        <w:rPr>
          <w:rFonts w:ascii="Times New Roman" w:hAnsi="Times New Roman" w:cs="Times New Roman"/>
          <w:b/>
          <w:sz w:val="24"/>
        </w:rPr>
      </w:pPr>
      <w:r w:rsidRPr="00171D57">
        <w:rPr>
          <w:rFonts w:ascii="Times New Roman" w:hAnsi="Times New Roman" w:cs="Times New Roman"/>
          <w:b/>
          <w:sz w:val="24"/>
        </w:rPr>
        <w:t xml:space="preserve"/>
      </w:r>
      <w:r w:rsidR="00B014A1" w:rsidRPr="00171D57">
        <w:rPr>
          <w:rFonts w:ascii="Times New Roman" w:hAnsi="Times New Roman" w:cs="Times New Roman"/>
          <w:b/>
          <w:sz w:val="24"/>
        </w:rPr>
        <w:t xml:space="preserve"/>
      </w:r>
      <w:r w:rsidRPr="00171D57">
        <w:rPr>
          <w:rFonts w:ascii="Times New Roman" w:hAnsi="Times New Roman" w:cs="Times New Roman"/>
          <w:b/>
          <w:sz w:val="24"/>
        </w:rPr>
        <w:t xml:space="preserve"/>
      </w:r>
      <w:r w:rsidR="00B014A1" w:rsidRPr="00171D57">
        <w:rPr>
          <w:rFonts w:ascii="Times New Roman" w:hAnsi="Times New Roman" w:cs="Times New Roman"/>
          <w:b/>
          <w:sz w:val="24"/>
        </w:rPr>
        <w:t xml:space="preserve"/>
      </w:r>
    </w:p>
    <w:p w:rsidR="00B014A1" w:rsidRPr="00171D57" w:rsidRDefault="008E5EDB" w:rsidP="00B014A1">
      <w:pPr>
        <w:rPr>
          <w:rFonts w:ascii="Times New Roman" w:hAnsi="Times New Roman" w:cs="Times New Roman"/>
          <w:b/>
          <w:i/>
        </w:rPr>
      </w:pPr>
      <w:r w:rsidRPr="00171D57">
        <w:rPr>
          <w:rFonts w:ascii="Times New Roman" w:hAnsi="Times New Roman" w:cs="Times New Roman"/>
          <w:b/>
          <w:i/>
        </w:rPr>
        <w:t xml:space="preserve"/>
      </w:r>
      <w:r w:rsidR="00B014A1" w:rsidRPr="00171D57">
        <w:rPr>
          <w:rFonts w:ascii="Times New Roman" w:hAnsi="Times New Roman" w:cs="Times New Roman"/>
          <w:b/>
          <w:i/>
        </w:rPr>
        <w:t xml:space="preserve"/>
      </w:r>
      <w:r w:rsidR="00442447" w:rsidRPr="00171D57">
        <w:rPr>
          <w:rFonts w:ascii="Times New Roman" w:hAnsi="Times New Roman" w:cs="Times New Roman"/>
          <w:b/>
          <w:i/>
        </w:rPr>
        <w:t xml:space="preserve"/>
      </w:r>
      <w:r w:rsidRPr="00171D57">
        <w:rPr>
          <w:rFonts w:ascii="Times New Roman" w:hAnsi="Times New Roman" w:cs="Times New Roman"/>
          <w:b/>
          <w:i/>
        </w:rPr>
        <w:t xml:space="preserve"/>
      </w:r>
      <w:r w:rsidR="00442447" w:rsidRPr="00171D57">
        <w:rPr>
          <w:rFonts w:ascii="Times New Roman" w:hAnsi="Times New Roman" w:cs="Times New Roman"/>
          <w:b/>
          <w:i/>
        </w:rPr>
        <w:t xml:space="preserve"/>
      </w:r>
      <w:r w:rsidRPr="00171D57">
        <w:rPr>
          <w:rFonts w:ascii="Times New Roman" w:hAnsi="Times New Roman" w:cs="Times New Roman"/>
          <w:b/>
          <w:i/>
        </w:rPr>
        <w:t xml:space="preserve"/>
      </w:r>
      <w:r w:rsidR="00442447" w:rsidRPr="00171D57">
        <w:rPr>
          <w:rFonts w:ascii="Times New Roman" w:hAnsi="Times New Roman" w:cs="Times New Roman"/>
          <w:b/>
          <w:i/>
        </w:rPr>
        <w:t/>
      </w:r>
    </w:p>
    <w:p w:rsidR="00B014A1" w:rsidRPr="00171D57" w:rsidRDefault="00442447" w:rsidP="00B014A1">
      <w:pPr>
        <w:rPr>
          <w:rFonts w:ascii="Times New Roman" w:hAnsi="Times New Roman" w:cs="Times New Roman"/>
          <w:b/>
          <w:i/>
        </w:rPr>
      </w:pPr>
      <w:r w:rsidRPr="00171D57">
        <w:rPr>
          <w:rFonts w:ascii="Times New Roman" w:hAnsi="Times New Roman" w:cs="Times New Roman"/>
          <w:b/>
          <w:i/>
        </w:rPr>
        <w:t xml:space="preserve"/>
      </w:r>
      <w:r w:rsidR="00B014A1" w:rsidRPr="00171D57">
        <w:rPr>
          <w:rFonts w:ascii="Times New Roman" w:hAnsi="Times New Roman" w:cs="Times New Roman"/>
          <w:b/>
          <w:i/>
        </w:rPr>
        <w:t/>
      </w:r>
      <w:r w:rsidRPr="00171D57">
        <w:rPr>
          <w:rFonts w:ascii="Times New Roman" w:hAnsi="Times New Roman" w:cs="Times New Roman"/>
          <w:b/>
          <w:i/>
        </w:rPr>
        <w:t xml:space="preserve"/>
      </w:r>
      <w:r w:rsidR="008E5EDB" w:rsidRPr="00171D57">
        <w:rPr>
          <w:rFonts w:ascii="Times New Roman" w:hAnsi="Times New Roman" w:cs="Times New Roman"/>
          <w:b/>
          <w:i/>
        </w:rPr>
        <w:t xml:space="preserve"/>
      </w:r>
      <w:r w:rsidRPr="00171D57">
        <w:rPr>
          <w:rFonts w:ascii="Times New Roman" w:hAnsi="Times New Roman" w:cs="Times New Roman"/>
          <w:b/>
          <w:i/>
        </w:rPr>
        <w:t/>
      </w:r>
    </w:p>
    <w:p w:rsidR="00442447" w:rsidRPr="00171D57" w:rsidRDefault="00442447" w:rsidP="00B014A1">
      <w:pPr>
        <w:rPr>
          <w:rFonts w:ascii="Times New Roman" w:hAnsi="Times New Roman" w:cs="Times New Roman"/>
          <w:b/>
          <w:i/>
        </w:rPr>
      </w:pPr>
      <w:r w:rsidRPr="00171D57">
        <w:rPr>
          <w:rFonts w:ascii="Times New Roman" w:hAnsi="Times New Roman" w:cs="Times New Roman"/>
          <w:b/>
          <w:i/>
        </w:rPr>
        <w:t xml:space="preserve"/>
      </w:r>
      <w:r w:rsidR="008E5EDB" w:rsidRPr="00171D57">
        <w:rPr>
          <w:rFonts w:ascii="Times New Roman" w:hAnsi="Times New Roman" w:cs="Times New Roman"/>
          <w:b/>
          <w:i/>
        </w:rPr>
        <w:t xml:space="preserve"/>
      </w:r>
      <w:r w:rsidRPr="00171D57">
        <w:rPr>
          <w:rFonts w:ascii="Times New Roman" w:hAnsi="Times New Roman" w:cs="Times New Roman"/>
          <w:b/>
          <w:i/>
        </w:rPr>
        <w:t xml:space="preserve"/>
      </w:r>
      <w:r w:rsidR="008E5EDB" w:rsidRPr="00171D57">
        <w:rPr>
          <w:rFonts w:ascii="Times New Roman" w:hAnsi="Times New Roman" w:cs="Times New Roman"/>
          <w:b/>
          <w:i/>
        </w:rPr>
        <w:t xml:space="preserve"/>
      </w:r>
      <w:r w:rsidRPr="00171D57">
        <w:rPr>
          <w:rFonts w:ascii="Times New Roman" w:hAnsi="Times New Roman" w:cs="Times New Roman"/>
          <w:b/>
          <w:i/>
        </w:rPr>
        <w:t xml:space="preserve"/>
      </w:r>
    </w:p>
    <w:p w:rsidR="008E5EDB" w:rsidRPr="00171D57" w:rsidRDefault="008E5EDB" w:rsidP="00B014A1">
      <w:pPr>
        <w:rPr>
          <w:rFonts w:ascii="Times New Roman" w:hAnsi="Times New Roman" w:cs="Times New Roman"/>
          <w:b/>
          <w:sz w:val="28"/>
        </w:rPr>
      </w:pPr>
      <w:r w:rsidRPr="00171D57">
        <w:rPr>
          <w:rFonts w:ascii="Times New Roman" w:hAnsi="Times New Roman" w:cs="Times New Roman"/>
          <w:b/>
          <w:sz w:val="28"/>
        </w:rPr>
        <w:t/>
      </w:r>
    </w:p>
    <w:p w:rsidR="00B014A1" w:rsidRPr="00171D57" w:rsidRDefault="00741621" w:rsidP="00B014A1">
      <w:pPr>
        <w:rPr>
          <w:rFonts w:ascii="Times New Roman" w:hAnsi="Times New Roman" w:cs="Times New Roman"/>
          <w:b/>
          <w:sz w:val="28"/>
        </w:rPr>
      </w:pPr>
      <w:r w:rsidRPr="00171D57">
        <w:rPr>
          <w:rFonts w:ascii="Times New Roman" w:hAnsi="Times New Roman" w:cs="Times New Roman"/>
          <w:b/>
          <w:sz w:val="28"/>
        </w:rPr>
        <w:t>ABSTRACT</w:t>
      </w:r>
    </w:p>
    <w:p w:rsidR="0072550E" w:rsidRPr="00171D57" w:rsidRDefault="007D46F2" w:rsidP="007D46F2">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This research investigates the awareness and behavioral practices concerning tax planning among individual taxpayers in Indore. Tax planning is vital for maximizing financial resources and adhering to current tax laws and regulations. The main aim of the research is to determine the frequently used tax planning strategies, assess their efficiency, and examine the elements that affect taxpayers’</w:t>
      </w:r>
      <w:r w:rsidR="0072550E" w:rsidRPr="00171D57">
        <w:rPr>
          <w:rFonts w:ascii="Times New Roman" w:eastAsia="Times New Roman" w:hAnsi="Times New Roman" w:cs="Times New Roman"/>
          <w:sz w:val="24"/>
          <w:szCs w:val="24"/>
        </w:rPr>
        <w:t xml:space="preserve"> choices about tax planning.</w:t>
      </w:r>
    </w:p>
    <w:p w:rsidR="007D46F2" w:rsidRPr="00171D57" w:rsidRDefault="007D46F2" w:rsidP="007D46F2">
      <w:pPr>
        <w:spacing w:after="0" w:line="240" w:lineRule="auto"/>
        <w:jc w:val="both"/>
        <w:rPr>
          <w:rFonts w:ascii="Times New Roman" w:eastAsia="Times New Roman" w:hAnsi="Times New Roman" w:cs="Times New Roman"/>
          <w:sz w:val="24"/>
          <w:szCs w:val="24"/>
        </w:rPr>
      </w:pPr>
    </w:p>
    <w:p w:rsidR="0072550E" w:rsidRPr="00171D57" w:rsidRDefault="007D46F2" w:rsidP="007D46F2">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The study relies on primary and secondary data obtained from surveys and organized interviews. It additionally examines taxpayers’ comprehension of tax regulations, legal guidelines, and the function of professional tax advisors in promoting efficient tax planning strategies. Furthermore, the research examines demographic and socio-economic factors like age, education level, and income to evaluate their impact on tax planning knowledge and practices.</w:t>
      </w:r>
      <w:r w:rsidRPr="00171D57">
        <w:rPr>
          <w:rFonts w:ascii="Times New Roman" w:eastAsia="Times New Roman" w:hAnsi="Times New Roman" w:cs="Times New Roman"/>
          <w:sz w:val="24"/>
          <w:szCs w:val="24"/>
        </w:rPr>
        <w:br/>
      </w:r>
    </w:p>
    <w:p w:rsidR="007D46F2" w:rsidRPr="00171D57" w:rsidRDefault="007D46F2" w:rsidP="007D46F2">
      <w:pPr>
        <w:pBdr>
          <w:bottom w:val="single" w:sz="6" w:space="1" w:color="auto"/>
        </w:pBd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The results of the research are anticipated to enhance comprehension of tax planning behaviors among individual taxpayers in Indore. The study offers important perspectives for policymakers and tax officials in developing effective taxpayer education initiatives and encouraging compliant tax planning behaviors. The research aims to promote knowledgeable financial choices among taxpayers, thus aiding in the creation of a just, clear, and effective taxation system.</w:t>
      </w:r>
    </w:p>
    <w:p w:rsidR="00C52B31" w:rsidRPr="00171D57" w:rsidRDefault="00C52B31" w:rsidP="007D46F2">
      <w:pPr>
        <w:pBdr>
          <w:bottom w:val="single" w:sz="6" w:space="1" w:color="auto"/>
        </w:pBdr>
        <w:spacing w:after="0" w:line="240" w:lineRule="auto"/>
        <w:jc w:val="both"/>
        <w:rPr>
          <w:rFonts w:ascii="Times New Roman" w:eastAsia="Times New Roman" w:hAnsi="Times New Roman" w:cs="Times New Roman"/>
          <w:sz w:val="24"/>
          <w:szCs w:val="24"/>
        </w:rPr>
      </w:pPr>
    </w:p>
    <w:p w:rsidR="00C52B31" w:rsidRPr="00171D57" w:rsidRDefault="00C52B31" w:rsidP="00741621">
      <w:pPr>
        <w:jc w:val="both"/>
        <w:rPr>
          <w:rFonts w:ascii="Times New Roman" w:hAnsi="Times New Roman" w:cs="Times New Roman"/>
          <w:i/>
          <w:sz w:val="24"/>
        </w:rPr>
      </w:pPr>
      <w:r w:rsidRPr="00171D57">
        <w:rPr>
          <w:rFonts w:ascii="Times New Roman" w:hAnsi="Times New Roman" w:cs="Times New Roman"/>
          <w:b/>
          <w:i/>
          <w:sz w:val="24"/>
        </w:rPr>
        <w:t>Keywords:</w:t>
      </w:r>
      <w:r w:rsidRPr="00171D57">
        <w:rPr>
          <w:rFonts w:ascii="Times New Roman" w:hAnsi="Times New Roman" w:cs="Times New Roman"/>
          <w:i/>
          <w:sz w:val="24"/>
        </w:rPr>
        <w:t xml:space="preserve"> Tax Planning, Individual Taxpayers, Tax Saving Instruments, Financial Management, Tax Awareness, Legal Framework, Financial Structuring</w:t>
      </w:r>
    </w:p>
    <w:p w:rsidR="00C52B31" w:rsidRPr="00171D57" w:rsidRDefault="00C52B31" w:rsidP="00B014A1">
      <w:pPr>
        <w:rPr>
          <w:rFonts w:ascii="Times New Roman" w:hAnsi="Times New Roman" w:cs="Times New Roman"/>
        </w:rPr>
      </w:pPr>
      <w:r w:rsidRPr="00171D57">
        <w:rPr>
          <w:rFonts w:ascii="Times New Roman" w:hAnsi="Times New Roman" w:cs="Times New Roman"/>
        </w:rPr>
        <w:t>----------------------------------------------------------------------------------------------------------</w:t>
      </w:r>
      <w:r w:rsidR="00394625">
        <w:rPr>
          <w:rFonts w:ascii="Times New Roman" w:hAnsi="Times New Roman" w:cs="Times New Roman"/>
        </w:rPr>
        <w:t>---------------------</w:t>
      </w:r>
    </w:p>
    <w:p w:rsidR="00C52B31" w:rsidRPr="00171D57" w:rsidRDefault="008E5EDB" w:rsidP="008E5EDB">
      <w:pPr>
        <w:rPr>
          <w:rFonts w:ascii="Times New Roman" w:hAnsi="Times New Roman" w:cs="Times New Roman"/>
          <w:b/>
          <w:sz w:val="28"/>
        </w:rPr>
      </w:pPr>
      <w:r w:rsidRPr="00171D57">
        <w:rPr>
          <w:rFonts w:ascii="Times New Roman" w:hAnsi="Times New Roman" w:cs="Times New Roman"/>
          <w:b/>
          <w:sz w:val="28"/>
        </w:rPr>
        <w:t xml:space="preserve">1. </w:t>
      </w:r>
      <w:r w:rsidR="00741621" w:rsidRPr="00171D57">
        <w:rPr>
          <w:rFonts w:ascii="Times New Roman" w:hAnsi="Times New Roman" w:cs="Times New Roman"/>
          <w:b/>
          <w:sz w:val="28"/>
        </w:rPr>
        <w:t>INTRODUCTION</w:t>
      </w:r>
    </w:p>
    <w:p w:rsidR="00794234" w:rsidRPr="00171D57" w:rsidRDefault="00C52B31" w:rsidP="00C52B31">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 xml:space="preserve">In the vibrant financial landscape of Indore City, efficient tax strategies and compliance with regulations are essential for individual taxpayers aiming to enhance their financial assets. This research investigates the tax planning strategies and behavior patterns of taxpayers in Indore City </w:t>
      </w:r>
    </w:p>
    <w:p w:rsidR="00794234" w:rsidRPr="00171D57" w:rsidRDefault="00794234" w:rsidP="00C52B31">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 xml:space="preserve">to identify existing trends and decision making methodologies. </w:t>
      </w:r>
    </w:p>
    <w:p w:rsidR="00535523" w:rsidRPr="00171D57" w:rsidRDefault="00535523" w:rsidP="00C52B31">
      <w:pPr>
        <w:spacing w:after="0" w:line="240" w:lineRule="auto"/>
        <w:jc w:val="both"/>
        <w:rPr>
          <w:rFonts w:ascii="Times New Roman" w:eastAsia="Times New Roman" w:hAnsi="Times New Roman" w:cs="Times New Roman"/>
          <w:sz w:val="24"/>
          <w:szCs w:val="24"/>
        </w:rPr>
      </w:pPr>
    </w:p>
    <w:p w:rsidR="00794234" w:rsidRPr="00171D57" w:rsidRDefault="00C52B31" w:rsidP="00C52B31">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lastRenderedPageBreak/>
        <w:t xml:space="preserve">The study employs a thorough multimethod approach that combines quantitative methods, like data analysis, with qualitative techniques, such as surveys and interviews. This method examines the use of tax-saving tools, deductions, and financial structuring techniques utilized by taxpayers. Additionally, it evaluates people's knowledge and comprehension of tax regulations, as well as the </w:t>
      </w:r>
    </w:p>
    <w:p w:rsidR="00794234" w:rsidRPr="00171D57" w:rsidRDefault="00794234" w:rsidP="00C52B31">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Impact of financial and tax experts on personal finance choice.</w:t>
      </w:r>
    </w:p>
    <w:p w:rsidR="00C52B31" w:rsidRPr="00171D57" w:rsidRDefault="00C52B31" w:rsidP="00C52B31">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Acknowledging the importance of personal traits in financial conduct, the research additionally examines the influence of demographic and socioeconomic factors on tax planning approaches. Through examining elements like age, income, job type, and education level, the study aims to reveal trends and comprehend how these factors influence taxpayer actions and financial decisions.</w:t>
      </w:r>
      <w:r w:rsidRPr="00171D57">
        <w:rPr>
          <w:rFonts w:ascii="Times New Roman" w:eastAsia="Times New Roman" w:hAnsi="Times New Roman" w:cs="Times New Roman"/>
          <w:sz w:val="24"/>
          <w:szCs w:val="24"/>
        </w:rPr>
        <w:br/>
        <w:t>The results of this research are anticipated to greatly enhance the comprehension of tax planning dynamics in Indore City. The study seeks to help policymakers and tax agencies improve taxpayer awareness and financial understanding, allowing people to make informed financial choices. Moreover, the research aims to promote tax planning methods that are both legally compliant and efficient by nurturing a culture of transparency and adherence</w:t>
      </w:r>
      <w:r w:rsidR="008E5EDB" w:rsidRPr="00171D57">
        <w:rPr>
          <w:rFonts w:ascii="Times New Roman" w:eastAsia="Times New Roman" w:hAnsi="Times New Roman" w:cs="Times New Roman"/>
          <w:sz w:val="24"/>
          <w:szCs w:val="24"/>
        </w:rPr>
        <w:t>.</w:t>
      </w:r>
    </w:p>
    <w:p w:rsidR="008E5EDB" w:rsidRPr="00171D57" w:rsidRDefault="00C52B31" w:rsidP="00535523">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In the end, this study aims to equip individual taxpayers with the understanding and strategic perspectives essential for effective financial management, thus aiding in the creation of a more just, efficient, and sustainable taxation system in Indore City.</w:t>
      </w:r>
    </w:p>
    <w:p w:rsidR="008E5EDB" w:rsidRPr="00171D57" w:rsidRDefault="008E5EDB" w:rsidP="00535523">
      <w:pPr>
        <w:spacing w:after="0" w:line="240" w:lineRule="auto"/>
        <w:jc w:val="both"/>
        <w:rPr>
          <w:rFonts w:ascii="Times New Roman" w:eastAsia="Times New Roman" w:hAnsi="Times New Roman" w:cs="Times New Roman"/>
          <w:sz w:val="24"/>
          <w:szCs w:val="24"/>
        </w:rPr>
      </w:pPr>
    </w:p>
    <w:p w:rsidR="008E5EDB" w:rsidRPr="00171D57" w:rsidRDefault="008E5EDB" w:rsidP="00535523">
      <w:pPr>
        <w:spacing w:after="0" w:line="240" w:lineRule="auto"/>
        <w:jc w:val="both"/>
        <w:rPr>
          <w:rFonts w:ascii="Times New Roman" w:eastAsia="Times New Roman" w:hAnsi="Times New Roman" w:cs="Times New Roman"/>
          <w:b/>
          <w:sz w:val="28"/>
          <w:szCs w:val="24"/>
        </w:rPr>
      </w:pPr>
      <w:r w:rsidRPr="00171D57">
        <w:rPr>
          <w:rFonts w:ascii="Times New Roman" w:eastAsia="Times New Roman" w:hAnsi="Times New Roman" w:cs="Times New Roman"/>
          <w:b/>
          <w:sz w:val="28"/>
          <w:szCs w:val="24"/>
        </w:rPr>
        <w:t xml:space="preserve">2. REVIEW OF LITERATURE </w:t>
      </w:r>
    </w:p>
    <w:p w:rsidR="008E5EDB" w:rsidRPr="00171D57" w:rsidRDefault="008E5EDB" w:rsidP="00535523">
      <w:pPr>
        <w:spacing w:after="0" w:line="240" w:lineRule="auto"/>
        <w:jc w:val="both"/>
        <w:rPr>
          <w:rFonts w:ascii="Times New Roman" w:eastAsia="Times New Roman" w:hAnsi="Times New Roman" w:cs="Times New Roman"/>
          <w:b/>
          <w:sz w:val="28"/>
          <w:szCs w:val="24"/>
        </w:rPr>
      </w:pP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A review of literature provides the theoretical foundation and conceptual understanding necessary for conducting research on tax planning awareness among individual taxpayers. Several researchers and scholars have examined taxpayer behaviour, awareness levels, tax compliance, and the role of financial literacy in effective tax planning.</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According to Taxation and financial management studies, tax planning refers to the systematic arrangement of financial activities in order to minimize tax liability within the legal framework prescribed by taxation laws. Effective tax planning enables taxpayers to maximize savings, improve investment decisions, and ensure compliance with statutory regulations.</w:t>
      </w:r>
    </w:p>
    <w:p w:rsidR="00021605" w:rsidRPr="00171D57" w:rsidRDefault="00184AE6" w:rsidP="0002160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021605" w:rsidRPr="00171D57">
        <w:rPr>
          <w:rFonts w:ascii="Times New Roman" w:eastAsia="Times New Roman" w:hAnsi="Times New Roman" w:cs="Times New Roman"/>
          <w:sz w:val="24"/>
          <w:szCs w:val="24"/>
        </w:rPr>
        <w:t>ames Alm (1991) emphasized that taxpayer awareness and understanding of taxation policies significantly influence tax compliance behaviour. The study highlighted that individuals with higher financial literacy and better knowledge of tax provisions are more likely to adopt lawful tax planning practices.</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Richard Bird and Eric Zolt (2008) observed that taxpayer education plays a vital role in improving voluntary tax compliance. Their research suggested that awareness regarding deductions, exemptions, and tax-saving instruments enhances taxpayers’ willingness to participate in the formal taxation system.</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A study conducted by Kirchler Erich (2007) focused on taxpayer psychology and behavioural attitudes toward taxation. The findings revealed that socioeconomic factors such as age, occupation, education, and income level strongly affect taxpayers’ perceptions and financial planning decisions.</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lastRenderedPageBreak/>
        <w:t>In the Indian context, several studies have examined the relationship between tax awareness and investment behaviour. Research by V. Bhargava (2014) indicated that salaried individuals generally prefer tax-saving investments under the provisions of the Income Tax Act, particularly those offering long-term financial security and guaranteed returns. The study further concluded that taxpayers often rely on financial advisors and tax consultants for planning their investments and tax liabilities.</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Another study by R. K. Gupta (2017) analysed awareness regarding tax-saving schemes among urban taxpayers. The research identified limited understanding of advanced tax planning strategies among middle-income groups, despite general awareness of common deductions and exemptions available under income tax regulations.</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Allingham Michael and Agnar Sandmo developed the economic deterrence theory of taxation, which explains that taxpayers’ compliance behaviour is influenced by factors such as tax knowledge, penalties, audits, and perceived fairness of the taxation system. Their model remains a significant contribution to the study of taxpayer behaviour and compliance.</w:t>
      </w:r>
    </w:p>
    <w:p w:rsidR="00535523" w:rsidRPr="00171D57" w:rsidRDefault="00535523" w:rsidP="00535523">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Kalgutkar Preeti highlighted that tax planning is not about evading taxes; instead, it concerns accessing the greatest possible advantages within the legal boundaries of taxation. The main goal of the research was to explore different investment options and tax-saving plans outlined in tax regulations. The study employed an exploratory approach and used the survey technique for gathering data. The results indicated that people with sufficient understanding and knowledge of tax planning usually invest more strategically, leading to successful wealth generation</w:t>
      </w:r>
      <w:r w:rsidR="008E5EDB" w:rsidRPr="00171D57">
        <w:rPr>
          <w:rFonts w:ascii="Times New Roman" w:eastAsia="Times New Roman" w:hAnsi="Times New Roman" w:cs="Times New Roman"/>
          <w:sz w:val="24"/>
          <w:szCs w:val="24"/>
        </w:rPr>
        <w:t>.</w:t>
      </w:r>
    </w:p>
    <w:p w:rsidR="00394625" w:rsidRDefault="00394625" w:rsidP="008E5EDB">
      <w:pPr>
        <w:spacing w:after="0" w:line="240" w:lineRule="auto"/>
        <w:jc w:val="both"/>
        <w:rPr>
          <w:rFonts w:ascii="Times New Roman" w:eastAsia="Times New Roman" w:hAnsi="Times New Roman" w:cs="Times New Roman"/>
          <w:sz w:val="24"/>
          <w:szCs w:val="24"/>
        </w:rPr>
      </w:pPr>
    </w:p>
    <w:p w:rsidR="00535523" w:rsidRPr="00171D57" w:rsidRDefault="00535523" w:rsidP="008E5EDB">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Kishali Yunus et al. emphasized the importance of taxes as a crucial source of government income essential for effectively delivering public services. The research sought to examine taxpayers’ views based on their demographic features. Data were gathered using an exploratory research method. The results showed that those with little understanding of tax planning viewed tax amnesty programs as a type of punishment, while participants with more knowledge had a differing viewpoint. The research highlighted the significance of tax literacy in influencing taxpayers’ views and beliefs.</w:t>
      </w:r>
    </w:p>
    <w:p w:rsidR="00394625" w:rsidRDefault="00394625" w:rsidP="00535523">
      <w:pPr>
        <w:spacing w:after="0" w:line="240" w:lineRule="auto"/>
        <w:jc w:val="both"/>
        <w:rPr>
          <w:rFonts w:ascii="Times New Roman" w:eastAsia="Times New Roman" w:hAnsi="Times New Roman" w:cs="Times New Roman"/>
          <w:sz w:val="24"/>
          <w:szCs w:val="24"/>
        </w:rPr>
      </w:pPr>
    </w:p>
    <w:p w:rsidR="00535523" w:rsidRPr="00171D57" w:rsidRDefault="00535523" w:rsidP="00535523">
      <w:pPr>
        <w:spacing w:after="0" w:line="240" w:lineRule="auto"/>
        <w:jc w:val="both"/>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 xml:space="preserve">Vyshak, P. K., and Joobi, V. P. defined tax planning as a useful strategy for minimizing tax obligations under the legal guidelines of tax legislation. The authors additionally noted that frequent changes in tax laws and regulations have heightened the significance of tax planning for investors aiming to reduce their tax obligations. The research was carried out to explore the connection between awareness of tax planning and investment choices related to wealth generation among individual taxpayers in Calicut District, Kerala. Data were gathered through well-designed questionnaires given to individual taxpayers. The study showed that participants from various age brackets and genders strongly concurred that tax awareness and effective tax planning play a major role in wealth accumulation. The participants also thought that increased savings help in creating effective investment portfolios and enhance their quality of life. </w:t>
      </w:r>
    </w:p>
    <w:p w:rsidR="00021605" w:rsidRPr="00171D57" w:rsidRDefault="00021605" w:rsidP="00021605">
      <w:p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 xml:space="preserve">Previous studies collectively suggest that tax planning awareness is closely associated with financial literacy, educational background, income level, and accessibility to professional financial guidance. However, limited research has specifically focused on individual taxpayers in </w:t>
      </w:r>
      <w:r w:rsidRPr="00171D57">
        <w:rPr>
          <w:rFonts w:ascii="Times New Roman" w:eastAsia="Times New Roman" w:hAnsi="Times New Roman" w:cs="Times New Roman"/>
          <w:sz w:val="24"/>
          <w:szCs w:val="24"/>
        </w:rPr>
        <w:lastRenderedPageBreak/>
        <w:t>Indore City. Therefore, the present study seeks to bridge this research gap by analysing the awareness, perceptions, and tax planning practices of individual taxpayers in the city.</w:t>
      </w:r>
    </w:p>
    <w:p w:rsidR="008E5EDB" w:rsidRPr="00171D57" w:rsidRDefault="00021605" w:rsidP="00741621">
      <w:pPr>
        <w:spacing w:before="100" w:beforeAutospacing="1" w:after="100" w:afterAutospacing="1" w:line="240" w:lineRule="auto"/>
        <w:outlineLvl w:val="1"/>
        <w:rPr>
          <w:rFonts w:ascii="Times New Roman" w:eastAsia="Times New Roman" w:hAnsi="Times New Roman" w:cs="Times New Roman"/>
          <w:b/>
          <w:bCs/>
          <w:sz w:val="24"/>
          <w:szCs w:val="36"/>
        </w:rPr>
      </w:pPr>
      <w:r w:rsidRPr="00171D57">
        <w:rPr>
          <w:rFonts w:ascii="Times New Roman" w:hAnsi="Times New Roman" w:cs="Times New Roman"/>
        </w:rPr>
        <w:t>The literature reviewed provides valuable insights into taxpayer behaviour and establishes the importance of awareness and education in promoting efficient and legally compliant tax planning practices. It also forms the conceptual basis for understanding the factors influencing tax planning decisions among individual taxpayers in Indore City.</w:t>
      </w:r>
    </w:p>
    <w:p w:rsidR="00741621" w:rsidRPr="00171D57" w:rsidRDefault="00184AE6" w:rsidP="00741621">
      <w:pPr>
        <w:spacing w:before="100" w:beforeAutospacing="1" w:after="100" w:afterAutospacing="1" w:line="240" w:lineRule="auto"/>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 xml:space="preserve">2.1 </w:t>
      </w:r>
      <w:r w:rsidR="008E5EDB" w:rsidRPr="00171D57">
        <w:rPr>
          <w:rFonts w:ascii="Times New Roman" w:eastAsia="Times New Roman" w:hAnsi="Times New Roman" w:cs="Times New Roman"/>
          <w:b/>
          <w:bCs/>
          <w:sz w:val="24"/>
          <w:szCs w:val="36"/>
        </w:rPr>
        <w:t>Objectives of The Study</w:t>
      </w:r>
    </w:p>
    <w:p w:rsidR="00741621" w:rsidRPr="00184AE6" w:rsidRDefault="00741621" w:rsidP="00184AE6">
      <w:pPr>
        <w:pStyle w:val="ListParagraph"/>
        <w:numPr>
          <w:ilvl w:val="0"/>
          <w:numId w:val="17"/>
        </w:numPr>
        <w:spacing w:after="0" w:line="240" w:lineRule="auto"/>
        <w:jc w:val="both"/>
        <w:rPr>
          <w:rFonts w:ascii="Times New Roman" w:hAnsi="Times New Roman" w:cs="Times New Roman"/>
          <w:sz w:val="24"/>
        </w:rPr>
      </w:pPr>
      <w:r w:rsidRPr="00184AE6">
        <w:rPr>
          <w:rFonts w:ascii="Times New Roman" w:hAnsi="Times New Roman" w:cs="Times New Roman"/>
          <w:sz w:val="24"/>
        </w:rPr>
        <w:t>To evaluate taxpayers’ awareness regarding the various tax-saving options and investment avenues available under the prevailing taxation system.</w:t>
      </w:r>
    </w:p>
    <w:p w:rsidR="00741621" w:rsidRPr="00184AE6" w:rsidRDefault="00741621" w:rsidP="00184AE6">
      <w:pPr>
        <w:pStyle w:val="ListParagraph"/>
        <w:numPr>
          <w:ilvl w:val="0"/>
          <w:numId w:val="17"/>
        </w:numPr>
        <w:spacing w:after="0" w:line="240" w:lineRule="auto"/>
        <w:jc w:val="both"/>
        <w:rPr>
          <w:rFonts w:ascii="Times New Roman" w:hAnsi="Times New Roman" w:cs="Times New Roman"/>
          <w:sz w:val="24"/>
        </w:rPr>
      </w:pPr>
      <w:r w:rsidRPr="00184AE6">
        <w:rPr>
          <w:rFonts w:ascii="Times New Roman" w:hAnsi="Times New Roman" w:cs="Times New Roman"/>
          <w:sz w:val="24"/>
        </w:rPr>
        <w:t>To examine the level of awareness and understanding of tax planning practices among individual taxpayers in Indore City.</w:t>
      </w:r>
    </w:p>
    <w:p w:rsidR="00741621" w:rsidRPr="00184AE6" w:rsidRDefault="00741621" w:rsidP="00184AE6">
      <w:pPr>
        <w:pStyle w:val="ListParagraph"/>
        <w:numPr>
          <w:ilvl w:val="0"/>
          <w:numId w:val="17"/>
        </w:numPr>
        <w:spacing w:after="0" w:line="240" w:lineRule="auto"/>
        <w:jc w:val="both"/>
        <w:rPr>
          <w:rFonts w:ascii="Times New Roman" w:hAnsi="Times New Roman" w:cs="Times New Roman"/>
          <w:sz w:val="24"/>
        </w:rPr>
      </w:pPr>
      <w:r w:rsidRPr="00184AE6">
        <w:rPr>
          <w:rFonts w:ascii="Times New Roman" w:hAnsi="Times New Roman" w:cs="Times New Roman"/>
          <w:sz w:val="24"/>
        </w:rPr>
        <w:t>To analyse taxpayers’ perceptions and attitudes toward tax planning and financial decision-making.</w:t>
      </w:r>
    </w:p>
    <w:p w:rsidR="00741621" w:rsidRPr="00184AE6" w:rsidRDefault="00741621" w:rsidP="00184AE6">
      <w:pPr>
        <w:pStyle w:val="ListParagraph"/>
        <w:numPr>
          <w:ilvl w:val="0"/>
          <w:numId w:val="17"/>
        </w:numPr>
        <w:spacing w:after="0" w:line="240" w:lineRule="auto"/>
        <w:jc w:val="both"/>
        <w:rPr>
          <w:rFonts w:ascii="Times New Roman" w:hAnsi="Times New Roman" w:cs="Times New Roman"/>
          <w:sz w:val="24"/>
        </w:rPr>
      </w:pPr>
      <w:r w:rsidRPr="00184AE6">
        <w:rPr>
          <w:rFonts w:ascii="Times New Roman" w:hAnsi="Times New Roman" w:cs="Times New Roman"/>
          <w:sz w:val="24"/>
        </w:rPr>
        <w:t>To identify the factors influencing tax planning behaviour among taxpayers in Indore City.</w:t>
      </w:r>
    </w:p>
    <w:p w:rsidR="008E5EDB" w:rsidRPr="00171D57" w:rsidRDefault="008E5EDB" w:rsidP="008E5EDB">
      <w:pPr>
        <w:spacing w:after="0" w:line="240" w:lineRule="auto"/>
        <w:jc w:val="both"/>
        <w:rPr>
          <w:rFonts w:ascii="Times New Roman" w:hAnsi="Times New Roman" w:cs="Times New Roman"/>
          <w:sz w:val="24"/>
        </w:rPr>
      </w:pPr>
    </w:p>
    <w:p w:rsidR="00741621" w:rsidRPr="00171D57" w:rsidRDefault="008E5EDB" w:rsidP="00741621">
      <w:pPr>
        <w:spacing w:before="100" w:beforeAutospacing="1" w:after="100" w:afterAutospacing="1" w:line="240" w:lineRule="auto"/>
        <w:outlineLvl w:val="1"/>
        <w:rPr>
          <w:rFonts w:ascii="Times New Roman" w:eastAsia="Times New Roman" w:hAnsi="Times New Roman" w:cs="Times New Roman"/>
          <w:b/>
          <w:bCs/>
          <w:sz w:val="28"/>
          <w:szCs w:val="36"/>
        </w:rPr>
      </w:pPr>
      <w:r w:rsidRPr="00171D57">
        <w:rPr>
          <w:rFonts w:ascii="Times New Roman" w:eastAsia="Times New Roman" w:hAnsi="Times New Roman" w:cs="Times New Roman"/>
          <w:b/>
          <w:bCs/>
          <w:sz w:val="28"/>
          <w:szCs w:val="36"/>
        </w:rPr>
        <w:t xml:space="preserve">3. </w:t>
      </w:r>
      <w:r w:rsidR="00741621" w:rsidRPr="00171D57">
        <w:rPr>
          <w:rFonts w:ascii="Times New Roman" w:eastAsia="Times New Roman" w:hAnsi="Times New Roman" w:cs="Times New Roman"/>
          <w:b/>
          <w:bCs/>
          <w:sz w:val="28"/>
          <w:szCs w:val="36"/>
        </w:rPr>
        <w:t>RESEARCH METHODOLOGY</w:t>
      </w:r>
    </w:p>
    <w:p w:rsidR="00021605" w:rsidRPr="00171D57" w:rsidRDefault="00021605" w:rsidP="007E6187">
      <w:pPr>
        <w:pStyle w:val="isselectedend"/>
        <w:jc w:val="both"/>
      </w:pPr>
      <w:r w:rsidRPr="00171D57">
        <w:t>The present study employs an exploratory and descriptive research design to examine the level of tax planning awareness among individual taxpayers in Indore City. The exploratory approach facilitates a deeper understanding of taxpayers’ knowledge, perceptions, and behavioural patterns related to tax planning, while the descriptive aspect enables systematic analysis and interpretation of the collected data.</w:t>
      </w:r>
    </w:p>
    <w:p w:rsidR="00021605" w:rsidRPr="00171D57" w:rsidRDefault="007E6187" w:rsidP="00021605">
      <w:pPr>
        <w:pStyle w:val="Heading2"/>
        <w:rPr>
          <w:sz w:val="24"/>
        </w:rPr>
      </w:pPr>
      <w:r w:rsidRPr="00171D57">
        <w:rPr>
          <w:sz w:val="24"/>
        </w:rPr>
        <w:t xml:space="preserve">3.1 </w:t>
      </w:r>
      <w:r w:rsidR="00021605" w:rsidRPr="00171D57">
        <w:rPr>
          <w:sz w:val="24"/>
        </w:rPr>
        <w:t>Nature of Study</w:t>
      </w:r>
    </w:p>
    <w:p w:rsidR="00021605" w:rsidRPr="00171D57" w:rsidRDefault="00021605" w:rsidP="007E6187">
      <w:pPr>
        <w:pStyle w:val="isselectedend"/>
        <w:jc w:val="both"/>
      </w:pPr>
      <w:r w:rsidRPr="00171D57">
        <w:t>The study is empirical in nature and focuses on analysing taxpayers’ awareness regarding tax-saving schemes, deductions, exemptions, and financial planning practices under the prevailing taxation system in India.</w:t>
      </w:r>
    </w:p>
    <w:p w:rsidR="00021605" w:rsidRPr="00171D57" w:rsidRDefault="007E6187" w:rsidP="00021605">
      <w:pPr>
        <w:pStyle w:val="Heading2"/>
        <w:rPr>
          <w:sz w:val="24"/>
        </w:rPr>
      </w:pPr>
      <w:r w:rsidRPr="00171D57">
        <w:rPr>
          <w:sz w:val="24"/>
        </w:rPr>
        <w:t xml:space="preserve">3.2 </w:t>
      </w:r>
      <w:r w:rsidR="00021605" w:rsidRPr="00171D57">
        <w:rPr>
          <w:sz w:val="24"/>
        </w:rPr>
        <w:t>Area of Study</w:t>
      </w:r>
    </w:p>
    <w:p w:rsidR="00021605" w:rsidRPr="00171D57" w:rsidRDefault="00021605" w:rsidP="007E6187">
      <w:pPr>
        <w:pStyle w:val="isselectedend"/>
        <w:jc w:val="both"/>
      </w:pPr>
      <w:r w:rsidRPr="00171D57">
        <w:t>The geographical scope of the study is limited to Indore City, Madhya Pradesh. The study specifically targets individual taxpayers residing within the city.</w:t>
      </w:r>
    </w:p>
    <w:p w:rsidR="00021605" w:rsidRPr="00171D57" w:rsidRDefault="007E6187" w:rsidP="00021605">
      <w:pPr>
        <w:pStyle w:val="Heading2"/>
        <w:rPr>
          <w:sz w:val="24"/>
        </w:rPr>
      </w:pPr>
      <w:r w:rsidRPr="00171D57">
        <w:rPr>
          <w:sz w:val="24"/>
        </w:rPr>
        <w:t xml:space="preserve">3.3 </w:t>
      </w:r>
      <w:r w:rsidR="00021605" w:rsidRPr="00171D57">
        <w:rPr>
          <w:sz w:val="24"/>
        </w:rPr>
        <w:t>Sources of Data</w:t>
      </w:r>
    </w:p>
    <w:p w:rsidR="00021605" w:rsidRPr="00171D57" w:rsidRDefault="00021605" w:rsidP="00021605">
      <w:pPr>
        <w:pStyle w:val="isselectedend"/>
      </w:pPr>
      <w:r w:rsidRPr="00171D57">
        <w:t>The research is based on both primary and secondary data sources.</w:t>
      </w:r>
    </w:p>
    <w:p w:rsidR="00021605" w:rsidRPr="00171D57" w:rsidRDefault="007E6187" w:rsidP="00021605">
      <w:pPr>
        <w:pStyle w:val="Heading3"/>
        <w:rPr>
          <w:rFonts w:ascii="Times New Roman" w:hAnsi="Times New Roman" w:cs="Times New Roman"/>
          <w:color w:val="auto"/>
        </w:rPr>
      </w:pPr>
      <w:r w:rsidRPr="00171D57">
        <w:rPr>
          <w:rFonts w:ascii="Times New Roman" w:hAnsi="Times New Roman" w:cs="Times New Roman"/>
          <w:color w:val="auto"/>
        </w:rPr>
        <w:lastRenderedPageBreak/>
        <w:t xml:space="preserve">3.3 (A) </w:t>
      </w:r>
      <w:r w:rsidR="00021605" w:rsidRPr="00171D57">
        <w:rPr>
          <w:rFonts w:ascii="Times New Roman" w:hAnsi="Times New Roman" w:cs="Times New Roman"/>
          <w:color w:val="auto"/>
        </w:rPr>
        <w:t>Primary Data</w:t>
      </w:r>
    </w:p>
    <w:p w:rsidR="00021605" w:rsidRPr="00171D57" w:rsidRDefault="00021605" w:rsidP="00021605">
      <w:pPr>
        <w:pStyle w:val="isselectedend"/>
      </w:pPr>
      <w:r w:rsidRPr="00171D57">
        <w:t>Primary data will be collected through a structured questionnaire administered to individual taxpayers. The questionnaire will include both close-ended and multiple-choice questions designed to measure awareness, perceptions, and tax planning behaviour.</w:t>
      </w:r>
    </w:p>
    <w:p w:rsidR="00021605" w:rsidRPr="00171D57" w:rsidRDefault="007E6187" w:rsidP="00021605">
      <w:pPr>
        <w:pStyle w:val="Heading3"/>
        <w:rPr>
          <w:rFonts w:ascii="Times New Roman" w:hAnsi="Times New Roman" w:cs="Times New Roman"/>
          <w:color w:val="auto"/>
        </w:rPr>
      </w:pPr>
      <w:r w:rsidRPr="00171D57">
        <w:rPr>
          <w:rFonts w:ascii="Times New Roman" w:hAnsi="Times New Roman" w:cs="Times New Roman"/>
          <w:color w:val="auto"/>
        </w:rPr>
        <w:t xml:space="preserve">3.3 (B) </w:t>
      </w:r>
      <w:r w:rsidR="00021605" w:rsidRPr="00171D57">
        <w:rPr>
          <w:rFonts w:ascii="Times New Roman" w:hAnsi="Times New Roman" w:cs="Times New Roman"/>
          <w:color w:val="auto"/>
        </w:rPr>
        <w:t>Secondary Data</w:t>
      </w:r>
    </w:p>
    <w:p w:rsidR="00021605" w:rsidRPr="00171D57" w:rsidRDefault="00021605" w:rsidP="00021605">
      <w:pPr>
        <w:pStyle w:val="NormalWeb"/>
      </w:pPr>
      <w:r w:rsidRPr="00171D57">
        <w:t>Secondary data will be collected from books, research journals, government reports, articles, official taxation websites, and other relevant published sources related to taxation and tax planning practices.</w:t>
      </w:r>
    </w:p>
    <w:p w:rsidR="00021605" w:rsidRPr="00171D57" w:rsidRDefault="007E6187" w:rsidP="00021605">
      <w:pPr>
        <w:pStyle w:val="Heading2"/>
        <w:rPr>
          <w:sz w:val="24"/>
        </w:rPr>
      </w:pPr>
      <w:r w:rsidRPr="00171D57">
        <w:rPr>
          <w:sz w:val="24"/>
        </w:rPr>
        <w:t xml:space="preserve">3.4 </w:t>
      </w:r>
      <w:r w:rsidR="00021605" w:rsidRPr="00171D57">
        <w:rPr>
          <w:sz w:val="24"/>
        </w:rPr>
        <w:t>Sampling Design</w:t>
      </w:r>
    </w:p>
    <w:p w:rsidR="00021605" w:rsidRPr="00171D57" w:rsidRDefault="007E6187" w:rsidP="000A1D60">
      <w:pPr>
        <w:pStyle w:val="Heading3"/>
        <w:spacing w:before="0"/>
        <w:rPr>
          <w:rFonts w:ascii="Times New Roman" w:hAnsi="Times New Roman" w:cs="Times New Roman"/>
          <w:color w:val="auto"/>
        </w:rPr>
      </w:pPr>
      <w:r w:rsidRPr="00171D57">
        <w:rPr>
          <w:rFonts w:ascii="Times New Roman" w:hAnsi="Times New Roman" w:cs="Times New Roman"/>
          <w:color w:val="auto"/>
        </w:rPr>
        <w:t xml:space="preserve">3.4 (A) </w:t>
      </w:r>
      <w:r w:rsidR="00021605" w:rsidRPr="00171D57">
        <w:rPr>
          <w:rFonts w:ascii="Times New Roman" w:hAnsi="Times New Roman" w:cs="Times New Roman"/>
          <w:color w:val="auto"/>
        </w:rPr>
        <w:t>Population</w:t>
      </w:r>
    </w:p>
    <w:p w:rsidR="00021605" w:rsidRPr="00171D57" w:rsidRDefault="00021605" w:rsidP="000A1D60">
      <w:pPr>
        <w:pStyle w:val="isselectedend"/>
        <w:spacing w:before="0" w:beforeAutospacing="0"/>
      </w:pPr>
      <w:r w:rsidRPr="00171D57">
        <w:t>The population of the study consists of individual taxpayers residing in Indore City.</w:t>
      </w:r>
    </w:p>
    <w:p w:rsidR="00021605" w:rsidRPr="00171D57" w:rsidRDefault="007E6187" w:rsidP="000A1D60">
      <w:pPr>
        <w:pStyle w:val="Heading3"/>
        <w:spacing w:before="0"/>
        <w:rPr>
          <w:rFonts w:ascii="Times New Roman" w:hAnsi="Times New Roman" w:cs="Times New Roman"/>
          <w:color w:val="auto"/>
        </w:rPr>
      </w:pPr>
      <w:r w:rsidRPr="00171D57">
        <w:rPr>
          <w:rFonts w:ascii="Times New Roman" w:hAnsi="Times New Roman" w:cs="Times New Roman"/>
          <w:color w:val="auto"/>
        </w:rPr>
        <w:t xml:space="preserve">3.4 (B) </w:t>
      </w:r>
      <w:r w:rsidR="00021605" w:rsidRPr="00171D57">
        <w:rPr>
          <w:rFonts w:ascii="Times New Roman" w:hAnsi="Times New Roman" w:cs="Times New Roman"/>
          <w:color w:val="auto"/>
        </w:rPr>
        <w:t>Sample Size</w:t>
      </w:r>
    </w:p>
    <w:p w:rsidR="00021605" w:rsidRPr="00171D57" w:rsidRDefault="007E6187" w:rsidP="000A1D60">
      <w:pPr>
        <w:pStyle w:val="isselectedend"/>
        <w:spacing w:before="0" w:beforeAutospacing="0"/>
      </w:pPr>
      <w:r w:rsidRPr="00171D57">
        <w:t>A sample of 2</w:t>
      </w:r>
      <w:r w:rsidR="00021605" w:rsidRPr="00171D57">
        <w:t>00 respondents will be selected for the study to obtain relevant and reliable information regarding tax planning awareness.</w:t>
      </w:r>
    </w:p>
    <w:p w:rsidR="00021605" w:rsidRPr="00171D57" w:rsidRDefault="007E6187" w:rsidP="000A1D60">
      <w:pPr>
        <w:pStyle w:val="Heading3"/>
        <w:spacing w:before="0"/>
        <w:rPr>
          <w:rFonts w:ascii="Times New Roman" w:hAnsi="Times New Roman" w:cs="Times New Roman"/>
          <w:color w:val="auto"/>
        </w:rPr>
      </w:pPr>
      <w:r w:rsidRPr="00171D57">
        <w:rPr>
          <w:rFonts w:ascii="Times New Roman" w:hAnsi="Times New Roman" w:cs="Times New Roman"/>
          <w:color w:val="auto"/>
        </w:rPr>
        <w:t xml:space="preserve">3.4 (C) </w:t>
      </w:r>
      <w:r w:rsidR="00021605" w:rsidRPr="00171D57">
        <w:rPr>
          <w:rFonts w:ascii="Times New Roman" w:hAnsi="Times New Roman" w:cs="Times New Roman"/>
          <w:color w:val="auto"/>
        </w:rPr>
        <w:t>Sampling Technique</w:t>
      </w:r>
    </w:p>
    <w:p w:rsidR="00021605" w:rsidRPr="00171D57" w:rsidRDefault="00021605" w:rsidP="000A1D60">
      <w:pPr>
        <w:pStyle w:val="isselectedend"/>
        <w:spacing w:before="0" w:beforeAutospacing="0"/>
      </w:pPr>
      <w:r w:rsidRPr="00171D57">
        <w:t>The study will use convenience sampling and random sampling techniques for selecting respondents from different demographic and occupational backgrounds.</w:t>
      </w:r>
    </w:p>
    <w:p w:rsidR="00021605" w:rsidRPr="00171D57" w:rsidRDefault="007E6187" w:rsidP="00021605">
      <w:pPr>
        <w:pStyle w:val="Heading2"/>
        <w:rPr>
          <w:sz w:val="24"/>
        </w:rPr>
      </w:pPr>
      <w:r w:rsidRPr="00171D57">
        <w:rPr>
          <w:sz w:val="24"/>
        </w:rPr>
        <w:t xml:space="preserve">3.5 </w:t>
      </w:r>
      <w:r w:rsidR="00021605" w:rsidRPr="00171D57">
        <w:rPr>
          <w:sz w:val="24"/>
        </w:rPr>
        <w:t>Data Collection Method</w:t>
      </w:r>
    </w:p>
    <w:p w:rsidR="00021605" w:rsidRPr="00171D57" w:rsidRDefault="00021605" w:rsidP="00021605">
      <w:pPr>
        <w:pStyle w:val="isselectedend"/>
      </w:pPr>
      <w:r w:rsidRPr="00171D57">
        <w:t>Data will be collected through the survey method using a structured questionnaire. The questionnaires will be distributed both online and offline to ensure wider participation and diverse responses.</w:t>
      </w:r>
    </w:p>
    <w:p w:rsidR="00021605" w:rsidRPr="00171D57" w:rsidRDefault="007E6187" w:rsidP="00021605">
      <w:pPr>
        <w:pStyle w:val="Heading2"/>
        <w:rPr>
          <w:sz w:val="24"/>
        </w:rPr>
      </w:pPr>
      <w:r w:rsidRPr="00171D57">
        <w:rPr>
          <w:sz w:val="24"/>
        </w:rPr>
        <w:t xml:space="preserve">3.6 </w:t>
      </w:r>
      <w:r w:rsidR="00021605" w:rsidRPr="00171D57">
        <w:rPr>
          <w:sz w:val="24"/>
        </w:rPr>
        <w:t>Tools and Techniques of Analysis</w:t>
      </w:r>
    </w:p>
    <w:p w:rsidR="00021605" w:rsidRPr="00171D57" w:rsidRDefault="00021605" w:rsidP="00021605">
      <w:pPr>
        <w:pStyle w:val="NormalWeb"/>
      </w:pPr>
      <w:r w:rsidRPr="00171D57">
        <w:t>The collected data will be classified, tabulated, and analysed using appropriate statistical tools and techniques such as:</w:t>
      </w:r>
    </w:p>
    <w:p w:rsidR="00021605" w:rsidRPr="00171D57" w:rsidRDefault="00021605" w:rsidP="000216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Percentage Analysis</w:t>
      </w:r>
    </w:p>
    <w:p w:rsidR="00021605" w:rsidRPr="00171D57" w:rsidRDefault="00021605" w:rsidP="000216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Frequency Distribution</w:t>
      </w:r>
    </w:p>
    <w:p w:rsidR="00021605" w:rsidRPr="00171D57" w:rsidRDefault="00021605" w:rsidP="000216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Tables and Charts</w:t>
      </w:r>
    </w:p>
    <w:p w:rsidR="00021605" w:rsidRPr="00171D57" w:rsidRDefault="00021605" w:rsidP="000216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Graphical Representation</w:t>
      </w:r>
    </w:p>
    <w:p w:rsidR="00021605" w:rsidRPr="00171D57" w:rsidRDefault="00021605" w:rsidP="0002160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Comparative Analysis</w:t>
      </w:r>
    </w:p>
    <w:p w:rsidR="007E6187" w:rsidRDefault="00021605" w:rsidP="000A1D60">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These tools will help in interpreting the responses and identifying patterns related to tax plan</w:t>
      </w:r>
      <w:r w:rsidR="000A1D60">
        <w:rPr>
          <w:rFonts w:ascii="Times New Roman" w:eastAsia="Times New Roman" w:hAnsi="Times New Roman" w:cs="Times New Roman"/>
          <w:sz w:val="24"/>
          <w:szCs w:val="24"/>
        </w:rPr>
        <w:t>ning awareness among taxpayers.</w:t>
      </w:r>
    </w:p>
    <w:p w:rsidR="000A1D60" w:rsidRDefault="000A1D60" w:rsidP="000A1D60">
      <w:pPr>
        <w:spacing w:after="0" w:line="240" w:lineRule="auto"/>
        <w:rPr>
          <w:rFonts w:ascii="Times New Roman" w:eastAsia="Times New Roman" w:hAnsi="Times New Roman" w:cs="Times New Roman"/>
          <w:sz w:val="24"/>
          <w:szCs w:val="24"/>
        </w:rPr>
      </w:pPr>
    </w:p>
    <w:p w:rsidR="00394625" w:rsidRDefault="00394625" w:rsidP="000A1D60">
      <w:pPr>
        <w:spacing w:after="0" w:line="240" w:lineRule="auto"/>
        <w:rPr>
          <w:rFonts w:ascii="Times New Roman" w:eastAsia="Times New Roman" w:hAnsi="Times New Roman" w:cs="Times New Roman"/>
          <w:sz w:val="24"/>
          <w:szCs w:val="24"/>
        </w:rPr>
      </w:pPr>
    </w:p>
    <w:p w:rsidR="00394625" w:rsidRPr="00394625" w:rsidRDefault="00394625" w:rsidP="000A1D60">
      <w:pPr>
        <w:spacing w:after="0" w:line="240" w:lineRule="auto"/>
        <w:rPr>
          <w:rFonts w:ascii="Times New Roman" w:eastAsia="Times New Roman" w:hAnsi="Times New Roman" w:cs="Times New Roman"/>
          <w:b/>
          <w:sz w:val="24"/>
          <w:szCs w:val="24"/>
        </w:rPr>
      </w:pPr>
      <w:r w:rsidRPr="00394625">
        <w:rPr>
          <w:rFonts w:ascii="Times New Roman" w:eastAsia="Times New Roman" w:hAnsi="Times New Roman" w:cs="Times New Roman"/>
          <w:b/>
          <w:sz w:val="24"/>
          <w:szCs w:val="24"/>
        </w:rPr>
        <w:lastRenderedPageBreak/>
        <w:t xml:space="preserve">3.7 </w:t>
      </w:r>
      <w:r w:rsidR="00184AE6">
        <w:rPr>
          <w:rFonts w:ascii="Times New Roman" w:eastAsia="Times New Roman" w:hAnsi="Times New Roman" w:cs="Times New Roman"/>
          <w:b/>
          <w:sz w:val="24"/>
          <w:szCs w:val="24"/>
        </w:rPr>
        <w:t>Hypothese</w:t>
      </w:r>
      <w:r w:rsidRPr="00394625">
        <w:rPr>
          <w:rFonts w:ascii="Times New Roman" w:eastAsia="Times New Roman" w:hAnsi="Times New Roman" w:cs="Times New Roman"/>
          <w:b/>
          <w:sz w:val="24"/>
          <w:szCs w:val="24"/>
        </w:rPr>
        <w:t>s</w:t>
      </w:r>
    </w:p>
    <w:p w:rsidR="00394625" w:rsidRDefault="00394625" w:rsidP="000A1D60">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795"/>
        <w:gridCol w:w="7555"/>
      </w:tblGrid>
      <w:tr w:rsidR="00394625" w:rsidTr="00394625">
        <w:tc>
          <w:tcPr>
            <w:tcW w:w="1795" w:type="dxa"/>
          </w:tcPr>
          <w:p w:rsidR="00394625" w:rsidRPr="00394625" w:rsidRDefault="00394625" w:rsidP="00394625">
            <w:pPr>
              <w:jc w:val="center"/>
              <w:rPr>
                <w:rFonts w:ascii="Times New Roman" w:eastAsia="Times New Roman" w:hAnsi="Times New Roman" w:cs="Times New Roman"/>
                <w:b/>
                <w:sz w:val="24"/>
                <w:szCs w:val="24"/>
              </w:rPr>
            </w:pPr>
            <w:r w:rsidRPr="00394625">
              <w:rPr>
                <w:rFonts w:ascii="Times New Roman" w:eastAsia="Times New Roman" w:hAnsi="Times New Roman" w:cs="Times New Roman"/>
                <w:b/>
                <w:sz w:val="24"/>
                <w:szCs w:val="24"/>
              </w:rPr>
              <w:t>Hypothesis No,</w:t>
            </w:r>
          </w:p>
        </w:tc>
        <w:tc>
          <w:tcPr>
            <w:tcW w:w="7555" w:type="dxa"/>
          </w:tcPr>
          <w:p w:rsidR="00394625" w:rsidRPr="00394625" w:rsidRDefault="00394625" w:rsidP="00394625">
            <w:pPr>
              <w:jc w:val="center"/>
              <w:rPr>
                <w:rFonts w:ascii="Times New Roman" w:eastAsia="Times New Roman" w:hAnsi="Times New Roman" w:cs="Times New Roman"/>
                <w:b/>
                <w:sz w:val="24"/>
                <w:szCs w:val="24"/>
              </w:rPr>
            </w:pPr>
            <w:r w:rsidRPr="00394625">
              <w:rPr>
                <w:rFonts w:ascii="Times New Roman" w:eastAsia="Times New Roman" w:hAnsi="Times New Roman" w:cs="Times New Roman"/>
                <w:b/>
                <w:sz w:val="24"/>
                <w:szCs w:val="24"/>
              </w:rPr>
              <w:t>Statement</w:t>
            </w:r>
          </w:p>
        </w:tc>
      </w:tr>
      <w:tr w:rsidR="00394625" w:rsidTr="00394625">
        <w:tc>
          <w:tcPr>
            <w:tcW w:w="1795" w:type="dxa"/>
          </w:tcPr>
          <w:p w:rsidR="00394625" w:rsidRPr="00394625" w:rsidRDefault="00394625" w:rsidP="000A1D60">
            <w:pPr>
              <w:rPr>
                <w:rFonts w:ascii="Times New Roman" w:eastAsia="Times New Roman" w:hAnsi="Times New Roman" w:cs="Times New Roman"/>
                <w:b/>
                <w:sz w:val="24"/>
                <w:szCs w:val="24"/>
                <w:vertAlign w:val="subscript"/>
              </w:rPr>
            </w:pPr>
            <w:r w:rsidRPr="00394625">
              <w:rPr>
                <w:rFonts w:ascii="Times New Roman" w:eastAsia="Times New Roman" w:hAnsi="Times New Roman" w:cs="Times New Roman"/>
                <w:b/>
                <w:sz w:val="24"/>
                <w:szCs w:val="24"/>
              </w:rPr>
              <w:t>H</w:t>
            </w:r>
            <w:r w:rsidRPr="00394625">
              <w:rPr>
                <w:rFonts w:ascii="Times New Roman" w:eastAsia="Times New Roman" w:hAnsi="Times New Roman" w:cs="Times New Roman"/>
                <w:b/>
                <w:sz w:val="24"/>
                <w:szCs w:val="24"/>
                <w:vertAlign w:val="subscript"/>
              </w:rPr>
              <w:t>01</w:t>
            </w:r>
          </w:p>
        </w:tc>
        <w:tc>
          <w:tcPr>
            <w:tcW w:w="7555" w:type="dxa"/>
          </w:tcPr>
          <w:p w:rsidR="00394625" w:rsidRDefault="00394625" w:rsidP="00394625">
            <w:pPr>
              <w:pStyle w:val="NormalWeb"/>
              <w:jc w:val="both"/>
            </w:pPr>
            <w:r w:rsidRPr="00171D57">
              <w:t>There is no significant association between the role of tax consultants in helping taxpayers understand the impact of tax provisions on tax planning and tax liabilities with demographic variables such as Gender, Age, Qualifi</w:t>
            </w:r>
            <w:r>
              <w:t>cation, Profession, and Income.</w:t>
            </w:r>
          </w:p>
        </w:tc>
      </w:tr>
      <w:tr w:rsidR="00394625" w:rsidTr="00366BD4">
        <w:trPr>
          <w:trHeight w:val="1007"/>
        </w:trPr>
        <w:tc>
          <w:tcPr>
            <w:tcW w:w="1795" w:type="dxa"/>
          </w:tcPr>
          <w:p w:rsidR="00394625" w:rsidRPr="00394625" w:rsidRDefault="00394625" w:rsidP="000A1D60">
            <w:pPr>
              <w:rPr>
                <w:rFonts w:ascii="Times New Roman" w:eastAsia="Times New Roman" w:hAnsi="Times New Roman" w:cs="Times New Roman"/>
                <w:b/>
                <w:sz w:val="24"/>
                <w:szCs w:val="24"/>
                <w:vertAlign w:val="subscript"/>
              </w:rPr>
            </w:pPr>
            <w:r w:rsidRPr="00394625">
              <w:rPr>
                <w:rFonts w:ascii="Times New Roman" w:eastAsia="Times New Roman" w:hAnsi="Times New Roman" w:cs="Times New Roman"/>
                <w:b/>
                <w:sz w:val="24"/>
                <w:szCs w:val="24"/>
              </w:rPr>
              <w:t>H</w:t>
            </w:r>
            <w:r w:rsidRPr="00394625">
              <w:rPr>
                <w:rFonts w:ascii="Times New Roman" w:eastAsia="Times New Roman" w:hAnsi="Times New Roman" w:cs="Times New Roman"/>
                <w:b/>
                <w:sz w:val="24"/>
                <w:szCs w:val="24"/>
                <w:vertAlign w:val="subscript"/>
              </w:rPr>
              <w:t>02</w:t>
            </w:r>
          </w:p>
        </w:tc>
        <w:tc>
          <w:tcPr>
            <w:tcW w:w="7555" w:type="dxa"/>
          </w:tcPr>
          <w:p w:rsidR="00394625" w:rsidRDefault="00366BD4" w:rsidP="008A7F40">
            <w:pPr>
              <w:pStyle w:val="NormalWeb"/>
              <w:jc w:val="both"/>
            </w:pPr>
            <w:r w:rsidRPr="00171D57">
              <w:t>There is no significant association between demographic variables (Gender, Age, Qualification, Profession, and Income) and tax planning awareness among individual taxpayers.</w:t>
            </w:r>
            <w:bookmarkStart w:id="0" w:name="_GoBack"/>
            <w:bookmarkEnd w:id="0"/>
          </w:p>
        </w:tc>
      </w:tr>
    </w:tbl>
    <w:p w:rsidR="00394625" w:rsidRPr="00171D57" w:rsidRDefault="00394625" w:rsidP="000A1D60">
      <w:pPr>
        <w:spacing w:after="0" w:line="240" w:lineRule="auto"/>
        <w:rPr>
          <w:rFonts w:ascii="Times New Roman" w:eastAsia="Times New Roman" w:hAnsi="Times New Roman" w:cs="Times New Roman"/>
          <w:sz w:val="24"/>
          <w:szCs w:val="24"/>
        </w:rPr>
      </w:pPr>
    </w:p>
    <w:p w:rsidR="008E5EDB" w:rsidRPr="00171D57" w:rsidRDefault="008E5EDB" w:rsidP="000A1D60">
      <w:pPr>
        <w:spacing w:after="0" w:line="240" w:lineRule="auto"/>
        <w:jc w:val="both"/>
        <w:rPr>
          <w:rFonts w:ascii="Times New Roman" w:eastAsia="Times New Roman" w:hAnsi="Times New Roman" w:cs="Times New Roman"/>
          <w:b/>
          <w:sz w:val="28"/>
          <w:szCs w:val="24"/>
        </w:rPr>
      </w:pPr>
      <w:r w:rsidRPr="00171D57">
        <w:rPr>
          <w:rFonts w:ascii="Times New Roman" w:eastAsia="Times New Roman" w:hAnsi="Times New Roman" w:cs="Times New Roman"/>
          <w:b/>
          <w:sz w:val="28"/>
          <w:szCs w:val="24"/>
        </w:rPr>
        <w:t>4. DATA ANALYSIS</w:t>
      </w:r>
    </w:p>
    <w:p w:rsidR="000A1D60" w:rsidRDefault="000A1D60" w:rsidP="000A1D60">
      <w:pPr>
        <w:pStyle w:val="Heading1"/>
        <w:spacing w:before="0" w:line="240" w:lineRule="auto"/>
        <w:rPr>
          <w:rFonts w:ascii="Times New Roman" w:hAnsi="Times New Roman" w:cs="Times New Roman"/>
          <w:b/>
          <w:color w:val="auto"/>
          <w:sz w:val="24"/>
        </w:rPr>
      </w:pPr>
      <w:r>
        <w:rPr>
          <w:rFonts w:ascii="Times New Roman" w:hAnsi="Times New Roman" w:cs="Times New Roman"/>
          <w:b/>
          <w:color w:val="auto"/>
          <w:sz w:val="24"/>
        </w:rPr>
        <w:t xml:space="preserve">4.1 </w:t>
      </w:r>
      <w:r w:rsidR="00171D57" w:rsidRPr="00171D57">
        <w:rPr>
          <w:rFonts w:ascii="Times New Roman" w:hAnsi="Times New Roman" w:cs="Times New Roman"/>
          <w:b/>
          <w:color w:val="auto"/>
          <w:sz w:val="24"/>
        </w:rPr>
        <w:t>PERCENTAGE ANALYSIS</w:t>
      </w:r>
    </w:p>
    <w:p w:rsidR="00171D57" w:rsidRPr="000A1D60" w:rsidRDefault="00171D57" w:rsidP="000A1D60">
      <w:pPr>
        <w:jc w:val="both"/>
        <w:rPr>
          <w:rFonts w:ascii="Times New Roman" w:hAnsi="Times New Roman" w:cs="Times New Roman"/>
          <w:b/>
          <w:sz w:val="28"/>
        </w:rPr>
      </w:pPr>
      <w:r w:rsidRPr="000A1D60">
        <w:rPr>
          <w:rFonts w:ascii="Times New Roman" w:hAnsi="Times New Roman" w:cs="Times New Roman"/>
          <w:sz w:val="24"/>
        </w:rPr>
        <w:t>Percentage analysis is used to interpret and present the collected data in a simplified and meaningful manner. It helps in understanding the proportion of respondents belonging to different categories and analysing their level of awareness regarding tax planning practices.</w:t>
      </w:r>
    </w:p>
    <w:p w:rsidR="00171D57" w:rsidRDefault="00171D57" w:rsidP="000A1D60">
      <w:pPr>
        <w:pStyle w:val="NormalWeb"/>
        <w:jc w:val="both"/>
      </w:pPr>
      <w:r w:rsidRPr="00171D57">
        <w:t xml:space="preserve">The percentage analysis for the study </w:t>
      </w:r>
      <w:r w:rsidRPr="00171D57">
        <w:rPr>
          <w:rStyle w:val="Emphasis"/>
        </w:rPr>
        <w:t>“Exploring Tax Planning Awareness Among Individual Taxpayers in Indore City”</w:t>
      </w:r>
      <w:r w:rsidRPr="00171D57">
        <w:t xml:space="preserve"> is presented below:</w:t>
      </w:r>
    </w:p>
    <w:p w:rsidR="00171D57" w:rsidRPr="0035784B" w:rsidRDefault="0035784B" w:rsidP="000A1D60">
      <w:pPr>
        <w:pStyle w:val="NormalWeb"/>
        <w:jc w:val="center"/>
        <w:rPr>
          <w:b/>
        </w:rPr>
      </w:pPr>
      <w:r w:rsidRPr="0035784B">
        <w:rPr>
          <w:b/>
        </w:rPr>
        <w:t>Percentage Analysis of Respondents by Age Group</w:t>
      </w:r>
    </w:p>
    <w:tbl>
      <w:tblPr>
        <w:tblW w:w="92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45"/>
        <w:gridCol w:w="2600"/>
        <w:gridCol w:w="2653"/>
      </w:tblGrid>
      <w:tr w:rsidR="00171D57" w:rsidRPr="00171D57" w:rsidTr="00171D57">
        <w:trPr>
          <w:trHeight w:val="407"/>
          <w:tblHeader/>
          <w:tblCellSpacing w:w="15" w:type="dxa"/>
        </w:trPr>
        <w:tc>
          <w:tcPr>
            <w:tcW w:w="400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Age Group</w:t>
            </w:r>
          </w:p>
        </w:tc>
        <w:tc>
          <w:tcPr>
            <w:tcW w:w="257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171D57">
        <w:trPr>
          <w:trHeight w:val="393"/>
          <w:tblCellSpacing w:w="15" w:type="dxa"/>
        </w:trPr>
        <w:tc>
          <w:tcPr>
            <w:tcW w:w="400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20–30 Years</w:t>
            </w:r>
            <w:r w:rsidR="000A1D60">
              <w:rPr>
                <w:rFonts w:ascii="Times New Roman" w:hAnsi="Times New Roman" w:cs="Times New Roman"/>
              </w:rPr>
              <w:t xml:space="preserve"> </w:t>
            </w:r>
          </w:p>
        </w:tc>
        <w:tc>
          <w:tcPr>
            <w:tcW w:w="25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52</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26%</w:t>
            </w:r>
          </w:p>
        </w:tc>
      </w:tr>
      <w:tr w:rsidR="00171D57" w:rsidRPr="00171D57" w:rsidTr="00171D57">
        <w:trPr>
          <w:trHeight w:val="393"/>
          <w:tblCellSpacing w:w="15" w:type="dxa"/>
        </w:trPr>
        <w:tc>
          <w:tcPr>
            <w:tcW w:w="400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31–40 Years</w:t>
            </w:r>
          </w:p>
        </w:tc>
        <w:tc>
          <w:tcPr>
            <w:tcW w:w="25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68</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34%</w:t>
            </w:r>
          </w:p>
        </w:tc>
      </w:tr>
      <w:tr w:rsidR="00171D57" w:rsidRPr="00171D57" w:rsidTr="00171D57">
        <w:trPr>
          <w:trHeight w:val="393"/>
          <w:tblCellSpacing w:w="15" w:type="dxa"/>
        </w:trPr>
        <w:tc>
          <w:tcPr>
            <w:tcW w:w="400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41–50 Years</w:t>
            </w:r>
          </w:p>
        </w:tc>
        <w:tc>
          <w:tcPr>
            <w:tcW w:w="25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46</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23%</w:t>
            </w:r>
          </w:p>
        </w:tc>
      </w:tr>
      <w:tr w:rsidR="00171D57" w:rsidRPr="00171D57" w:rsidTr="00171D57">
        <w:trPr>
          <w:trHeight w:val="407"/>
          <w:tblCellSpacing w:w="15" w:type="dxa"/>
        </w:trPr>
        <w:tc>
          <w:tcPr>
            <w:tcW w:w="400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Above 50 Years</w:t>
            </w:r>
          </w:p>
        </w:tc>
        <w:tc>
          <w:tcPr>
            <w:tcW w:w="25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34</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17%</w:t>
            </w:r>
          </w:p>
        </w:tc>
      </w:tr>
      <w:tr w:rsidR="00171D57" w:rsidRPr="00171D57" w:rsidTr="00171D57">
        <w:trPr>
          <w:trHeight w:val="407"/>
          <w:tblCellSpacing w:w="15" w:type="dxa"/>
        </w:trPr>
        <w:tc>
          <w:tcPr>
            <w:tcW w:w="400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Total</w:t>
            </w:r>
          </w:p>
        </w:tc>
        <w:tc>
          <w:tcPr>
            <w:tcW w:w="257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100%</w:t>
            </w:r>
          </w:p>
        </w:tc>
      </w:tr>
    </w:tbl>
    <w:p w:rsidR="00171D57" w:rsidRDefault="0035784B" w:rsidP="00171D57">
      <w:pPr>
        <w:pStyle w:val="Heading3"/>
        <w:jc w:val="center"/>
        <w:rPr>
          <w:rFonts w:ascii="Times New Roman" w:hAnsi="Times New Roman" w:cs="Times New Roman"/>
          <w:b/>
          <w:color w:val="auto"/>
        </w:rPr>
      </w:pPr>
      <w:r>
        <w:rPr>
          <w:rFonts w:ascii="Times New Roman" w:hAnsi="Times New Roman" w:cs="Times New Roman"/>
          <w:color w:val="auto"/>
        </w:rPr>
        <w:t>Table 1</w:t>
      </w:r>
    </w:p>
    <w:p w:rsidR="00171D57" w:rsidRPr="00171D57" w:rsidRDefault="00171D57" w:rsidP="000A1D60">
      <w:pPr>
        <w:pStyle w:val="Heading3"/>
        <w:spacing w:before="0"/>
        <w:rPr>
          <w:rFonts w:ascii="Times New Roman" w:hAnsi="Times New Roman" w:cs="Times New Roman"/>
          <w:b/>
          <w:color w:val="auto"/>
        </w:rPr>
      </w:pPr>
      <w:r w:rsidRPr="00171D57">
        <w:rPr>
          <w:rFonts w:ascii="Times New Roman" w:hAnsi="Times New Roman" w:cs="Times New Roman"/>
          <w:b/>
          <w:color w:val="auto"/>
        </w:rPr>
        <w:t>Analysis</w:t>
      </w:r>
    </w:p>
    <w:p w:rsidR="00171D57" w:rsidRDefault="00171D57" w:rsidP="000A1D60">
      <w:pPr>
        <w:pStyle w:val="NormalWeb"/>
        <w:spacing w:before="0" w:beforeAutospacing="0"/>
        <w:jc w:val="both"/>
      </w:pPr>
      <w:r w:rsidRPr="00171D57">
        <w:t>The majority of respondents (34%) belong to the age group of 31–40 years, indicating that middle-aged taxpayers are more actively involved in tax planning activities. Respondents above 50 years constitute the lowest proportion (17%).</w:t>
      </w:r>
    </w:p>
    <w:p w:rsidR="00394625" w:rsidRDefault="00394625" w:rsidP="000A1D60">
      <w:pPr>
        <w:pStyle w:val="NormalWeb"/>
        <w:spacing w:before="0" w:beforeAutospacing="0"/>
        <w:jc w:val="both"/>
      </w:pPr>
    </w:p>
    <w:p w:rsidR="00394625" w:rsidRDefault="00394625" w:rsidP="000A1D60">
      <w:pPr>
        <w:pStyle w:val="NormalWeb"/>
        <w:spacing w:before="0" w:beforeAutospacing="0"/>
        <w:jc w:val="both"/>
      </w:pPr>
    </w:p>
    <w:p w:rsidR="00394625" w:rsidRDefault="00394625" w:rsidP="000A1D60">
      <w:pPr>
        <w:pStyle w:val="NormalWeb"/>
        <w:spacing w:before="0" w:beforeAutospacing="0"/>
        <w:jc w:val="both"/>
      </w:pPr>
    </w:p>
    <w:p w:rsidR="00394625" w:rsidRDefault="00394625" w:rsidP="000A1D60">
      <w:pPr>
        <w:pStyle w:val="NormalWeb"/>
        <w:spacing w:before="0" w:beforeAutospacing="0"/>
        <w:jc w:val="both"/>
      </w:pPr>
    </w:p>
    <w:p w:rsidR="00171D57" w:rsidRPr="000A1D60" w:rsidRDefault="000A1D60" w:rsidP="000A1D60">
      <w:pPr>
        <w:pStyle w:val="NormalWeb"/>
        <w:spacing w:before="0" w:beforeAutospacing="0"/>
        <w:jc w:val="center"/>
        <w:rPr>
          <w:b/>
        </w:rPr>
      </w:pPr>
      <w:r w:rsidRPr="000A1D60">
        <w:rPr>
          <w:b/>
        </w:rPr>
        <w:t>Percentage Analysis by Gender</w:t>
      </w:r>
    </w:p>
    <w:tbl>
      <w:tblPr>
        <w:tblW w:w="92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2700"/>
        <w:gridCol w:w="2200"/>
      </w:tblGrid>
      <w:tr w:rsidR="00171D57" w:rsidRPr="00171D57" w:rsidTr="00171D57">
        <w:trPr>
          <w:trHeight w:val="503"/>
          <w:tblHeader/>
          <w:tblCellSpacing w:w="15" w:type="dxa"/>
        </w:trPr>
        <w:tc>
          <w:tcPr>
            <w:tcW w:w="427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Gender</w:t>
            </w:r>
          </w:p>
        </w:tc>
        <w:tc>
          <w:tcPr>
            <w:tcW w:w="267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2155"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171D57">
        <w:trPr>
          <w:trHeight w:val="486"/>
          <w:tblCellSpacing w:w="15" w:type="dxa"/>
        </w:trPr>
        <w:tc>
          <w:tcPr>
            <w:tcW w:w="42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Male</w:t>
            </w:r>
          </w:p>
        </w:tc>
        <w:tc>
          <w:tcPr>
            <w:tcW w:w="26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124</w:t>
            </w:r>
          </w:p>
        </w:tc>
        <w:tc>
          <w:tcPr>
            <w:tcW w:w="2155"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62%</w:t>
            </w:r>
          </w:p>
        </w:tc>
      </w:tr>
      <w:tr w:rsidR="00171D57" w:rsidRPr="00171D57" w:rsidTr="00171D57">
        <w:trPr>
          <w:trHeight w:val="486"/>
          <w:tblCellSpacing w:w="15" w:type="dxa"/>
        </w:trPr>
        <w:tc>
          <w:tcPr>
            <w:tcW w:w="42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Female</w:t>
            </w:r>
          </w:p>
        </w:tc>
        <w:tc>
          <w:tcPr>
            <w:tcW w:w="26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76</w:t>
            </w:r>
          </w:p>
        </w:tc>
        <w:tc>
          <w:tcPr>
            <w:tcW w:w="2155"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38%</w:t>
            </w:r>
          </w:p>
        </w:tc>
      </w:tr>
      <w:tr w:rsidR="00171D57" w:rsidRPr="00171D57" w:rsidTr="00171D57">
        <w:trPr>
          <w:trHeight w:val="503"/>
          <w:tblCellSpacing w:w="15" w:type="dxa"/>
        </w:trPr>
        <w:tc>
          <w:tcPr>
            <w:tcW w:w="427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Total</w:t>
            </w:r>
          </w:p>
        </w:tc>
        <w:tc>
          <w:tcPr>
            <w:tcW w:w="267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200</w:t>
            </w:r>
          </w:p>
        </w:tc>
        <w:tc>
          <w:tcPr>
            <w:tcW w:w="2155"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100%</w:t>
            </w:r>
          </w:p>
        </w:tc>
      </w:tr>
    </w:tbl>
    <w:p w:rsidR="00171D57" w:rsidRPr="00171D57" w:rsidRDefault="000A1D60" w:rsidP="000A1D60">
      <w:pPr>
        <w:pStyle w:val="Heading3"/>
        <w:jc w:val="center"/>
        <w:rPr>
          <w:rFonts w:ascii="Times New Roman" w:hAnsi="Times New Roman" w:cs="Times New Roman"/>
        </w:rPr>
      </w:pPr>
      <w:r>
        <w:rPr>
          <w:rFonts w:ascii="Times New Roman" w:hAnsi="Times New Roman" w:cs="Times New Roman"/>
          <w:color w:val="auto"/>
        </w:rPr>
        <w:t>Table 2</w:t>
      </w:r>
    </w:p>
    <w:p w:rsidR="00171D57" w:rsidRPr="00171D57" w:rsidRDefault="00171D57" w:rsidP="00171D57">
      <w:pPr>
        <w:pStyle w:val="Heading3"/>
        <w:jc w:val="both"/>
        <w:rPr>
          <w:rFonts w:ascii="Times New Roman" w:hAnsi="Times New Roman" w:cs="Times New Roman"/>
          <w:b/>
          <w:color w:val="auto"/>
        </w:rPr>
      </w:pPr>
      <w:r w:rsidRPr="00171D57">
        <w:rPr>
          <w:rFonts w:ascii="Times New Roman" w:hAnsi="Times New Roman" w:cs="Times New Roman"/>
          <w:b/>
          <w:color w:val="auto"/>
        </w:rPr>
        <w:t>Analysis</w:t>
      </w:r>
    </w:p>
    <w:p w:rsidR="000A1D60" w:rsidRDefault="00171D57" w:rsidP="00171D57">
      <w:pPr>
        <w:pStyle w:val="NormalWeb"/>
        <w:jc w:val="both"/>
      </w:pPr>
      <w:r w:rsidRPr="00171D57">
        <w:t>The data reveals that male respondents represent 62% of the total sample, while female respondents account for 38%. This indicates relatively higher participation of male taxpayers in the study.</w:t>
      </w:r>
    </w:p>
    <w:p w:rsidR="000A1D60" w:rsidRPr="000A1D60" w:rsidRDefault="000A1D60" w:rsidP="000A1D60">
      <w:pPr>
        <w:pStyle w:val="Heading3"/>
        <w:jc w:val="center"/>
        <w:rPr>
          <w:rFonts w:ascii="Times New Roman" w:hAnsi="Times New Roman" w:cs="Times New Roman"/>
          <w:b/>
          <w:color w:val="auto"/>
        </w:rPr>
      </w:pPr>
      <w:r w:rsidRPr="000A1D60">
        <w:rPr>
          <w:rFonts w:ascii="Times New Roman" w:hAnsi="Times New Roman" w:cs="Times New Roman"/>
          <w:b/>
          <w:color w:val="auto"/>
        </w:rPr>
        <w:t>Percentage Analysis by Educational Qualification</w:t>
      </w:r>
    </w:p>
    <w:tbl>
      <w:tblPr>
        <w:tblW w:w="93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5"/>
        <w:gridCol w:w="2790"/>
        <w:gridCol w:w="1919"/>
      </w:tblGrid>
      <w:tr w:rsidR="00171D57" w:rsidRPr="00171D57" w:rsidTr="00171D57">
        <w:trPr>
          <w:trHeight w:val="487"/>
          <w:tblHeader/>
          <w:tblCellSpacing w:w="15" w:type="dxa"/>
        </w:trPr>
        <w:tc>
          <w:tcPr>
            <w:tcW w:w="463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Qualification</w:t>
            </w:r>
          </w:p>
        </w:tc>
        <w:tc>
          <w:tcPr>
            <w:tcW w:w="276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1874"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171D57">
        <w:trPr>
          <w:trHeight w:val="470"/>
          <w:tblCellSpacing w:w="15" w:type="dxa"/>
        </w:trPr>
        <w:tc>
          <w:tcPr>
            <w:tcW w:w="463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Undergraduate</w:t>
            </w:r>
          </w:p>
        </w:tc>
        <w:tc>
          <w:tcPr>
            <w:tcW w:w="276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48</w:t>
            </w:r>
          </w:p>
        </w:tc>
        <w:tc>
          <w:tcPr>
            <w:tcW w:w="1874"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24%</w:t>
            </w:r>
          </w:p>
        </w:tc>
      </w:tr>
      <w:tr w:rsidR="00171D57" w:rsidRPr="00171D57" w:rsidTr="00171D57">
        <w:trPr>
          <w:trHeight w:val="470"/>
          <w:tblCellSpacing w:w="15" w:type="dxa"/>
        </w:trPr>
        <w:tc>
          <w:tcPr>
            <w:tcW w:w="463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Graduate</w:t>
            </w:r>
          </w:p>
        </w:tc>
        <w:tc>
          <w:tcPr>
            <w:tcW w:w="276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86</w:t>
            </w:r>
          </w:p>
        </w:tc>
        <w:tc>
          <w:tcPr>
            <w:tcW w:w="1874"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43%</w:t>
            </w:r>
          </w:p>
        </w:tc>
      </w:tr>
      <w:tr w:rsidR="00171D57" w:rsidRPr="00171D57" w:rsidTr="00171D57">
        <w:trPr>
          <w:trHeight w:val="470"/>
          <w:tblCellSpacing w:w="15" w:type="dxa"/>
        </w:trPr>
        <w:tc>
          <w:tcPr>
            <w:tcW w:w="463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Postgraduate</w:t>
            </w:r>
          </w:p>
        </w:tc>
        <w:tc>
          <w:tcPr>
            <w:tcW w:w="276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52</w:t>
            </w:r>
          </w:p>
        </w:tc>
        <w:tc>
          <w:tcPr>
            <w:tcW w:w="1874"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26%</w:t>
            </w:r>
          </w:p>
        </w:tc>
      </w:tr>
      <w:tr w:rsidR="00171D57" w:rsidRPr="00171D57" w:rsidTr="00171D57">
        <w:trPr>
          <w:trHeight w:val="487"/>
          <w:tblCellSpacing w:w="15" w:type="dxa"/>
        </w:trPr>
        <w:tc>
          <w:tcPr>
            <w:tcW w:w="463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Professional Qualification</w:t>
            </w:r>
          </w:p>
        </w:tc>
        <w:tc>
          <w:tcPr>
            <w:tcW w:w="276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14</w:t>
            </w:r>
          </w:p>
        </w:tc>
        <w:tc>
          <w:tcPr>
            <w:tcW w:w="1874"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7%</w:t>
            </w:r>
          </w:p>
        </w:tc>
      </w:tr>
      <w:tr w:rsidR="00171D57" w:rsidRPr="00171D57" w:rsidTr="00171D57">
        <w:trPr>
          <w:trHeight w:val="487"/>
          <w:tblCellSpacing w:w="15" w:type="dxa"/>
        </w:trPr>
        <w:tc>
          <w:tcPr>
            <w:tcW w:w="463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Total</w:t>
            </w:r>
          </w:p>
        </w:tc>
        <w:tc>
          <w:tcPr>
            <w:tcW w:w="276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200</w:t>
            </w:r>
          </w:p>
        </w:tc>
        <w:tc>
          <w:tcPr>
            <w:tcW w:w="1874"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100%</w:t>
            </w:r>
          </w:p>
        </w:tc>
      </w:tr>
    </w:tbl>
    <w:p w:rsidR="000A1D60" w:rsidRDefault="000A1D60" w:rsidP="000A1D60">
      <w:pPr>
        <w:pStyle w:val="Heading3"/>
        <w:jc w:val="center"/>
        <w:rPr>
          <w:rFonts w:ascii="Times New Roman" w:hAnsi="Times New Roman" w:cs="Times New Roman"/>
          <w:color w:val="auto"/>
        </w:rPr>
      </w:pPr>
      <w:r>
        <w:rPr>
          <w:rFonts w:ascii="Times New Roman" w:hAnsi="Times New Roman" w:cs="Times New Roman"/>
          <w:color w:val="auto"/>
        </w:rPr>
        <w:t>Table 3</w:t>
      </w:r>
    </w:p>
    <w:p w:rsidR="00171D57" w:rsidRPr="00171D57" w:rsidRDefault="00171D57" w:rsidP="00171D57">
      <w:pPr>
        <w:pStyle w:val="Heading3"/>
        <w:rPr>
          <w:rFonts w:ascii="Times New Roman" w:hAnsi="Times New Roman" w:cs="Times New Roman"/>
          <w:b/>
          <w:color w:val="auto"/>
        </w:rPr>
      </w:pPr>
      <w:r w:rsidRPr="00171D57">
        <w:rPr>
          <w:rFonts w:ascii="Times New Roman" w:hAnsi="Times New Roman" w:cs="Times New Roman"/>
          <w:b/>
          <w:color w:val="auto"/>
        </w:rPr>
        <w:t>Analysis</w:t>
      </w:r>
    </w:p>
    <w:p w:rsidR="00171D57" w:rsidRDefault="00171D57" w:rsidP="0035784B">
      <w:pPr>
        <w:pStyle w:val="NormalWeb"/>
        <w:jc w:val="both"/>
      </w:pPr>
      <w:r w:rsidRPr="00171D57">
        <w:t>A significant proportion of respondents (43%) are graduates, followed by postgraduates (26%). Professionally qualified respondents constitu</w:t>
      </w:r>
      <w:r w:rsidR="0035784B">
        <w:t>te only 7% of the total sample.</w:t>
      </w:r>
    </w:p>
    <w:p w:rsidR="00394625" w:rsidRDefault="00394625" w:rsidP="000A1D60">
      <w:pPr>
        <w:pStyle w:val="NormalWeb"/>
        <w:jc w:val="center"/>
        <w:rPr>
          <w:b/>
        </w:rPr>
      </w:pPr>
    </w:p>
    <w:p w:rsidR="00394625" w:rsidRDefault="00394625" w:rsidP="000A1D60">
      <w:pPr>
        <w:pStyle w:val="NormalWeb"/>
        <w:jc w:val="center"/>
        <w:rPr>
          <w:b/>
        </w:rPr>
      </w:pPr>
    </w:p>
    <w:p w:rsidR="00394625" w:rsidRDefault="00394625" w:rsidP="000A1D60">
      <w:pPr>
        <w:pStyle w:val="NormalWeb"/>
        <w:jc w:val="center"/>
        <w:rPr>
          <w:b/>
        </w:rPr>
      </w:pPr>
    </w:p>
    <w:p w:rsidR="00394625" w:rsidRDefault="00394625" w:rsidP="000A1D60">
      <w:pPr>
        <w:pStyle w:val="NormalWeb"/>
        <w:jc w:val="center"/>
        <w:rPr>
          <w:b/>
        </w:rPr>
      </w:pPr>
    </w:p>
    <w:p w:rsidR="00394625" w:rsidRDefault="00394625" w:rsidP="000A1D60">
      <w:pPr>
        <w:pStyle w:val="NormalWeb"/>
        <w:jc w:val="center"/>
        <w:rPr>
          <w:b/>
        </w:rPr>
      </w:pPr>
    </w:p>
    <w:p w:rsidR="000A1D60" w:rsidRPr="000A1D60" w:rsidRDefault="000A1D60" w:rsidP="000A1D60">
      <w:pPr>
        <w:pStyle w:val="NormalWeb"/>
        <w:jc w:val="center"/>
        <w:rPr>
          <w:b/>
        </w:rPr>
      </w:pPr>
      <w:r w:rsidRPr="000A1D60">
        <w:rPr>
          <w:b/>
        </w:rPr>
        <w:t>Percentage Analysis by Occupation</w:t>
      </w:r>
    </w:p>
    <w:tbl>
      <w:tblPr>
        <w:tblW w:w="93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5"/>
        <w:gridCol w:w="3150"/>
        <w:gridCol w:w="1962"/>
      </w:tblGrid>
      <w:tr w:rsidR="00171D57" w:rsidRPr="00171D57" w:rsidTr="000A1D60">
        <w:trPr>
          <w:trHeight w:val="424"/>
          <w:tblHeader/>
          <w:tblCellSpacing w:w="15" w:type="dxa"/>
        </w:trPr>
        <w:tc>
          <w:tcPr>
            <w:tcW w:w="418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Occupation</w:t>
            </w:r>
          </w:p>
        </w:tc>
        <w:tc>
          <w:tcPr>
            <w:tcW w:w="312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1917"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0A1D60">
        <w:trPr>
          <w:trHeight w:val="409"/>
          <w:tblCellSpacing w:w="15" w:type="dxa"/>
        </w:trPr>
        <w:tc>
          <w:tcPr>
            <w:tcW w:w="418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Salaried Employee</w:t>
            </w:r>
          </w:p>
        </w:tc>
        <w:tc>
          <w:tcPr>
            <w:tcW w:w="31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82</w:t>
            </w:r>
          </w:p>
        </w:tc>
        <w:tc>
          <w:tcPr>
            <w:tcW w:w="1917"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41%</w:t>
            </w:r>
          </w:p>
        </w:tc>
      </w:tr>
      <w:tr w:rsidR="00171D57" w:rsidRPr="00171D57" w:rsidTr="000A1D60">
        <w:trPr>
          <w:trHeight w:val="409"/>
          <w:tblCellSpacing w:w="15" w:type="dxa"/>
        </w:trPr>
        <w:tc>
          <w:tcPr>
            <w:tcW w:w="418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Business Owner</w:t>
            </w:r>
          </w:p>
        </w:tc>
        <w:tc>
          <w:tcPr>
            <w:tcW w:w="31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54</w:t>
            </w:r>
          </w:p>
        </w:tc>
        <w:tc>
          <w:tcPr>
            <w:tcW w:w="1917"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27%</w:t>
            </w:r>
          </w:p>
        </w:tc>
      </w:tr>
      <w:tr w:rsidR="00171D57" w:rsidRPr="00171D57" w:rsidTr="000A1D60">
        <w:trPr>
          <w:trHeight w:val="409"/>
          <w:tblCellSpacing w:w="15" w:type="dxa"/>
        </w:trPr>
        <w:tc>
          <w:tcPr>
            <w:tcW w:w="418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Professional</w:t>
            </w:r>
          </w:p>
        </w:tc>
        <w:tc>
          <w:tcPr>
            <w:tcW w:w="31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36</w:t>
            </w:r>
          </w:p>
        </w:tc>
        <w:tc>
          <w:tcPr>
            <w:tcW w:w="1917"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18%</w:t>
            </w:r>
          </w:p>
        </w:tc>
      </w:tr>
      <w:tr w:rsidR="00171D57" w:rsidRPr="00171D57" w:rsidTr="000A1D60">
        <w:trPr>
          <w:trHeight w:val="424"/>
          <w:tblCellSpacing w:w="15" w:type="dxa"/>
        </w:trPr>
        <w:tc>
          <w:tcPr>
            <w:tcW w:w="418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Others</w:t>
            </w:r>
          </w:p>
        </w:tc>
        <w:tc>
          <w:tcPr>
            <w:tcW w:w="31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28</w:t>
            </w:r>
          </w:p>
        </w:tc>
        <w:tc>
          <w:tcPr>
            <w:tcW w:w="1917"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14%</w:t>
            </w:r>
          </w:p>
        </w:tc>
      </w:tr>
      <w:tr w:rsidR="00171D57" w:rsidRPr="00171D57" w:rsidTr="000A1D60">
        <w:trPr>
          <w:trHeight w:val="424"/>
          <w:tblCellSpacing w:w="15" w:type="dxa"/>
        </w:trPr>
        <w:tc>
          <w:tcPr>
            <w:tcW w:w="418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Total</w:t>
            </w:r>
          </w:p>
        </w:tc>
        <w:tc>
          <w:tcPr>
            <w:tcW w:w="312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200</w:t>
            </w:r>
          </w:p>
        </w:tc>
        <w:tc>
          <w:tcPr>
            <w:tcW w:w="1917"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100%</w:t>
            </w:r>
          </w:p>
        </w:tc>
      </w:tr>
    </w:tbl>
    <w:p w:rsidR="00171D57" w:rsidRPr="000A1D60" w:rsidRDefault="00171D57" w:rsidP="000A1D60">
      <w:pPr>
        <w:pStyle w:val="Heading3"/>
        <w:jc w:val="center"/>
        <w:rPr>
          <w:rFonts w:ascii="Times New Roman" w:hAnsi="Times New Roman" w:cs="Times New Roman"/>
          <w:color w:val="auto"/>
        </w:rPr>
      </w:pPr>
      <w:r w:rsidRPr="000A1D60">
        <w:rPr>
          <w:rFonts w:ascii="Times New Roman" w:hAnsi="Times New Roman" w:cs="Times New Roman"/>
          <w:color w:val="auto"/>
        </w:rPr>
        <w:t xml:space="preserve">Table </w:t>
      </w:r>
      <w:r w:rsidR="000A1D60">
        <w:rPr>
          <w:rFonts w:ascii="Times New Roman" w:hAnsi="Times New Roman" w:cs="Times New Roman"/>
          <w:color w:val="auto"/>
        </w:rPr>
        <w:t>4</w:t>
      </w:r>
    </w:p>
    <w:p w:rsidR="00171D57" w:rsidRPr="000A1D60" w:rsidRDefault="00171D57" w:rsidP="00171D57">
      <w:pPr>
        <w:pStyle w:val="Heading3"/>
        <w:rPr>
          <w:rFonts w:ascii="Times New Roman" w:hAnsi="Times New Roman" w:cs="Times New Roman"/>
          <w:b/>
          <w:color w:val="auto"/>
        </w:rPr>
      </w:pPr>
      <w:r w:rsidRPr="000A1D60">
        <w:rPr>
          <w:rFonts w:ascii="Times New Roman" w:hAnsi="Times New Roman" w:cs="Times New Roman"/>
          <w:b/>
          <w:color w:val="auto"/>
        </w:rPr>
        <w:t>Analysis</w:t>
      </w:r>
    </w:p>
    <w:p w:rsidR="00171D57" w:rsidRPr="00171D57" w:rsidRDefault="00171D57" w:rsidP="000A1D60">
      <w:pPr>
        <w:pStyle w:val="NormalWeb"/>
        <w:jc w:val="both"/>
      </w:pPr>
      <w:r w:rsidRPr="000A1D60">
        <w:t xml:space="preserve">The majority </w:t>
      </w:r>
      <w:r w:rsidRPr="00171D57">
        <w:t>of respondents are salaried employees (41%), indicating that salaried individuals are more concerned with tax planning and tax-saving investments. Business owners account for 27% of respondents.</w:t>
      </w:r>
    </w:p>
    <w:p w:rsidR="00171D57" w:rsidRPr="00171D57" w:rsidRDefault="00171D57" w:rsidP="00171D57">
      <w:pPr>
        <w:rPr>
          <w:rFonts w:ascii="Times New Roman" w:hAnsi="Times New Roman" w:cs="Times New Roman"/>
        </w:rPr>
      </w:pPr>
    </w:p>
    <w:p w:rsidR="00171D57" w:rsidRPr="000A1D60" w:rsidRDefault="00171D57" w:rsidP="000A1D60">
      <w:pPr>
        <w:pStyle w:val="Heading1"/>
        <w:jc w:val="center"/>
        <w:rPr>
          <w:rFonts w:ascii="Times New Roman" w:hAnsi="Times New Roman" w:cs="Times New Roman"/>
          <w:b/>
        </w:rPr>
      </w:pPr>
      <w:r w:rsidRPr="000A1D60">
        <w:rPr>
          <w:rFonts w:ascii="Times New Roman" w:hAnsi="Times New Roman" w:cs="Times New Roman"/>
          <w:b/>
          <w:color w:val="auto"/>
          <w:sz w:val="24"/>
        </w:rPr>
        <w:t>Percentage Analysis of Tax Planning Awareness</w:t>
      </w:r>
    </w:p>
    <w:tbl>
      <w:tblPr>
        <w:tblW w:w="9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9"/>
        <w:gridCol w:w="3863"/>
        <w:gridCol w:w="2535"/>
      </w:tblGrid>
      <w:tr w:rsidR="00171D57" w:rsidRPr="00171D57" w:rsidTr="000A1D60">
        <w:trPr>
          <w:trHeight w:val="499"/>
          <w:tblHeader/>
          <w:tblCellSpacing w:w="15" w:type="dxa"/>
        </w:trPr>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Awareness Level</w:t>
            </w:r>
          </w:p>
        </w:tc>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0A1D60">
        <w:trPr>
          <w:trHeight w:val="482"/>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Highly Aware</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44</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22%</w:t>
            </w:r>
          </w:p>
        </w:tc>
      </w:tr>
      <w:tr w:rsidR="00171D57" w:rsidRPr="00171D57" w:rsidTr="000A1D60">
        <w:trPr>
          <w:trHeight w:val="482"/>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Moderately Aware</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96</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48%</w:t>
            </w:r>
          </w:p>
        </w:tc>
      </w:tr>
      <w:tr w:rsidR="00171D57" w:rsidRPr="00171D57" w:rsidTr="000A1D60">
        <w:trPr>
          <w:trHeight w:val="482"/>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Slightly Aware</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42</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21%</w:t>
            </w:r>
          </w:p>
        </w:tc>
      </w:tr>
      <w:tr w:rsidR="00171D57" w:rsidRPr="00171D57" w:rsidTr="000A1D60">
        <w:trPr>
          <w:trHeight w:val="499"/>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Not Aware</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18</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9%</w:t>
            </w:r>
          </w:p>
        </w:tc>
      </w:tr>
      <w:tr w:rsidR="00171D57" w:rsidRPr="00171D57" w:rsidTr="000A1D60">
        <w:trPr>
          <w:trHeight w:val="499"/>
          <w:tblCellSpacing w:w="15" w:type="dxa"/>
        </w:trPr>
        <w:tc>
          <w:tcPr>
            <w:tcW w:w="0" w:type="auto"/>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100%</w:t>
            </w:r>
          </w:p>
        </w:tc>
      </w:tr>
    </w:tbl>
    <w:p w:rsidR="000A1D60" w:rsidRPr="000A1D60" w:rsidRDefault="000A1D60" w:rsidP="000A1D60">
      <w:pPr>
        <w:pStyle w:val="Heading3"/>
        <w:jc w:val="center"/>
        <w:rPr>
          <w:rFonts w:ascii="Times New Roman" w:hAnsi="Times New Roman" w:cs="Times New Roman"/>
        </w:rPr>
      </w:pPr>
      <w:r w:rsidRPr="000A1D60">
        <w:rPr>
          <w:rFonts w:ascii="Times New Roman" w:hAnsi="Times New Roman" w:cs="Times New Roman"/>
          <w:color w:val="auto"/>
        </w:rPr>
        <w:t>Table 5</w:t>
      </w:r>
    </w:p>
    <w:p w:rsidR="00171D57" w:rsidRPr="000A1D60" w:rsidRDefault="00171D57" w:rsidP="00171D57">
      <w:pPr>
        <w:pStyle w:val="Heading3"/>
        <w:rPr>
          <w:rFonts w:ascii="Times New Roman" w:hAnsi="Times New Roman" w:cs="Times New Roman"/>
          <w:b/>
          <w:color w:val="auto"/>
        </w:rPr>
      </w:pPr>
      <w:r w:rsidRPr="000A1D60">
        <w:rPr>
          <w:rFonts w:ascii="Times New Roman" w:hAnsi="Times New Roman" w:cs="Times New Roman"/>
          <w:b/>
          <w:color w:val="auto"/>
        </w:rPr>
        <w:t>Analysis</w:t>
      </w:r>
    </w:p>
    <w:p w:rsidR="00171D57" w:rsidRPr="00171D57" w:rsidRDefault="00171D57" w:rsidP="00171D57">
      <w:pPr>
        <w:pStyle w:val="NormalWeb"/>
      </w:pPr>
      <w:r w:rsidRPr="00171D57">
        <w:t>Nearly half of the respondents (48%) possess moderate awareness regarding tax planning practices, while only 22% are highly aware. A small proportion (9%) lack awareness about tax planning provisions.</w:t>
      </w:r>
    </w:p>
    <w:p w:rsidR="00171D57" w:rsidRPr="000A1D60" w:rsidRDefault="00171D57" w:rsidP="000A1D60">
      <w:pPr>
        <w:pStyle w:val="Heading1"/>
        <w:jc w:val="center"/>
        <w:rPr>
          <w:rFonts w:ascii="Times New Roman" w:hAnsi="Times New Roman" w:cs="Times New Roman"/>
          <w:b/>
          <w:sz w:val="24"/>
        </w:rPr>
      </w:pPr>
      <w:r w:rsidRPr="000A1D60">
        <w:rPr>
          <w:rFonts w:ascii="Times New Roman" w:hAnsi="Times New Roman" w:cs="Times New Roman"/>
          <w:b/>
          <w:color w:val="auto"/>
          <w:sz w:val="24"/>
        </w:rPr>
        <w:lastRenderedPageBreak/>
        <w:t>Percentage Analysis of Awareness Regarding Tax-Saving Instruments</w:t>
      </w:r>
    </w:p>
    <w:tbl>
      <w:tblPr>
        <w:tblW w:w="912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37"/>
        <w:gridCol w:w="3131"/>
        <w:gridCol w:w="2060"/>
      </w:tblGrid>
      <w:tr w:rsidR="00171D57" w:rsidRPr="00171D57" w:rsidTr="000A1D60">
        <w:trPr>
          <w:trHeight w:val="506"/>
          <w:tblHeader/>
          <w:tblCellSpacing w:w="15" w:type="dxa"/>
        </w:trPr>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Tax-Saving Instrument</w:t>
            </w:r>
          </w:p>
        </w:tc>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0" w:type="auto"/>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0A1D60">
        <w:trPr>
          <w:trHeight w:val="488"/>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Life Insurance Policies</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112</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56%</w:t>
            </w:r>
          </w:p>
        </w:tc>
      </w:tr>
      <w:tr w:rsidR="00171D57" w:rsidRPr="00171D57" w:rsidTr="000A1D60">
        <w:trPr>
          <w:trHeight w:val="488"/>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Public Provident Fund (PPF)</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72</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36%</w:t>
            </w:r>
          </w:p>
        </w:tc>
      </w:tr>
      <w:tr w:rsidR="00171D57" w:rsidRPr="00171D57" w:rsidTr="000A1D60">
        <w:trPr>
          <w:trHeight w:val="488"/>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Fixed Deposits</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66</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33%</w:t>
            </w:r>
          </w:p>
        </w:tc>
      </w:tr>
      <w:tr w:rsidR="00171D57" w:rsidRPr="00171D57" w:rsidTr="000A1D60">
        <w:trPr>
          <w:trHeight w:val="506"/>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ELSS Mutual Funds</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58</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29%</w:t>
            </w:r>
          </w:p>
        </w:tc>
      </w:tr>
      <w:tr w:rsidR="00171D57" w:rsidRPr="00171D57" w:rsidTr="000A1D60">
        <w:trPr>
          <w:trHeight w:val="506"/>
          <w:tblCellSpacing w:w="15" w:type="dxa"/>
        </w:trPr>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National Pension Scheme (NPS)</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48</w:t>
            </w:r>
          </w:p>
        </w:tc>
        <w:tc>
          <w:tcPr>
            <w:tcW w:w="0" w:type="auto"/>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24%</w:t>
            </w:r>
          </w:p>
        </w:tc>
      </w:tr>
    </w:tbl>
    <w:p w:rsidR="000A1D60" w:rsidRPr="000A1D60" w:rsidRDefault="000A1D60" w:rsidP="000A1D60">
      <w:pPr>
        <w:pStyle w:val="Heading3"/>
        <w:jc w:val="center"/>
        <w:rPr>
          <w:rFonts w:ascii="Times New Roman" w:hAnsi="Times New Roman" w:cs="Times New Roman"/>
          <w:color w:val="auto"/>
        </w:rPr>
      </w:pPr>
      <w:r w:rsidRPr="000A1D60">
        <w:rPr>
          <w:rFonts w:ascii="Times New Roman" w:hAnsi="Times New Roman" w:cs="Times New Roman"/>
          <w:color w:val="auto"/>
        </w:rPr>
        <w:t>Table 6</w:t>
      </w:r>
    </w:p>
    <w:p w:rsidR="00171D57" w:rsidRPr="000A1D60" w:rsidRDefault="00171D57" w:rsidP="00171D57">
      <w:pPr>
        <w:pStyle w:val="Heading3"/>
        <w:rPr>
          <w:rFonts w:ascii="Times New Roman" w:hAnsi="Times New Roman" w:cs="Times New Roman"/>
          <w:b/>
          <w:color w:val="auto"/>
        </w:rPr>
      </w:pPr>
      <w:r w:rsidRPr="000A1D60">
        <w:rPr>
          <w:rFonts w:ascii="Times New Roman" w:hAnsi="Times New Roman" w:cs="Times New Roman"/>
          <w:b/>
          <w:color w:val="auto"/>
        </w:rPr>
        <w:t>Analysis</w:t>
      </w:r>
    </w:p>
    <w:p w:rsidR="00171D57" w:rsidRPr="00171D57" w:rsidRDefault="00171D57" w:rsidP="00171D57">
      <w:pPr>
        <w:pStyle w:val="NormalWeb"/>
      </w:pPr>
      <w:r w:rsidRPr="00171D57">
        <w:t>Life insurance policies are the most recognized tax-saving instrument among respondents, with 56% awareness. Awareness regarding NPS and ELSS mutual funds is comparatively lower.</w:t>
      </w:r>
    </w:p>
    <w:p w:rsidR="00171D57" w:rsidRPr="00171D57" w:rsidRDefault="00171D57" w:rsidP="00171D57">
      <w:pPr>
        <w:rPr>
          <w:rFonts w:ascii="Times New Roman" w:hAnsi="Times New Roman" w:cs="Times New Roman"/>
        </w:rPr>
      </w:pPr>
    </w:p>
    <w:p w:rsidR="00171D57" w:rsidRPr="000A1D60" w:rsidRDefault="00171D57" w:rsidP="000A1D60">
      <w:pPr>
        <w:pStyle w:val="Heading1"/>
        <w:jc w:val="center"/>
        <w:rPr>
          <w:rFonts w:ascii="Times New Roman" w:hAnsi="Times New Roman" w:cs="Times New Roman"/>
          <w:b/>
          <w:color w:val="auto"/>
          <w:sz w:val="24"/>
        </w:rPr>
      </w:pPr>
      <w:r w:rsidRPr="000A1D60">
        <w:rPr>
          <w:rFonts w:ascii="Times New Roman" w:hAnsi="Times New Roman" w:cs="Times New Roman"/>
          <w:b/>
          <w:color w:val="auto"/>
          <w:sz w:val="24"/>
        </w:rPr>
        <w:t>Percentage Analysis of Sources of Tax Planning Information</w:t>
      </w:r>
    </w:p>
    <w:tbl>
      <w:tblPr>
        <w:tblW w:w="92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5"/>
        <w:gridCol w:w="2699"/>
        <w:gridCol w:w="2360"/>
      </w:tblGrid>
      <w:tr w:rsidR="00171D57" w:rsidRPr="000A1D60" w:rsidTr="000A1D60">
        <w:trPr>
          <w:trHeight w:val="560"/>
          <w:tblHeader/>
          <w:tblCellSpacing w:w="15" w:type="dxa"/>
        </w:trPr>
        <w:tc>
          <w:tcPr>
            <w:tcW w:w="4180" w:type="dxa"/>
            <w:vAlign w:val="center"/>
            <w:hideMark/>
          </w:tcPr>
          <w:p w:rsidR="00171D57" w:rsidRPr="000A1D60" w:rsidRDefault="00171D57">
            <w:pPr>
              <w:jc w:val="center"/>
              <w:rPr>
                <w:rFonts w:ascii="Times New Roman" w:hAnsi="Times New Roman" w:cs="Times New Roman"/>
                <w:b/>
                <w:bCs/>
                <w:sz w:val="24"/>
              </w:rPr>
            </w:pPr>
            <w:r w:rsidRPr="000A1D60">
              <w:rPr>
                <w:rFonts w:ascii="Times New Roman" w:hAnsi="Times New Roman" w:cs="Times New Roman"/>
                <w:b/>
                <w:bCs/>
                <w:sz w:val="24"/>
              </w:rPr>
              <w:t>Source of Information</w:t>
            </w:r>
          </w:p>
        </w:tc>
        <w:tc>
          <w:tcPr>
            <w:tcW w:w="2669" w:type="dxa"/>
            <w:vAlign w:val="center"/>
            <w:hideMark/>
          </w:tcPr>
          <w:p w:rsidR="00171D57" w:rsidRPr="000A1D60" w:rsidRDefault="00171D57">
            <w:pPr>
              <w:jc w:val="center"/>
              <w:rPr>
                <w:rFonts w:ascii="Times New Roman" w:hAnsi="Times New Roman" w:cs="Times New Roman"/>
                <w:b/>
                <w:bCs/>
                <w:sz w:val="24"/>
              </w:rPr>
            </w:pPr>
            <w:r w:rsidRPr="000A1D60">
              <w:rPr>
                <w:rFonts w:ascii="Times New Roman" w:hAnsi="Times New Roman" w:cs="Times New Roman"/>
                <w:b/>
                <w:bCs/>
                <w:sz w:val="24"/>
              </w:rPr>
              <w:t>Number of Respondents</w:t>
            </w:r>
          </w:p>
        </w:tc>
        <w:tc>
          <w:tcPr>
            <w:tcW w:w="0" w:type="auto"/>
            <w:vAlign w:val="center"/>
            <w:hideMark/>
          </w:tcPr>
          <w:p w:rsidR="00171D57" w:rsidRPr="000A1D60" w:rsidRDefault="00171D57">
            <w:pPr>
              <w:jc w:val="center"/>
              <w:rPr>
                <w:rFonts w:ascii="Times New Roman" w:hAnsi="Times New Roman" w:cs="Times New Roman"/>
                <w:b/>
                <w:bCs/>
                <w:sz w:val="24"/>
              </w:rPr>
            </w:pPr>
            <w:r w:rsidRPr="000A1D60">
              <w:rPr>
                <w:rFonts w:ascii="Times New Roman" w:hAnsi="Times New Roman" w:cs="Times New Roman"/>
                <w:b/>
                <w:bCs/>
                <w:sz w:val="24"/>
              </w:rPr>
              <w:t>Percentage (%)</w:t>
            </w:r>
          </w:p>
        </w:tc>
      </w:tr>
      <w:tr w:rsidR="00171D57" w:rsidRPr="000A1D60" w:rsidTr="000A1D60">
        <w:trPr>
          <w:trHeight w:val="524"/>
          <w:tblCellSpacing w:w="15" w:type="dxa"/>
        </w:trPr>
        <w:tc>
          <w:tcPr>
            <w:tcW w:w="4180"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Chartered Accountant</w:t>
            </w:r>
          </w:p>
        </w:tc>
        <w:tc>
          <w:tcPr>
            <w:tcW w:w="2669"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74</w:t>
            </w:r>
          </w:p>
        </w:tc>
        <w:tc>
          <w:tcPr>
            <w:tcW w:w="0" w:type="auto"/>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37%</w:t>
            </w:r>
          </w:p>
        </w:tc>
      </w:tr>
      <w:tr w:rsidR="00171D57" w:rsidRPr="000A1D60" w:rsidTr="000A1D60">
        <w:trPr>
          <w:trHeight w:val="542"/>
          <w:tblCellSpacing w:w="15" w:type="dxa"/>
        </w:trPr>
        <w:tc>
          <w:tcPr>
            <w:tcW w:w="4180"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Internet/Social Media</w:t>
            </w:r>
          </w:p>
        </w:tc>
        <w:tc>
          <w:tcPr>
            <w:tcW w:w="2669"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48</w:t>
            </w:r>
          </w:p>
        </w:tc>
        <w:tc>
          <w:tcPr>
            <w:tcW w:w="0" w:type="auto"/>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24%</w:t>
            </w:r>
          </w:p>
        </w:tc>
      </w:tr>
      <w:tr w:rsidR="00171D57" w:rsidRPr="000A1D60" w:rsidTr="000A1D60">
        <w:trPr>
          <w:trHeight w:val="542"/>
          <w:tblCellSpacing w:w="15" w:type="dxa"/>
        </w:trPr>
        <w:tc>
          <w:tcPr>
            <w:tcW w:w="4180"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Friends &amp; Family</w:t>
            </w:r>
          </w:p>
        </w:tc>
        <w:tc>
          <w:tcPr>
            <w:tcW w:w="2669"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32</w:t>
            </w:r>
          </w:p>
        </w:tc>
        <w:tc>
          <w:tcPr>
            <w:tcW w:w="0" w:type="auto"/>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16%</w:t>
            </w:r>
          </w:p>
        </w:tc>
      </w:tr>
      <w:tr w:rsidR="00171D57" w:rsidRPr="000A1D60" w:rsidTr="000A1D60">
        <w:trPr>
          <w:trHeight w:val="542"/>
          <w:tblCellSpacing w:w="15" w:type="dxa"/>
        </w:trPr>
        <w:tc>
          <w:tcPr>
            <w:tcW w:w="4180"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Employer/Organization</w:t>
            </w:r>
          </w:p>
        </w:tc>
        <w:tc>
          <w:tcPr>
            <w:tcW w:w="2669"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28</w:t>
            </w:r>
          </w:p>
        </w:tc>
        <w:tc>
          <w:tcPr>
            <w:tcW w:w="0" w:type="auto"/>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14%</w:t>
            </w:r>
          </w:p>
        </w:tc>
      </w:tr>
      <w:tr w:rsidR="00171D57" w:rsidRPr="000A1D60" w:rsidTr="000A1D60">
        <w:trPr>
          <w:trHeight w:val="542"/>
          <w:tblCellSpacing w:w="15" w:type="dxa"/>
        </w:trPr>
        <w:tc>
          <w:tcPr>
            <w:tcW w:w="4180"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Financial Advisors</w:t>
            </w:r>
          </w:p>
        </w:tc>
        <w:tc>
          <w:tcPr>
            <w:tcW w:w="2669" w:type="dxa"/>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18</w:t>
            </w:r>
          </w:p>
        </w:tc>
        <w:tc>
          <w:tcPr>
            <w:tcW w:w="0" w:type="auto"/>
            <w:vAlign w:val="center"/>
            <w:hideMark/>
          </w:tcPr>
          <w:p w:rsidR="00171D57" w:rsidRPr="000A1D60" w:rsidRDefault="00171D57">
            <w:pPr>
              <w:rPr>
                <w:rFonts w:ascii="Times New Roman" w:hAnsi="Times New Roman" w:cs="Times New Roman"/>
                <w:sz w:val="24"/>
              </w:rPr>
            </w:pPr>
            <w:r w:rsidRPr="000A1D60">
              <w:rPr>
                <w:rFonts w:ascii="Times New Roman" w:hAnsi="Times New Roman" w:cs="Times New Roman"/>
                <w:sz w:val="24"/>
              </w:rPr>
              <w:t>9%</w:t>
            </w:r>
          </w:p>
        </w:tc>
      </w:tr>
      <w:tr w:rsidR="00171D57" w:rsidRPr="000A1D60" w:rsidTr="000A1D60">
        <w:trPr>
          <w:trHeight w:val="542"/>
          <w:tblCellSpacing w:w="15" w:type="dxa"/>
        </w:trPr>
        <w:tc>
          <w:tcPr>
            <w:tcW w:w="4180" w:type="dxa"/>
            <w:vAlign w:val="center"/>
            <w:hideMark/>
          </w:tcPr>
          <w:p w:rsidR="00171D57" w:rsidRPr="000A1D60" w:rsidRDefault="00171D57">
            <w:pPr>
              <w:rPr>
                <w:rFonts w:ascii="Times New Roman" w:hAnsi="Times New Roman" w:cs="Times New Roman"/>
                <w:sz w:val="24"/>
              </w:rPr>
            </w:pPr>
            <w:r w:rsidRPr="000A1D60">
              <w:rPr>
                <w:rStyle w:val="Strong"/>
                <w:rFonts w:ascii="Times New Roman" w:hAnsi="Times New Roman" w:cs="Times New Roman"/>
                <w:sz w:val="24"/>
              </w:rPr>
              <w:t>Total</w:t>
            </w:r>
          </w:p>
        </w:tc>
        <w:tc>
          <w:tcPr>
            <w:tcW w:w="2669" w:type="dxa"/>
            <w:vAlign w:val="center"/>
            <w:hideMark/>
          </w:tcPr>
          <w:p w:rsidR="00171D57" w:rsidRPr="000A1D60" w:rsidRDefault="00171D57">
            <w:pPr>
              <w:rPr>
                <w:rFonts w:ascii="Times New Roman" w:hAnsi="Times New Roman" w:cs="Times New Roman"/>
                <w:sz w:val="24"/>
              </w:rPr>
            </w:pPr>
            <w:r w:rsidRPr="000A1D60">
              <w:rPr>
                <w:rStyle w:val="Strong"/>
                <w:rFonts w:ascii="Times New Roman" w:hAnsi="Times New Roman" w:cs="Times New Roman"/>
                <w:sz w:val="24"/>
              </w:rPr>
              <w:t>200</w:t>
            </w:r>
          </w:p>
        </w:tc>
        <w:tc>
          <w:tcPr>
            <w:tcW w:w="0" w:type="auto"/>
            <w:vAlign w:val="center"/>
            <w:hideMark/>
          </w:tcPr>
          <w:p w:rsidR="00171D57" w:rsidRPr="000A1D60" w:rsidRDefault="00171D57">
            <w:pPr>
              <w:rPr>
                <w:rFonts w:ascii="Times New Roman" w:hAnsi="Times New Roman" w:cs="Times New Roman"/>
                <w:sz w:val="24"/>
              </w:rPr>
            </w:pPr>
            <w:r w:rsidRPr="000A1D60">
              <w:rPr>
                <w:rStyle w:val="Strong"/>
                <w:rFonts w:ascii="Times New Roman" w:hAnsi="Times New Roman" w:cs="Times New Roman"/>
                <w:sz w:val="24"/>
              </w:rPr>
              <w:t>100%</w:t>
            </w:r>
          </w:p>
        </w:tc>
      </w:tr>
    </w:tbl>
    <w:p w:rsidR="000A1D60" w:rsidRPr="000A1D60" w:rsidRDefault="000A1D60" w:rsidP="000A1D60">
      <w:pPr>
        <w:pStyle w:val="Heading3"/>
        <w:jc w:val="center"/>
        <w:rPr>
          <w:rFonts w:ascii="Times New Roman" w:hAnsi="Times New Roman" w:cs="Times New Roman"/>
        </w:rPr>
      </w:pPr>
      <w:r w:rsidRPr="000A1D60">
        <w:rPr>
          <w:rFonts w:ascii="Times New Roman" w:hAnsi="Times New Roman" w:cs="Times New Roman"/>
          <w:color w:val="auto"/>
        </w:rPr>
        <w:t>Table 7</w:t>
      </w:r>
    </w:p>
    <w:p w:rsidR="00171D57" w:rsidRPr="000A1D60" w:rsidRDefault="00171D57" w:rsidP="00171D57">
      <w:pPr>
        <w:pStyle w:val="Heading3"/>
        <w:rPr>
          <w:rFonts w:ascii="Times New Roman" w:hAnsi="Times New Roman" w:cs="Times New Roman"/>
          <w:b/>
          <w:color w:val="auto"/>
        </w:rPr>
      </w:pPr>
      <w:r w:rsidRPr="000A1D60">
        <w:rPr>
          <w:rFonts w:ascii="Times New Roman" w:hAnsi="Times New Roman" w:cs="Times New Roman"/>
          <w:b/>
          <w:color w:val="auto"/>
        </w:rPr>
        <w:t>Analysis</w:t>
      </w:r>
    </w:p>
    <w:p w:rsidR="00171D57" w:rsidRPr="00171D57" w:rsidRDefault="00171D57" w:rsidP="000A1D60">
      <w:pPr>
        <w:pStyle w:val="NormalWeb"/>
      </w:pPr>
      <w:r w:rsidRPr="00171D57">
        <w:t xml:space="preserve">Chartered accountants are the primary source of tax planning information for 37% of respondents, highlighting the importance of professional guidance </w:t>
      </w:r>
      <w:r w:rsidR="000A1D60">
        <w:t>in tax-related decision-making.</w:t>
      </w:r>
    </w:p>
    <w:p w:rsidR="00171D57" w:rsidRPr="000A1D60" w:rsidRDefault="00171D57" w:rsidP="000A1D60">
      <w:pPr>
        <w:pStyle w:val="Heading1"/>
        <w:jc w:val="center"/>
        <w:rPr>
          <w:rFonts w:ascii="Times New Roman" w:hAnsi="Times New Roman" w:cs="Times New Roman"/>
          <w:b/>
          <w:color w:val="auto"/>
          <w:sz w:val="24"/>
        </w:rPr>
      </w:pPr>
      <w:r w:rsidRPr="000A1D60">
        <w:rPr>
          <w:rFonts w:ascii="Times New Roman" w:hAnsi="Times New Roman" w:cs="Times New Roman"/>
          <w:b/>
          <w:color w:val="auto"/>
          <w:sz w:val="24"/>
        </w:rPr>
        <w:lastRenderedPageBreak/>
        <w:t>Percentage Analysis of Preference for Professional Tax Assistance</w:t>
      </w:r>
    </w:p>
    <w:tbl>
      <w:tblPr>
        <w:tblW w:w="92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5"/>
        <w:gridCol w:w="3150"/>
        <w:gridCol w:w="2665"/>
      </w:tblGrid>
      <w:tr w:rsidR="00171D57" w:rsidRPr="00171D57" w:rsidTr="000A1D60">
        <w:trPr>
          <w:trHeight w:val="535"/>
          <w:tblHeader/>
          <w:tblCellSpacing w:w="15" w:type="dxa"/>
        </w:trPr>
        <w:tc>
          <w:tcPr>
            <w:tcW w:w="337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Response</w:t>
            </w:r>
          </w:p>
        </w:tc>
        <w:tc>
          <w:tcPr>
            <w:tcW w:w="312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Number of Respondents</w:t>
            </w:r>
          </w:p>
        </w:tc>
        <w:tc>
          <w:tcPr>
            <w:tcW w:w="2620" w:type="dxa"/>
            <w:vAlign w:val="center"/>
            <w:hideMark/>
          </w:tcPr>
          <w:p w:rsidR="00171D57" w:rsidRPr="00171D57" w:rsidRDefault="00171D57">
            <w:pPr>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0A1D60">
        <w:trPr>
          <w:trHeight w:val="516"/>
          <w:tblCellSpacing w:w="15" w:type="dxa"/>
        </w:trPr>
        <w:tc>
          <w:tcPr>
            <w:tcW w:w="33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Yes</w:t>
            </w:r>
          </w:p>
        </w:tc>
        <w:tc>
          <w:tcPr>
            <w:tcW w:w="31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132</w:t>
            </w:r>
          </w:p>
        </w:tc>
        <w:tc>
          <w:tcPr>
            <w:tcW w:w="26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66%</w:t>
            </w:r>
          </w:p>
        </w:tc>
      </w:tr>
      <w:tr w:rsidR="00171D57" w:rsidRPr="00171D57" w:rsidTr="000A1D60">
        <w:trPr>
          <w:trHeight w:val="516"/>
          <w:tblCellSpacing w:w="15" w:type="dxa"/>
        </w:trPr>
        <w:tc>
          <w:tcPr>
            <w:tcW w:w="337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No</w:t>
            </w:r>
          </w:p>
        </w:tc>
        <w:tc>
          <w:tcPr>
            <w:tcW w:w="31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68</w:t>
            </w:r>
          </w:p>
        </w:tc>
        <w:tc>
          <w:tcPr>
            <w:tcW w:w="2620" w:type="dxa"/>
            <w:vAlign w:val="center"/>
            <w:hideMark/>
          </w:tcPr>
          <w:p w:rsidR="00171D57" w:rsidRPr="00171D57" w:rsidRDefault="00171D57">
            <w:pPr>
              <w:rPr>
                <w:rFonts w:ascii="Times New Roman" w:hAnsi="Times New Roman" w:cs="Times New Roman"/>
              </w:rPr>
            </w:pPr>
            <w:r w:rsidRPr="00171D57">
              <w:rPr>
                <w:rFonts w:ascii="Times New Roman" w:hAnsi="Times New Roman" w:cs="Times New Roman"/>
              </w:rPr>
              <w:t>34%</w:t>
            </w:r>
          </w:p>
        </w:tc>
      </w:tr>
      <w:tr w:rsidR="00171D57" w:rsidRPr="00171D57" w:rsidTr="000A1D60">
        <w:trPr>
          <w:trHeight w:val="535"/>
          <w:tblCellSpacing w:w="15" w:type="dxa"/>
        </w:trPr>
        <w:tc>
          <w:tcPr>
            <w:tcW w:w="337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Total</w:t>
            </w:r>
          </w:p>
        </w:tc>
        <w:tc>
          <w:tcPr>
            <w:tcW w:w="312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200</w:t>
            </w:r>
          </w:p>
        </w:tc>
        <w:tc>
          <w:tcPr>
            <w:tcW w:w="2620" w:type="dxa"/>
            <w:vAlign w:val="center"/>
            <w:hideMark/>
          </w:tcPr>
          <w:p w:rsidR="00171D57" w:rsidRPr="00171D57" w:rsidRDefault="00171D57">
            <w:pPr>
              <w:rPr>
                <w:rFonts w:ascii="Times New Roman" w:hAnsi="Times New Roman" w:cs="Times New Roman"/>
              </w:rPr>
            </w:pPr>
            <w:r w:rsidRPr="00171D57">
              <w:rPr>
                <w:rStyle w:val="Strong"/>
                <w:rFonts w:ascii="Times New Roman" w:hAnsi="Times New Roman" w:cs="Times New Roman"/>
              </w:rPr>
              <w:t>100%</w:t>
            </w:r>
          </w:p>
        </w:tc>
      </w:tr>
    </w:tbl>
    <w:p w:rsidR="000A1D60" w:rsidRPr="000A1D60" w:rsidRDefault="000A1D60" w:rsidP="000A1D60">
      <w:pPr>
        <w:pStyle w:val="Heading3"/>
        <w:jc w:val="center"/>
        <w:rPr>
          <w:rFonts w:ascii="Times New Roman" w:hAnsi="Times New Roman" w:cs="Times New Roman"/>
          <w:color w:val="auto"/>
        </w:rPr>
      </w:pPr>
      <w:r>
        <w:rPr>
          <w:rFonts w:ascii="Times New Roman" w:hAnsi="Times New Roman" w:cs="Times New Roman"/>
          <w:color w:val="auto"/>
        </w:rPr>
        <w:t>Table 8</w:t>
      </w:r>
    </w:p>
    <w:p w:rsidR="00171D57" w:rsidRPr="000A1D60" w:rsidRDefault="00171D57" w:rsidP="00171D57">
      <w:pPr>
        <w:pStyle w:val="Heading3"/>
        <w:rPr>
          <w:rFonts w:ascii="Times New Roman" w:hAnsi="Times New Roman" w:cs="Times New Roman"/>
          <w:b/>
          <w:color w:val="auto"/>
        </w:rPr>
      </w:pPr>
      <w:r w:rsidRPr="000A1D60">
        <w:rPr>
          <w:rFonts w:ascii="Times New Roman" w:hAnsi="Times New Roman" w:cs="Times New Roman"/>
          <w:b/>
          <w:color w:val="auto"/>
        </w:rPr>
        <w:t>Analysis</w:t>
      </w:r>
    </w:p>
    <w:p w:rsidR="00171D57" w:rsidRPr="00171D57" w:rsidRDefault="00171D57" w:rsidP="00171D57">
      <w:pPr>
        <w:pStyle w:val="NormalWeb"/>
      </w:pPr>
      <w:r w:rsidRPr="00171D57">
        <w:t>A majority of respondents (66%) prefer professional tax assistance, indicating reliance on experts for understanding tax provisions and reducing tax liabilities.</w:t>
      </w:r>
    </w:p>
    <w:p w:rsidR="00171D57" w:rsidRPr="00171D57" w:rsidRDefault="00171D57" w:rsidP="00171D57">
      <w:pPr>
        <w:rPr>
          <w:rFonts w:ascii="Times New Roman" w:hAnsi="Times New Roman" w:cs="Times New Roman"/>
        </w:rPr>
      </w:pPr>
    </w:p>
    <w:p w:rsidR="00171D57" w:rsidRPr="00E22E6E" w:rsidRDefault="00171D57" w:rsidP="0002014C">
      <w:pPr>
        <w:pStyle w:val="Heading1"/>
        <w:spacing w:before="0" w:line="240" w:lineRule="auto"/>
        <w:jc w:val="center"/>
        <w:rPr>
          <w:rFonts w:ascii="Times New Roman" w:hAnsi="Times New Roman" w:cs="Times New Roman"/>
          <w:b/>
          <w:color w:val="auto"/>
          <w:sz w:val="24"/>
        </w:rPr>
      </w:pPr>
      <w:r w:rsidRPr="00E22E6E">
        <w:rPr>
          <w:rFonts w:ascii="Times New Roman" w:hAnsi="Times New Roman" w:cs="Times New Roman"/>
          <w:b/>
          <w:color w:val="auto"/>
          <w:sz w:val="24"/>
        </w:rPr>
        <w:t>Percentage Analysis of Satisfaction with Tax Planning Knowledge</w:t>
      </w:r>
    </w:p>
    <w:tbl>
      <w:tblPr>
        <w:tblW w:w="91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4"/>
        <w:gridCol w:w="3828"/>
        <w:gridCol w:w="2512"/>
      </w:tblGrid>
      <w:tr w:rsidR="00171D57" w:rsidRPr="00171D57" w:rsidTr="00E22E6E">
        <w:trPr>
          <w:trHeight w:val="472"/>
          <w:tblHeader/>
          <w:tblCellSpacing w:w="15" w:type="dxa"/>
        </w:trPr>
        <w:tc>
          <w:tcPr>
            <w:tcW w:w="0" w:type="auto"/>
            <w:vAlign w:val="center"/>
            <w:hideMark/>
          </w:tcPr>
          <w:p w:rsidR="00171D57" w:rsidRPr="00171D57" w:rsidRDefault="00171D57" w:rsidP="0002014C">
            <w:pPr>
              <w:spacing w:line="240" w:lineRule="auto"/>
              <w:jc w:val="center"/>
              <w:rPr>
                <w:rFonts w:ascii="Times New Roman" w:hAnsi="Times New Roman" w:cs="Times New Roman"/>
                <w:b/>
                <w:bCs/>
              </w:rPr>
            </w:pPr>
            <w:r w:rsidRPr="00171D57">
              <w:rPr>
                <w:rFonts w:ascii="Times New Roman" w:hAnsi="Times New Roman" w:cs="Times New Roman"/>
                <w:b/>
                <w:bCs/>
              </w:rPr>
              <w:t>Satisfaction Level</w:t>
            </w:r>
          </w:p>
        </w:tc>
        <w:tc>
          <w:tcPr>
            <w:tcW w:w="0" w:type="auto"/>
            <w:vAlign w:val="center"/>
            <w:hideMark/>
          </w:tcPr>
          <w:p w:rsidR="00171D57" w:rsidRPr="00171D57" w:rsidRDefault="00171D57" w:rsidP="0002014C">
            <w:pPr>
              <w:spacing w:line="240" w:lineRule="auto"/>
              <w:jc w:val="center"/>
              <w:rPr>
                <w:rFonts w:ascii="Times New Roman" w:hAnsi="Times New Roman" w:cs="Times New Roman"/>
                <w:b/>
                <w:bCs/>
              </w:rPr>
            </w:pPr>
            <w:r w:rsidRPr="00171D57">
              <w:rPr>
                <w:rFonts w:ascii="Times New Roman" w:hAnsi="Times New Roman" w:cs="Times New Roman"/>
                <w:b/>
                <w:bCs/>
              </w:rPr>
              <w:t>Number of Respondents</w:t>
            </w:r>
          </w:p>
        </w:tc>
        <w:tc>
          <w:tcPr>
            <w:tcW w:w="0" w:type="auto"/>
            <w:vAlign w:val="center"/>
            <w:hideMark/>
          </w:tcPr>
          <w:p w:rsidR="00171D57" w:rsidRPr="00171D57" w:rsidRDefault="00171D57" w:rsidP="0002014C">
            <w:pPr>
              <w:spacing w:line="240" w:lineRule="auto"/>
              <w:jc w:val="center"/>
              <w:rPr>
                <w:rFonts w:ascii="Times New Roman" w:hAnsi="Times New Roman" w:cs="Times New Roman"/>
                <w:b/>
                <w:bCs/>
              </w:rPr>
            </w:pPr>
            <w:r w:rsidRPr="00171D57">
              <w:rPr>
                <w:rFonts w:ascii="Times New Roman" w:hAnsi="Times New Roman" w:cs="Times New Roman"/>
                <w:b/>
                <w:bCs/>
              </w:rPr>
              <w:t>Percentage (%)</w:t>
            </w:r>
          </w:p>
        </w:tc>
      </w:tr>
      <w:tr w:rsidR="00171D57" w:rsidRPr="00171D57" w:rsidTr="00E22E6E">
        <w:trPr>
          <w:trHeight w:val="456"/>
          <w:tblCellSpacing w:w="15" w:type="dxa"/>
        </w:trPr>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Highly Satisfied</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34</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17%</w:t>
            </w:r>
          </w:p>
        </w:tc>
      </w:tr>
      <w:tr w:rsidR="00171D57" w:rsidRPr="00171D57" w:rsidTr="00E22E6E">
        <w:trPr>
          <w:trHeight w:val="456"/>
          <w:tblCellSpacing w:w="15" w:type="dxa"/>
        </w:trPr>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Satisfied</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92</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46%</w:t>
            </w:r>
          </w:p>
        </w:tc>
      </w:tr>
      <w:tr w:rsidR="00171D57" w:rsidRPr="00171D57" w:rsidTr="00E22E6E">
        <w:trPr>
          <w:trHeight w:val="456"/>
          <w:tblCellSpacing w:w="15" w:type="dxa"/>
        </w:trPr>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Neutral</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42</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21%</w:t>
            </w:r>
          </w:p>
        </w:tc>
      </w:tr>
      <w:tr w:rsidR="00171D57" w:rsidRPr="00171D57" w:rsidTr="00E22E6E">
        <w:trPr>
          <w:trHeight w:val="472"/>
          <w:tblCellSpacing w:w="15" w:type="dxa"/>
        </w:trPr>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Dissatisfied</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32</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Fonts w:ascii="Times New Roman" w:hAnsi="Times New Roman" w:cs="Times New Roman"/>
              </w:rPr>
              <w:t>16%</w:t>
            </w:r>
          </w:p>
        </w:tc>
      </w:tr>
      <w:tr w:rsidR="00171D57" w:rsidRPr="00171D57" w:rsidTr="00E22E6E">
        <w:trPr>
          <w:trHeight w:val="472"/>
          <w:tblCellSpacing w:w="15" w:type="dxa"/>
        </w:trPr>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171D57" w:rsidRPr="00171D57" w:rsidRDefault="00171D57" w:rsidP="0002014C">
            <w:pPr>
              <w:spacing w:line="240" w:lineRule="auto"/>
              <w:rPr>
                <w:rFonts w:ascii="Times New Roman" w:hAnsi="Times New Roman" w:cs="Times New Roman"/>
              </w:rPr>
            </w:pPr>
            <w:r w:rsidRPr="00171D57">
              <w:rPr>
                <w:rStyle w:val="Strong"/>
                <w:rFonts w:ascii="Times New Roman" w:hAnsi="Times New Roman" w:cs="Times New Roman"/>
              </w:rPr>
              <w:t>100%</w:t>
            </w:r>
          </w:p>
        </w:tc>
      </w:tr>
    </w:tbl>
    <w:p w:rsidR="00E22E6E" w:rsidRPr="00E22E6E" w:rsidRDefault="00E22E6E" w:rsidP="0002014C">
      <w:pPr>
        <w:pStyle w:val="Heading3"/>
        <w:spacing w:before="0" w:line="240" w:lineRule="auto"/>
        <w:jc w:val="center"/>
        <w:rPr>
          <w:rFonts w:ascii="Times New Roman" w:hAnsi="Times New Roman" w:cs="Times New Roman"/>
        </w:rPr>
      </w:pPr>
      <w:r w:rsidRPr="00E22E6E">
        <w:rPr>
          <w:rFonts w:ascii="Times New Roman" w:hAnsi="Times New Roman" w:cs="Times New Roman"/>
          <w:color w:val="auto"/>
        </w:rPr>
        <w:t>Table 9</w:t>
      </w:r>
    </w:p>
    <w:p w:rsidR="00171D57" w:rsidRPr="00E22E6E" w:rsidRDefault="00171D57" w:rsidP="0002014C">
      <w:pPr>
        <w:pStyle w:val="Heading3"/>
        <w:spacing w:before="0" w:line="240" w:lineRule="auto"/>
        <w:jc w:val="both"/>
        <w:rPr>
          <w:rFonts w:ascii="Times New Roman" w:hAnsi="Times New Roman" w:cs="Times New Roman"/>
          <w:b/>
          <w:color w:val="auto"/>
        </w:rPr>
      </w:pPr>
      <w:r w:rsidRPr="00E22E6E">
        <w:rPr>
          <w:rFonts w:ascii="Times New Roman" w:hAnsi="Times New Roman" w:cs="Times New Roman"/>
          <w:b/>
          <w:color w:val="auto"/>
        </w:rPr>
        <w:t>Analysis</w:t>
      </w:r>
    </w:p>
    <w:p w:rsidR="00171D57" w:rsidRPr="00171D57" w:rsidRDefault="00171D57" w:rsidP="0002014C">
      <w:pPr>
        <w:pStyle w:val="NormalWeb"/>
        <w:spacing w:before="0" w:beforeAutospacing="0"/>
        <w:jc w:val="both"/>
      </w:pPr>
      <w:r w:rsidRPr="00171D57">
        <w:t>Most respondents (46%) are satisfied with their current tax planning knowledge, whereas 16% express dissatisfaction, indicating the need for improved taxpayer educa</w:t>
      </w:r>
      <w:r w:rsidR="00E22E6E">
        <w:t>tion and awareness initiatives.</w:t>
      </w:r>
    </w:p>
    <w:p w:rsidR="00171D57" w:rsidRPr="00E22E6E" w:rsidRDefault="00171D57" w:rsidP="0002014C">
      <w:pPr>
        <w:pStyle w:val="Heading1"/>
        <w:spacing w:before="0" w:line="240" w:lineRule="auto"/>
        <w:jc w:val="both"/>
        <w:rPr>
          <w:rFonts w:ascii="Times New Roman" w:hAnsi="Times New Roman" w:cs="Times New Roman"/>
          <w:b/>
          <w:color w:val="auto"/>
          <w:sz w:val="24"/>
        </w:rPr>
      </w:pPr>
      <w:r w:rsidRPr="00E22E6E">
        <w:rPr>
          <w:rFonts w:ascii="Times New Roman" w:hAnsi="Times New Roman" w:cs="Times New Roman"/>
          <w:b/>
          <w:color w:val="auto"/>
          <w:sz w:val="24"/>
        </w:rPr>
        <w:t>Overall Percentage Analysis</w:t>
      </w:r>
    </w:p>
    <w:p w:rsidR="00E22E6E" w:rsidRDefault="00171D57" w:rsidP="0002014C">
      <w:pPr>
        <w:pStyle w:val="NormalWeb"/>
        <w:spacing w:before="0" w:beforeAutospacing="0"/>
        <w:jc w:val="both"/>
      </w:pPr>
      <w:r w:rsidRPr="00171D57">
        <w:t>The percentage analysis demonstrates that taxpayers in Indore City possess moderate awareness regarding tax planning practices and tax-saving instruments. Demographic variables such as age, education, occupation, and income level significantly influence awareness levels and financial decision-making behaviour. The findings also highlight the growing dependence on professional tax consultants and financial advisors for effective</w:t>
      </w:r>
      <w:r w:rsidR="00E22E6E">
        <w:t xml:space="preserve"> tax management and compliance.</w:t>
      </w:r>
    </w:p>
    <w:p w:rsidR="00E22E6E" w:rsidRPr="00E22E6E" w:rsidRDefault="00E22E6E" w:rsidP="0002014C">
      <w:pPr>
        <w:pStyle w:val="NormalWeb"/>
        <w:spacing w:before="0" w:beforeAutospacing="0"/>
      </w:pPr>
      <w:r>
        <w:rPr>
          <w:b/>
        </w:rPr>
        <w:t>4.</w:t>
      </w:r>
      <w:r w:rsidRPr="00E22E6E">
        <w:rPr>
          <w:b/>
        </w:rPr>
        <w:t xml:space="preserve"> </w:t>
      </w:r>
      <w:r>
        <w:rPr>
          <w:b/>
        </w:rPr>
        <w:t xml:space="preserve">2 </w:t>
      </w:r>
      <w:r w:rsidRPr="00171D57">
        <w:rPr>
          <w:b/>
        </w:rPr>
        <w:t>FREQUENCY DISTRIBUTION OF RESPONDENTS</w:t>
      </w:r>
    </w:p>
    <w:p w:rsidR="00C778E7" w:rsidRPr="00171D57" w:rsidRDefault="00C778E7" w:rsidP="00E22E6E">
      <w:pPr>
        <w:pStyle w:val="Heading1"/>
        <w:spacing w:line="240" w:lineRule="auto"/>
        <w:jc w:val="center"/>
        <w:rPr>
          <w:rFonts w:ascii="Times New Roman" w:hAnsi="Times New Roman" w:cs="Times New Roman"/>
          <w:b/>
          <w:color w:val="auto"/>
          <w:sz w:val="24"/>
        </w:rPr>
      </w:pPr>
      <w:r w:rsidRPr="00171D57">
        <w:rPr>
          <w:rFonts w:ascii="Times New Roman" w:hAnsi="Times New Roman" w:cs="Times New Roman"/>
          <w:b/>
          <w:color w:val="auto"/>
          <w:sz w:val="24"/>
        </w:rPr>
        <w:t>Distribution of Respondents by Age Group</w:t>
      </w:r>
    </w:p>
    <w:tbl>
      <w:tblPr>
        <w:tblW w:w="9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02"/>
        <w:gridCol w:w="2419"/>
        <w:gridCol w:w="3471"/>
      </w:tblGrid>
      <w:tr w:rsidR="00C778E7" w:rsidRPr="00171D57" w:rsidTr="00E22E6E">
        <w:trPr>
          <w:trHeight w:val="518"/>
          <w:tblHeader/>
          <w:tblCellSpacing w:w="15" w:type="dxa"/>
        </w:trPr>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Age Group</w:t>
            </w:r>
          </w:p>
        </w:tc>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Frequency</w:t>
            </w:r>
          </w:p>
        </w:tc>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E22E6E">
        <w:trPr>
          <w:trHeight w:val="500"/>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20–30 Years</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52</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26%</w:t>
            </w:r>
          </w:p>
        </w:tc>
      </w:tr>
      <w:tr w:rsidR="00C778E7" w:rsidRPr="00171D57" w:rsidTr="00E22E6E">
        <w:trPr>
          <w:trHeight w:val="500"/>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31–40 Years</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68</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34%</w:t>
            </w:r>
          </w:p>
        </w:tc>
      </w:tr>
      <w:tr w:rsidR="00C778E7" w:rsidRPr="00171D57" w:rsidTr="00E22E6E">
        <w:trPr>
          <w:trHeight w:val="500"/>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41–50 Years</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46</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23%</w:t>
            </w:r>
          </w:p>
        </w:tc>
      </w:tr>
      <w:tr w:rsidR="00C778E7" w:rsidRPr="00171D57" w:rsidTr="00E22E6E">
        <w:trPr>
          <w:trHeight w:val="518"/>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Above 50 Years</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34</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17%</w:t>
            </w:r>
          </w:p>
        </w:tc>
      </w:tr>
      <w:tr w:rsidR="00C778E7" w:rsidRPr="00171D57" w:rsidTr="00E22E6E">
        <w:trPr>
          <w:trHeight w:val="518"/>
          <w:tblCellSpacing w:w="15" w:type="dxa"/>
        </w:trPr>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100%</w:t>
            </w:r>
          </w:p>
        </w:tc>
      </w:tr>
    </w:tbl>
    <w:p w:rsidR="00E22E6E" w:rsidRDefault="00E22E6E" w:rsidP="0002014C">
      <w:pPr>
        <w:pStyle w:val="Heading1"/>
        <w:jc w:val="center"/>
        <w:rPr>
          <w:rFonts w:ascii="Times New Roman" w:hAnsi="Times New Roman" w:cs="Times New Roman"/>
          <w:color w:val="auto"/>
          <w:sz w:val="24"/>
        </w:rPr>
      </w:pPr>
      <w:r w:rsidRPr="00E22E6E">
        <w:rPr>
          <w:rFonts w:ascii="Times New Roman" w:hAnsi="Times New Roman" w:cs="Times New Roman"/>
          <w:color w:val="auto"/>
          <w:sz w:val="24"/>
        </w:rPr>
        <w:t>Table 10</w:t>
      </w:r>
    </w:p>
    <w:p w:rsidR="0002014C" w:rsidRPr="0002014C" w:rsidRDefault="0002014C" w:rsidP="0002014C"/>
    <w:p w:rsidR="00640691" w:rsidRPr="0002014C" w:rsidRDefault="00C778E7" w:rsidP="0002014C">
      <w:pPr>
        <w:pStyle w:val="Heading1"/>
        <w:spacing w:before="0"/>
        <w:jc w:val="center"/>
        <w:rPr>
          <w:rFonts w:ascii="Times New Roman" w:hAnsi="Times New Roman" w:cs="Times New Roman"/>
          <w:b/>
          <w:color w:val="auto"/>
          <w:sz w:val="24"/>
        </w:rPr>
      </w:pPr>
      <w:r w:rsidRPr="00171D57">
        <w:rPr>
          <w:rFonts w:ascii="Times New Roman" w:hAnsi="Times New Roman" w:cs="Times New Roman"/>
          <w:b/>
          <w:color w:val="auto"/>
          <w:sz w:val="24"/>
        </w:rPr>
        <w:t>Distribution of Respondents by Gender</w:t>
      </w:r>
    </w:p>
    <w:tbl>
      <w:tblPr>
        <w:tblW w:w="91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5"/>
        <w:gridCol w:w="2880"/>
        <w:gridCol w:w="2610"/>
      </w:tblGrid>
      <w:tr w:rsidR="00C778E7" w:rsidRPr="00171D57" w:rsidTr="0002014C">
        <w:trPr>
          <w:trHeight w:val="541"/>
          <w:tblHeader/>
          <w:tblCellSpacing w:w="15" w:type="dxa"/>
        </w:trPr>
        <w:tc>
          <w:tcPr>
            <w:tcW w:w="3640" w:type="dxa"/>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Gender</w:t>
            </w:r>
          </w:p>
        </w:tc>
        <w:tc>
          <w:tcPr>
            <w:tcW w:w="2850" w:type="dxa"/>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Frequency</w:t>
            </w:r>
          </w:p>
        </w:tc>
        <w:tc>
          <w:tcPr>
            <w:tcW w:w="2565" w:type="dxa"/>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02014C">
        <w:trPr>
          <w:trHeight w:val="522"/>
          <w:tblCellSpacing w:w="15" w:type="dxa"/>
        </w:trPr>
        <w:tc>
          <w:tcPr>
            <w:tcW w:w="3640" w:type="dxa"/>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Male</w:t>
            </w:r>
          </w:p>
        </w:tc>
        <w:tc>
          <w:tcPr>
            <w:tcW w:w="2850" w:type="dxa"/>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124</w:t>
            </w:r>
          </w:p>
        </w:tc>
        <w:tc>
          <w:tcPr>
            <w:tcW w:w="2565" w:type="dxa"/>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62%</w:t>
            </w:r>
          </w:p>
        </w:tc>
      </w:tr>
      <w:tr w:rsidR="00C778E7" w:rsidRPr="00171D57" w:rsidTr="0002014C">
        <w:trPr>
          <w:trHeight w:val="522"/>
          <w:tblCellSpacing w:w="15" w:type="dxa"/>
        </w:trPr>
        <w:tc>
          <w:tcPr>
            <w:tcW w:w="3640" w:type="dxa"/>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Female</w:t>
            </w:r>
          </w:p>
        </w:tc>
        <w:tc>
          <w:tcPr>
            <w:tcW w:w="2850" w:type="dxa"/>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76</w:t>
            </w:r>
          </w:p>
        </w:tc>
        <w:tc>
          <w:tcPr>
            <w:tcW w:w="2565" w:type="dxa"/>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38%</w:t>
            </w:r>
          </w:p>
        </w:tc>
      </w:tr>
      <w:tr w:rsidR="00C778E7" w:rsidRPr="00171D57" w:rsidTr="0002014C">
        <w:trPr>
          <w:trHeight w:val="541"/>
          <w:tblCellSpacing w:w="15" w:type="dxa"/>
        </w:trPr>
        <w:tc>
          <w:tcPr>
            <w:tcW w:w="3640" w:type="dxa"/>
            <w:vAlign w:val="center"/>
            <w:hideMark/>
          </w:tcPr>
          <w:p w:rsidR="00C778E7" w:rsidRPr="00171D57" w:rsidRDefault="00C778E7" w:rsidP="0002014C">
            <w:pPr>
              <w:rPr>
                <w:rFonts w:ascii="Times New Roman" w:hAnsi="Times New Roman" w:cs="Times New Roman"/>
              </w:rPr>
            </w:pPr>
            <w:r w:rsidRPr="00171D57">
              <w:rPr>
                <w:rStyle w:val="Strong"/>
                <w:rFonts w:ascii="Times New Roman" w:hAnsi="Times New Roman" w:cs="Times New Roman"/>
              </w:rPr>
              <w:t>Total</w:t>
            </w:r>
          </w:p>
        </w:tc>
        <w:tc>
          <w:tcPr>
            <w:tcW w:w="2850" w:type="dxa"/>
            <w:vAlign w:val="center"/>
            <w:hideMark/>
          </w:tcPr>
          <w:p w:rsidR="00C778E7" w:rsidRPr="00171D57" w:rsidRDefault="00C778E7" w:rsidP="0002014C">
            <w:pPr>
              <w:rPr>
                <w:rFonts w:ascii="Times New Roman" w:hAnsi="Times New Roman" w:cs="Times New Roman"/>
              </w:rPr>
            </w:pPr>
            <w:r w:rsidRPr="00171D57">
              <w:rPr>
                <w:rStyle w:val="Strong"/>
                <w:rFonts w:ascii="Times New Roman" w:hAnsi="Times New Roman" w:cs="Times New Roman"/>
              </w:rPr>
              <w:t>200</w:t>
            </w:r>
          </w:p>
        </w:tc>
        <w:tc>
          <w:tcPr>
            <w:tcW w:w="2565" w:type="dxa"/>
            <w:vAlign w:val="center"/>
            <w:hideMark/>
          </w:tcPr>
          <w:p w:rsidR="00C778E7" w:rsidRPr="00171D57" w:rsidRDefault="00C778E7" w:rsidP="0002014C">
            <w:pPr>
              <w:rPr>
                <w:rFonts w:ascii="Times New Roman" w:hAnsi="Times New Roman" w:cs="Times New Roman"/>
              </w:rPr>
            </w:pPr>
            <w:r w:rsidRPr="00171D57">
              <w:rPr>
                <w:rStyle w:val="Strong"/>
                <w:rFonts w:ascii="Times New Roman" w:hAnsi="Times New Roman" w:cs="Times New Roman"/>
              </w:rPr>
              <w:t>100%</w:t>
            </w:r>
          </w:p>
        </w:tc>
      </w:tr>
    </w:tbl>
    <w:p w:rsidR="0002014C" w:rsidRDefault="0002014C" w:rsidP="0002014C">
      <w:pPr>
        <w:pStyle w:val="Heading2"/>
        <w:spacing w:before="0" w:beforeAutospacing="0"/>
        <w:jc w:val="center"/>
        <w:rPr>
          <w:rFonts w:eastAsiaTheme="majorEastAsia"/>
          <w:bCs w:val="0"/>
          <w:sz w:val="24"/>
          <w:szCs w:val="32"/>
        </w:rPr>
      </w:pPr>
      <w:r>
        <w:rPr>
          <w:b w:val="0"/>
          <w:sz w:val="24"/>
        </w:rPr>
        <w:t>Table 11</w:t>
      </w:r>
    </w:p>
    <w:p w:rsidR="00C778E7" w:rsidRPr="00171D57" w:rsidRDefault="00C778E7" w:rsidP="0002014C">
      <w:pPr>
        <w:pStyle w:val="Heading2"/>
        <w:jc w:val="center"/>
        <w:rPr>
          <w:rFonts w:eastAsiaTheme="majorEastAsia"/>
          <w:bCs w:val="0"/>
          <w:sz w:val="24"/>
          <w:szCs w:val="32"/>
        </w:rPr>
      </w:pPr>
      <w:r w:rsidRPr="00171D57">
        <w:rPr>
          <w:rFonts w:eastAsiaTheme="majorEastAsia"/>
          <w:bCs w:val="0"/>
          <w:sz w:val="24"/>
          <w:szCs w:val="32"/>
        </w:rPr>
        <w:t>Distribution of Respondents by Educational Qualification</w:t>
      </w:r>
    </w:p>
    <w:tbl>
      <w:tblPr>
        <w:tblW w:w="91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9"/>
        <w:gridCol w:w="1960"/>
        <w:gridCol w:w="2812"/>
      </w:tblGrid>
      <w:tr w:rsidR="00C778E7" w:rsidRPr="00171D57" w:rsidTr="0002014C">
        <w:trPr>
          <w:trHeight w:val="437"/>
          <w:tblHeader/>
          <w:tblCellSpacing w:w="15" w:type="dxa"/>
        </w:trPr>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Qualification</w:t>
            </w:r>
          </w:p>
        </w:tc>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Frequency</w:t>
            </w:r>
          </w:p>
        </w:tc>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02014C">
        <w:trPr>
          <w:trHeight w:val="422"/>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Undergraduate</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48</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24%</w:t>
            </w:r>
          </w:p>
        </w:tc>
      </w:tr>
      <w:tr w:rsidR="00C778E7" w:rsidRPr="00171D57" w:rsidTr="0002014C">
        <w:trPr>
          <w:trHeight w:val="422"/>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Graduate</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86</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43%</w:t>
            </w:r>
          </w:p>
        </w:tc>
      </w:tr>
      <w:tr w:rsidR="00C778E7" w:rsidRPr="00171D57" w:rsidTr="0002014C">
        <w:trPr>
          <w:trHeight w:val="422"/>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Postgraduate</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52</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26%</w:t>
            </w:r>
          </w:p>
        </w:tc>
      </w:tr>
      <w:tr w:rsidR="00C778E7" w:rsidRPr="00171D57" w:rsidTr="0002014C">
        <w:trPr>
          <w:trHeight w:val="437"/>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Professional Qualification</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14</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7%</w:t>
            </w:r>
          </w:p>
        </w:tc>
      </w:tr>
      <w:tr w:rsidR="00C778E7" w:rsidRPr="00171D57" w:rsidTr="0002014C">
        <w:trPr>
          <w:trHeight w:val="437"/>
          <w:tblCellSpacing w:w="15" w:type="dxa"/>
        </w:trPr>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100%</w:t>
            </w:r>
          </w:p>
        </w:tc>
      </w:tr>
    </w:tbl>
    <w:p w:rsidR="00640691" w:rsidRPr="00171D57" w:rsidRDefault="0002014C" w:rsidP="0002014C">
      <w:pPr>
        <w:jc w:val="center"/>
        <w:rPr>
          <w:rFonts w:ascii="Times New Roman" w:hAnsi="Times New Roman" w:cs="Times New Roman"/>
        </w:rPr>
      </w:pPr>
      <w:r>
        <w:rPr>
          <w:rFonts w:eastAsiaTheme="majorEastAsia"/>
          <w:bCs/>
          <w:sz w:val="24"/>
          <w:szCs w:val="32"/>
        </w:rPr>
        <w:t>Table 12</w:t>
      </w:r>
    </w:p>
    <w:p w:rsidR="00394625" w:rsidRDefault="00394625" w:rsidP="0002014C">
      <w:pPr>
        <w:pStyle w:val="Heading2"/>
        <w:spacing w:before="0" w:beforeAutospacing="0"/>
        <w:jc w:val="center"/>
        <w:rPr>
          <w:sz w:val="24"/>
        </w:rPr>
      </w:pPr>
    </w:p>
    <w:p w:rsidR="00C778E7" w:rsidRPr="0002014C" w:rsidRDefault="00C778E7" w:rsidP="0002014C">
      <w:pPr>
        <w:pStyle w:val="Heading2"/>
        <w:spacing w:before="0" w:beforeAutospacing="0"/>
        <w:jc w:val="center"/>
        <w:rPr>
          <w:sz w:val="24"/>
        </w:rPr>
      </w:pPr>
      <w:r w:rsidRPr="0002014C">
        <w:rPr>
          <w:sz w:val="24"/>
        </w:rPr>
        <w:t>Distribution of Respondents by Occupation</w:t>
      </w:r>
    </w:p>
    <w:tbl>
      <w:tblPr>
        <w:tblW w:w="9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66"/>
        <w:gridCol w:w="2249"/>
        <w:gridCol w:w="3228"/>
      </w:tblGrid>
      <w:tr w:rsidR="00C778E7" w:rsidRPr="00171D57" w:rsidTr="0002014C">
        <w:trPr>
          <w:trHeight w:val="531"/>
          <w:tblHeader/>
          <w:tblCellSpacing w:w="15" w:type="dxa"/>
        </w:trPr>
        <w:tc>
          <w:tcPr>
            <w:tcW w:w="0" w:type="auto"/>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Occupation</w:t>
            </w:r>
          </w:p>
        </w:tc>
        <w:tc>
          <w:tcPr>
            <w:tcW w:w="0" w:type="auto"/>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Frequency</w:t>
            </w:r>
          </w:p>
        </w:tc>
        <w:tc>
          <w:tcPr>
            <w:tcW w:w="0" w:type="auto"/>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02014C">
        <w:trPr>
          <w:trHeight w:val="512"/>
          <w:tblCellSpacing w:w="15" w:type="dxa"/>
        </w:trPr>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Salaried Employee</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82</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41%</w:t>
            </w:r>
          </w:p>
        </w:tc>
      </w:tr>
      <w:tr w:rsidR="00C778E7" w:rsidRPr="00171D57" w:rsidTr="0002014C">
        <w:trPr>
          <w:trHeight w:val="512"/>
          <w:tblCellSpacing w:w="15" w:type="dxa"/>
        </w:trPr>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Business Owner</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54</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27%</w:t>
            </w:r>
          </w:p>
        </w:tc>
      </w:tr>
      <w:tr w:rsidR="00C778E7" w:rsidRPr="00171D57" w:rsidTr="0002014C">
        <w:trPr>
          <w:trHeight w:val="512"/>
          <w:tblCellSpacing w:w="15" w:type="dxa"/>
        </w:trPr>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Professional</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36</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18%</w:t>
            </w:r>
          </w:p>
        </w:tc>
      </w:tr>
      <w:tr w:rsidR="00C778E7" w:rsidRPr="00171D57" w:rsidTr="0002014C">
        <w:trPr>
          <w:trHeight w:val="531"/>
          <w:tblCellSpacing w:w="15" w:type="dxa"/>
        </w:trPr>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Others</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28</w:t>
            </w:r>
          </w:p>
        </w:tc>
        <w:tc>
          <w:tcPr>
            <w:tcW w:w="0" w:type="auto"/>
            <w:vAlign w:val="center"/>
            <w:hideMark/>
          </w:tcPr>
          <w:p w:rsidR="00C778E7" w:rsidRPr="00171D57" w:rsidRDefault="00C778E7" w:rsidP="0002014C">
            <w:pPr>
              <w:rPr>
                <w:rFonts w:ascii="Times New Roman" w:hAnsi="Times New Roman" w:cs="Times New Roman"/>
              </w:rPr>
            </w:pPr>
            <w:r w:rsidRPr="00171D57">
              <w:rPr>
                <w:rFonts w:ascii="Times New Roman" w:hAnsi="Times New Roman" w:cs="Times New Roman"/>
              </w:rPr>
              <w:t>14%</w:t>
            </w:r>
          </w:p>
        </w:tc>
      </w:tr>
      <w:tr w:rsidR="00C778E7" w:rsidRPr="00171D57" w:rsidTr="0002014C">
        <w:trPr>
          <w:trHeight w:val="531"/>
          <w:tblCellSpacing w:w="15" w:type="dxa"/>
        </w:trPr>
        <w:tc>
          <w:tcPr>
            <w:tcW w:w="0" w:type="auto"/>
            <w:vAlign w:val="center"/>
            <w:hideMark/>
          </w:tcPr>
          <w:p w:rsidR="00C778E7" w:rsidRPr="00171D57" w:rsidRDefault="00C778E7" w:rsidP="0002014C">
            <w:pPr>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778E7" w:rsidRPr="00171D57" w:rsidRDefault="00C778E7" w:rsidP="0002014C">
            <w:pPr>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C778E7" w:rsidRPr="00171D57" w:rsidRDefault="00C778E7" w:rsidP="0002014C">
            <w:pPr>
              <w:rPr>
                <w:rFonts w:ascii="Times New Roman" w:hAnsi="Times New Roman" w:cs="Times New Roman"/>
              </w:rPr>
            </w:pPr>
            <w:r w:rsidRPr="00171D57">
              <w:rPr>
                <w:rStyle w:val="Strong"/>
                <w:rFonts w:ascii="Times New Roman" w:hAnsi="Times New Roman" w:cs="Times New Roman"/>
              </w:rPr>
              <w:t>100%</w:t>
            </w:r>
          </w:p>
        </w:tc>
      </w:tr>
    </w:tbl>
    <w:p w:rsidR="0002014C" w:rsidRPr="00394625" w:rsidRDefault="0002014C" w:rsidP="00394625">
      <w:pPr>
        <w:jc w:val="center"/>
        <w:rPr>
          <w:sz w:val="24"/>
        </w:rPr>
      </w:pPr>
      <w:r w:rsidRPr="0002014C">
        <w:rPr>
          <w:sz w:val="24"/>
        </w:rPr>
        <w:t>Table 13</w:t>
      </w:r>
    </w:p>
    <w:p w:rsidR="00C778E7" w:rsidRPr="00171D57" w:rsidRDefault="00C778E7" w:rsidP="0002014C">
      <w:pPr>
        <w:pStyle w:val="Heading2"/>
        <w:spacing w:before="0" w:beforeAutospacing="0" w:after="0" w:afterAutospacing="0"/>
        <w:jc w:val="center"/>
        <w:rPr>
          <w:sz w:val="24"/>
          <w:szCs w:val="24"/>
        </w:rPr>
      </w:pPr>
      <w:r w:rsidRPr="00171D57">
        <w:rPr>
          <w:sz w:val="24"/>
          <w:szCs w:val="24"/>
        </w:rPr>
        <w:t>Awareness About Tax Planning</w:t>
      </w:r>
    </w:p>
    <w:tbl>
      <w:tblPr>
        <w:tblW w:w="91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65"/>
        <w:gridCol w:w="2250"/>
        <w:gridCol w:w="2133"/>
      </w:tblGrid>
      <w:tr w:rsidR="00C778E7" w:rsidRPr="00171D57" w:rsidTr="0002014C">
        <w:trPr>
          <w:trHeight w:val="453"/>
          <w:tblHeader/>
          <w:tblCellSpacing w:w="15" w:type="dxa"/>
        </w:trPr>
        <w:tc>
          <w:tcPr>
            <w:tcW w:w="4720" w:type="dxa"/>
            <w:vAlign w:val="center"/>
            <w:hideMark/>
          </w:tcPr>
          <w:p w:rsidR="00C778E7" w:rsidRPr="00171D57" w:rsidRDefault="00C778E7" w:rsidP="0002014C">
            <w:pPr>
              <w:spacing w:after="0"/>
              <w:jc w:val="center"/>
              <w:rPr>
                <w:rFonts w:ascii="Times New Roman" w:hAnsi="Times New Roman" w:cs="Times New Roman"/>
                <w:b/>
                <w:bCs/>
              </w:rPr>
            </w:pPr>
            <w:r w:rsidRPr="00171D57">
              <w:rPr>
                <w:rFonts w:ascii="Times New Roman" w:hAnsi="Times New Roman" w:cs="Times New Roman"/>
                <w:b/>
                <w:bCs/>
              </w:rPr>
              <w:t>Response</w:t>
            </w:r>
          </w:p>
        </w:tc>
        <w:tc>
          <w:tcPr>
            <w:tcW w:w="2220" w:type="dxa"/>
            <w:vAlign w:val="center"/>
            <w:hideMark/>
          </w:tcPr>
          <w:p w:rsidR="00C778E7" w:rsidRPr="00171D57" w:rsidRDefault="00C778E7" w:rsidP="0002014C">
            <w:pPr>
              <w:spacing w:after="0"/>
              <w:jc w:val="center"/>
              <w:rPr>
                <w:rFonts w:ascii="Times New Roman" w:hAnsi="Times New Roman" w:cs="Times New Roman"/>
                <w:b/>
                <w:bCs/>
              </w:rPr>
            </w:pPr>
            <w:r w:rsidRPr="00171D57">
              <w:rPr>
                <w:rFonts w:ascii="Times New Roman" w:hAnsi="Times New Roman" w:cs="Times New Roman"/>
                <w:b/>
                <w:bCs/>
              </w:rPr>
              <w:t>Frequency</w:t>
            </w:r>
          </w:p>
        </w:tc>
        <w:tc>
          <w:tcPr>
            <w:tcW w:w="2088" w:type="dxa"/>
            <w:vAlign w:val="center"/>
            <w:hideMark/>
          </w:tcPr>
          <w:p w:rsidR="00C778E7" w:rsidRPr="00171D57" w:rsidRDefault="00C778E7" w:rsidP="0002014C">
            <w:pPr>
              <w:spacing w:after="0"/>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02014C">
        <w:trPr>
          <w:trHeight w:val="438"/>
          <w:tblCellSpacing w:w="15" w:type="dxa"/>
        </w:trPr>
        <w:tc>
          <w:tcPr>
            <w:tcW w:w="47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Highly Aware</w:t>
            </w:r>
          </w:p>
        </w:tc>
        <w:tc>
          <w:tcPr>
            <w:tcW w:w="22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44</w:t>
            </w:r>
          </w:p>
        </w:tc>
        <w:tc>
          <w:tcPr>
            <w:tcW w:w="2088"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22%</w:t>
            </w:r>
          </w:p>
        </w:tc>
      </w:tr>
      <w:tr w:rsidR="00C778E7" w:rsidRPr="00171D57" w:rsidTr="0002014C">
        <w:trPr>
          <w:trHeight w:val="438"/>
          <w:tblCellSpacing w:w="15" w:type="dxa"/>
        </w:trPr>
        <w:tc>
          <w:tcPr>
            <w:tcW w:w="47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Moderately Aware</w:t>
            </w:r>
          </w:p>
        </w:tc>
        <w:tc>
          <w:tcPr>
            <w:tcW w:w="22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96</w:t>
            </w:r>
          </w:p>
        </w:tc>
        <w:tc>
          <w:tcPr>
            <w:tcW w:w="2088"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48%</w:t>
            </w:r>
          </w:p>
        </w:tc>
      </w:tr>
      <w:tr w:rsidR="00C778E7" w:rsidRPr="00171D57" w:rsidTr="0002014C">
        <w:trPr>
          <w:trHeight w:val="438"/>
          <w:tblCellSpacing w:w="15" w:type="dxa"/>
        </w:trPr>
        <w:tc>
          <w:tcPr>
            <w:tcW w:w="47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Slightly Aware</w:t>
            </w:r>
          </w:p>
        </w:tc>
        <w:tc>
          <w:tcPr>
            <w:tcW w:w="22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42</w:t>
            </w:r>
          </w:p>
        </w:tc>
        <w:tc>
          <w:tcPr>
            <w:tcW w:w="2088"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21%</w:t>
            </w:r>
          </w:p>
        </w:tc>
      </w:tr>
      <w:tr w:rsidR="00C778E7" w:rsidRPr="00171D57" w:rsidTr="0002014C">
        <w:trPr>
          <w:trHeight w:val="453"/>
          <w:tblCellSpacing w:w="15" w:type="dxa"/>
        </w:trPr>
        <w:tc>
          <w:tcPr>
            <w:tcW w:w="47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Not Aware</w:t>
            </w:r>
          </w:p>
        </w:tc>
        <w:tc>
          <w:tcPr>
            <w:tcW w:w="2220"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18</w:t>
            </w:r>
          </w:p>
        </w:tc>
        <w:tc>
          <w:tcPr>
            <w:tcW w:w="2088" w:type="dxa"/>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9%</w:t>
            </w:r>
          </w:p>
        </w:tc>
      </w:tr>
      <w:tr w:rsidR="00C778E7" w:rsidRPr="00171D57" w:rsidTr="0002014C">
        <w:trPr>
          <w:trHeight w:val="453"/>
          <w:tblCellSpacing w:w="15" w:type="dxa"/>
        </w:trPr>
        <w:tc>
          <w:tcPr>
            <w:tcW w:w="4720" w:type="dxa"/>
            <w:vAlign w:val="center"/>
            <w:hideMark/>
          </w:tcPr>
          <w:p w:rsidR="00C778E7" w:rsidRPr="00171D57" w:rsidRDefault="00C778E7" w:rsidP="0002014C">
            <w:pPr>
              <w:spacing w:after="0"/>
              <w:rPr>
                <w:rFonts w:ascii="Times New Roman" w:hAnsi="Times New Roman" w:cs="Times New Roman"/>
              </w:rPr>
            </w:pPr>
            <w:r w:rsidRPr="00171D57">
              <w:rPr>
                <w:rStyle w:val="Strong"/>
                <w:rFonts w:ascii="Times New Roman" w:hAnsi="Times New Roman" w:cs="Times New Roman"/>
              </w:rPr>
              <w:t>Total</w:t>
            </w:r>
          </w:p>
        </w:tc>
        <w:tc>
          <w:tcPr>
            <w:tcW w:w="2220" w:type="dxa"/>
            <w:vAlign w:val="center"/>
            <w:hideMark/>
          </w:tcPr>
          <w:p w:rsidR="00C778E7" w:rsidRPr="00171D57" w:rsidRDefault="00C778E7" w:rsidP="0002014C">
            <w:pPr>
              <w:spacing w:after="0"/>
              <w:rPr>
                <w:rFonts w:ascii="Times New Roman" w:hAnsi="Times New Roman" w:cs="Times New Roman"/>
              </w:rPr>
            </w:pPr>
            <w:r w:rsidRPr="00171D57">
              <w:rPr>
                <w:rStyle w:val="Strong"/>
                <w:rFonts w:ascii="Times New Roman" w:hAnsi="Times New Roman" w:cs="Times New Roman"/>
              </w:rPr>
              <w:t>200</w:t>
            </w:r>
          </w:p>
        </w:tc>
        <w:tc>
          <w:tcPr>
            <w:tcW w:w="2088" w:type="dxa"/>
            <w:vAlign w:val="center"/>
            <w:hideMark/>
          </w:tcPr>
          <w:p w:rsidR="00C778E7" w:rsidRPr="00171D57" w:rsidRDefault="00C778E7" w:rsidP="0002014C">
            <w:pPr>
              <w:spacing w:after="0"/>
              <w:rPr>
                <w:rFonts w:ascii="Times New Roman" w:hAnsi="Times New Roman" w:cs="Times New Roman"/>
              </w:rPr>
            </w:pPr>
            <w:r w:rsidRPr="00171D57">
              <w:rPr>
                <w:rStyle w:val="Strong"/>
                <w:rFonts w:ascii="Times New Roman" w:hAnsi="Times New Roman" w:cs="Times New Roman"/>
              </w:rPr>
              <w:t>100%</w:t>
            </w:r>
          </w:p>
        </w:tc>
      </w:tr>
    </w:tbl>
    <w:p w:rsidR="0002014C" w:rsidRDefault="0002014C" w:rsidP="0002014C">
      <w:pPr>
        <w:pStyle w:val="Heading2"/>
        <w:spacing w:before="0" w:beforeAutospacing="0" w:after="0" w:afterAutospacing="0"/>
        <w:jc w:val="center"/>
        <w:rPr>
          <w:b w:val="0"/>
          <w:sz w:val="24"/>
          <w:szCs w:val="24"/>
        </w:rPr>
      </w:pPr>
      <w:r w:rsidRPr="0002014C">
        <w:rPr>
          <w:b w:val="0"/>
          <w:sz w:val="24"/>
          <w:szCs w:val="24"/>
        </w:rPr>
        <w:t>Table 14</w:t>
      </w:r>
    </w:p>
    <w:p w:rsidR="0002014C" w:rsidRPr="0002014C" w:rsidRDefault="0002014C" w:rsidP="0002014C">
      <w:pPr>
        <w:pStyle w:val="Heading2"/>
        <w:spacing w:before="0" w:beforeAutospacing="0" w:after="0" w:afterAutospacing="0"/>
        <w:jc w:val="center"/>
        <w:rPr>
          <w:b w:val="0"/>
          <w:sz w:val="24"/>
          <w:szCs w:val="24"/>
        </w:rPr>
      </w:pPr>
    </w:p>
    <w:p w:rsidR="00C778E7" w:rsidRPr="00171D57" w:rsidRDefault="00C778E7" w:rsidP="0002014C">
      <w:pPr>
        <w:pStyle w:val="Heading2"/>
        <w:spacing w:before="0" w:beforeAutospacing="0"/>
        <w:jc w:val="center"/>
        <w:rPr>
          <w:sz w:val="24"/>
          <w:szCs w:val="24"/>
        </w:rPr>
      </w:pPr>
      <w:r w:rsidRPr="00171D57">
        <w:rPr>
          <w:sz w:val="24"/>
          <w:szCs w:val="24"/>
        </w:rPr>
        <w:t>Awareness of Tax-Saving Instruments</w:t>
      </w:r>
    </w:p>
    <w:tbl>
      <w:tblPr>
        <w:tblW w:w="916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9"/>
        <w:gridCol w:w="1768"/>
        <w:gridCol w:w="2538"/>
      </w:tblGrid>
      <w:tr w:rsidR="00C778E7" w:rsidRPr="00171D57" w:rsidTr="0002014C">
        <w:trPr>
          <w:trHeight w:val="457"/>
          <w:tblHeader/>
          <w:tblCellSpacing w:w="15" w:type="dxa"/>
        </w:trPr>
        <w:tc>
          <w:tcPr>
            <w:tcW w:w="0" w:type="auto"/>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Tax-Saving Instrument</w:t>
            </w:r>
          </w:p>
        </w:tc>
        <w:tc>
          <w:tcPr>
            <w:tcW w:w="0" w:type="auto"/>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Frequency</w:t>
            </w:r>
          </w:p>
        </w:tc>
        <w:tc>
          <w:tcPr>
            <w:tcW w:w="0" w:type="auto"/>
            <w:vAlign w:val="center"/>
            <w:hideMark/>
          </w:tcPr>
          <w:p w:rsidR="00C778E7" w:rsidRPr="00171D57" w:rsidRDefault="00C778E7" w:rsidP="0002014C">
            <w:pPr>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02014C">
        <w:trPr>
          <w:trHeight w:val="442"/>
          <w:tblCellSpacing w:w="15" w:type="dxa"/>
        </w:trPr>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ELSS Mutual Funds</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58</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29%</w:t>
            </w:r>
          </w:p>
        </w:tc>
      </w:tr>
      <w:tr w:rsidR="00C778E7" w:rsidRPr="00171D57" w:rsidTr="0002014C">
        <w:trPr>
          <w:trHeight w:val="442"/>
          <w:tblCellSpacing w:w="15" w:type="dxa"/>
        </w:trPr>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Public Provident Fund (PPF)</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72</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36%</w:t>
            </w:r>
          </w:p>
        </w:tc>
      </w:tr>
      <w:tr w:rsidR="00C778E7" w:rsidRPr="00171D57" w:rsidTr="0002014C">
        <w:trPr>
          <w:trHeight w:val="442"/>
          <w:tblCellSpacing w:w="15" w:type="dxa"/>
        </w:trPr>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Life Insurance Policies</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112</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56%</w:t>
            </w:r>
          </w:p>
        </w:tc>
      </w:tr>
      <w:tr w:rsidR="00C778E7" w:rsidRPr="00171D57" w:rsidTr="0002014C">
        <w:trPr>
          <w:trHeight w:val="457"/>
          <w:tblCellSpacing w:w="15" w:type="dxa"/>
        </w:trPr>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Fixed Deposits</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66</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33%</w:t>
            </w:r>
          </w:p>
        </w:tc>
      </w:tr>
      <w:tr w:rsidR="00C778E7" w:rsidRPr="00171D57" w:rsidTr="0002014C">
        <w:trPr>
          <w:trHeight w:val="457"/>
          <w:tblCellSpacing w:w="15" w:type="dxa"/>
        </w:trPr>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National Pension Scheme (NPS)</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48</w:t>
            </w:r>
          </w:p>
        </w:tc>
        <w:tc>
          <w:tcPr>
            <w:tcW w:w="0" w:type="auto"/>
            <w:vAlign w:val="center"/>
            <w:hideMark/>
          </w:tcPr>
          <w:p w:rsidR="00C778E7" w:rsidRPr="00171D57" w:rsidRDefault="00C778E7" w:rsidP="0002014C">
            <w:pPr>
              <w:spacing w:after="0"/>
              <w:rPr>
                <w:rFonts w:ascii="Times New Roman" w:hAnsi="Times New Roman" w:cs="Times New Roman"/>
              </w:rPr>
            </w:pPr>
            <w:r w:rsidRPr="00171D57">
              <w:rPr>
                <w:rFonts w:ascii="Times New Roman" w:hAnsi="Times New Roman" w:cs="Times New Roman"/>
              </w:rPr>
              <w:t>24%</w:t>
            </w:r>
          </w:p>
        </w:tc>
      </w:tr>
    </w:tbl>
    <w:p w:rsidR="00C778E7" w:rsidRPr="00171D57" w:rsidRDefault="0002014C" w:rsidP="0002014C">
      <w:pPr>
        <w:spacing w:after="0"/>
        <w:jc w:val="center"/>
        <w:rPr>
          <w:rFonts w:ascii="Times New Roman" w:hAnsi="Times New Roman" w:cs="Times New Roman"/>
        </w:rPr>
      </w:pPr>
      <w:r w:rsidRPr="00171D57">
        <w:rPr>
          <w:sz w:val="24"/>
          <w:szCs w:val="24"/>
        </w:rPr>
        <w:t>Tabl</w:t>
      </w:r>
      <w:r>
        <w:rPr>
          <w:sz w:val="24"/>
          <w:szCs w:val="24"/>
        </w:rPr>
        <w:t>e 15</w:t>
      </w:r>
    </w:p>
    <w:p w:rsidR="00C778E7" w:rsidRPr="00171D57" w:rsidRDefault="00C778E7" w:rsidP="00394625">
      <w:pPr>
        <w:pStyle w:val="Heading2"/>
        <w:spacing w:before="0" w:beforeAutospacing="0" w:after="0" w:afterAutospacing="0"/>
        <w:jc w:val="center"/>
        <w:rPr>
          <w:sz w:val="24"/>
          <w:szCs w:val="24"/>
        </w:rPr>
      </w:pPr>
      <w:r w:rsidRPr="00171D57">
        <w:rPr>
          <w:sz w:val="24"/>
          <w:szCs w:val="24"/>
        </w:rPr>
        <w:t>Source of Tax Planning Information</w:t>
      </w:r>
    </w:p>
    <w:tbl>
      <w:tblPr>
        <w:tblW w:w="91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8"/>
        <w:gridCol w:w="2055"/>
        <w:gridCol w:w="2949"/>
      </w:tblGrid>
      <w:tr w:rsidR="00C778E7" w:rsidRPr="00171D57" w:rsidTr="0002014C">
        <w:trPr>
          <w:trHeight w:val="461"/>
          <w:tblHeader/>
          <w:tblCellSpacing w:w="15" w:type="dxa"/>
        </w:trPr>
        <w:tc>
          <w:tcPr>
            <w:tcW w:w="0" w:type="auto"/>
            <w:vAlign w:val="center"/>
            <w:hideMark/>
          </w:tcPr>
          <w:p w:rsidR="00C778E7" w:rsidRPr="00171D57" w:rsidRDefault="00C778E7" w:rsidP="00394625">
            <w:pPr>
              <w:spacing w:after="0" w:line="240" w:lineRule="auto"/>
              <w:jc w:val="center"/>
              <w:rPr>
                <w:rFonts w:ascii="Times New Roman" w:hAnsi="Times New Roman" w:cs="Times New Roman"/>
                <w:b/>
                <w:bCs/>
              </w:rPr>
            </w:pPr>
            <w:r w:rsidRPr="00171D57">
              <w:rPr>
                <w:rFonts w:ascii="Times New Roman" w:hAnsi="Times New Roman" w:cs="Times New Roman"/>
                <w:b/>
                <w:bCs/>
              </w:rPr>
              <w:t>Source</w:t>
            </w:r>
          </w:p>
        </w:tc>
        <w:tc>
          <w:tcPr>
            <w:tcW w:w="0" w:type="auto"/>
            <w:vAlign w:val="center"/>
            <w:hideMark/>
          </w:tcPr>
          <w:p w:rsidR="00C778E7" w:rsidRPr="00171D57" w:rsidRDefault="00C778E7" w:rsidP="00394625">
            <w:pPr>
              <w:spacing w:after="0" w:line="240" w:lineRule="auto"/>
              <w:jc w:val="center"/>
              <w:rPr>
                <w:rFonts w:ascii="Times New Roman" w:hAnsi="Times New Roman" w:cs="Times New Roman"/>
                <w:b/>
                <w:bCs/>
              </w:rPr>
            </w:pPr>
            <w:r w:rsidRPr="00171D57">
              <w:rPr>
                <w:rFonts w:ascii="Times New Roman" w:hAnsi="Times New Roman" w:cs="Times New Roman"/>
                <w:b/>
                <w:bCs/>
              </w:rPr>
              <w:t>Frequency</w:t>
            </w:r>
          </w:p>
        </w:tc>
        <w:tc>
          <w:tcPr>
            <w:tcW w:w="0" w:type="auto"/>
            <w:vAlign w:val="center"/>
            <w:hideMark/>
          </w:tcPr>
          <w:p w:rsidR="00C778E7" w:rsidRPr="00171D57" w:rsidRDefault="00C778E7" w:rsidP="00394625">
            <w:pPr>
              <w:spacing w:after="0" w:line="240" w:lineRule="auto"/>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02014C">
        <w:trPr>
          <w:trHeight w:val="446"/>
          <w:tblCellSpacing w:w="15" w:type="dxa"/>
        </w:trPr>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Chartered Accountant</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74</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37%</w:t>
            </w:r>
          </w:p>
        </w:tc>
      </w:tr>
      <w:tr w:rsidR="00C778E7" w:rsidRPr="00171D57" w:rsidTr="0002014C">
        <w:trPr>
          <w:trHeight w:val="446"/>
          <w:tblCellSpacing w:w="15" w:type="dxa"/>
        </w:trPr>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Internet/Social Media</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48</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24%</w:t>
            </w:r>
          </w:p>
        </w:tc>
      </w:tr>
      <w:tr w:rsidR="00C778E7" w:rsidRPr="00171D57" w:rsidTr="0002014C">
        <w:trPr>
          <w:trHeight w:val="446"/>
          <w:tblCellSpacing w:w="15" w:type="dxa"/>
        </w:trPr>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Friends &amp; Family</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32</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16%</w:t>
            </w:r>
          </w:p>
        </w:tc>
      </w:tr>
      <w:tr w:rsidR="00C778E7" w:rsidRPr="00171D57" w:rsidTr="0002014C">
        <w:trPr>
          <w:trHeight w:val="461"/>
          <w:tblCellSpacing w:w="15" w:type="dxa"/>
        </w:trPr>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Employer/Organization</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28</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Fonts w:ascii="Times New Roman" w:hAnsi="Times New Roman" w:cs="Times New Roman"/>
              </w:rPr>
              <w:t>14%</w:t>
            </w:r>
          </w:p>
        </w:tc>
      </w:tr>
      <w:tr w:rsidR="00C778E7" w:rsidRPr="00171D57" w:rsidTr="0002014C">
        <w:trPr>
          <w:trHeight w:val="446"/>
          <w:tblCellSpacing w:w="15" w:type="dxa"/>
        </w:trPr>
        <w:tc>
          <w:tcPr>
            <w:tcW w:w="0" w:type="auto"/>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Financial Advisors</w:t>
            </w:r>
          </w:p>
        </w:tc>
        <w:tc>
          <w:tcPr>
            <w:tcW w:w="0" w:type="auto"/>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18</w:t>
            </w:r>
          </w:p>
        </w:tc>
        <w:tc>
          <w:tcPr>
            <w:tcW w:w="0" w:type="auto"/>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9%</w:t>
            </w:r>
          </w:p>
        </w:tc>
      </w:tr>
      <w:tr w:rsidR="00C778E7" w:rsidRPr="00171D57" w:rsidTr="0002014C">
        <w:trPr>
          <w:trHeight w:val="461"/>
          <w:tblCellSpacing w:w="15" w:type="dxa"/>
        </w:trPr>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C778E7" w:rsidRPr="00171D57" w:rsidRDefault="00C778E7" w:rsidP="00394625">
            <w:pPr>
              <w:spacing w:after="0" w:line="240" w:lineRule="auto"/>
              <w:rPr>
                <w:rFonts w:ascii="Times New Roman" w:hAnsi="Times New Roman" w:cs="Times New Roman"/>
              </w:rPr>
            </w:pPr>
            <w:r w:rsidRPr="00171D57">
              <w:rPr>
                <w:rStyle w:val="Strong"/>
                <w:rFonts w:ascii="Times New Roman" w:hAnsi="Times New Roman" w:cs="Times New Roman"/>
              </w:rPr>
              <w:t>100%</w:t>
            </w:r>
          </w:p>
        </w:tc>
      </w:tr>
    </w:tbl>
    <w:p w:rsidR="0044027C" w:rsidRDefault="0002014C" w:rsidP="0044027C">
      <w:pPr>
        <w:pStyle w:val="Heading2"/>
        <w:spacing w:after="0" w:afterAutospacing="0"/>
        <w:jc w:val="center"/>
        <w:rPr>
          <w:b w:val="0"/>
          <w:sz w:val="24"/>
          <w:szCs w:val="24"/>
        </w:rPr>
      </w:pPr>
      <w:r w:rsidRPr="0002014C">
        <w:rPr>
          <w:b w:val="0"/>
          <w:sz w:val="24"/>
          <w:szCs w:val="24"/>
        </w:rPr>
        <w:t>Table 16</w:t>
      </w:r>
    </w:p>
    <w:p w:rsidR="0044027C" w:rsidRPr="0044027C" w:rsidRDefault="0044027C" w:rsidP="0044027C">
      <w:pPr>
        <w:pStyle w:val="Heading2"/>
        <w:spacing w:after="0" w:afterAutospacing="0"/>
        <w:jc w:val="center"/>
        <w:rPr>
          <w:b w:val="0"/>
          <w:sz w:val="24"/>
          <w:szCs w:val="24"/>
        </w:rPr>
      </w:pPr>
    </w:p>
    <w:p w:rsidR="00C778E7" w:rsidRPr="00171D57" w:rsidRDefault="00C778E7" w:rsidP="00394625">
      <w:pPr>
        <w:pStyle w:val="Heading2"/>
        <w:spacing w:before="0" w:beforeAutospacing="0"/>
        <w:jc w:val="center"/>
        <w:rPr>
          <w:sz w:val="24"/>
        </w:rPr>
      </w:pPr>
      <w:r w:rsidRPr="00171D57">
        <w:rPr>
          <w:sz w:val="24"/>
        </w:rPr>
        <w:t>Preference Toward Professional Tax Assistance</w:t>
      </w:r>
    </w:p>
    <w:tbl>
      <w:tblPr>
        <w:tblW w:w="91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2610"/>
        <w:gridCol w:w="2136"/>
      </w:tblGrid>
      <w:tr w:rsidR="00C778E7" w:rsidRPr="00171D57" w:rsidTr="00394625">
        <w:trPr>
          <w:trHeight w:val="450"/>
          <w:tblHeader/>
          <w:tblCellSpacing w:w="15" w:type="dxa"/>
        </w:trPr>
        <w:tc>
          <w:tcPr>
            <w:tcW w:w="4360" w:type="dxa"/>
            <w:vAlign w:val="center"/>
            <w:hideMark/>
          </w:tcPr>
          <w:p w:rsidR="00C778E7" w:rsidRPr="00171D57" w:rsidRDefault="00C778E7" w:rsidP="00394625">
            <w:pPr>
              <w:spacing w:line="240" w:lineRule="auto"/>
              <w:jc w:val="center"/>
              <w:rPr>
                <w:rFonts w:ascii="Times New Roman" w:hAnsi="Times New Roman" w:cs="Times New Roman"/>
                <w:b/>
                <w:bCs/>
              </w:rPr>
            </w:pPr>
            <w:r w:rsidRPr="00171D57">
              <w:rPr>
                <w:rFonts w:ascii="Times New Roman" w:hAnsi="Times New Roman" w:cs="Times New Roman"/>
                <w:b/>
                <w:bCs/>
              </w:rPr>
              <w:t>Response</w:t>
            </w:r>
          </w:p>
        </w:tc>
        <w:tc>
          <w:tcPr>
            <w:tcW w:w="2580" w:type="dxa"/>
            <w:vAlign w:val="center"/>
            <w:hideMark/>
          </w:tcPr>
          <w:p w:rsidR="00C778E7" w:rsidRPr="00171D57" w:rsidRDefault="00C778E7" w:rsidP="00394625">
            <w:pPr>
              <w:spacing w:line="240" w:lineRule="auto"/>
              <w:jc w:val="center"/>
              <w:rPr>
                <w:rFonts w:ascii="Times New Roman" w:hAnsi="Times New Roman" w:cs="Times New Roman"/>
                <w:b/>
                <w:bCs/>
              </w:rPr>
            </w:pPr>
            <w:r w:rsidRPr="00171D57">
              <w:rPr>
                <w:rFonts w:ascii="Times New Roman" w:hAnsi="Times New Roman" w:cs="Times New Roman"/>
                <w:b/>
                <w:bCs/>
              </w:rPr>
              <w:t>Frequency</w:t>
            </w:r>
          </w:p>
        </w:tc>
        <w:tc>
          <w:tcPr>
            <w:tcW w:w="2091" w:type="dxa"/>
            <w:vAlign w:val="center"/>
            <w:hideMark/>
          </w:tcPr>
          <w:p w:rsidR="00C778E7" w:rsidRPr="00171D57" w:rsidRDefault="00C778E7" w:rsidP="00394625">
            <w:pPr>
              <w:spacing w:line="240" w:lineRule="auto"/>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394625">
        <w:trPr>
          <w:trHeight w:val="435"/>
          <w:tblCellSpacing w:w="15" w:type="dxa"/>
        </w:trPr>
        <w:tc>
          <w:tcPr>
            <w:tcW w:w="4360" w:type="dxa"/>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Yes</w:t>
            </w:r>
          </w:p>
        </w:tc>
        <w:tc>
          <w:tcPr>
            <w:tcW w:w="2580" w:type="dxa"/>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132</w:t>
            </w:r>
          </w:p>
        </w:tc>
        <w:tc>
          <w:tcPr>
            <w:tcW w:w="2091" w:type="dxa"/>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66%</w:t>
            </w:r>
          </w:p>
        </w:tc>
      </w:tr>
      <w:tr w:rsidR="00C778E7" w:rsidRPr="00171D57" w:rsidTr="00394625">
        <w:trPr>
          <w:trHeight w:val="435"/>
          <w:tblCellSpacing w:w="15" w:type="dxa"/>
        </w:trPr>
        <w:tc>
          <w:tcPr>
            <w:tcW w:w="4360" w:type="dxa"/>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No</w:t>
            </w:r>
          </w:p>
        </w:tc>
        <w:tc>
          <w:tcPr>
            <w:tcW w:w="2580" w:type="dxa"/>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68</w:t>
            </w:r>
          </w:p>
        </w:tc>
        <w:tc>
          <w:tcPr>
            <w:tcW w:w="2091" w:type="dxa"/>
            <w:vAlign w:val="center"/>
            <w:hideMark/>
          </w:tcPr>
          <w:p w:rsidR="00C778E7" w:rsidRPr="00171D57" w:rsidRDefault="00C778E7" w:rsidP="00394625">
            <w:pPr>
              <w:spacing w:line="240" w:lineRule="auto"/>
              <w:rPr>
                <w:rFonts w:ascii="Times New Roman" w:hAnsi="Times New Roman" w:cs="Times New Roman"/>
              </w:rPr>
            </w:pPr>
            <w:r w:rsidRPr="00171D57">
              <w:rPr>
                <w:rFonts w:ascii="Times New Roman" w:hAnsi="Times New Roman" w:cs="Times New Roman"/>
              </w:rPr>
              <w:t>34%</w:t>
            </w:r>
          </w:p>
        </w:tc>
      </w:tr>
      <w:tr w:rsidR="00C778E7" w:rsidRPr="00171D57" w:rsidTr="00394625">
        <w:trPr>
          <w:trHeight w:val="450"/>
          <w:tblCellSpacing w:w="15" w:type="dxa"/>
        </w:trPr>
        <w:tc>
          <w:tcPr>
            <w:tcW w:w="4360" w:type="dxa"/>
            <w:vAlign w:val="center"/>
            <w:hideMark/>
          </w:tcPr>
          <w:p w:rsidR="00C778E7" w:rsidRPr="00171D57" w:rsidRDefault="00C778E7" w:rsidP="00394625">
            <w:pPr>
              <w:spacing w:line="240" w:lineRule="auto"/>
              <w:rPr>
                <w:rFonts w:ascii="Times New Roman" w:hAnsi="Times New Roman" w:cs="Times New Roman"/>
              </w:rPr>
            </w:pPr>
            <w:r w:rsidRPr="00171D57">
              <w:rPr>
                <w:rStyle w:val="Strong"/>
                <w:rFonts w:ascii="Times New Roman" w:hAnsi="Times New Roman" w:cs="Times New Roman"/>
              </w:rPr>
              <w:t>Total</w:t>
            </w:r>
          </w:p>
        </w:tc>
        <w:tc>
          <w:tcPr>
            <w:tcW w:w="2580" w:type="dxa"/>
            <w:vAlign w:val="center"/>
            <w:hideMark/>
          </w:tcPr>
          <w:p w:rsidR="00C778E7" w:rsidRPr="00171D57" w:rsidRDefault="00C778E7" w:rsidP="00394625">
            <w:pPr>
              <w:spacing w:line="240" w:lineRule="auto"/>
              <w:rPr>
                <w:rFonts w:ascii="Times New Roman" w:hAnsi="Times New Roman" w:cs="Times New Roman"/>
              </w:rPr>
            </w:pPr>
            <w:r w:rsidRPr="00171D57">
              <w:rPr>
                <w:rStyle w:val="Strong"/>
                <w:rFonts w:ascii="Times New Roman" w:hAnsi="Times New Roman" w:cs="Times New Roman"/>
              </w:rPr>
              <w:t>200</w:t>
            </w:r>
          </w:p>
        </w:tc>
        <w:tc>
          <w:tcPr>
            <w:tcW w:w="2091" w:type="dxa"/>
            <w:vAlign w:val="center"/>
            <w:hideMark/>
          </w:tcPr>
          <w:p w:rsidR="00C778E7" w:rsidRPr="00171D57" w:rsidRDefault="00C778E7" w:rsidP="00394625">
            <w:pPr>
              <w:spacing w:line="240" w:lineRule="auto"/>
              <w:rPr>
                <w:rFonts w:ascii="Times New Roman" w:hAnsi="Times New Roman" w:cs="Times New Roman"/>
              </w:rPr>
            </w:pPr>
            <w:r w:rsidRPr="00171D57">
              <w:rPr>
                <w:rStyle w:val="Strong"/>
                <w:rFonts w:ascii="Times New Roman" w:hAnsi="Times New Roman" w:cs="Times New Roman"/>
              </w:rPr>
              <w:t>100%</w:t>
            </w:r>
          </w:p>
        </w:tc>
      </w:tr>
    </w:tbl>
    <w:p w:rsidR="00394625" w:rsidRPr="00394625" w:rsidRDefault="00394625" w:rsidP="00394625">
      <w:pPr>
        <w:pStyle w:val="Heading2"/>
        <w:spacing w:before="0" w:beforeAutospacing="0"/>
        <w:jc w:val="center"/>
        <w:rPr>
          <w:b w:val="0"/>
          <w:sz w:val="24"/>
          <w:szCs w:val="24"/>
        </w:rPr>
      </w:pPr>
      <w:r w:rsidRPr="00394625">
        <w:rPr>
          <w:b w:val="0"/>
          <w:sz w:val="24"/>
        </w:rPr>
        <w:t>Table 17</w:t>
      </w:r>
    </w:p>
    <w:p w:rsidR="00C778E7" w:rsidRPr="00171D57" w:rsidRDefault="00C778E7" w:rsidP="00394625">
      <w:pPr>
        <w:pStyle w:val="Heading2"/>
        <w:jc w:val="center"/>
        <w:rPr>
          <w:sz w:val="24"/>
          <w:szCs w:val="24"/>
        </w:rPr>
      </w:pPr>
      <w:r w:rsidRPr="00171D57">
        <w:rPr>
          <w:sz w:val="24"/>
          <w:szCs w:val="24"/>
        </w:rPr>
        <w:t>Satisfaction with Current Tax Planning Knowledge</w:t>
      </w:r>
    </w:p>
    <w:tbl>
      <w:tblPr>
        <w:tblW w:w="92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2"/>
        <w:gridCol w:w="2264"/>
        <w:gridCol w:w="3248"/>
      </w:tblGrid>
      <w:tr w:rsidR="00C778E7" w:rsidRPr="00171D57" w:rsidTr="00394625">
        <w:trPr>
          <w:trHeight w:val="422"/>
          <w:tblHeader/>
          <w:tblCellSpacing w:w="15" w:type="dxa"/>
        </w:trPr>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Satisfaction Level</w:t>
            </w:r>
          </w:p>
        </w:tc>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Frequency</w:t>
            </w:r>
          </w:p>
        </w:tc>
        <w:tc>
          <w:tcPr>
            <w:tcW w:w="0" w:type="auto"/>
            <w:vAlign w:val="center"/>
            <w:hideMark/>
          </w:tcPr>
          <w:p w:rsidR="00C778E7" w:rsidRPr="00171D57" w:rsidRDefault="00C778E7">
            <w:pPr>
              <w:jc w:val="center"/>
              <w:rPr>
                <w:rFonts w:ascii="Times New Roman" w:hAnsi="Times New Roman" w:cs="Times New Roman"/>
                <w:b/>
                <w:bCs/>
              </w:rPr>
            </w:pPr>
            <w:r w:rsidRPr="00171D57">
              <w:rPr>
                <w:rFonts w:ascii="Times New Roman" w:hAnsi="Times New Roman" w:cs="Times New Roman"/>
                <w:b/>
                <w:bCs/>
              </w:rPr>
              <w:t>Percentage (%)</w:t>
            </w:r>
          </w:p>
        </w:tc>
      </w:tr>
      <w:tr w:rsidR="00C778E7" w:rsidRPr="00171D57" w:rsidTr="00394625">
        <w:trPr>
          <w:trHeight w:val="407"/>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Highly Satisfied</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34</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17%</w:t>
            </w:r>
          </w:p>
        </w:tc>
      </w:tr>
      <w:tr w:rsidR="00C778E7" w:rsidRPr="00171D57" w:rsidTr="00394625">
        <w:trPr>
          <w:trHeight w:val="407"/>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Satisfied</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92</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46%</w:t>
            </w:r>
          </w:p>
        </w:tc>
      </w:tr>
      <w:tr w:rsidR="00C778E7" w:rsidRPr="00171D57" w:rsidTr="00394625">
        <w:trPr>
          <w:trHeight w:val="407"/>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Neutral</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42</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21%</w:t>
            </w:r>
          </w:p>
        </w:tc>
      </w:tr>
      <w:tr w:rsidR="00C778E7" w:rsidRPr="00171D57" w:rsidTr="00394625">
        <w:trPr>
          <w:trHeight w:val="422"/>
          <w:tblCellSpacing w:w="15" w:type="dxa"/>
        </w:trPr>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Dissatisfied</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32</w:t>
            </w:r>
          </w:p>
        </w:tc>
        <w:tc>
          <w:tcPr>
            <w:tcW w:w="0" w:type="auto"/>
            <w:vAlign w:val="center"/>
            <w:hideMark/>
          </w:tcPr>
          <w:p w:rsidR="00C778E7" w:rsidRPr="00171D57" w:rsidRDefault="00C778E7">
            <w:pPr>
              <w:rPr>
                <w:rFonts w:ascii="Times New Roman" w:hAnsi="Times New Roman" w:cs="Times New Roman"/>
              </w:rPr>
            </w:pPr>
            <w:r w:rsidRPr="00171D57">
              <w:rPr>
                <w:rFonts w:ascii="Times New Roman" w:hAnsi="Times New Roman" w:cs="Times New Roman"/>
              </w:rPr>
              <w:t>16%</w:t>
            </w:r>
          </w:p>
        </w:tc>
      </w:tr>
      <w:tr w:rsidR="00C778E7" w:rsidRPr="00171D57" w:rsidTr="00394625">
        <w:trPr>
          <w:trHeight w:val="422"/>
          <w:tblCellSpacing w:w="15" w:type="dxa"/>
        </w:trPr>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200</w:t>
            </w:r>
          </w:p>
        </w:tc>
        <w:tc>
          <w:tcPr>
            <w:tcW w:w="0" w:type="auto"/>
            <w:vAlign w:val="center"/>
            <w:hideMark/>
          </w:tcPr>
          <w:p w:rsidR="00C778E7" w:rsidRPr="00171D57" w:rsidRDefault="00C778E7">
            <w:pPr>
              <w:rPr>
                <w:rFonts w:ascii="Times New Roman" w:hAnsi="Times New Roman" w:cs="Times New Roman"/>
              </w:rPr>
            </w:pPr>
            <w:r w:rsidRPr="00171D57">
              <w:rPr>
                <w:rStyle w:val="Strong"/>
                <w:rFonts w:ascii="Times New Roman" w:hAnsi="Times New Roman" w:cs="Times New Roman"/>
              </w:rPr>
              <w:t>100%</w:t>
            </w:r>
          </w:p>
        </w:tc>
      </w:tr>
    </w:tbl>
    <w:p w:rsidR="00C778E7" w:rsidRPr="00171D57" w:rsidRDefault="00394625" w:rsidP="00394625">
      <w:pPr>
        <w:jc w:val="center"/>
        <w:rPr>
          <w:rFonts w:ascii="Times New Roman" w:hAnsi="Times New Roman" w:cs="Times New Roman"/>
        </w:rPr>
      </w:pPr>
      <w:r>
        <w:rPr>
          <w:sz w:val="24"/>
          <w:szCs w:val="24"/>
        </w:rPr>
        <w:t>Table 18</w:t>
      </w:r>
    </w:p>
    <w:p w:rsidR="00C778E7" w:rsidRPr="00394625" w:rsidRDefault="00C778E7" w:rsidP="00C778E7">
      <w:pPr>
        <w:pStyle w:val="Heading2"/>
        <w:rPr>
          <w:sz w:val="24"/>
        </w:rPr>
      </w:pPr>
      <w:r w:rsidRPr="00394625">
        <w:rPr>
          <w:sz w:val="24"/>
        </w:rPr>
        <w:t>Interpretation</w:t>
      </w:r>
    </w:p>
    <w:p w:rsidR="00C778E7" w:rsidRPr="00171D57" w:rsidRDefault="00C778E7" w:rsidP="00366BD4">
      <w:pPr>
        <w:pStyle w:val="NormalWeb"/>
        <w:jc w:val="both"/>
      </w:pPr>
      <w:r w:rsidRPr="00171D57">
        <w:t>The frequency distribution analysis indicates that the majority of respondents belong to the 31–40 years age group and are primarily salaried employees. Most respondents possess at least a graduate-level education and demonstrate moderate awareness regarding tax planning practices. Life insurance policies and Public Provident Fund (PPF) emerge as the most recognized tax-saving instruments among taxpayers. Furthermore, a significant proportion of respondents rely on Chartered Accountants and professional advisors for tax-related guidance, reflecting the growing importance of expert assistance in financi</w:t>
      </w:r>
      <w:r w:rsidR="0002014C">
        <w:t>al planning and tax management.</w:t>
      </w:r>
    </w:p>
    <w:p w:rsidR="00C80B3D" w:rsidRPr="00171D57" w:rsidRDefault="0002014C" w:rsidP="00C80B3D">
      <w:pPr>
        <w:pStyle w:val="Heading1"/>
        <w:rPr>
          <w:rFonts w:ascii="Times New Roman" w:hAnsi="Times New Roman" w:cs="Times New Roman"/>
          <w:b/>
          <w:sz w:val="24"/>
          <w:szCs w:val="24"/>
        </w:rPr>
      </w:pPr>
      <w:r>
        <w:rPr>
          <w:rFonts w:ascii="Times New Roman" w:hAnsi="Times New Roman" w:cs="Times New Roman"/>
          <w:b/>
          <w:color w:val="auto"/>
          <w:sz w:val="24"/>
          <w:szCs w:val="24"/>
        </w:rPr>
        <w:t xml:space="preserve">4.3 </w:t>
      </w:r>
      <w:r w:rsidR="00C80B3D" w:rsidRPr="00171D57">
        <w:rPr>
          <w:rFonts w:ascii="Times New Roman" w:hAnsi="Times New Roman" w:cs="Times New Roman"/>
          <w:b/>
          <w:color w:val="auto"/>
          <w:sz w:val="24"/>
          <w:szCs w:val="24"/>
        </w:rPr>
        <w:t>COMPARATIVE ANALYSIS</w:t>
      </w:r>
    </w:p>
    <w:p w:rsidR="0002014C" w:rsidRPr="00171D57" w:rsidRDefault="00C80B3D" w:rsidP="00C80B3D">
      <w:pPr>
        <w:pStyle w:val="isselectedend"/>
      </w:pPr>
      <w:r w:rsidRPr="00171D57">
        <w:t>The comparative analysis was conducted to examine differences in tax planning awareness and behaviour among respondents based on demographic and socioeconomic variables such as age, gender, education, occupation, and income level. The analysis helps in identifying patterns and variations in awareness levels among different groups of taxpayers.</w:t>
      </w:r>
    </w:p>
    <w:p w:rsidR="00C80B3D" w:rsidRPr="00171D57" w:rsidRDefault="00C80B3D" w:rsidP="0002014C">
      <w:pPr>
        <w:pStyle w:val="Heading2"/>
        <w:jc w:val="center"/>
        <w:rPr>
          <w:sz w:val="24"/>
          <w:szCs w:val="24"/>
        </w:rPr>
      </w:pPr>
      <w:r w:rsidRPr="00171D57">
        <w:rPr>
          <w:sz w:val="24"/>
          <w:szCs w:val="24"/>
        </w:rPr>
        <w:t>Comparative Analysis of Tax Planning Awareness by Age Group</w:t>
      </w:r>
    </w:p>
    <w:tbl>
      <w:tblPr>
        <w:tblW w:w="92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6"/>
        <w:gridCol w:w="1625"/>
        <w:gridCol w:w="2154"/>
        <w:gridCol w:w="1726"/>
        <w:gridCol w:w="1283"/>
        <w:gridCol w:w="691"/>
      </w:tblGrid>
      <w:tr w:rsidR="00C80B3D" w:rsidRPr="00171D57" w:rsidTr="005F7AE1">
        <w:trPr>
          <w:trHeight w:val="508"/>
          <w:tblCellSpacing w:w="15" w:type="dxa"/>
        </w:trPr>
        <w:tc>
          <w:tcPr>
            <w:tcW w:w="0" w:type="auto"/>
            <w:vAlign w:val="center"/>
            <w:hideMark/>
          </w:tcPr>
          <w:p w:rsidR="00C80B3D" w:rsidRPr="00171D57" w:rsidRDefault="00C80B3D">
            <w:pPr>
              <w:jc w:val="center"/>
              <w:rPr>
                <w:rFonts w:ascii="Times New Roman" w:hAnsi="Times New Roman" w:cs="Times New Roman"/>
                <w:b/>
                <w:bCs/>
              </w:rPr>
            </w:pPr>
            <w:r w:rsidRPr="00171D57">
              <w:rPr>
                <w:rFonts w:ascii="Times New Roman" w:hAnsi="Times New Roman" w:cs="Times New Roman"/>
                <w:b/>
                <w:bCs/>
              </w:rPr>
              <w:t>Age Group</w:t>
            </w:r>
          </w:p>
        </w:tc>
        <w:tc>
          <w:tcPr>
            <w:tcW w:w="0" w:type="auto"/>
            <w:vAlign w:val="center"/>
            <w:hideMark/>
          </w:tcPr>
          <w:p w:rsidR="00C80B3D" w:rsidRPr="00171D57" w:rsidRDefault="00C80B3D">
            <w:pPr>
              <w:jc w:val="center"/>
              <w:rPr>
                <w:rFonts w:ascii="Times New Roman" w:hAnsi="Times New Roman" w:cs="Times New Roman"/>
                <w:b/>
                <w:bCs/>
              </w:rPr>
            </w:pPr>
            <w:r w:rsidRPr="00171D57">
              <w:rPr>
                <w:rFonts w:ascii="Times New Roman" w:hAnsi="Times New Roman" w:cs="Times New Roman"/>
                <w:b/>
                <w:bCs/>
              </w:rPr>
              <w:t>Highly Aware</w:t>
            </w:r>
          </w:p>
        </w:tc>
        <w:tc>
          <w:tcPr>
            <w:tcW w:w="0" w:type="auto"/>
            <w:vAlign w:val="center"/>
            <w:hideMark/>
          </w:tcPr>
          <w:p w:rsidR="00C80B3D" w:rsidRPr="00171D57" w:rsidRDefault="00C80B3D">
            <w:pPr>
              <w:jc w:val="center"/>
              <w:rPr>
                <w:rFonts w:ascii="Times New Roman" w:hAnsi="Times New Roman" w:cs="Times New Roman"/>
                <w:b/>
                <w:bCs/>
              </w:rPr>
            </w:pPr>
            <w:r w:rsidRPr="00171D57">
              <w:rPr>
                <w:rFonts w:ascii="Times New Roman" w:hAnsi="Times New Roman" w:cs="Times New Roman"/>
                <w:b/>
                <w:bCs/>
              </w:rPr>
              <w:t>Moderately Aware</w:t>
            </w:r>
          </w:p>
        </w:tc>
        <w:tc>
          <w:tcPr>
            <w:tcW w:w="0" w:type="auto"/>
            <w:vAlign w:val="center"/>
            <w:hideMark/>
          </w:tcPr>
          <w:p w:rsidR="00C80B3D" w:rsidRPr="00171D57" w:rsidRDefault="00C80B3D">
            <w:pPr>
              <w:jc w:val="center"/>
              <w:rPr>
                <w:rFonts w:ascii="Times New Roman" w:hAnsi="Times New Roman" w:cs="Times New Roman"/>
                <w:b/>
                <w:bCs/>
              </w:rPr>
            </w:pPr>
            <w:r w:rsidRPr="00171D57">
              <w:rPr>
                <w:rFonts w:ascii="Times New Roman" w:hAnsi="Times New Roman" w:cs="Times New Roman"/>
                <w:b/>
                <w:bCs/>
              </w:rPr>
              <w:t>Slightly Aware</w:t>
            </w:r>
          </w:p>
        </w:tc>
        <w:tc>
          <w:tcPr>
            <w:tcW w:w="0" w:type="auto"/>
            <w:vAlign w:val="center"/>
            <w:hideMark/>
          </w:tcPr>
          <w:p w:rsidR="00C80B3D" w:rsidRPr="00171D57" w:rsidRDefault="00C80B3D">
            <w:pPr>
              <w:jc w:val="center"/>
              <w:rPr>
                <w:rFonts w:ascii="Times New Roman" w:hAnsi="Times New Roman" w:cs="Times New Roman"/>
                <w:b/>
                <w:bCs/>
              </w:rPr>
            </w:pPr>
            <w:r w:rsidRPr="00171D57">
              <w:rPr>
                <w:rFonts w:ascii="Times New Roman" w:hAnsi="Times New Roman" w:cs="Times New Roman"/>
                <w:b/>
                <w:bCs/>
              </w:rPr>
              <w:t>Not Aware</w:t>
            </w:r>
          </w:p>
        </w:tc>
        <w:tc>
          <w:tcPr>
            <w:tcW w:w="0" w:type="auto"/>
            <w:vAlign w:val="center"/>
            <w:hideMark/>
          </w:tcPr>
          <w:p w:rsidR="00C80B3D" w:rsidRPr="00171D57" w:rsidRDefault="00C80B3D">
            <w:pPr>
              <w:jc w:val="center"/>
              <w:rPr>
                <w:rFonts w:ascii="Times New Roman" w:hAnsi="Times New Roman" w:cs="Times New Roman"/>
                <w:b/>
                <w:bCs/>
              </w:rPr>
            </w:pPr>
            <w:r w:rsidRPr="00171D57">
              <w:rPr>
                <w:rFonts w:ascii="Times New Roman" w:hAnsi="Times New Roman" w:cs="Times New Roman"/>
                <w:b/>
                <w:bCs/>
              </w:rPr>
              <w:t>Total</w:t>
            </w:r>
          </w:p>
        </w:tc>
      </w:tr>
      <w:tr w:rsidR="00C80B3D" w:rsidRPr="00171D57" w:rsidTr="005F7AE1">
        <w:trPr>
          <w:trHeight w:val="490"/>
          <w:tblCellSpacing w:w="15" w:type="dxa"/>
        </w:trPr>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20–30 Years</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10</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28</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10</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4</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52</w:t>
            </w:r>
          </w:p>
        </w:tc>
      </w:tr>
      <w:tr w:rsidR="00C80B3D" w:rsidRPr="00171D57" w:rsidTr="005F7AE1">
        <w:trPr>
          <w:trHeight w:val="490"/>
          <w:tblCellSpacing w:w="15" w:type="dxa"/>
        </w:trPr>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31–40 Years</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18</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34</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12</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4</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68</w:t>
            </w:r>
          </w:p>
        </w:tc>
      </w:tr>
      <w:tr w:rsidR="00C80B3D" w:rsidRPr="00171D57" w:rsidTr="005F7AE1">
        <w:trPr>
          <w:trHeight w:val="490"/>
          <w:tblCellSpacing w:w="15" w:type="dxa"/>
        </w:trPr>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41–50 Years</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12</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22</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8</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4</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46</w:t>
            </w:r>
          </w:p>
        </w:tc>
      </w:tr>
      <w:tr w:rsidR="00C80B3D" w:rsidRPr="00171D57" w:rsidTr="005F7AE1">
        <w:trPr>
          <w:trHeight w:val="508"/>
          <w:tblCellSpacing w:w="15" w:type="dxa"/>
        </w:trPr>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Above 50 Years</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4</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12</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12</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6</w:t>
            </w:r>
          </w:p>
        </w:tc>
        <w:tc>
          <w:tcPr>
            <w:tcW w:w="0" w:type="auto"/>
            <w:vAlign w:val="center"/>
            <w:hideMark/>
          </w:tcPr>
          <w:p w:rsidR="00C80B3D" w:rsidRPr="00171D57" w:rsidRDefault="00C80B3D">
            <w:pPr>
              <w:rPr>
                <w:rFonts w:ascii="Times New Roman" w:hAnsi="Times New Roman" w:cs="Times New Roman"/>
              </w:rPr>
            </w:pPr>
            <w:r w:rsidRPr="00171D57">
              <w:rPr>
                <w:rFonts w:ascii="Times New Roman" w:hAnsi="Times New Roman" w:cs="Times New Roman"/>
              </w:rPr>
              <w:t>34</w:t>
            </w:r>
          </w:p>
        </w:tc>
      </w:tr>
      <w:tr w:rsidR="00C80B3D" w:rsidRPr="00171D57" w:rsidTr="005F7AE1">
        <w:trPr>
          <w:trHeight w:val="508"/>
          <w:tblCellSpacing w:w="15" w:type="dxa"/>
        </w:trPr>
        <w:tc>
          <w:tcPr>
            <w:tcW w:w="0" w:type="auto"/>
            <w:vAlign w:val="center"/>
            <w:hideMark/>
          </w:tcPr>
          <w:p w:rsidR="00C80B3D" w:rsidRPr="00171D57" w:rsidRDefault="00C80B3D">
            <w:pPr>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80B3D" w:rsidRPr="00171D57" w:rsidRDefault="00C80B3D">
            <w:pPr>
              <w:rPr>
                <w:rFonts w:ascii="Times New Roman" w:hAnsi="Times New Roman" w:cs="Times New Roman"/>
              </w:rPr>
            </w:pPr>
            <w:r w:rsidRPr="00171D57">
              <w:rPr>
                <w:rStyle w:val="Strong"/>
                <w:rFonts w:ascii="Times New Roman" w:hAnsi="Times New Roman" w:cs="Times New Roman"/>
              </w:rPr>
              <w:t>44</w:t>
            </w:r>
          </w:p>
        </w:tc>
        <w:tc>
          <w:tcPr>
            <w:tcW w:w="0" w:type="auto"/>
            <w:vAlign w:val="center"/>
            <w:hideMark/>
          </w:tcPr>
          <w:p w:rsidR="00C80B3D" w:rsidRPr="00171D57" w:rsidRDefault="00C80B3D">
            <w:pPr>
              <w:rPr>
                <w:rFonts w:ascii="Times New Roman" w:hAnsi="Times New Roman" w:cs="Times New Roman"/>
              </w:rPr>
            </w:pPr>
            <w:r w:rsidRPr="00171D57">
              <w:rPr>
                <w:rStyle w:val="Strong"/>
                <w:rFonts w:ascii="Times New Roman" w:hAnsi="Times New Roman" w:cs="Times New Roman"/>
              </w:rPr>
              <w:t>96</w:t>
            </w:r>
          </w:p>
        </w:tc>
        <w:tc>
          <w:tcPr>
            <w:tcW w:w="0" w:type="auto"/>
            <w:vAlign w:val="center"/>
            <w:hideMark/>
          </w:tcPr>
          <w:p w:rsidR="00C80B3D" w:rsidRPr="00171D57" w:rsidRDefault="00C80B3D">
            <w:pPr>
              <w:rPr>
                <w:rFonts w:ascii="Times New Roman" w:hAnsi="Times New Roman" w:cs="Times New Roman"/>
              </w:rPr>
            </w:pPr>
            <w:r w:rsidRPr="00171D57">
              <w:rPr>
                <w:rStyle w:val="Strong"/>
                <w:rFonts w:ascii="Times New Roman" w:hAnsi="Times New Roman" w:cs="Times New Roman"/>
              </w:rPr>
              <w:t>42</w:t>
            </w:r>
          </w:p>
        </w:tc>
        <w:tc>
          <w:tcPr>
            <w:tcW w:w="0" w:type="auto"/>
            <w:vAlign w:val="center"/>
            <w:hideMark/>
          </w:tcPr>
          <w:p w:rsidR="00C80B3D" w:rsidRPr="00171D57" w:rsidRDefault="00C80B3D">
            <w:pPr>
              <w:rPr>
                <w:rFonts w:ascii="Times New Roman" w:hAnsi="Times New Roman" w:cs="Times New Roman"/>
              </w:rPr>
            </w:pPr>
            <w:r w:rsidRPr="00171D57">
              <w:rPr>
                <w:rStyle w:val="Strong"/>
                <w:rFonts w:ascii="Times New Roman" w:hAnsi="Times New Roman" w:cs="Times New Roman"/>
              </w:rPr>
              <w:t>18</w:t>
            </w:r>
          </w:p>
        </w:tc>
        <w:tc>
          <w:tcPr>
            <w:tcW w:w="0" w:type="auto"/>
            <w:vAlign w:val="center"/>
            <w:hideMark/>
          </w:tcPr>
          <w:p w:rsidR="00C80B3D" w:rsidRPr="00171D57" w:rsidRDefault="00C80B3D">
            <w:pPr>
              <w:rPr>
                <w:rFonts w:ascii="Times New Roman" w:hAnsi="Times New Roman" w:cs="Times New Roman"/>
              </w:rPr>
            </w:pPr>
            <w:r w:rsidRPr="00171D57">
              <w:rPr>
                <w:rStyle w:val="Strong"/>
                <w:rFonts w:ascii="Times New Roman" w:hAnsi="Times New Roman" w:cs="Times New Roman"/>
              </w:rPr>
              <w:t>200</w:t>
            </w:r>
          </w:p>
        </w:tc>
      </w:tr>
    </w:tbl>
    <w:p w:rsidR="0002014C" w:rsidRPr="0002014C" w:rsidRDefault="0002014C" w:rsidP="0002014C">
      <w:pPr>
        <w:pStyle w:val="Heading3"/>
        <w:jc w:val="center"/>
        <w:rPr>
          <w:rFonts w:ascii="Times New Roman" w:hAnsi="Times New Roman" w:cs="Times New Roman"/>
          <w:b/>
          <w:color w:val="auto"/>
        </w:rPr>
      </w:pPr>
      <w:r>
        <w:rPr>
          <w:rFonts w:ascii="Times New Roman" w:hAnsi="Times New Roman" w:cs="Times New Roman"/>
          <w:color w:val="auto"/>
        </w:rPr>
        <w:t>Table</w:t>
      </w:r>
      <w:r w:rsidR="00394625">
        <w:rPr>
          <w:rFonts w:ascii="Times New Roman" w:hAnsi="Times New Roman" w:cs="Times New Roman"/>
          <w:color w:val="auto"/>
        </w:rPr>
        <w:t xml:space="preserve"> 19</w:t>
      </w:r>
    </w:p>
    <w:p w:rsidR="00C80B3D" w:rsidRPr="00171D57" w:rsidRDefault="00C80B3D" w:rsidP="00C80B3D">
      <w:pPr>
        <w:pStyle w:val="Heading3"/>
        <w:rPr>
          <w:rFonts w:ascii="Times New Roman" w:hAnsi="Times New Roman" w:cs="Times New Roman"/>
          <w:b/>
          <w:color w:val="auto"/>
        </w:rPr>
      </w:pPr>
      <w:r w:rsidRPr="00171D57">
        <w:rPr>
          <w:rFonts w:ascii="Times New Roman" w:hAnsi="Times New Roman" w:cs="Times New Roman"/>
          <w:b/>
          <w:color w:val="auto"/>
        </w:rPr>
        <w:t>Interpretation</w:t>
      </w:r>
    </w:p>
    <w:p w:rsidR="00C80B3D" w:rsidRDefault="00C80B3D" w:rsidP="003551FD">
      <w:pPr>
        <w:pStyle w:val="isselectedend"/>
        <w:jc w:val="both"/>
      </w:pPr>
      <w:r w:rsidRPr="00171D57">
        <w:t>The analysis indicates that respondents between 31–40 years demonstrate comparatively higher awareness regarding tax planning practices. Older respondents above 50 years exhibit relatively lower awareness levels, suggesting that younger and middle-aged taxpayers are more actively engaged in financial and tax planning activities.</w:t>
      </w:r>
    </w:p>
    <w:p w:rsidR="0044027C" w:rsidRDefault="0044027C" w:rsidP="003551FD">
      <w:pPr>
        <w:pStyle w:val="isselectedend"/>
        <w:jc w:val="both"/>
      </w:pPr>
    </w:p>
    <w:p w:rsidR="0044027C" w:rsidRDefault="0044027C" w:rsidP="003551FD">
      <w:pPr>
        <w:pStyle w:val="isselectedend"/>
        <w:jc w:val="both"/>
      </w:pPr>
    </w:p>
    <w:p w:rsidR="0044027C" w:rsidRPr="00171D57" w:rsidRDefault="0044027C" w:rsidP="003551FD">
      <w:pPr>
        <w:pStyle w:val="isselectedend"/>
        <w:jc w:val="both"/>
      </w:pPr>
    </w:p>
    <w:p w:rsidR="00C80B3D" w:rsidRPr="00171D57" w:rsidRDefault="00C80B3D" w:rsidP="0044027C">
      <w:pPr>
        <w:pStyle w:val="Heading2"/>
        <w:spacing w:before="0" w:beforeAutospacing="0" w:after="0" w:afterAutospacing="0"/>
        <w:jc w:val="center"/>
        <w:rPr>
          <w:sz w:val="24"/>
          <w:szCs w:val="24"/>
        </w:rPr>
      </w:pPr>
      <w:r w:rsidRPr="00171D57">
        <w:rPr>
          <w:sz w:val="24"/>
          <w:szCs w:val="24"/>
        </w:rPr>
        <w:t>Comparative Analysis of Tax Planning Awareness by Gender</w:t>
      </w:r>
    </w:p>
    <w:tbl>
      <w:tblPr>
        <w:tblW w:w="92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1808"/>
        <w:gridCol w:w="2358"/>
        <w:gridCol w:w="1925"/>
        <w:gridCol w:w="1424"/>
        <w:gridCol w:w="748"/>
      </w:tblGrid>
      <w:tr w:rsidR="00C80B3D" w:rsidRPr="00171D57" w:rsidTr="005F7AE1">
        <w:trPr>
          <w:trHeight w:val="491"/>
          <w:tblCellSpacing w:w="15" w:type="dxa"/>
        </w:trPr>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Gender</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Highly Aware</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Moderately Aware</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Slightly Aware</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Not Aware</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Total</w:t>
            </w:r>
          </w:p>
        </w:tc>
      </w:tr>
      <w:tr w:rsidR="00C80B3D" w:rsidRPr="00171D57" w:rsidTr="005F7AE1">
        <w:trPr>
          <w:trHeight w:val="474"/>
          <w:tblCellSpacing w:w="15" w:type="dxa"/>
        </w:trPr>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Male</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32</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60</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22</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10</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124</w:t>
            </w:r>
          </w:p>
        </w:tc>
      </w:tr>
      <w:tr w:rsidR="00C80B3D" w:rsidRPr="00171D57" w:rsidTr="005F7AE1">
        <w:trPr>
          <w:trHeight w:val="474"/>
          <w:tblCellSpacing w:w="15" w:type="dxa"/>
        </w:trPr>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Female</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12</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36</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20</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8</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Fonts w:ascii="Times New Roman" w:hAnsi="Times New Roman" w:cs="Times New Roman"/>
              </w:rPr>
              <w:t>76</w:t>
            </w:r>
          </w:p>
        </w:tc>
      </w:tr>
      <w:tr w:rsidR="00C80B3D" w:rsidRPr="00171D57" w:rsidTr="005F7AE1">
        <w:trPr>
          <w:trHeight w:val="491"/>
          <w:tblCellSpacing w:w="15" w:type="dxa"/>
        </w:trPr>
        <w:tc>
          <w:tcPr>
            <w:tcW w:w="0" w:type="auto"/>
            <w:vAlign w:val="center"/>
            <w:hideMark/>
          </w:tcPr>
          <w:p w:rsidR="00C80B3D" w:rsidRPr="00171D57" w:rsidRDefault="00C80B3D" w:rsidP="0044027C">
            <w:pPr>
              <w:spacing w:after="0"/>
              <w:rPr>
                <w:rFonts w:ascii="Times New Roman" w:hAnsi="Times New Roman" w:cs="Times New Roman"/>
              </w:rPr>
            </w:pPr>
            <w:r w:rsidRPr="00171D57">
              <w:rPr>
                <w:rStyle w:val="Strong"/>
                <w:rFonts w:ascii="Times New Roman" w:hAnsi="Times New Roman" w:cs="Times New Roman"/>
              </w:rPr>
              <w:t>Total</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Style w:val="Strong"/>
                <w:rFonts w:ascii="Times New Roman" w:hAnsi="Times New Roman" w:cs="Times New Roman"/>
              </w:rPr>
              <w:t>44</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Style w:val="Strong"/>
                <w:rFonts w:ascii="Times New Roman" w:hAnsi="Times New Roman" w:cs="Times New Roman"/>
              </w:rPr>
              <w:t>96</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Style w:val="Strong"/>
                <w:rFonts w:ascii="Times New Roman" w:hAnsi="Times New Roman" w:cs="Times New Roman"/>
              </w:rPr>
              <w:t>42</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Style w:val="Strong"/>
                <w:rFonts w:ascii="Times New Roman" w:hAnsi="Times New Roman" w:cs="Times New Roman"/>
              </w:rPr>
              <w:t>18</w:t>
            </w:r>
          </w:p>
        </w:tc>
        <w:tc>
          <w:tcPr>
            <w:tcW w:w="0" w:type="auto"/>
            <w:vAlign w:val="center"/>
            <w:hideMark/>
          </w:tcPr>
          <w:p w:rsidR="00C80B3D" w:rsidRPr="00171D57" w:rsidRDefault="00C80B3D" w:rsidP="0044027C">
            <w:pPr>
              <w:spacing w:after="0"/>
              <w:rPr>
                <w:rFonts w:ascii="Times New Roman" w:hAnsi="Times New Roman" w:cs="Times New Roman"/>
              </w:rPr>
            </w:pPr>
            <w:r w:rsidRPr="00171D57">
              <w:rPr>
                <w:rStyle w:val="Strong"/>
                <w:rFonts w:ascii="Times New Roman" w:hAnsi="Times New Roman" w:cs="Times New Roman"/>
              </w:rPr>
              <w:t>200</w:t>
            </w:r>
          </w:p>
        </w:tc>
      </w:tr>
    </w:tbl>
    <w:p w:rsidR="00394625" w:rsidRPr="00394625" w:rsidRDefault="00394625" w:rsidP="0044027C">
      <w:pPr>
        <w:pStyle w:val="Heading3"/>
        <w:spacing w:before="0"/>
        <w:jc w:val="center"/>
        <w:rPr>
          <w:rFonts w:ascii="Times New Roman" w:hAnsi="Times New Roman" w:cs="Times New Roman"/>
          <w:color w:val="auto"/>
        </w:rPr>
      </w:pPr>
      <w:r w:rsidRPr="00394625">
        <w:rPr>
          <w:rFonts w:ascii="Times New Roman" w:hAnsi="Times New Roman" w:cs="Times New Roman"/>
          <w:color w:val="auto"/>
        </w:rPr>
        <w:t>Table 20</w:t>
      </w:r>
    </w:p>
    <w:p w:rsidR="00C80B3D" w:rsidRPr="00394625" w:rsidRDefault="00C80B3D" w:rsidP="0044027C">
      <w:pPr>
        <w:pStyle w:val="Heading3"/>
        <w:spacing w:before="0"/>
        <w:rPr>
          <w:rFonts w:ascii="Times New Roman" w:hAnsi="Times New Roman" w:cs="Times New Roman"/>
          <w:b/>
          <w:color w:val="auto"/>
        </w:rPr>
      </w:pPr>
      <w:r w:rsidRPr="00394625">
        <w:rPr>
          <w:rFonts w:ascii="Times New Roman" w:hAnsi="Times New Roman" w:cs="Times New Roman"/>
          <w:b/>
          <w:color w:val="auto"/>
        </w:rPr>
        <w:t>Interpretation</w:t>
      </w:r>
    </w:p>
    <w:p w:rsidR="00394625" w:rsidRPr="0044027C" w:rsidRDefault="00C80B3D" w:rsidP="0044027C">
      <w:pPr>
        <w:pStyle w:val="NormalWeb"/>
        <w:spacing w:before="0" w:beforeAutospacing="0" w:after="0" w:afterAutospacing="0"/>
        <w:jc w:val="both"/>
      </w:pPr>
      <w:r w:rsidRPr="00171D57">
        <w:t>Male respondents show comparatively higher awareness regarding tax planning than female respondents. However, both groups largely fall under the category of moderate awareness, indicating a reasonable understanding of tax-saving provisions among ta</w:t>
      </w:r>
      <w:r w:rsidR="0044027C">
        <w:t>xpayers irrespective of gender.</w:t>
      </w:r>
    </w:p>
    <w:p w:rsidR="00C80B3D" w:rsidRPr="00171D57" w:rsidRDefault="00C80B3D" w:rsidP="0044027C">
      <w:pPr>
        <w:spacing w:after="0" w:line="240" w:lineRule="auto"/>
        <w:jc w:val="center"/>
        <w:outlineLvl w:val="1"/>
        <w:rPr>
          <w:rFonts w:ascii="Times New Roman" w:eastAsia="Times New Roman" w:hAnsi="Times New Roman" w:cs="Times New Roman"/>
          <w:b/>
          <w:bCs/>
          <w:sz w:val="24"/>
          <w:szCs w:val="24"/>
        </w:rPr>
      </w:pPr>
      <w:r w:rsidRPr="00171D57">
        <w:rPr>
          <w:rFonts w:ascii="Times New Roman" w:eastAsia="Times New Roman" w:hAnsi="Times New Roman" w:cs="Times New Roman"/>
          <w:b/>
          <w:bCs/>
          <w:sz w:val="24"/>
          <w:szCs w:val="24"/>
        </w:rPr>
        <w:t>Comparative Analysis Based on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8"/>
        <w:gridCol w:w="1447"/>
        <w:gridCol w:w="1886"/>
        <w:gridCol w:w="1540"/>
        <w:gridCol w:w="1140"/>
        <w:gridCol w:w="602"/>
      </w:tblGrid>
      <w:tr w:rsidR="00C80B3D" w:rsidRPr="00171D57" w:rsidTr="003551FD">
        <w:trPr>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Qualification</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Highly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Moderately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Slightly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Not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Total</w:t>
            </w:r>
          </w:p>
        </w:tc>
      </w:tr>
      <w:tr w:rsidR="00C80B3D" w:rsidRPr="00171D57" w:rsidTr="003551FD">
        <w:trPr>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Undergraduate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20</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48</w:t>
            </w:r>
          </w:p>
        </w:tc>
      </w:tr>
      <w:tr w:rsidR="00C80B3D" w:rsidRPr="00171D57" w:rsidTr="003551FD">
        <w:trPr>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Graduate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44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86</w:t>
            </w:r>
          </w:p>
        </w:tc>
      </w:tr>
      <w:tr w:rsidR="00C80B3D" w:rsidRPr="00171D57" w:rsidTr="003551FD">
        <w:trPr>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Postgraduate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24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10</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52</w:t>
            </w:r>
          </w:p>
        </w:tc>
      </w:tr>
      <w:tr w:rsidR="00C80B3D" w:rsidRPr="00171D57" w:rsidTr="003551FD">
        <w:trPr>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Professional Qualification</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0</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0</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14</w:t>
            </w:r>
          </w:p>
        </w:tc>
      </w:tr>
      <w:tr w:rsidR="00C80B3D" w:rsidRPr="00171D57" w:rsidTr="003551FD">
        <w:trPr>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Total</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44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96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42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18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200</w:t>
            </w:r>
          </w:p>
        </w:tc>
      </w:tr>
    </w:tbl>
    <w:p w:rsidR="00394625" w:rsidRPr="00394625" w:rsidRDefault="00394625" w:rsidP="0044027C">
      <w:pPr>
        <w:pStyle w:val="Heading3"/>
        <w:spacing w:before="0"/>
        <w:jc w:val="center"/>
        <w:rPr>
          <w:rFonts w:ascii="Times New Roman" w:hAnsi="Times New Roman" w:cs="Times New Roman"/>
          <w:color w:val="auto"/>
        </w:rPr>
      </w:pPr>
      <w:r w:rsidRPr="00394625">
        <w:rPr>
          <w:rFonts w:ascii="Times New Roman" w:eastAsia="Times New Roman" w:hAnsi="Times New Roman" w:cs="Times New Roman"/>
          <w:bCs/>
          <w:color w:val="auto"/>
        </w:rPr>
        <w:t>Table 21</w:t>
      </w:r>
    </w:p>
    <w:p w:rsidR="00C80B3D" w:rsidRPr="00171D57" w:rsidRDefault="00394625" w:rsidP="0044027C">
      <w:pPr>
        <w:pStyle w:val="Heading3"/>
        <w:spacing w:before="0"/>
        <w:rPr>
          <w:rFonts w:ascii="Times New Roman" w:hAnsi="Times New Roman" w:cs="Times New Roman"/>
          <w:b/>
          <w:color w:val="auto"/>
        </w:rPr>
      </w:pPr>
      <w:r>
        <w:rPr>
          <w:rFonts w:ascii="Times New Roman" w:hAnsi="Times New Roman" w:cs="Times New Roman"/>
          <w:b/>
          <w:color w:val="auto"/>
        </w:rPr>
        <w:t>I</w:t>
      </w:r>
      <w:r w:rsidR="00C80B3D" w:rsidRPr="00171D57">
        <w:rPr>
          <w:rFonts w:ascii="Times New Roman" w:hAnsi="Times New Roman" w:cs="Times New Roman"/>
          <w:b/>
          <w:color w:val="auto"/>
        </w:rPr>
        <w:t>nterpretation</w:t>
      </w:r>
    </w:p>
    <w:p w:rsidR="0044027C" w:rsidRDefault="00C80B3D" w:rsidP="0044027C">
      <w:pPr>
        <w:pStyle w:val="isselectedend"/>
        <w:spacing w:before="0" w:beforeAutospacing="0" w:after="0" w:afterAutospacing="0"/>
        <w:jc w:val="both"/>
      </w:pPr>
      <w:r w:rsidRPr="00171D57">
        <w:t>Respondents possessing professional and postgraduate qualifications exhibit comparatively greater awareness regarding tax planning practices. Educational background appears to play a significant role in influencing taxpayers’ understanding of taxation laws and</w:t>
      </w:r>
      <w:r w:rsidR="0044027C">
        <w:t xml:space="preserve"> financial planning strategies.</w:t>
      </w:r>
    </w:p>
    <w:p w:rsidR="00C80B3D" w:rsidRPr="0044027C" w:rsidRDefault="00C80B3D" w:rsidP="0044027C">
      <w:pPr>
        <w:pStyle w:val="isselectedend"/>
        <w:spacing w:before="0" w:beforeAutospacing="0" w:after="0" w:afterAutospacing="0"/>
        <w:jc w:val="center"/>
      </w:pPr>
      <w:r w:rsidRPr="00171D57">
        <w:rPr>
          <w:b/>
          <w:bCs/>
        </w:rPr>
        <w:t>Comparative Analysis Based on Occupation</w:t>
      </w:r>
    </w:p>
    <w:tbl>
      <w:tblPr>
        <w:tblW w:w="92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1571"/>
        <w:gridCol w:w="2049"/>
        <w:gridCol w:w="1672"/>
        <w:gridCol w:w="1237"/>
        <w:gridCol w:w="651"/>
      </w:tblGrid>
      <w:tr w:rsidR="00C80B3D" w:rsidRPr="00171D57" w:rsidTr="00394625">
        <w:trPr>
          <w:trHeight w:val="283"/>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Occupation</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Highly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Moderately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Slightly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Not Aware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Total</w:t>
            </w:r>
          </w:p>
        </w:tc>
      </w:tr>
      <w:tr w:rsidR="00C80B3D" w:rsidRPr="00171D57" w:rsidTr="00394625">
        <w:trPr>
          <w:trHeight w:val="283"/>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Salaried Employee</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42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82</w:t>
            </w:r>
          </w:p>
        </w:tc>
      </w:tr>
      <w:tr w:rsidR="00C80B3D" w:rsidRPr="00171D57" w:rsidTr="00394625">
        <w:trPr>
          <w:trHeight w:val="283"/>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Business Owner</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22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54</w:t>
            </w:r>
          </w:p>
        </w:tc>
      </w:tr>
      <w:tr w:rsidR="00C80B3D" w:rsidRPr="00171D57" w:rsidTr="00394625">
        <w:trPr>
          <w:trHeight w:val="283"/>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Professional</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10</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36</w:t>
            </w:r>
          </w:p>
        </w:tc>
      </w:tr>
      <w:tr w:rsidR="00C80B3D" w:rsidRPr="00171D57" w:rsidTr="00394625">
        <w:trPr>
          <w:trHeight w:val="267"/>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Others</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14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sz w:val="24"/>
                <w:szCs w:val="24"/>
              </w:rPr>
              <w:t>28</w:t>
            </w:r>
          </w:p>
        </w:tc>
      </w:tr>
      <w:tr w:rsidR="00C80B3D" w:rsidRPr="00171D57" w:rsidTr="00394625">
        <w:trPr>
          <w:trHeight w:val="298"/>
          <w:tblCellSpacing w:w="15" w:type="dxa"/>
        </w:trPr>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Total</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44</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96</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42</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18</w:t>
            </w:r>
          </w:p>
        </w:tc>
        <w:tc>
          <w:tcPr>
            <w:tcW w:w="0" w:type="auto"/>
            <w:vAlign w:val="center"/>
            <w:hideMark/>
          </w:tcPr>
          <w:p w:rsidR="00C80B3D" w:rsidRPr="00171D57" w:rsidRDefault="00C80B3D" w:rsidP="0044027C">
            <w:pPr>
              <w:spacing w:after="0" w:line="240" w:lineRule="auto"/>
              <w:rPr>
                <w:rFonts w:ascii="Times New Roman" w:eastAsia="Times New Roman" w:hAnsi="Times New Roman" w:cs="Times New Roman"/>
                <w:sz w:val="24"/>
                <w:szCs w:val="24"/>
              </w:rPr>
            </w:pPr>
            <w:r w:rsidRPr="00171D57">
              <w:rPr>
                <w:rFonts w:ascii="Times New Roman" w:eastAsia="Times New Roman" w:hAnsi="Times New Roman" w:cs="Times New Roman"/>
                <w:b/>
                <w:bCs/>
                <w:sz w:val="24"/>
                <w:szCs w:val="24"/>
              </w:rPr>
              <w:t>200</w:t>
            </w:r>
          </w:p>
        </w:tc>
      </w:tr>
    </w:tbl>
    <w:p w:rsidR="00394625" w:rsidRPr="00394625" w:rsidRDefault="00394625" w:rsidP="0044027C">
      <w:pPr>
        <w:pStyle w:val="Heading3"/>
        <w:jc w:val="center"/>
        <w:rPr>
          <w:rFonts w:ascii="Times New Roman" w:hAnsi="Times New Roman" w:cs="Times New Roman"/>
          <w:color w:val="auto"/>
        </w:rPr>
      </w:pPr>
      <w:r w:rsidRPr="00394625">
        <w:rPr>
          <w:rFonts w:ascii="Times New Roman" w:eastAsia="Times New Roman" w:hAnsi="Times New Roman" w:cs="Times New Roman"/>
          <w:bCs/>
          <w:color w:val="auto"/>
        </w:rPr>
        <w:t>Table 22</w:t>
      </w:r>
    </w:p>
    <w:p w:rsidR="00C80B3D" w:rsidRPr="00394625" w:rsidRDefault="00C80B3D" w:rsidP="00C80B3D">
      <w:pPr>
        <w:pStyle w:val="Heading3"/>
        <w:rPr>
          <w:rFonts w:ascii="Times New Roman" w:hAnsi="Times New Roman" w:cs="Times New Roman"/>
          <w:b/>
          <w:color w:val="auto"/>
        </w:rPr>
      </w:pPr>
      <w:r w:rsidRPr="00394625">
        <w:rPr>
          <w:rFonts w:ascii="Times New Roman" w:hAnsi="Times New Roman" w:cs="Times New Roman"/>
          <w:b/>
          <w:color w:val="auto"/>
        </w:rPr>
        <w:t>Interpretation</w:t>
      </w:r>
    </w:p>
    <w:p w:rsidR="00C80B3D" w:rsidRPr="00171D57" w:rsidRDefault="00C80B3D" w:rsidP="001E09C9">
      <w:pPr>
        <w:pStyle w:val="isselectedend"/>
        <w:jc w:val="both"/>
      </w:pPr>
      <w:r w:rsidRPr="00171D57">
        <w:t>Professionals and salaried employees demonstrate comparatively higher tax planning awareness than respondents belonging to other occupational groups. Business owners also show reasonable awareness due to their direct involvement in financial and taxation matters.</w:t>
      </w:r>
    </w:p>
    <w:p w:rsidR="00C80B3D" w:rsidRPr="00171D57" w:rsidRDefault="00C80B3D" w:rsidP="00C80B3D">
      <w:pPr>
        <w:pStyle w:val="Heading2"/>
        <w:rPr>
          <w:sz w:val="24"/>
        </w:rPr>
      </w:pPr>
      <w:r w:rsidRPr="00171D57">
        <w:rPr>
          <w:sz w:val="24"/>
        </w:rPr>
        <w:t>Overall Comparative Findings</w:t>
      </w:r>
    </w:p>
    <w:p w:rsidR="00394625" w:rsidRPr="0044027C" w:rsidRDefault="00C80B3D" w:rsidP="0044027C">
      <w:pPr>
        <w:pStyle w:val="NormalWeb"/>
        <w:jc w:val="both"/>
      </w:pPr>
      <w:r w:rsidRPr="00171D57">
        <w:t>The comparative analysis reveals that demographic and socioeconomic factors significantly influence tax planning awareness among individual taxpayers in Indore City. Higher educational qualifications, stable occupations, and middle-age groups are associated with better awareness and understanding of tax-saving strategies. The findings also indicate the need for enhanced taxpayer education programs targeting less aware groups, particularly individuals with lower educational backgrounds and limited exposure to financial planning practices.</w:t>
      </w:r>
    </w:p>
    <w:p w:rsidR="00FE5D7C" w:rsidRPr="00171D57" w:rsidRDefault="0044027C" w:rsidP="00FE5D7C">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4.4</w:t>
      </w:r>
      <w:r w:rsidR="00394625">
        <w:rPr>
          <w:rFonts w:ascii="Times New Roman" w:hAnsi="Times New Roman" w:cs="Times New Roman"/>
          <w:b/>
          <w:color w:val="auto"/>
          <w:sz w:val="24"/>
          <w:szCs w:val="24"/>
        </w:rPr>
        <w:t xml:space="preserve"> </w:t>
      </w:r>
      <w:r w:rsidR="00FE5D7C" w:rsidRPr="00171D57">
        <w:rPr>
          <w:rFonts w:ascii="Times New Roman" w:hAnsi="Times New Roman" w:cs="Times New Roman"/>
          <w:b/>
          <w:color w:val="auto"/>
          <w:sz w:val="24"/>
          <w:szCs w:val="24"/>
        </w:rPr>
        <w:t>HYPOTHESIS TESTING AND ANALYSIS</w:t>
      </w:r>
    </w:p>
    <w:p w:rsidR="00FE5D7C" w:rsidRPr="00171D57" w:rsidRDefault="001E09C9" w:rsidP="00FE5D7C">
      <w:pPr>
        <w:pStyle w:val="Heading2"/>
        <w:rPr>
          <w:sz w:val="24"/>
          <w:szCs w:val="24"/>
        </w:rPr>
      </w:pPr>
      <w:r w:rsidRPr="00171D57">
        <w:rPr>
          <w:sz w:val="24"/>
          <w:szCs w:val="24"/>
        </w:rPr>
        <w:t>Hypothesis 1 (H</w:t>
      </w:r>
      <w:r w:rsidRPr="00171D57">
        <w:rPr>
          <w:sz w:val="24"/>
          <w:szCs w:val="24"/>
          <w:vertAlign w:val="subscript"/>
        </w:rPr>
        <w:t>01</w:t>
      </w:r>
      <w:r w:rsidR="00FE5D7C" w:rsidRPr="00171D57">
        <w:rPr>
          <w:sz w:val="24"/>
          <w:szCs w:val="24"/>
        </w:rPr>
        <w:t>)</w:t>
      </w:r>
    </w:p>
    <w:p w:rsidR="00FE5D7C" w:rsidRPr="00171D57" w:rsidRDefault="001E09C9" w:rsidP="00FE5D7C">
      <w:pPr>
        <w:pStyle w:val="Heading3"/>
        <w:rPr>
          <w:rFonts w:ascii="Times New Roman" w:hAnsi="Times New Roman" w:cs="Times New Roman"/>
          <w:color w:val="auto"/>
        </w:rPr>
      </w:pPr>
      <w:r w:rsidRPr="00171D57">
        <w:rPr>
          <w:rFonts w:ascii="Times New Roman" w:hAnsi="Times New Roman" w:cs="Times New Roman"/>
          <w:color w:val="auto"/>
        </w:rPr>
        <w:t>Null Hypothesis (H</w:t>
      </w:r>
      <w:r w:rsidRPr="00171D57">
        <w:rPr>
          <w:rFonts w:ascii="Times New Roman" w:hAnsi="Times New Roman" w:cs="Times New Roman"/>
          <w:color w:val="auto"/>
          <w:vertAlign w:val="subscript"/>
        </w:rPr>
        <w:t>01</w:t>
      </w:r>
      <w:r w:rsidR="00FE5D7C" w:rsidRPr="00171D57">
        <w:rPr>
          <w:rFonts w:ascii="Times New Roman" w:hAnsi="Times New Roman" w:cs="Times New Roman"/>
          <w:color w:val="auto"/>
        </w:rPr>
        <w:t>)</w:t>
      </w:r>
    </w:p>
    <w:p w:rsidR="00FE5D7C" w:rsidRPr="00171D57" w:rsidRDefault="00FE5D7C" w:rsidP="001E09C9">
      <w:pPr>
        <w:pStyle w:val="NormalWeb"/>
        <w:jc w:val="both"/>
      </w:pPr>
      <w:r w:rsidRPr="00171D57">
        <w:t>There is no significant association between the role of tax consultants in helping taxpayers understand the impact of tax provisions on tax planning and tax liabilities with demographic variables such as Gender, Age, Qualification, Profession, and Income.</w:t>
      </w:r>
    </w:p>
    <w:p w:rsidR="00FE5D7C" w:rsidRPr="00171D57" w:rsidRDefault="00FE5D7C" w:rsidP="001E09C9">
      <w:pPr>
        <w:pStyle w:val="Heading3"/>
        <w:jc w:val="both"/>
        <w:rPr>
          <w:rFonts w:ascii="Times New Roman" w:hAnsi="Times New Roman" w:cs="Times New Roman"/>
          <w:color w:val="auto"/>
        </w:rPr>
      </w:pPr>
      <w:r w:rsidRPr="00171D57">
        <w:rPr>
          <w:rFonts w:ascii="Times New Roman" w:hAnsi="Times New Roman" w:cs="Times New Roman"/>
          <w:color w:val="auto"/>
        </w:rPr>
        <w:t>Analysis</w:t>
      </w:r>
    </w:p>
    <w:p w:rsidR="00FE5D7C" w:rsidRPr="00171D57" w:rsidRDefault="00FE5D7C" w:rsidP="001E09C9">
      <w:pPr>
        <w:pStyle w:val="NormalWeb"/>
        <w:jc w:val="both"/>
      </w:pPr>
      <w:r w:rsidRPr="00171D57">
        <w:t>The responses collected from 200 respondents were analysed to examine whether demographic variables influence the extent to which taxpayers rely on tax consultants for understanding tax provisions and managing tax liabilities.</w:t>
      </w:r>
    </w:p>
    <w:p w:rsidR="00FE5D7C" w:rsidRPr="00171D57" w:rsidRDefault="00FE5D7C" w:rsidP="001E09C9">
      <w:pPr>
        <w:pStyle w:val="NormalWeb"/>
        <w:jc w:val="both"/>
      </w:pPr>
      <w:r w:rsidRPr="00171D57">
        <w:t>The comparative findings reveal that a majority of respondents, particularly salaried employees, professionals, and individuals belonging to the middle-income category, prefer seeking assistance from tax consultants and financial advisors for tax planning purposes. Out of 200 respondents, 132 respondents (66%) indicated that they rely on professional tax assistance.</w:t>
      </w:r>
    </w:p>
    <w:p w:rsidR="00FE5D7C" w:rsidRPr="00171D57" w:rsidRDefault="00FE5D7C" w:rsidP="001E09C9">
      <w:pPr>
        <w:pStyle w:val="NormalWeb"/>
        <w:jc w:val="both"/>
      </w:pPr>
      <w:r w:rsidRPr="00171D57">
        <w:t>The analysis based on demographic variables suggests the following observations:</w:t>
      </w:r>
    </w:p>
    <w:p w:rsidR="00FE5D7C" w:rsidRPr="00171D57" w:rsidRDefault="00FE5D7C" w:rsidP="001E09C9">
      <w:pPr>
        <w:pStyle w:val="NormalWeb"/>
        <w:numPr>
          <w:ilvl w:val="0"/>
          <w:numId w:val="7"/>
        </w:numPr>
        <w:jc w:val="both"/>
      </w:pPr>
      <w:r w:rsidRPr="00171D57">
        <w:t>Male respondents demonstrated slightly greater dependence on tax consultants compared to female respondents.</w:t>
      </w:r>
    </w:p>
    <w:p w:rsidR="00FE5D7C" w:rsidRPr="00171D57" w:rsidRDefault="00FE5D7C" w:rsidP="001E09C9">
      <w:pPr>
        <w:pStyle w:val="NormalWeb"/>
        <w:numPr>
          <w:ilvl w:val="0"/>
          <w:numId w:val="7"/>
        </w:numPr>
        <w:jc w:val="both"/>
      </w:pPr>
      <w:r w:rsidRPr="00171D57">
        <w:t>Respondents in the age group of 31–40 years exhibited higher consultation rates due to active financial planning and investment activities.</w:t>
      </w:r>
    </w:p>
    <w:p w:rsidR="00FE5D7C" w:rsidRPr="00171D57" w:rsidRDefault="00FE5D7C" w:rsidP="001E09C9">
      <w:pPr>
        <w:pStyle w:val="NormalWeb"/>
        <w:numPr>
          <w:ilvl w:val="0"/>
          <w:numId w:val="7"/>
        </w:numPr>
        <w:jc w:val="both"/>
      </w:pPr>
      <w:r w:rsidRPr="00171D57">
        <w:t>Professionally qualified and postgraduate respondents showed better understanding of tax provisions and comparatively greater interaction with tax professionals.</w:t>
      </w:r>
    </w:p>
    <w:p w:rsidR="00FE5D7C" w:rsidRPr="00171D57" w:rsidRDefault="00FE5D7C" w:rsidP="001E09C9">
      <w:pPr>
        <w:pStyle w:val="NormalWeb"/>
        <w:numPr>
          <w:ilvl w:val="0"/>
          <w:numId w:val="7"/>
        </w:numPr>
        <w:jc w:val="both"/>
      </w:pPr>
      <w:r w:rsidRPr="00171D57">
        <w:t>Salaried employees and business owners were more likely to seek expert guidance regarding deductions, exemptions, and tax-saving investments.</w:t>
      </w:r>
    </w:p>
    <w:p w:rsidR="00FE5D7C" w:rsidRPr="00171D57" w:rsidRDefault="00FE5D7C" w:rsidP="001E09C9">
      <w:pPr>
        <w:pStyle w:val="NormalWeb"/>
        <w:numPr>
          <w:ilvl w:val="0"/>
          <w:numId w:val="7"/>
        </w:numPr>
        <w:jc w:val="both"/>
      </w:pPr>
      <w:r w:rsidRPr="00171D57">
        <w:t>Higher-income respondents demonstrated increased utilization of professional tax planning services due to complex financial structures and larger tax liabilities.</w:t>
      </w:r>
    </w:p>
    <w:p w:rsidR="00FE5D7C" w:rsidRPr="00171D57" w:rsidRDefault="00FE5D7C" w:rsidP="001E09C9">
      <w:pPr>
        <w:pStyle w:val="NormalWeb"/>
        <w:jc w:val="both"/>
      </w:pPr>
      <w:r w:rsidRPr="00171D57">
        <w:t>The association between demographic characteristics and dependence on tax consultants indicates that demographic factors influence taxpayers’ approach toward tax planning and understanding tax liabilities.</w:t>
      </w:r>
    </w:p>
    <w:p w:rsidR="00FE5D7C" w:rsidRPr="00171D57" w:rsidRDefault="00FE5D7C" w:rsidP="00FE5D7C">
      <w:pPr>
        <w:pStyle w:val="Heading3"/>
        <w:rPr>
          <w:rFonts w:ascii="Times New Roman" w:hAnsi="Times New Roman" w:cs="Times New Roman"/>
          <w:color w:val="auto"/>
        </w:rPr>
      </w:pPr>
      <w:r w:rsidRPr="00171D57">
        <w:rPr>
          <w:rFonts w:ascii="Times New Roman" w:hAnsi="Times New Roman" w:cs="Times New Roman"/>
          <w:color w:val="auto"/>
        </w:rPr>
        <w:t>Conclusion for H01</w:t>
      </w:r>
    </w:p>
    <w:p w:rsidR="00FE5D7C" w:rsidRPr="00171D57" w:rsidRDefault="00FE5D7C" w:rsidP="001E09C9">
      <w:pPr>
        <w:pStyle w:val="NormalWeb"/>
      </w:pPr>
      <w:r w:rsidRPr="00171D57">
        <w:t>Based on the analysis, the null hypothesis (H01) is rejected. Therefore, it can be concluded that there is a significant association between demographic variables and the role of tax consultants in helping taxpayers understand tax provisions, tax planning strategies, and tax liabilities.</w:t>
      </w:r>
    </w:p>
    <w:p w:rsidR="00FE5D7C" w:rsidRPr="00171D57" w:rsidRDefault="001E09C9" w:rsidP="00FE5D7C">
      <w:pPr>
        <w:pStyle w:val="Heading1"/>
        <w:rPr>
          <w:rFonts w:ascii="Times New Roman" w:hAnsi="Times New Roman" w:cs="Times New Roman"/>
          <w:b/>
          <w:color w:val="auto"/>
          <w:sz w:val="24"/>
        </w:rPr>
      </w:pPr>
      <w:r w:rsidRPr="00171D57">
        <w:rPr>
          <w:rFonts w:ascii="Times New Roman" w:hAnsi="Times New Roman" w:cs="Times New Roman"/>
          <w:b/>
          <w:color w:val="auto"/>
          <w:sz w:val="24"/>
        </w:rPr>
        <w:t>Hypothesis 2 (H</w:t>
      </w:r>
      <w:r w:rsidRPr="00171D57">
        <w:rPr>
          <w:rFonts w:ascii="Times New Roman" w:hAnsi="Times New Roman" w:cs="Times New Roman"/>
          <w:b/>
          <w:color w:val="auto"/>
          <w:sz w:val="24"/>
          <w:vertAlign w:val="subscript"/>
        </w:rPr>
        <w:t>02</w:t>
      </w:r>
      <w:r w:rsidR="00FE5D7C" w:rsidRPr="00171D57">
        <w:rPr>
          <w:rFonts w:ascii="Times New Roman" w:hAnsi="Times New Roman" w:cs="Times New Roman"/>
          <w:b/>
          <w:color w:val="auto"/>
          <w:sz w:val="24"/>
        </w:rPr>
        <w:t>)</w:t>
      </w:r>
    </w:p>
    <w:p w:rsidR="00FE5D7C" w:rsidRPr="00171D57" w:rsidRDefault="001E09C9" w:rsidP="00FE5D7C">
      <w:pPr>
        <w:pStyle w:val="Heading3"/>
        <w:rPr>
          <w:rFonts w:ascii="Times New Roman" w:hAnsi="Times New Roman" w:cs="Times New Roman"/>
          <w:color w:val="auto"/>
        </w:rPr>
      </w:pPr>
      <w:r w:rsidRPr="00171D57">
        <w:rPr>
          <w:rFonts w:ascii="Times New Roman" w:hAnsi="Times New Roman" w:cs="Times New Roman"/>
          <w:color w:val="auto"/>
        </w:rPr>
        <w:t>Null Hypothesis (H</w:t>
      </w:r>
      <w:r w:rsidRPr="00171D57">
        <w:rPr>
          <w:rFonts w:ascii="Times New Roman" w:hAnsi="Times New Roman" w:cs="Times New Roman"/>
          <w:color w:val="auto"/>
          <w:vertAlign w:val="subscript"/>
        </w:rPr>
        <w:t>02</w:t>
      </w:r>
      <w:r w:rsidR="00FE5D7C" w:rsidRPr="00171D57">
        <w:rPr>
          <w:rFonts w:ascii="Times New Roman" w:hAnsi="Times New Roman" w:cs="Times New Roman"/>
          <w:color w:val="auto"/>
        </w:rPr>
        <w:t>)</w:t>
      </w:r>
    </w:p>
    <w:p w:rsidR="00FE5D7C" w:rsidRPr="00171D57" w:rsidRDefault="00FE5D7C" w:rsidP="001E09C9">
      <w:pPr>
        <w:pStyle w:val="NormalWeb"/>
        <w:jc w:val="both"/>
      </w:pPr>
      <w:r w:rsidRPr="00171D57">
        <w:t>There is no significant association between demographic variables (Gender, Age, Qualification, Profession, and Income) and tax planning awareness among individual taxpayers.</w:t>
      </w:r>
    </w:p>
    <w:p w:rsidR="00FE5D7C" w:rsidRPr="00171D57" w:rsidRDefault="00FE5D7C" w:rsidP="001E09C9">
      <w:pPr>
        <w:pStyle w:val="Heading3"/>
        <w:jc w:val="both"/>
        <w:rPr>
          <w:rFonts w:ascii="Times New Roman" w:hAnsi="Times New Roman" w:cs="Times New Roman"/>
          <w:b/>
          <w:color w:val="auto"/>
        </w:rPr>
      </w:pPr>
      <w:r w:rsidRPr="00171D57">
        <w:rPr>
          <w:rFonts w:ascii="Times New Roman" w:hAnsi="Times New Roman" w:cs="Times New Roman"/>
          <w:b/>
          <w:color w:val="auto"/>
        </w:rPr>
        <w:t>Analysis</w:t>
      </w:r>
    </w:p>
    <w:p w:rsidR="00FE5D7C" w:rsidRPr="00171D57" w:rsidRDefault="00FE5D7C" w:rsidP="001E09C9">
      <w:pPr>
        <w:pStyle w:val="NormalWeb"/>
        <w:jc w:val="both"/>
      </w:pPr>
      <w:r w:rsidRPr="00171D57">
        <w:t>The study analysed the relationship between demographic variables and the level of awareness regarding tax planning opportunities, tax-saving instruments, and legal deductions available under the taxation system.</w:t>
      </w:r>
    </w:p>
    <w:p w:rsidR="00FE5D7C" w:rsidRPr="00171D57" w:rsidRDefault="00FE5D7C" w:rsidP="001E09C9">
      <w:pPr>
        <w:pStyle w:val="NormalWeb"/>
        <w:jc w:val="both"/>
      </w:pPr>
      <w:r w:rsidRPr="00171D57">
        <w:t>The frequency distribution and comparative analysis indicate that tax planning awareness varies considerably across different demographic categories.</w:t>
      </w:r>
    </w:p>
    <w:p w:rsidR="00FE5D7C" w:rsidRPr="00171D57" w:rsidRDefault="00FE5D7C" w:rsidP="00FE5D7C">
      <w:pPr>
        <w:pStyle w:val="NormalWeb"/>
      </w:pPr>
      <w:r w:rsidRPr="00171D57">
        <w:rPr>
          <w:b/>
        </w:rPr>
        <w:t>The major findings are as follows</w:t>
      </w:r>
      <w:r w:rsidRPr="00171D57">
        <w:t>:</w:t>
      </w:r>
    </w:p>
    <w:p w:rsidR="00FE5D7C" w:rsidRPr="00171D57" w:rsidRDefault="00FE5D7C" w:rsidP="00FE5D7C">
      <w:pPr>
        <w:pStyle w:val="NormalWeb"/>
        <w:numPr>
          <w:ilvl w:val="0"/>
          <w:numId w:val="8"/>
        </w:numPr>
      </w:pPr>
      <w:r w:rsidRPr="00171D57">
        <w:t>Respondents aged between 31–40 years showed the highest level of awareness regarding tax planning options and investment schemes.</w:t>
      </w:r>
    </w:p>
    <w:p w:rsidR="00FE5D7C" w:rsidRPr="00171D57" w:rsidRDefault="00FE5D7C" w:rsidP="00FE5D7C">
      <w:pPr>
        <w:pStyle w:val="NormalWeb"/>
        <w:numPr>
          <w:ilvl w:val="0"/>
          <w:numId w:val="8"/>
        </w:numPr>
      </w:pPr>
      <w:r w:rsidRPr="00171D57">
        <w:t>Educational qualification had a substantial impact on awareness levels. Professionally qualified and postgraduate respondents displayed greater knowledge regarding tax-saving instruments such as ELSS, PPF, NPS, and life insurance policies.</w:t>
      </w:r>
    </w:p>
    <w:p w:rsidR="00FE5D7C" w:rsidRPr="00171D57" w:rsidRDefault="00FE5D7C" w:rsidP="00FE5D7C">
      <w:pPr>
        <w:pStyle w:val="NormalWeb"/>
        <w:numPr>
          <w:ilvl w:val="0"/>
          <w:numId w:val="8"/>
        </w:numPr>
      </w:pPr>
      <w:r w:rsidRPr="00171D57">
        <w:t>Salaried employees and professionals exhibited comparatively higher awareness than respondents belonging to other occupational groups.</w:t>
      </w:r>
    </w:p>
    <w:p w:rsidR="00FE5D7C" w:rsidRPr="00171D57" w:rsidRDefault="00FE5D7C" w:rsidP="00FE5D7C">
      <w:pPr>
        <w:pStyle w:val="NormalWeb"/>
        <w:numPr>
          <w:ilvl w:val="0"/>
          <w:numId w:val="8"/>
        </w:numPr>
      </w:pPr>
      <w:r w:rsidRPr="00171D57">
        <w:t>Male respondents showed marginally higher awareness levels compared to female respondents; however, both groups demonstrated moderate awareness overall.</w:t>
      </w:r>
    </w:p>
    <w:p w:rsidR="00FE5D7C" w:rsidRPr="00171D57" w:rsidRDefault="00FE5D7C" w:rsidP="00FE5D7C">
      <w:pPr>
        <w:pStyle w:val="NormalWeb"/>
        <w:numPr>
          <w:ilvl w:val="0"/>
          <w:numId w:val="8"/>
        </w:numPr>
      </w:pPr>
      <w:r w:rsidRPr="00171D57">
        <w:t>Respondents with higher income levels were more aware of advanced tax planning techniques and financial management strategies compared to lower-income groups.</w:t>
      </w:r>
    </w:p>
    <w:p w:rsidR="00FE5D7C" w:rsidRPr="00171D57" w:rsidRDefault="00FE5D7C" w:rsidP="00FE5D7C">
      <w:pPr>
        <w:pStyle w:val="NormalWeb"/>
      </w:pPr>
      <w:r w:rsidRPr="00171D57">
        <w:t>The findings suggest that demographic characteristics significantly influence taxpayers’ awareness and understanding of tax planning provisions.</w:t>
      </w:r>
    </w:p>
    <w:p w:rsidR="00FE5D7C" w:rsidRPr="00171D57" w:rsidRDefault="001E09C9" w:rsidP="00FE5D7C">
      <w:pPr>
        <w:pStyle w:val="Heading3"/>
        <w:rPr>
          <w:rFonts w:ascii="Times New Roman" w:hAnsi="Times New Roman" w:cs="Times New Roman"/>
          <w:b/>
          <w:color w:val="auto"/>
          <w:vertAlign w:val="subscript"/>
        </w:rPr>
      </w:pPr>
      <w:r w:rsidRPr="00171D57">
        <w:rPr>
          <w:rFonts w:ascii="Times New Roman" w:hAnsi="Times New Roman" w:cs="Times New Roman"/>
          <w:b/>
          <w:color w:val="auto"/>
        </w:rPr>
        <w:t>Conclusion for H</w:t>
      </w:r>
      <w:r w:rsidRPr="00171D57">
        <w:rPr>
          <w:rFonts w:ascii="Times New Roman" w:hAnsi="Times New Roman" w:cs="Times New Roman"/>
          <w:b/>
          <w:color w:val="auto"/>
          <w:vertAlign w:val="subscript"/>
        </w:rPr>
        <w:t>02</w:t>
      </w:r>
    </w:p>
    <w:p w:rsidR="00FE5D7C" w:rsidRPr="00171D57" w:rsidRDefault="00FE5D7C" w:rsidP="001E09C9">
      <w:pPr>
        <w:pStyle w:val="NormalWeb"/>
        <w:jc w:val="both"/>
      </w:pPr>
      <w:r w:rsidRPr="00171D57">
        <w:t>Based on the analysis, the null hypothesis (H02) is rejected. Hence, it can be concluded that there is a significant association between demographic variables and tax planning awareness among individual taxpayers in Indore City.</w:t>
      </w:r>
    </w:p>
    <w:p w:rsidR="00FE5D7C" w:rsidRPr="00171D57" w:rsidRDefault="00FE5D7C" w:rsidP="00FE5D7C">
      <w:pPr>
        <w:rPr>
          <w:rFonts w:ascii="Times New Roman" w:hAnsi="Times New Roman" w:cs="Times New Roman"/>
        </w:rPr>
      </w:pPr>
    </w:p>
    <w:p w:rsidR="00FE5D7C" w:rsidRPr="00171D57" w:rsidRDefault="00FE5D7C" w:rsidP="00FE5D7C">
      <w:pPr>
        <w:pStyle w:val="Heading1"/>
        <w:rPr>
          <w:rFonts w:ascii="Times New Roman" w:hAnsi="Times New Roman" w:cs="Times New Roman"/>
          <w:b/>
          <w:color w:val="auto"/>
          <w:sz w:val="24"/>
        </w:rPr>
      </w:pPr>
      <w:r w:rsidRPr="00171D57">
        <w:rPr>
          <w:rFonts w:ascii="Times New Roman" w:hAnsi="Times New Roman" w:cs="Times New Roman"/>
          <w:b/>
          <w:color w:val="auto"/>
          <w:sz w:val="24"/>
        </w:rPr>
        <w:t>Overall Findings</w:t>
      </w:r>
    </w:p>
    <w:p w:rsidR="00FE5D7C" w:rsidRPr="00171D57" w:rsidRDefault="00FE5D7C" w:rsidP="001E09C9">
      <w:pPr>
        <w:pStyle w:val="NormalWeb"/>
        <w:jc w:val="both"/>
      </w:pPr>
      <w:r w:rsidRPr="00171D57">
        <w:t>The hypothesis testing reveals that demographic and socioeconomic characteristics play a crucial role in influencing taxpayers’ awareness, behaviour, and utilization of professional tax planning services. The study further indicates that education, occupation, age, and income level contribute significantly to taxpayers’ financial literacy and understanding of tax-saving opportunities.</w:t>
      </w:r>
    </w:p>
    <w:p w:rsidR="00FE5D7C" w:rsidRPr="0044027C" w:rsidRDefault="00FE5D7C" w:rsidP="0044027C">
      <w:pPr>
        <w:pStyle w:val="NormalWeb"/>
        <w:jc w:val="both"/>
      </w:pPr>
      <w:r w:rsidRPr="00171D57">
        <w:t>The findings emphasize the importance of taxpayer education programs, financial literacy initiatives, and professional guidance in promoting effective and legally compliant tax planning practices among indiv</w:t>
      </w:r>
      <w:r w:rsidR="0044027C">
        <w:t>idual taxpayers in Indore City.</w:t>
      </w:r>
    </w:p>
    <w:p w:rsidR="0044027C" w:rsidRPr="00171D57" w:rsidRDefault="00366BD4" w:rsidP="0044027C">
      <w:pPr>
        <w:jc w:val="both"/>
        <w:rPr>
          <w:rFonts w:ascii="Times New Roman" w:hAnsi="Times New Roman" w:cs="Times New Roman"/>
          <w:b/>
          <w:sz w:val="28"/>
        </w:rPr>
      </w:pPr>
      <w:r>
        <w:rPr>
          <w:rFonts w:ascii="Times New Roman" w:hAnsi="Times New Roman" w:cs="Times New Roman"/>
          <w:b/>
          <w:sz w:val="28"/>
        </w:rPr>
        <w:t xml:space="preserve">5. </w:t>
      </w:r>
      <w:r w:rsidR="0044027C" w:rsidRPr="0044027C">
        <w:rPr>
          <w:rFonts w:ascii="Times New Roman" w:hAnsi="Times New Roman" w:cs="Times New Roman"/>
          <w:b/>
          <w:sz w:val="28"/>
        </w:rPr>
        <w:t>FINDINGS &amp;</w:t>
      </w:r>
      <w:r w:rsidR="0044027C">
        <w:rPr>
          <w:rFonts w:ascii="Times New Roman" w:hAnsi="Times New Roman" w:cs="Times New Roman"/>
          <w:b/>
          <w:sz w:val="24"/>
        </w:rPr>
        <w:t xml:space="preserve"> </w:t>
      </w:r>
      <w:r w:rsidR="0044027C" w:rsidRPr="00171D57">
        <w:rPr>
          <w:rFonts w:ascii="Times New Roman" w:hAnsi="Times New Roman" w:cs="Times New Roman"/>
          <w:b/>
          <w:sz w:val="28"/>
        </w:rPr>
        <w:t>SUGGESTIONS:</w:t>
      </w:r>
    </w:p>
    <w:p w:rsidR="0044027C" w:rsidRPr="0044027C" w:rsidRDefault="00366BD4" w:rsidP="0044027C">
      <w:pPr>
        <w:pStyle w:val="Heading1"/>
        <w:jc w:val="both"/>
        <w:rPr>
          <w:rFonts w:ascii="Times New Roman" w:hAnsi="Times New Roman" w:cs="Times New Roman"/>
          <w:b/>
          <w:color w:val="auto"/>
          <w:sz w:val="24"/>
        </w:rPr>
      </w:pPr>
      <w:r>
        <w:rPr>
          <w:rFonts w:ascii="Times New Roman" w:hAnsi="Times New Roman" w:cs="Times New Roman"/>
          <w:b/>
          <w:color w:val="auto"/>
          <w:sz w:val="24"/>
        </w:rPr>
        <w:t xml:space="preserve">5.1 </w:t>
      </w:r>
      <w:r w:rsidR="0044027C" w:rsidRPr="0044027C">
        <w:rPr>
          <w:rFonts w:ascii="Times New Roman" w:hAnsi="Times New Roman" w:cs="Times New Roman"/>
          <w:b/>
          <w:color w:val="auto"/>
          <w:sz w:val="24"/>
        </w:rPr>
        <w:t>FINDINGS OF THE STUDY</w:t>
      </w:r>
    </w:p>
    <w:p w:rsidR="0044027C" w:rsidRPr="0044027C" w:rsidRDefault="0044027C" w:rsidP="0044027C">
      <w:pPr>
        <w:pStyle w:val="NormalWeb"/>
        <w:jc w:val="both"/>
      </w:pPr>
      <w:r w:rsidRPr="0044027C">
        <w:t xml:space="preserve">The findings of the study titled </w:t>
      </w:r>
      <w:r w:rsidRPr="0044027C">
        <w:rPr>
          <w:rStyle w:val="Emphasis"/>
        </w:rPr>
        <w:t>“Exploring Tax Planning Awareness Among Individual Taxpayers in Indore City”</w:t>
      </w:r>
      <w:r w:rsidRPr="0044027C">
        <w:t xml:space="preserve"> are derived from the percentage analysis, frequency distribution, comparative analysis, and hypothesis testing conducted on the responses collected from 200 respondents.</w:t>
      </w:r>
    </w:p>
    <w:p w:rsidR="0044027C" w:rsidRPr="00AC32C5" w:rsidRDefault="0044027C" w:rsidP="0044027C">
      <w:pPr>
        <w:pStyle w:val="Heading2"/>
        <w:jc w:val="both"/>
        <w:rPr>
          <w:sz w:val="24"/>
        </w:rPr>
      </w:pPr>
      <w:r w:rsidRPr="00AC32C5">
        <w:rPr>
          <w:sz w:val="24"/>
        </w:rPr>
        <w:t>Major Findings</w:t>
      </w:r>
    </w:p>
    <w:p w:rsidR="0044027C" w:rsidRPr="00AC32C5" w:rsidRDefault="0044027C" w:rsidP="0044027C">
      <w:pPr>
        <w:pStyle w:val="Heading3"/>
        <w:jc w:val="both"/>
        <w:rPr>
          <w:rFonts w:ascii="Times New Roman" w:hAnsi="Times New Roman" w:cs="Times New Roman"/>
          <w:i/>
          <w:color w:val="auto"/>
        </w:rPr>
      </w:pPr>
      <w:r w:rsidRPr="00AC32C5">
        <w:rPr>
          <w:rFonts w:ascii="Times New Roman" w:hAnsi="Times New Roman" w:cs="Times New Roman"/>
          <w:i/>
          <w:color w:val="auto"/>
        </w:rPr>
        <w:t>1. Demographic Findings</w:t>
      </w:r>
    </w:p>
    <w:p w:rsidR="0044027C" w:rsidRPr="0044027C" w:rsidRDefault="0044027C" w:rsidP="0044027C">
      <w:pPr>
        <w:pStyle w:val="NormalWeb"/>
        <w:numPr>
          <w:ilvl w:val="0"/>
          <w:numId w:val="9"/>
        </w:numPr>
        <w:jc w:val="both"/>
      </w:pPr>
      <w:r w:rsidRPr="0044027C">
        <w:t>The majority of respondents (34%) belong to the age group of 31–40 years, indicating that middle-aged individuals are more actively involved in tax planning activities.</w:t>
      </w:r>
    </w:p>
    <w:p w:rsidR="0044027C" w:rsidRPr="0044027C" w:rsidRDefault="0044027C" w:rsidP="0044027C">
      <w:pPr>
        <w:pStyle w:val="NormalWeb"/>
        <w:numPr>
          <w:ilvl w:val="0"/>
          <w:numId w:val="9"/>
        </w:numPr>
        <w:jc w:val="both"/>
      </w:pPr>
      <w:r w:rsidRPr="0044027C">
        <w:t>Male respondents constitute 62% of the total sample, while female respondents account for 38%.</w:t>
      </w:r>
    </w:p>
    <w:p w:rsidR="0044027C" w:rsidRPr="0044027C" w:rsidRDefault="0044027C" w:rsidP="0044027C">
      <w:pPr>
        <w:pStyle w:val="NormalWeb"/>
        <w:numPr>
          <w:ilvl w:val="0"/>
          <w:numId w:val="9"/>
        </w:numPr>
        <w:jc w:val="both"/>
      </w:pPr>
      <w:r w:rsidRPr="0044027C">
        <w:t>Most respondents are graduates (43%), followed by postgraduates (26%), suggesting that educational attainment among taxpayers is relatively high.</w:t>
      </w:r>
    </w:p>
    <w:p w:rsidR="0044027C" w:rsidRPr="0044027C" w:rsidRDefault="0044027C" w:rsidP="0044027C">
      <w:pPr>
        <w:pStyle w:val="NormalWeb"/>
        <w:numPr>
          <w:ilvl w:val="0"/>
          <w:numId w:val="9"/>
        </w:numPr>
        <w:jc w:val="both"/>
      </w:pPr>
      <w:r w:rsidRPr="0044027C">
        <w:t>Salaried employees represent the largest occupational category (41%), followed by business owners (27%).</w:t>
      </w:r>
    </w:p>
    <w:p w:rsidR="0044027C" w:rsidRPr="00AC32C5" w:rsidRDefault="0044027C" w:rsidP="0044027C">
      <w:pPr>
        <w:pStyle w:val="Heading3"/>
        <w:jc w:val="both"/>
        <w:rPr>
          <w:rFonts w:ascii="Times New Roman" w:hAnsi="Times New Roman" w:cs="Times New Roman"/>
          <w:i/>
          <w:color w:val="auto"/>
        </w:rPr>
      </w:pPr>
      <w:r w:rsidRPr="00AC32C5">
        <w:rPr>
          <w:rFonts w:ascii="Times New Roman" w:hAnsi="Times New Roman" w:cs="Times New Roman"/>
          <w:i/>
          <w:color w:val="auto"/>
        </w:rPr>
        <w:t>2. Findings Related to Tax Planning Awareness</w:t>
      </w:r>
    </w:p>
    <w:p w:rsidR="0044027C" w:rsidRPr="0044027C" w:rsidRDefault="0044027C" w:rsidP="0044027C">
      <w:pPr>
        <w:pStyle w:val="NormalWeb"/>
        <w:numPr>
          <w:ilvl w:val="0"/>
          <w:numId w:val="10"/>
        </w:numPr>
        <w:jc w:val="both"/>
      </w:pPr>
      <w:r w:rsidRPr="0044027C">
        <w:t>A significant proportion of respondents (48%) possess moderate awareness regarding tax planning provisions and tax-saving opportunities.</w:t>
      </w:r>
    </w:p>
    <w:p w:rsidR="0044027C" w:rsidRPr="0044027C" w:rsidRDefault="0044027C" w:rsidP="0044027C">
      <w:pPr>
        <w:pStyle w:val="NormalWeb"/>
        <w:numPr>
          <w:ilvl w:val="0"/>
          <w:numId w:val="10"/>
        </w:numPr>
        <w:jc w:val="both"/>
      </w:pPr>
      <w:r w:rsidRPr="0044027C">
        <w:t>Only 22% of respondents are highly aware of tax planning strategies, while 9% are not aware of tax planning practices.</w:t>
      </w:r>
    </w:p>
    <w:p w:rsidR="0044027C" w:rsidRPr="0044027C" w:rsidRDefault="0044027C" w:rsidP="0044027C">
      <w:pPr>
        <w:pStyle w:val="NormalWeb"/>
        <w:numPr>
          <w:ilvl w:val="0"/>
          <w:numId w:val="10"/>
        </w:numPr>
        <w:jc w:val="both"/>
      </w:pPr>
      <w:r w:rsidRPr="0044027C">
        <w:t>Respondents aged between 31–40 years exhibit higher levels of awareness compared to other age groups.</w:t>
      </w:r>
    </w:p>
    <w:p w:rsidR="0044027C" w:rsidRPr="0044027C" w:rsidRDefault="0044027C" w:rsidP="0044027C">
      <w:pPr>
        <w:pStyle w:val="NormalWeb"/>
        <w:numPr>
          <w:ilvl w:val="0"/>
          <w:numId w:val="10"/>
        </w:numPr>
        <w:jc w:val="both"/>
      </w:pPr>
      <w:r w:rsidRPr="0044027C">
        <w:t>Educational qualification positively influences tax planning awareness, with professionally qualified and postgraduate respondents demonstrating greater understanding of taxation provisions.</w:t>
      </w:r>
    </w:p>
    <w:p w:rsidR="0044027C" w:rsidRPr="00AC32C5" w:rsidRDefault="0044027C" w:rsidP="0044027C">
      <w:pPr>
        <w:pStyle w:val="Heading3"/>
        <w:jc w:val="both"/>
        <w:rPr>
          <w:rFonts w:ascii="Times New Roman" w:hAnsi="Times New Roman" w:cs="Times New Roman"/>
          <w:i/>
          <w:color w:val="auto"/>
        </w:rPr>
      </w:pPr>
      <w:r w:rsidRPr="00AC32C5">
        <w:rPr>
          <w:rFonts w:ascii="Times New Roman" w:hAnsi="Times New Roman" w:cs="Times New Roman"/>
          <w:i/>
          <w:color w:val="auto"/>
        </w:rPr>
        <w:t>3. Findings Related to Tax-Saving Instruments</w:t>
      </w:r>
    </w:p>
    <w:p w:rsidR="0044027C" w:rsidRPr="0044027C" w:rsidRDefault="0044027C" w:rsidP="0044027C">
      <w:pPr>
        <w:pStyle w:val="NormalWeb"/>
        <w:numPr>
          <w:ilvl w:val="0"/>
          <w:numId w:val="11"/>
        </w:numPr>
        <w:jc w:val="both"/>
      </w:pPr>
      <w:r w:rsidRPr="0044027C">
        <w:t>Life insurance policies are the most recognized tax-saving instrument among respondents, with awareness observed among 56% of taxpayers.</w:t>
      </w:r>
    </w:p>
    <w:p w:rsidR="0044027C" w:rsidRPr="0044027C" w:rsidRDefault="0044027C" w:rsidP="0044027C">
      <w:pPr>
        <w:pStyle w:val="NormalWeb"/>
        <w:numPr>
          <w:ilvl w:val="0"/>
          <w:numId w:val="11"/>
        </w:numPr>
        <w:jc w:val="both"/>
      </w:pPr>
      <w:r w:rsidRPr="0044027C">
        <w:t>Public Provident Fund (PPF) and Fixed Deposits are also commonly known tax-saving options.</w:t>
      </w:r>
    </w:p>
    <w:p w:rsidR="0044027C" w:rsidRPr="0044027C" w:rsidRDefault="0044027C" w:rsidP="0044027C">
      <w:pPr>
        <w:pStyle w:val="NormalWeb"/>
        <w:numPr>
          <w:ilvl w:val="0"/>
          <w:numId w:val="11"/>
        </w:numPr>
        <w:jc w:val="both"/>
      </w:pPr>
      <w:r w:rsidRPr="0044027C">
        <w:t>Awareness regarding modern tax-saving instruments such as ELSS mutual funds and National Pension Scheme (NPS) is comparatively lower.</w:t>
      </w:r>
    </w:p>
    <w:p w:rsidR="0044027C" w:rsidRPr="00AC32C5" w:rsidRDefault="0044027C" w:rsidP="0044027C">
      <w:pPr>
        <w:pStyle w:val="Heading3"/>
        <w:jc w:val="both"/>
        <w:rPr>
          <w:rFonts w:ascii="Times New Roman" w:hAnsi="Times New Roman" w:cs="Times New Roman"/>
          <w:i/>
          <w:color w:val="auto"/>
        </w:rPr>
      </w:pPr>
      <w:r w:rsidRPr="00AC32C5">
        <w:rPr>
          <w:rFonts w:ascii="Times New Roman" w:hAnsi="Times New Roman" w:cs="Times New Roman"/>
          <w:i/>
          <w:color w:val="auto"/>
        </w:rPr>
        <w:t>4. Findings Related to Professional Assistance</w:t>
      </w:r>
    </w:p>
    <w:p w:rsidR="0044027C" w:rsidRPr="0044027C" w:rsidRDefault="0044027C" w:rsidP="0044027C">
      <w:pPr>
        <w:pStyle w:val="NormalWeb"/>
        <w:numPr>
          <w:ilvl w:val="0"/>
          <w:numId w:val="12"/>
        </w:numPr>
        <w:jc w:val="both"/>
      </w:pPr>
      <w:r w:rsidRPr="0044027C">
        <w:t>A majority of respondents (66%) prefer professional tax assistance for understanding taxation laws and reducing tax liabilities.</w:t>
      </w:r>
    </w:p>
    <w:p w:rsidR="0044027C" w:rsidRPr="0044027C" w:rsidRDefault="0044027C" w:rsidP="0044027C">
      <w:pPr>
        <w:pStyle w:val="NormalWeb"/>
        <w:numPr>
          <w:ilvl w:val="0"/>
          <w:numId w:val="12"/>
        </w:numPr>
        <w:jc w:val="both"/>
      </w:pPr>
      <w:r w:rsidRPr="0044027C">
        <w:t>Chartered accountants are identified as the primary source of tax planning information by 37% of respondents.</w:t>
      </w:r>
    </w:p>
    <w:p w:rsidR="0044027C" w:rsidRPr="0044027C" w:rsidRDefault="0044027C" w:rsidP="0044027C">
      <w:pPr>
        <w:pStyle w:val="NormalWeb"/>
        <w:numPr>
          <w:ilvl w:val="0"/>
          <w:numId w:val="12"/>
        </w:numPr>
        <w:jc w:val="both"/>
      </w:pPr>
      <w:r w:rsidRPr="0044027C">
        <w:t>Tax consultants play a significant role in helping taxpayers understand deductions, exemptions, and legal tax-saving opportunities.</w:t>
      </w:r>
    </w:p>
    <w:p w:rsidR="0044027C" w:rsidRPr="0044027C" w:rsidRDefault="0044027C" w:rsidP="0044027C">
      <w:pPr>
        <w:pStyle w:val="Heading3"/>
        <w:jc w:val="both"/>
        <w:rPr>
          <w:rFonts w:ascii="Times New Roman" w:hAnsi="Times New Roman" w:cs="Times New Roman"/>
        </w:rPr>
      </w:pPr>
      <w:r w:rsidRPr="00AC32C5">
        <w:rPr>
          <w:rFonts w:ascii="Times New Roman" w:hAnsi="Times New Roman" w:cs="Times New Roman"/>
          <w:i/>
          <w:color w:val="auto"/>
        </w:rPr>
        <w:t>5. Comparative Findings</w:t>
      </w:r>
    </w:p>
    <w:p w:rsidR="0044027C" w:rsidRPr="0044027C" w:rsidRDefault="0044027C" w:rsidP="0044027C">
      <w:pPr>
        <w:pStyle w:val="NormalWeb"/>
        <w:numPr>
          <w:ilvl w:val="0"/>
          <w:numId w:val="13"/>
        </w:numPr>
        <w:jc w:val="both"/>
      </w:pPr>
      <w:r w:rsidRPr="0044027C">
        <w:t>Tax planning awareness is comparatively higher among salaried employees and professionals than among other occupational groups.</w:t>
      </w:r>
    </w:p>
    <w:p w:rsidR="0044027C" w:rsidRPr="0044027C" w:rsidRDefault="0044027C" w:rsidP="0044027C">
      <w:pPr>
        <w:pStyle w:val="NormalWeb"/>
        <w:numPr>
          <w:ilvl w:val="0"/>
          <w:numId w:val="13"/>
        </w:numPr>
        <w:jc w:val="both"/>
      </w:pPr>
      <w:r w:rsidRPr="0044027C">
        <w:t>Respondents with higher educational qualifications display better financial literacy and awareness of tax provisions.</w:t>
      </w:r>
    </w:p>
    <w:p w:rsidR="0044027C" w:rsidRPr="0044027C" w:rsidRDefault="0044027C" w:rsidP="0044027C">
      <w:pPr>
        <w:pStyle w:val="NormalWeb"/>
        <w:numPr>
          <w:ilvl w:val="0"/>
          <w:numId w:val="13"/>
        </w:numPr>
        <w:jc w:val="both"/>
      </w:pPr>
      <w:r w:rsidRPr="0044027C">
        <w:t>Male respondents show slightly higher awareness levels than female respondents.</w:t>
      </w:r>
    </w:p>
    <w:p w:rsidR="0044027C" w:rsidRPr="0044027C" w:rsidRDefault="0044027C" w:rsidP="0044027C">
      <w:pPr>
        <w:pStyle w:val="NormalWeb"/>
        <w:numPr>
          <w:ilvl w:val="0"/>
          <w:numId w:val="13"/>
        </w:numPr>
        <w:jc w:val="both"/>
      </w:pPr>
      <w:r w:rsidRPr="0044027C">
        <w:t>Higher-income respondents demonstrate better understanding and utilization of tax planning strategies.</w:t>
      </w:r>
    </w:p>
    <w:p w:rsidR="0044027C" w:rsidRPr="00AC32C5" w:rsidRDefault="0044027C" w:rsidP="0044027C">
      <w:pPr>
        <w:pStyle w:val="Heading3"/>
        <w:jc w:val="both"/>
        <w:rPr>
          <w:rFonts w:ascii="Times New Roman" w:hAnsi="Times New Roman" w:cs="Times New Roman"/>
          <w:i/>
          <w:color w:val="auto"/>
        </w:rPr>
      </w:pPr>
      <w:r w:rsidRPr="00AC32C5">
        <w:rPr>
          <w:rFonts w:ascii="Times New Roman" w:hAnsi="Times New Roman" w:cs="Times New Roman"/>
          <w:i/>
          <w:color w:val="auto"/>
        </w:rPr>
        <w:t>6. Hypothesis Testing Findings</w:t>
      </w:r>
    </w:p>
    <w:p w:rsidR="0044027C" w:rsidRPr="0044027C" w:rsidRDefault="0044027C" w:rsidP="0044027C">
      <w:pPr>
        <w:pStyle w:val="NormalWeb"/>
        <w:numPr>
          <w:ilvl w:val="0"/>
          <w:numId w:val="14"/>
        </w:numPr>
        <w:jc w:val="both"/>
      </w:pPr>
      <w:r w:rsidRPr="0044027C">
        <w:t>The study rejects the null hypothesis (H01), indicating that demographic factors significantly influence the role of tax consultants in tax planning and understanding tax liabilities.</w:t>
      </w:r>
    </w:p>
    <w:p w:rsidR="0044027C" w:rsidRPr="0044027C" w:rsidRDefault="0044027C" w:rsidP="0044027C">
      <w:pPr>
        <w:pStyle w:val="NormalWeb"/>
        <w:numPr>
          <w:ilvl w:val="0"/>
          <w:numId w:val="14"/>
        </w:numPr>
        <w:jc w:val="both"/>
      </w:pPr>
      <w:r w:rsidRPr="0044027C">
        <w:t>The null hypothesis (H02) is also rejected, confirming that demographic variables have a significant association with tax planning awareness among taxpayers in Indore City.</w:t>
      </w:r>
    </w:p>
    <w:p w:rsidR="0044027C" w:rsidRPr="00AC32C5" w:rsidRDefault="0044027C" w:rsidP="0044027C">
      <w:pPr>
        <w:pStyle w:val="Heading3"/>
        <w:jc w:val="both"/>
        <w:rPr>
          <w:rFonts w:ascii="Times New Roman" w:hAnsi="Times New Roman" w:cs="Times New Roman"/>
          <w:i/>
          <w:color w:val="auto"/>
        </w:rPr>
      </w:pPr>
      <w:r w:rsidRPr="00AC32C5">
        <w:rPr>
          <w:rFonts w:ascii="Times New Roman" w:hAnsi="Times New Roman" w:cs="Times New Roman"/>
          <w:i/>
          <w:color w:val="auto"/>
        </w:rPr>
        <w:t>7. Overall Findings</w:t>
      </w:r>
    </w:p>
    <w:p w:rsidR="0044027C" w:rsidRPr="0044027C" w:rsidRDefault="0044027C" w:rsidP="0044027C">
      <w:pPr>
        <w:pStyle w:val="NormalWeb"/>
        <w:numPr>
          <w:ilvl w:val="0"/>
          <w:numId w:val="15"/>
        </w:numPr>
        <w:jc w:val="both"/>
      </w:pPr>
      <w:r w:rsidRPr="0044027C">
        <w:t>Taxpayers in Indore City generally possess moderate awareness regarding tax planning practices.</w:t>
      </w:r>
    </w:p>
    <w:p w:rsidR="0044027C" w:rsidRPr="0044027C" w:rsidRDefault="0044027C" w:rsidP="0044027C">
      <w:pPr>
        <w:pStyle w:val="NormalWeb"/>
        <w:numPr>
          <w:ilvl w:val="0"/>
          <w:numId w:val="15"/>
        </w:numPr>
        <w:jc w:val="both"/>
      </w:pPr>
      <w:r w:rsidRPr="0044027C">
        <w:t>There exists a growing dependence on professional financial advisors and tax consultants for tax-related decision-making.</w:t>
      </w:r>
    </w:p>
    <w:p w:rsidR="0044027C" w:rsidRPr="0044027C" w:rsidRDefault="0044027C" w:rsidP="0044027C">
      <w:pPr>
        <w:pStyle w:val="NormalWeb"/>
        <w:numPr>
          <w:ilvl w:val="0"/>
          <w:numId w:val="15"/>
        </w:numPr>
        <w:jc w:val="both"/>
      </w:pPr>
      <w:r w:rsidRPr="0044027C">
        <w:t>Financial literacy, education level, occupation, and income significantly influence taxpayers’ awareness and financial behaviour.</w:t>
      </w:r>
    </w:p>
    <w:p w:rsidR="0044027C" w:rsidRPr="00AC32C5" w:rsidRDefault="0044027C" w:rsidP="0044027C">
      <w:pPr>
        <w:pStyle w:val="NormalWeb"/>
        <w:numPr>
          <w:ilvl w:val="0"/>
          <w:numId w:val="15"/>
        </w:numPr>
        <w:jc w:val="both"/>
      </w:pPr>
      <w:r w:rsidRPr="0044027C">
        <w:t>Many taxpayers are aware of traditional tax-saving instruments but lack adequate knowledge regarding diversified and advanced tax planning options.</w:t>
      </w:r>
    </w:p>
    <w:p w:rsidR="0044027C" w:rsidRPr="00AC32C5" w:rsidRDefault="00366BD4" w:rsidP="0044027C">
      <w:pPr>
        <w:pStyle w:val="Heading1"/>
        <w:jc w:val="both"/>
        <w:rPr>
          <w:rFonts w:ascii="Times New Roman" w:hAnsi="Times New Roman" w:cs="Times New Roman"/>
          <w:b/>
          <w:color w:val="auto"/>
          <w:sz w:val="24"/>
        </w:rPr>
      </w:pPr>
      <w:r>
        <w:rPr>
          <w:rFonts w:ascii="Times New Roman" w:hAnsi="Times New Roman" w:cs="Times New Roman"/>
          <w:b/>
          <w:color w:val="auto"/>
          <w:sz w:val="24"/>
        </w:rPr>
        <w:t xml:space="preserve">5.2 </w:t>
      </w:r>
      <w:r w:rsidR="0044027C" w:rsidRPr="00AC32C5">
        <w:rPr>
          <w:rFonts w:ascii="Times New Roman" w:hAnsi="Times New Roman" w:cs="Times New Roman"/>
          <w:b/>
          <w:color w:val="auto"/>
          <w:sz w:val="24"/>
        </w:rPr>
        <w:t>SUGGESTIONS OF THE STUDY</w:t>
      </w:r>
    </w:p>
    <w:p w:rsidR="0044027C" w:rsidRPr="0044027C" w:rsidRDefault="0044027C" w:rsidP="0044027C">
      <w:pPr>
        <w:pStyle w:val="NormalWeb"/>
        <w:jc w:val="both"/>
      </w:pPr>
      <w:r w:rsidRPr="0044027C">
        <w:t>Based on the findings of the research, the following suggestions are proposed to improve tax planning awareness and encourage effective tax management among individual taxpayers in Indore City.</w:t>
      </w:r>
    </w:p>
    <w:p w:rsidR="0044027C" w:rsidRPr="00AC32C5" w:rsidRDefault="0044027C" w:rsidP="0044027C">
      <w:pPr>
        <w:pStyle w:val="Heading2"/>
        <w:jc w:val="both"/>
        <w:rPr>
          <w:i/>
          <w:sz w:val="24"/>
          <w:szCs w:val="24"/>
        </w:rPr>
      </w:pPr>
      <w:r w:rsidRPr="00AC32C5">
        <w:rPr>
          <w:i/>
          <w:sz w:val="24"/>
          <w:szCs w:val="24"/>
        </w:rPr>
        <w:t>1. Enhance Taxpayer Education Programs</w:t>
      </w:r>
    </w:p>
    <w:p w:rsidR="0044027C" w:rsidRPr="0044027C" w:rsidRDefault="0044027C" w:rsidP="0044027C">
      <w:pPr>
        <w:pStyle w:val="NormalWeb"/>
        <w:jc w:val="both"/>
      </w:pPr>
      <w:r w:rsidRPr="0044027C">
        <w:t>Government agencies and taxation authorities should organize awareness campaigns, workshops, seminars, and educational programs to improve taxpayers’ understanding of tax planning provisions and legal tax-saving opportunities.</w:t>
      </w:r>
    </w:p>
    <w:p w:rsidR="0044027C" w:rsidRPr="00AC32C5" w:rsidRDefault="0044027C" w:rsidP="0044027C">
      <w:pPr>
        <w:pStyle w:val="Heading2"/>
        <w:jc w:val="both"/>
        <w:rPr>
          <w:i/>
          <w:sz w:val="24"/>
          <w:szCs w:val="24"/>
        </w:rPr>
      </w:pPr>
      <w:r w:rsidRPr="00AC32C5">
        <w:rPr>
          <w:i/>
          <w:sz w:val="24"/>
          <w:szCs w:val="24"/>
        </w:rPr>
        <w:t>2. Promote Financial Literacy</w:t>
      </w:r>
    </w:p>
    <w:p w:rsidR="0044027C" w:rsidRPr="0044027C" w:rsidRDefault="0044027C" w:rsidP="0044027C">
      <w:pPr>
        <w:pStyle w:val="NormalWeb"/>
        <w:jc w:val="both"/>
      </w:pPr>
      <w:r w:rsidRPr="0044027C">
        <w:t>Special initiatives should be undertaken to improve financial literacy among individuals, particularly among lower-income groups and less educated taxpayers. Increased financial literacy can help taxpayers make informed investment and tax planning decisions.</w:t>
      </w:r>
    </w:p>
    <w:p w:rsidR="0044027C" w:rsidRPr="00AC32C5" w:rsidRDefault="0044027C" w:rsidP="0044027C">
      <w:pPr>
        <w:pStyle w:val="Heading2"/>
        <w:jc w:val="both"/>
        <w:rPr>
          <w:i/>
          <w:sz w:val="24"/>
          <w:szCs w:val="24"/>
        </w:rPr>
      </w:pPr>
      <w:r w:rsidRPr="00AC32C5">
        <w:rPr>
          <w:i/>
          <w:sz w:val="24"/>
          <w:szCs w:val="24"/>
        </w:rPr>
        <w:t>3. Increase Awareness of Modern Tax-Saving Instruments</w:t>
      </w:r>
    </w:p>
    <w:p w:rsidR="0044027C" w:rsidRPr="0044027C" w:rsidRDefault="0044027C" w:rsidP="0044027C">
      <w:pPr>
        <w:pStyle w:val="NormalWeb"/>
        <w:jc w:val="both"/>
      </w:pPr>
      <w:r w:rsidRPr="0044027C">
        <w:t>Tax authorities and financial institutions should promote awareness regarding modern investment options such as ELSS mutual funds, National Pension Scheme (NPS), and other tax-efficient financial products, as awareness regarding these instruments is comparatively low.</w:t>
      </w:r>
    </w:p>
    <w:p w:rsidR="0044027C" w:rsidRPr="00AC32C5" w:rsidRDefault="0044027C" w:rsidP="0044027C">
      <w:pPr>
        <w:pStyle w:val="Heading2"/>
        <w:jc w:val="both"/>
        <w:rPr>
          <w:i/>
          <w:sz w:val="24"/>
          <w:szCs w:val="24"/>
        </w:rPr>
      </w:pPr>
      <w:r w:rsidRPr="00AC32C5">
        <w:rPr>
          <w:i/>
          <w:sz w:val="24"/>
          <w:szCs w:val="24"/>
        </w:rPr>
        <w:t>4. Encourage Digital Tax Education</w:t>
      </w:r>
    </w:p>
    <w:p w:rsidR="0044027C" w:rsidRPr="0044027C" w:rsidRDefault="0044027C" w:rsidP="0044027C">
      <w:pPr>
        <w:pStyle w:val="NormalWeb"/>
        <w:jc w:val="both"/>
      </w:pPr>
      <w:r w:rsidRPr="0044027C">
        <w:t>Online platforms, social media campaigns, webinars, and digital applications can be effectively used to disseminate tax-related information and simplify understanding of taxation laws among the younger population.</w:t>
      </w:r>
    </w:p>
    <w:p w:rsidR="0044027C" w:rsidRPr="00AC32C5" w:rsidRDefault="0044027C" w:rsidP="0044027C">
      <w:pPr>
        <w:pStyle w:val="Heading2"/>
        <w:jc w:val="both"/>
        <w:rPr>
          <w:i/>
          <w:sz w:val="24"/>
          <w:szCs w:val="24"/>
        </w:rPr>
      </w:pPr>
      <w:r w:rsidRPr="00AC32C5">
        <w:rPr>
          <w:i/>
          <w:sz w:val="24"/>
          <w:szCs w:val="24"/>
        </w:rPr>
        <w:t>5. Strengthen the Role of Tax Consultants</w:t>
      </w:r>
    </w:p>
    <w:p w:rsidR="0044027C" w:rsidRPr="0044027C" w:rsidRDefault="0044027C" w:rsidP="0044027C">
      <w:pPr>
        <w:pStyle w:val="NormalWeb"/>
        <w:jc w:val="both"/>
      </w:pPr>
      <w:r w:rsidRPr="0044027C">
        <w:t>Professional tax consultants and chartered accountants should continue to guide taxpayers regarding legal tax planning strategies, deductions, and exemptions. Proper consultation can help taxpayers avoid errors and improve compliance with taxation laws.</w:t>
      </w:r>
    </w:p>
    <w:p w:rsidR="0044027C" w:rsidRPr="00AC32C5" w:rsidRDefault="0044027C" w:rsidP="0044027C">
      <w:pPr>
        <w:pStyle w:val="Heading2"/>
        <w:jc w:val="both"/>
        <w:rPr>
          <w:i/>
          <w:sz w:val="24"/>
          <w:szCs w:val="24"/>
        </w:rPr>
      </w:pPr>
      <w:r w:rsidRPr="00AC32C5">
        <w:rPr>
          <w:i/>
          <w:sz w:val="24"/>
          <w:szCs w:val="24"/>
        </w:rPr>
        <w:t>6. Simplify Taxation Procedures</w:t>
      </w:r>
    </w:p>
    <w:p w:rsidR="0044027C" w:rsidRPr="0044027C" w:rsidRDefault="0044027C" w:rsidP="0044027C">
      <w:pPr>
        <w:pStyle w:val="NormalWeb"/>
        <w:jc w:val="both"/>
      </w:pPr>
      <w:r w:rsidRPr="0044027C">
        <w:t>The government should simplify tax filing procedures and taxation regulations to make tax planning easier and more understandable for individual taxpayers.</w:t>
      </w:r>
    </w:p>
    <w:p w:rsidR="0044027C" w:rsidRPr="00AC32C5" w:rsidRDefault="0044027C" w:rsidP="0044027C">
      <w:pPr>
        <w:pStyle w:val="Heading2"/>
        <w:jc w:val="both"/>
        <w:rPr>
          <w:i/>
          <w:sz w:val="24"/>
          <w:szCs w:val="24"/>
        </w:rPr>
      </w:pPr>
      <w:r w:rsidRPr="00AC32C5">
        <w:rPr>
          <w:i/>
          <w:sz w:val="24"/>
          <w:szCs w:val="24"/>
        </w:rPr>
        <w:t>7. Focus on Female Taxpayer Awareness</w:t>
      </w:r>
    </w:p>
    <w:p w:rsidR="0044027C" w:rsidRPr="0044027C" w:rsidRDefault="0044027C" w:rsidP="0044027C">
      <w:pPr>
        <w:pStyle w:val="NormalWeb"/>
        <w:jc w:val="both"/>
      </w:pPr>
      <w:r w:rsidRPr="0044027C">
        <w:t>Special awareness initiatives should be conducted to encourage greater participation and understanding of tax planning among female taxpayers.</w:t>
      </w:r>
    </w:p>
    <w:p w:rsidR="0044027C" w:rsidRPr="00AC32C5" w:rsidRDefault="0044027C" w:rsidP="0044027C">
      <w:pPr>
        <w:pStyle w:val="Heading2"/>
        <w:jc w:val="both"/>
        <w:rPr>
          <w:i/>
          <w:sz w:val="24"/>
          <w:szCs w:val="24"/>
        </w:rPr>
      </w:pPr>
      <w:r w:rsidRPr="00AC32C5">
        <w:rPr>
          <w:i/>
          <w:sz w:val="24"/>
          <w:szCs w:val="24"/>
        </w:rPr>
        <w:t>8. Conduct Regular Awareness Campaigns</w:t>
      </w:r>
    </w:p>
    <w:p w:rsidR="0044027C" w:rsidRPr="0044027C" w:rsidRDefault="0044027C" w:rsidP="0044027C">
      <w:pPr>
        <w:pStyle w:val="NormalWeb"/>
        <w:jc w:val="both"/>
      </w:pPr>
      <w:r w:rsidRPr="0044027C">
        <w:t>Regular tax awareness drives should be conducted in educational institutions, workplaces, and business organizations to educate taxpayers about recent changes in tax laws and investment opportunities.</w:t>
      </w:r>
    </w:p>
    <w:p w:rsidR="0044027C" w:rsidRPr="00AC32C5" w:rsidRDefault="0044027C" w:rsidP="0044027C">
      <w:pPr>
        <w:pStyle w:val="Heading2"/>
        <w:jc w:val="both"/>
        <w:rPr>
          <w:i/>
          <w:sz w:val="24"/>
          <w:szCs w:val="24"/>
        </w:rPr>
      </w:pPr>
      <w:r w:rsidRPr="00AC32C5">
        <w:rPr>
          <w:i/>
          <w:sz w:val="24"/>
          <w:szCs w:val="24"/>
        </w:rPr>
        <w:t>9. Encourage Early Financial Planning</w:t>
      </w:r>
    </w:p>
    <w:p w:rsidR="0044027C" w:rsidRPr="0044027C" w:rsidRDefault="0044027C" w:rsidP="0044027C">
      <w:pPr>
        <w:pStyle w:val="NormalWeb"/>
        <w:jc w:val="both"/>
      </w:pPr>
      <w:r w:rsidRPr="0044027C">
        <w:t>Young taxpayers should be encouraged to adopt tax planning and investment practices at an early stage to ensure long-term financial stability and efficient wealth management.</w:t>
      </w:r>
    </w:p>
    <w:p w:rsidR="0044027C" w:rsidRPr="00AC32C5" w:rsidRDefault="0044027C" w:rsidP="0044027C">
      <w:pPr>
        <w:pStyle w:val="Heading2"/>
        <w:jc w:val="both"/>
        <w:rPr>
          <w:i/>
          <w:sz w:val="24"/>
          <w:szCs w:val="24"/>
        </w:rPr>
      </w:pPr>
      <w:r w:rsidRPr="00AC32C5">
        <w:rPr>
          <w:i/>
          <w:sz w:val="24"/>
          <w:szCs w:val="24"/>
        </w:rPr>
        <w:t>10. Future Research Suggestions</w:t>
      </w:r>
    </w:p>
    <w:p w:rsidR="0044027C" w:rsidRPr="0044027C" w:rsidRDefault="0044027C" w:rsidP="0044027C">
      <w:pPr>
        <w:pStyle w:val="NormalWeb"/>
        <w:jc w:val="both"/>
      </w:pPr>
      <w:r w:rsidRPr="0044027C">
        <w:t>Further research may be conducted on:</w:t>
      </w:r>
    </w:p>
    <w:p w:rsidR="0044027C" w:rsidRPr="0044027C" w:rsidRDefault="0044027C" w:rsidP="0044027C">
      <w:pPr>
        <w:pStyle w:val="NormalWeb"/>
        <w:numPr>
          <w:ilvl w:val="0"/>
          <w:numId w:val="16"/>
        </w:numPr>
        <w:jc w:val="both"/>
      </w:pPr>
      <w:r w:rsidRPr="0044027C">
        <w:t>Comparative studies between urban and rural taxpayers.</w:t>
      </w:r>
    </w:p>
    <w:p w:rsidR="0044027C" w:rsidRPr="0044027C" w:rsidRDefault="0044027C" w:rsidP="0044027C">
      <w:pPr>
        <w:pStyle w:val="NormalWeb"/>
        <w:numPr>
          <w:ilvl w:val="0"/>
          <w:numId w:val="16"/>
        </w:numPr>
        <w:jc w:val="both"/>
      </w:pPr>
      <w:r w:rsidRPr="0044027C">
        <w:t>The impact of digital taxation systems on taxpayer awareness.</w:t>
      </w:r>
    </w:p>
    <w:p w:rsidR="0044027C" w:rsidRPr="0044027C" w:rsidRDefault="0044027C" w:rsidP="0044027C">
      <w:pPr>
        <w:pStyle w:val="NormalWeb"/>
        <w:numPr>
          <w:ilvl w:val="0"/>
          <w:numId w:val="16"/>
        </w:numPr>
        <w:jc w:val="both"/>
      </w:pPr>
      <w:r w:rsidRPr="0044027C">
        <w:t>Behavioural aspects influencing tax compliance and financial decision-making.</w:t>
      </w:r>
    </w:p>
    <w:p w:rsidR="0044027C" w:rsidRPr="0044027C" w:rsidRDefault="0044027C" w:rsidP="0044027C">
      <w:pPr>
        <w:pStyle w:val="NormalWeb"/>
        <w:numPr>
          <w:ilvl w:val="0"/>
          <w:numId w:val="16"/>
        </w:numPr>
        <w:jc w:val="both"/>
      </w:pPr>
      <w:r w:rsidRPr="0044027C">
        <w:t>Tax planning awareness among specific occupational groups or income categories.</w:t>
      </w:r>
    </w:p>
    <w:p w:rsidR="00586D37" w:rsidRPr="0044027C" w:rsidRDefault="00EB7BFE" w:rsidP="0044027C">
      <w:pPr>
        <w:jc w:val="both"/>
        <w:rPr>
          <w:rFonts w:ascii="Times New Roman" w:hAnsi="Times New Roman" w:cs="Times New Roman"/>
          <w:b/>
          <w:sz w:val="28"/>
        </w:rPr>
      </w:pPr>
      <w:r w:rsidRPr="0044027C">
        <w:rPr>
          <w:rFonts w:ascii="Times New Roman" w:hAnsi="Times New Roman" w:cs="Times New Roman"/>
          <w:b/>
          <w:sz w:val="28"/>
        </w:rPr>
        <w:t xml:space="preserve">6. </w:t>
      </w:r>
      <w:r w:rsidR="00586D37" w:rsidRPr="0044027C">
        <w:rPr>
          <w:rFonts w:ascii="Times New Roman" w:hAnsi="Times New Roman" w:cs="Times New Roman"/>
          <w:b/>
          <w:sz w:val="28"/>
        </w:rPr>
        <w:t xml:space="preserve">CONCLUSION </w:t>
      </w:r>
    </w:p>
    <w:p w:rsidR="00586D37" w:rsidRPr="0044027C" w:rsidRDefault="00586D37" w:rsidP="0044027C">
      <w:pPr>
        <w:pStyle w:val="isselectedend"/>
        <w:jc w:val="both"/>
      </w:pPr>
      <w:r w:rsidRPr="0044027C">
        <w:t>In conclusion, the study highlights a significant issue in the domain of personal finance, namely the inadequate level of awareness regarding tax planning among individuals. Although taxation has a substantial impact on an individual’s financial well-being and long-term financial security, a considerable proportion of taxpayers lack sufficient knowledge about the various tax-saving strategies and investment avenues available under the legal framework of taxation. The findings of the study emphasize the necessity of bridging this knowledge gap in order to enable individuals to make informed and rational financial decisions.</w:t>
      </w:r>
    </w:p>
    <w:p w:rsidR="00586D37" w:rsidRPr="0044027C" w:rsidRDefault="00586D37" w:rsidP="0044027C">
      <w:pPr>
        <w:pStyle w:val="isselectedend"/>
        <w:jc w:val="both"/>
      </w:pPr>
      <w:r w:rsidRPr="0044027C">
        <w:t>The study further suggests that increased awareness and accessibility to tax planning education can play a vital role in improving taxpayers’ understanding of their tax obligations and the legitimate methods available for minimizing tax liability. Enhancing financial literacy in the area of taxation would not only assist individuals in effective financial management but also encourage greater compliance with tax regulations.</w:t>
      </w:r>
    </w:p>
    <w:p w:rsidR="00586D37" w:rsidRPr="0044027C" w:rsidRDefault="00586D37" w:rsidP="0044027C">
      <w:pPr>
        <w:pStyle w:val="isselectedend"/>
        <w:jc w:val="both"/>
      </w:pPr>
      <w:r w:rsidRPr="0044027C">
        <w:t>Moreover, the research underlines the importance of seeking professional guidance from financial advisors and tax consultants. Such experts can provide customized advice based on the financial profile and specific requirements of taxpayers, thereby helping them understand the complexities of tax laws and formulate effective tax planning strategies.</w:t>
      </w:r>
    </w:p>
    <w:p w:rsidR="00586D37" w:rsidRPr="0044027C" w:rsidRDefault="00586D37" w:rsidP="0044027C">
      <w:pPr>
        <w:pStyle w:val="NormalWeb"/>
        <w:jc w:val="both"/>
      </w:pPr>
      <w:r w:rsidRPr="0044027C">
        <w:t>Overall, the study concludes that reducing the lack of awareness regarding tax planning is essential for strengthening financial literacy and assisting individuals in achieving their long-term financial objectives. Through enhanced knowledge and professional consultation, taxpayers can optimize their financial outcomes while maintaining compliance with taxation laws.</w:t>
      </w:r>
    </w:p>
    <w:p w:rsidR="00021605" w:rsidRPr="00AC32C5" w:rsidRDefault="00021605" w:rsidP="0044027C">
      <w:pPr>
        <w:spacing w:before="100" w:beforeAutospacing="1" w:after="100" w:afterAutospacing="1" w:line="240" w:lineRule="auto"/>
        <w:jc w:val="both"/>
        <w:outlineLvl w:val="1"/>
        <w:rPr>
          <w:rFonts w:ascii="Times New Roman" w:eastAsia="Times New Roman" w:hAnsi="Times New Roman" w:cs="Times New Roman"/>
          <w:b/>
          <w:bCs/>
          <w:sz w:val="24"/>
          <w:szCs w:val="36"/>
        </w:rPr>
      </w:pPr>
      <w:r w:rsidRPr="00AC32C5">
        <w:rPr>
          <w:rFonts w:ascii="Times New Roman" w:eastAsia="Times New Roman" w:hAnsi="Times New Roman" w:cs="Times New Roman"/>
          <w:b/>
          <w:bCs/>
          <w:sz w:val="24"/>
          <w:szCs w:val="36"/>
        </w:rPr>
        <w:t>Scope of the Study</w:t>
      </w:r>
    </w:p>
    <w:p w:rsidR="00021605" w:rsidRPr="0044027C" w:rsidRDefault="00021605" w:rsidP="0044027C">
      <w:pPr>
        <w:spacing w:before="100" w:beforeAutospacing="1" w:after="100" w:afterAutospacing="1" w:line="240" w:lineRule="auto"/>
        <w:jc w:val="both"/>
        <w:rPr>
          <w:rFonts w:ascii="Times New Roman" w:eastAsia="Times New Roman" w:hAnsi="Times New Roman" w:cs="Times New Roman"/>
          <w:sz w:val="24"/>
          <w:szCs w:val="24"/>
        </w:rPr>
      </w:pPr>
      <w:r w:rsidRPr="0044027C">
        <w:rPr>
          <w:rFonts w:ascii="Times New Roman" w:eastAsia="Times New Roman" w:hAnsi="Times New Roman" w:cs="Times New Roman"/>
          <w:sz w:val="24"/>
          <w:szCs w:val="24"/>
        </w:rPr>
        <w:t>The study focuses on understanding the awareness and perception of tax planning among individual taxpayers in Indore City. It aims to identify the factors influencing tax planning decisions and evaluate the extent of knowledge regarding tax-saving instruments and legal tax benefits.</w:t>
      </w:r>
    </w:p>
    <w:p w:rsidR="00021605" w:rsidRPr="00AC32C5" w:rsidRDefault="00021605" w:rsidP="0044027C">
      <w:pPr>
        <w:spacing w:before="100" w:beforeAutospacing="1" w:after="100" w:afterAutospacing="1" w:line="240" w:lineRule="auto"/>
        <w:jc w:val="both"/>
        <w:outlineLvl w:val="1"/>
        <w:rPr>
          <w:rFonts w:ascii="Times New Roman" w:eastAsia="Times New Roman" w:hAnsi="Times New Roman" w:cs="Times New Roman"/>
          <w:b/>
          <w:bCs/>
          <w:sz w:val="24"/>
          <w:szCs w:val="36"/>
        </w:rPr>
      </w:pPr>
      <w:r w:rsidRPr="00AC32C5">
        <w:rPr>
          <w:rFonts w:ascii="Times New Roman" w:eastAsia="Times New Roman" w:hAnsi="Times New Roman" w:cs="Times New Roman"/>
          <w:b/>
          <w:bCs/>
          <w:sz w:val="24"/>
          <w:szCs w:val="36"/>
        </w:rPr>
        <w:t>Limitations of the Study</w:t>
      </w:r>
    </w:p>
    <w:p w:rsidR="00021605" w:rsidRPr="0044027C" w:rsidRDefault="00021605" w:rsidP="004402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027C">
        <w:rPr>
          <w:rFonts w:ascii="Times New Roman" w:eastAsia="Times New Roman" w:hAnsi="Times New Roman" w:cs="Times New Roman"/>
          <w:sz w:val="24"/>
          <w:szCs w:val="24"/>
        </w:rPr>
        <w:t>The study is restricted to individual taxpayers residing in Indore City only.</w:t>
      </w:r>
    </w:p>
    <w:p w:rsidR="00021605" w:rsidRPr="0044027C" w:rsidRDefault="00021605" w:rsidP="004402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027C">
        <w:rPr>
          <w:rFonts w:ascii="Times New Roman" w:eastAsia="Times New Roman" w:hAnsi="Times New Roman" w:cs="Times New Roman"/>
          <w:sz w:val="24"/>
          <w:szCs w:val="24"/>
        </w:rPr>
        <w:t>The sample size is limited to 100 respondents, which may not fully represent the entire taxpayer population.</w:t>
      </w:r>
    </w:p>
    <w:p w:rsidR="00021605" w:rsidRPr="0044027C" w:rsidRDefault="00021605" w:rsidP="004402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027C">
        <w:rPr>
          <w:rFonts w:ascii="Times New Roman" w:eastAsia="Times New Roman" w:hAnsi="Times New Roman" w:cs="Times New Roman"/>
          <w:sz w:val="24"/>
          <w:szCs w:val="24"/>
        </w:rPr>
        <w:t>The accuracy of the study depends upon the honesty and understanding of the respondents while answering the questionnaire.</w:t>
      </w:r>
    </w:p>
    <w:p w:rsidR="00021605" w:rsidRPr="0044027C" w:rsidRDefault="00021605" w:rsidP="0044027C">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4027C">
        <w:rPr>
          <w:rFonts w:ascii="Times New Roman" w:eastAsia="Times New Roman" w:hAnsi="Times New Roman" w:cs="Times New Roman"/>
          <w:sz w:val="24"/>
          <w:szCs w:val="24"/>
        </w:rPr>
        <w:t>Time and resource constraints may limit the depth of data collection and analysis.</w:t>
      </w:r>
    </w:p>
    <w:p w:rsidR="00021605" w:rsidRPr="00AC32C5" w:rsidRDefault="00021605" w:rsidP="0044027C">
      <w:pPr>
        <w:spacing w:before="100" w:beforeAutospacing="1" w:after="100" w:afterAutospacing="1" w:line="240" w:lineRule="auto"/>
        <w:jc w:val="both"/>
        <w:outlineLvl w:val="1"/>
        <w:rPr>
          <w:rFonts w:ascii="Times New Roman" w:eastAsia="Times New Roman" w:hAnsi="Times New Roman" w:cs="Times New Roman"/>
          <w:b/>
          <w:bCs/>
          <w:sz w:val="24"/>
          <w:szCs w:val="36"/>
        </w:rPr>
      </w:pPr>
      <w:r w:rsidRPr="00AC32C5">
        <w:rPr>
          <w:rFonts w:ascii="Times New Roman" w:eastAsia="Times New Roman" w:hAnsi="Times New Roman" w:cs="Times New Roman"/>
          <w:b/>
          <w:bCs/>
          <w:sz w:val="24"/>
          <w:szCs w:val="36"/>
        </w:rPr>
        <w:t>Ethical Considerations</w:t>
      </w:r>
    </w:p>
    <w:p w:rsidR="00021605" w:rsidRPr="0044027C" w:rsidRDefault="00021605" w:rsidP="0044027C">
      <w:pPr>
        <w:spacing w:before="100" w:beforeAutospacing="1" w:after="100" w:afterAutospacing="1" w:line="240" w:lineRule="auto"/>
        <w:jc w:val="both"/>
        <w:rPr>
          <w:rFonts w:ascii="Times New Roman" w:eastAsia="Times New Roman" w:hAnsi="Times New Roman" w:cs="Times New Roman"/>
          <w:sz w:val="24"/>
          <w:szCs w:val="24"/>
        </w:rPr>
      </w:pPr>
      <w:r w:rsidRPr="0044027C">
        <w:rPr>
          <w:rFonts w:ascii="Times New Roman" w:eastAsia="Times New Roman" w:hAnsi="Times New Roman" w:cs="Times New Roman"/>
          <w:sz w:val="24"/>
          <w:szCs w:val="24"/>
        </w:rPr>
        <w:t>The study ensures confidentiality and privacy of respondents’ information. Participation in the survey is voluntary, and the collected data will be used solely for academic and research purposes.</w:t>
      </w:r>
    </w:p>
    <w:p w:rsidR="00021605" w:rsidRPr="0044027C" w:rsidRDefault="00021605" w:rsidP="0044027C">
      <w:pPr>
        <w:pStyle w:val="NormalWeb"/>
        <w:jc w:val="both"/>
      </w:pPr>
    </w:p>
    <w:p w:rsidR="00880C09" w:rsidRPr="0044027C" w:rsidRDefault="00880C09" w:rsidP="0044027C">
      <w:pPr>
        <w:jc w:val="both"/>
        <w:rPr>
          <w:rFonts w:ascii="Times New Roman" w:hAnsi="Times New Roman" w:cs="Times New Roman"/>
          <w:b/>
          <w:sz w:val="28"/>
        </w:rPr>
      </w:pPr>
      <w:r w:rsidRPr="0044027C">
        <w:rPr>
          <w:rFonts w:ascii="Times New Roman" w:hAnsi="Times New Roman" w:cs="Times New Roman"/>
          <w:b/>
          <w:sz w:val="28"/>
        </w:rPr>
        <w:t>REFERENCE:</w:t>
      </w:r>
    </w:p>
    <w:p w:rsidR="00880C09" w:rsidRPr="0044027C" w:rsidRDefault="00880C09" w:rsidP="0044027C">
      <w:pPr>
        <w:jc w:val="both"/>
        <w:rPr>
          <w:rFonts w:ascii="Times New Roman" w:hAnsi="Times New Roman" w:cs="Times New Roman"/>
        </w:rPr>
      </w:pPr>
      <w:r w:rsidRPr="0044027C">
        <w:rPr>
          <w:rFonts w:ascii="Times New Roman" w:hAnsi="Times New Roman" w:cs="Times New Roman"/>
        </w:rPr>
        <w:t xml:space="preserve"> [1] </w:t>
      </w:r>
      <w:hyperlink r:id="rId5" w:history="1">
        <w:r w:rsidRPr="0044027C">
          <w:rPr>
            <w:rStyle w:val="Hyperlink"/>
            <w:rFonts w:ascii="Times New Roman" w:hAnsi="Times New Roman" w:cs="Times New Roman"/>
          </w:rPr>
          <w:t>https://www.incometaxindia.gov.in/Pages/about-us/history-of-direct-taxation .aspx</w:t>
        </w:r>
      </w:hyperlink>
    </w:p>
    <w:p w:rsidR="00880C09" w:rsidRPr="0044027C" w:rsidRDefault="00880C09" w:rsidP="0044027C">
      <w:pPr>
        <w:jc w:val="both"/>
        <w:rPr>
          <w:rFonts w:ascii="Times New Roman" w:hAnsi="Times New Roman" w:cs="Times New Roman"/>
        </w:rPr>
      </w:pPr>
      <w:r w:rsidRPr="0044027C">
        <w:rPr>
          <w:rFonts w:ascii="Times New Roman" w:hAnsi="Times New Roman" w:cs="Times New Roman"/>
        </w:rPr>
        <w:t xml:space="preserve"> [2] </w:t>
      </w:r>
      <w:hyperlink r:id="rId6" w:history="1">
        <w:r w:rsidRPr="0044027C">
          <w:rPr>
            <w:rStyle w:val="Hyperlink"/>
            <w:rFonts w:ascii="Times New Roman" w:hAnsi="Times New Roman" w:cs="Times New Roman"/>
          </w:rPr>
          <w:t>https://www.investopedia.com/terms/t/taxation.asp</w:t>
        </w:r>
      </w:hyperlink>
      <w:r w:rsidRPr="0044027C">
        <w:rPr>
          <w:rFonts w:ascii="Times New Roman" w:hAnsi="Times New Roman" w:cs="Times New Roman"/>
        </w:rPr>
        <w:t xml:space="preserve"> </w:t>
      </w:r>
    </w:p>
    <w:p w:rsidR="00880C09" w:rsidRPr="0044027C" w:rsidRDefault="00880C09" w:rsidP="0044027C">
      <w:pPr>
        <w:jc w:val="both"/>
        <w:rPr>
          <w:rFonts w:ascii="Times New Roman" w:hAnsi="Times New Roman" w:cs="Times New Roman"/>
        </w:rPr>
      </w:pPr>
      <w:r w:rsidRPr="0044027C">
        <w:rPr>
          <w:rFonts w:ascii="Times New Roman" w:hAnsi="Times New Roman" w:cs="Times New Roman"/>
        </w:rPr>
        <w:t xml:space="preserve">[3] </w:t>
      </w:r>
      <w:hyperlink r:id="rId7" w:history="1">
        <w:r w:rsidRPr="0044027C">
          <w:rPr>
            <w:rStyle w:val="Hyperlink"/>
            <w:rFonts w:ascii="Times New Roman" w:hAnsi="Times New Roman" w:cs="Times New Roman"/>
          </w:rPr>
          <w:t>https://cleartax.in/s/tax-free-countries-in-the-world</w:t>
        </w:r>
      </w:hyperlink>
      <w:r w:rsidRPr="0044027C">
        <w:rPr>
          <w:rFonts w:ascii="Times New Roman" w:hAnsi="Times New Roman" w:cs="Times New Roman"/>
        </w:rPr>
        <w:t xml:space="preserve"> </w:t>
      </w:r>
    </w:p>
    <w:p w:rsidR="00880C09" w:rsidRPr="0044027C" w:rsidRDefault="00880C09" w:rsidP="0044027C">
      <w:pPr>
        <w:jc w:val="both"/>
        <w:rPr>
          <w:rFonts w:ascii="Times New Roman" w:hAnsi="Times New Roman" w:cs="Times New Roman"/>
        </w:rPr>
      </w:pPr>
      <w:r w:rsidRPr="0044027C">
        <w:rPr>
          <w:rFonts w:ascii="Times New Roman" w:hAnsi="Times New Roman" w:cs="Times New Roman"/>
        </w:rPr>
        <w:t xml:space="preserve">[4] Sahyadri journal of Management (sjom). (2018) http://sjom.in/articles/issue2/ articles/ volume2/articles/volume4/articles/issue3/ARTICLE%202%20TAX%20AWARENESS%20AND%20TAX% 20PLANNING%20ON%20WEALTH%20CREATION%20OF%20INDIVIDUAL%20ASSESSEES.pdf. </w:t>
      </w:r>
    </w:p>
    <w:p w:rsidR="00880C09" w:rsidRPr="0044027C" w:rsidRDefault="00880C09" w:rsidP="0044027C">
      <w:pPr>
        <w:jc w:val="both"/>
        <w:rPr>
          <w:rFonts w:ascii="Times New Roman" w:hAnsi="Times New Roman" w:cs="Times New Roman"/>
        </w:rPr>
      </w:pPr>
      <w:r w:rsidRPr="0044027C">
        <w:rPr>
          <w:rFonts w:ascii="Times New Roman" w:hAnsi="Times New Roman" w:cs="Times New Roman"/>
        </w:rPr>
        <w:t xml:space="preserve">[5] Kishali, Y., Sharma, H., Pandian, J., &amp; Hellac, F. (2019). ANALYSIS of TURKISH Taxpayers perceptions for government tax planning decisions. Review of Business Research, 19(2), 37–44. </w:t>
      </w:r>
      <w:hyperlink r:id="rId8" w:history="1">
        <w:r w:rsidRPr="0044027C">
          <w:rPr>
            <w:rStyle w:val="Hyperlink"/>
            <w:rFonts w:ascii="Times New Roman" w:hAnsi="Times New Roman" w:cs="Times New Roman"/>
          </w:rPr>
          <w:t>https://doi.org/10.18374/rbr-19-2.5</w:t>
        </w:r>
      </w:hyperlink>
      <w:r w:rsidRPr="0044027C">
        <w:rPr>
          <w:rFonts w:ascii="Times New Roman" w:hAnsi="Times New Roman" w:cs="Times New Roman"/>
        </w:rPr>
        <w:t xml:space="preserve"> </w:t>
      </w:r>
    </w:p>
    <w:p w:rsidR="009A2BC5" w:rsidRPr="0044027C" w:rsidRDefault="00880C09" w:rsidP="0044027C">
      <w:pPr>
        <w:jc w:val="both"/>
        <w:rPr>
          <w:rFonts w:ascii="Times New Roman" w:hAnsi="Times New Roman" w:cs="Times New Roman"/>
        </w:rPr>
      </w:pPr>
      <w:r w:rsidRPr="0044027C">
        <w:rPr>
          <w:rFonts w:ascii="Times New Roman" w:hAnsi="Times New Roman" w:cs="Times New Roman"/>
        </w:rPr>
        <w:t>[6] Vyshak, P. K., &amp; Joobi, V. P. (2012) Awareness and Attitude towards Tax Planning on Wealth Creation of Individual Assesses.</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[7] Alm, J. (1991). </w:t>
      </w:r>
      <w:r w:rsidRPr="0044027C">
        <w:rPr>
          <w:rStyle w:val="Emphasis"/>
          <w:rFonts w:ascii="Times New Roman" w:hAnsi="Times New Roman" w:cs="Times New Roman"/>
        </w:rPr>
        <w:t>A Perspective on the Experimental Analysis of Taxpayer Reporting</w:t>
      </w:r>
      <w:r w:rsidRPr="0044027C">
        <w:rPr>
          <w:rFonts w:ascii="Times New Roman" w:hAnsi="Times New Roman" w:cs="Times New Roman"/>
        </w:rPr>
        <w:t>. The Accounting Review, 66(3), 577–593.</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[8] Allingham, M. G., &amp; Sandmo, A. (1972). </w:t>
      </w:r>
      <w:r w:rsidRPr="0044027C">
        <w:rPr>
          <w:rStyle w:val="Emphasis"/>
          <w:rFonts w:ascii="Times New Roman" w:hAnsi="Times New Roman" w:cs="Times New Roman"/>
        </w:rPr>
        <w:t>Income Tax Evasion: A Theoretical Analysis</w:t>
      </w:r>
      <w:r w:rsidRPr="0044027C">
        <w:rPr>
          <w:rFonts w:ascii="Times New Roman" w:hAnsi="Times New Roman" w:cs="Times New Roman"/>
        </w:rPr>
        <w:t>. Journal of Public Economics, 1(3–4), 323–338.</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[9] Bird, R. M., &amp; Zolt, E. M. (2008). </w:t>
      </w:r>
      <w:r w:rsidRPr="0044027C">
        <w:rPr>
          <w:rStyle w:val="Emphasis"/>
          <w:rFonts w:ascii="Times New Roman" w:hAnsi="Times New Roman" w:cs="Times New Roman"/>
        </w:rPr>
        <w:t>Technology and Taxation in Developing Countries: From Hand to Mouse</w:t>
      </w:r>
      <w:r w:rsidRPr="0044027C">
        <w:rPr>
          <w:rFonts w:ascii="Times New Roman" w:hAnsi="Times New Roman" w:cs="Times New Roman"/>
        </w:rPr>
        <w:t>. National Tax Journal, 61(4), 791–821.</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[10] Bhargava, V. (2014). </w:t>
      </w:r>
      <w:r w:rsidRPr="0044027C">
        <w:rPr>
          <w:rStyle w:val="Emphasis"/>
          <w:rFonts w:ascii="Times New Roman" w:hAnsi="Times New Roman" w:cs="Times New Roman"/>
        </w:rPr>
        <w:t>Tax Planning and Investment Behaviour Among Salaried Individuals in India</w:t>
      </w:r>
      <w:r w:rsidRPr="0044027C">
        <w:rPr>
          <w:rFonts w:ascii="Times New Roman" w:hAnsi="Times New Roman" w:cs="Times New Roman"/>
        </w:rPr>
        <w:t>. International Journal of Management and Social Sciences Research, 3(5), 45–52.</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[11] Gupta, R. K. (2017). </w:t>
      </w:r>
      <w:r w:rsidRPr="0044027C">
        <w:rPr>
          <w:rStyle w:val="Emphasis"/>
          <w:rFonts w:ascii="Times New Roman" w:hAnsi="Times New Roman" w:cs="Times New Roman"/>
        </w:rPr>
        <w:t>Awareness of Tax Saving Schemes Among Urban Taxpayers</w:t>
      </w:r>
      <w:r w:rsidRPr="0044027C">
        <w:rPr>
          <w:rFonts w:ascii="Times New Roman" w:hAnsi="Times New Roman" w:cs="Times New Roman"/>
        </w:rPr>
        <w:t>. International Journal of Commerce and Management Research, 3(2), 112–118.</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[12] Kirchler, E. (2007). </w:t>
      </w:r>
      <w:r w:rsidRPr="0044027C">
        <w:rPr>
          <w:rStyle w:val="Emphasis"/>
          <w:rFonts w:ascii="Times New Roman" w:hAnsi="Times New Roman" w:cs="Times New Roman"/>
        </w:rPr>
        <w:t>The Economic Psychology of Tax Behaviour</w:t>
      </w:r>
      <w:r w:rsidRPr="0044027C">
        <w:rPr>
          <w:rFonts w:ascii="Times New Roman" w:hAnsi="Times New Roman" w:cs="Times New Roman"/>
        </w:rPr>
        <w:t>. Cambridge University Press.</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[13] Singhania, V. K., &amp; Singhania, M. (2023). </w:t>
      </w:r>
      <w:r w:rsidRPr="0044027C">
        <w:rPr>
          <w:rStyle w:val="Emphasis"/>
          <w:rFonts w:ascii="Times New Roman" w:hAnsi="Times New Roman" w:cs="Times New Roman"/>
        </w:rPr>
        <w:t>Direct Taxes Law and Practice</w:t>
      </w:r>
      <w:r w:rsidRPr="0044027C">
        <w:rPr>
          <w:rFonts w:ascii="Times New Roman" w:hAnsi="Times New Roman" w:cs="Times New Roman"/>
        </w:rPr>
        <w:t>. New Delhi: Taxmann Publications.</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[14] Mehrotra, H. C., &amp; Goyal, S. P. (2022). </w:t>
      </w:r>
      <w:r w:rsidRPr="0044027C">
        <w:rPr>
          <w:rStyle w:val="Emphasis"/>
          <w:rFonts w:ascii="Times New Roman" w:hAnsi="Times New Roman" w:cs="Times New Roman"/>
        </w:rPr>
        <w:t>Income Tax Law and Practice</w:t>
      </w:r>
      <w:r w:rsidRPr="0044027C">
        <w:rPr>
          <w:rFonts w:ascii="Times New Roman" w:hAnsi="Times New Roman" w:cs="Times New Roman"/>
        </w:rPr>
        <w:t>. Sahitya Bhawan Publications.</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[15] Government of India. (2025). </w:t>
      </w:r>
      <w:r w:rsidRPr="0044027C">
        <w:rPr>
          <w:rStyle w:val="Emphasis"/>
          <w:rFonts w:ascii="Times New Roman" w:hAnsi="Times New Roman" w:cs="Times New Roman"/>
        </w:rPr>
        <w:t>The Income Tax Act, 1961</w:t>
      </w:r>
      <w:r w:rsidRPr="0044027C">
        <w:rPr>
          <w:rFonts w:ascii="Times New Roman" w:hAnsi="Times New Roman" w:cs="Times New Roman"/>
        </w:rPr>
        <w:t>. Ministry of Finance, Department of Revenue.</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 [16] OECD. (2021). </w:t>
      </w:r>
      <w:r w:rsidRPr="0044027C">
        <w:rPr>
          <w:rStyle w:val="Emphasis"/>
          <w:rFonts w:ascii="Times New Roman" w:hAnsi="Times New Roman" w:cs="Times New Roman"/>
        </w:rPr>
        <w:t>Tax Administration: Comparative Information on OECD and Other Advanced and Emerging Economies</w:t>
      </w:r>
      <w:r w:rsidRPr="0044027C">
        <w:rPr>
          <w:rFonts w:ascii="Times New Roman" w:hAnsi="Times New Roman" w:cs="Times New Roman"/>
        </w:rPr>
        <w:t>. Organisation for Economic Co-operation and Development.</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[17] Kothari, C. R. (2019). </w:t>
      </w:r>
      <w:r w:rsidRPr="0044027C">
        <w:rPr>
          <w:rStyle w:val="Emphasis"/>
          <w:rFonts w:ascii="Times New Roman" w:hAnsi="Times New Roman" w:cs="Times New Roman"/>
        </w:rPr>
        <w:t>Research Methodology: Methods and Techniques</w:t>
      </w:r>
      <w:r w:rsidRPr="0044027C">
        <w:rPr>
          <w:rFonts w:ascii="Times New Roman" w:hAnsi="Times New Roman" w:cs="Times New Roman"/>
        </w:rPr>
        <w:t>. New Delhi: New Age International Publishers.</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[18] Gupta, S. P. (2020). </w:t>
      </w:r>
      <w:r w:rsidRPr="0044027C">
        <w:rPr>
          <w:rStyle w:val="Emphasis"/>
          <w:rFonts w:ascii="Times New Roman" w:hAnsi="Times New Roman" w:cs="Times New Roman"/>
        </w:rPr>
        <w:t>Statistical Methods</w:t>
      </w:r>
      <w:r w:rsidRPr="0044027C">
        <w:rPr>
          <w:rFonts w:ascii="Times New Roman" w:hAnsi="Times New Roman" w:cs="Times New Roman"/>
        </w:rPr>
        <w:t>. Sultan Chand &amp; Sons.</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[19] Jain, P. K. (2018). </w:t>
      </w:r>
      <w:r w:rsidRPr="0044027C">
        <w:rPr>
          <w:rStyle w:val="Emphasis"/>
          <w:rFonts w:ascii="Times New Roman" w:hAnsi="Times New Roman" w:cs="Times New Roman"/>
        </w:rPr>
        <w:t>Financial Management and Tax Planning Practices in India</w:t>
      </w:r>
      <w:r w:rsidRPr="0044027C">
        <w:rPr>
          <w:rFonts w:ascii="Times New Roman" w:hAnsi="Times New Roman" w:cs="Times New Roman"/>
        </w:rPr>
        <w:t>. Journal of Financial Studies, 12(1), 67–75.</w:t>
      </w:r>
    </w:p>
    <w:p w:rsidR="009A2BC5" w:rsidRPr="0044027C" w:rsidRDefault="009A2BC5" w:rsidP="0044027C">
      <w:pPr>
        <w:jc w:val="both"/>
        <w:rPr>
          <w:rFonts w:ascii="Times New Roman" w:hAnsi="Times New Roman" w:cs="Times New Roman"/>
        </w:rPr>
      </w:pPr>
      <w:r w:rsidRPr="0044027C">
        <w:rPr>
          <w:rFonts w:ascii="Times New Roman" w:hAnsi="Times New Roman" w:cs="Times New Roman"/>
        </w:rPr>
        <w:t xml:space="preserve">[20] Sharma, R., &amp; Sharma, N. (2021). </w:t>
      </w:r>
      <w:r w:rsidRPr="0044027C">
        <w:rPr>
          <w:rStyle w:val="Emphasis"/>
          <w:rFonts w:ascii="Times New Roman" w:hAnsi="Times New Roman" w:cs="Times New Roman"/>
        </w:rPr>
        <w:t>Financial Literacy and Tax Planning Awareness Among Individual Taxpayers</w:t>
      </w:r>
      <w:r w:rsidRPr="0044027C">
        <w:rPr>
          <w:rFonts w:ascii="Times New Roman" w:hAnsi="Times New Roman" w:cs="Times New Roman"/>
        </w:rPr>
        <w:t>. International Journal of Research in Commerce and Management, 9(4), 21–28.</w:t>
      </w:r>
    </w:p>
    <w:p w:rsidR="00021605" w:rsidRPr="0044027C" w:rsidRDefault="00021605" w:rsidP="0044027C">
      <w:pPr>
        <w:jc w:val="both"/>
        <w:rPr>
          <w:rFonts w:ascii="Times New Roman" w:hAnsi="Times New Roman" w:cs="Times New Roman"/>
          <w:b/>
          <w:sz w:val="24"/>
        </w:rPr>
      </w:pPr>
    </w:p>
    <w:sectPr w:rsidR="00021605" w:rsidRPr="00440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1453E"/>
    <w:multiLevelType w:val="hybridMultilevel"/>
    <w:tmpl w:val="37B4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467F4"/>
    <w:multiLevelType w:val="multilevel"/>
    <w:tmpl w:val="8724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195C"/>
    <w:multiLevelType w:val="multilevel"/>
    <w:tmpl w:val="3EF0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F0AE7"/>
    <w:multiLevelType w:val="multilevel"/>
    <w:tmpl w:val="C082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50538"/>
    <w:multiLevelType w:val="multilevel"/>
    <w:tmpl w:val="D1FE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42EE7"/>
    <w:multiLevelType w:val="multilevel"/>
    <w:tmpl w:val="2E9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72B02"/>
    <w:multiLevelType w:val="multilevel"/>
    <w:tmpl w:val="3DB0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C17433"/>
    <w:multiLevelType w:val="multilevel"/>
    <w:tmpl w:val="30CE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A5729"/>
    <w:multiLevelType w:val="multilevel"/>
    <w:tmpl w:val="EC6A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D3C0C"/>
    <w:multiLevelType w:val="multilevel"/>
    <w:tmpl w:val="C8D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5354F"/>
    <w:multiLevelType w:val="multilevel"/>
    <w:tmpl w:val="C772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34885"/>
    <w:multiLevelType w:val="hybridMultilevel"/>
    <w:tmpl w:val="12A0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8E4DEC"/>
    <w:multiLevelType w:val="multilevel"/>
    <w:tmpl w:val="4DB8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72DD1"/>
    <w:multiLevelType w:val="multilevel"/>
    <w:tmpl w:val="C4B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112C9"/>
    <w:multiLevelType w:val="multilevel"/>
    <w:tmpl w:val="A41A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5625A"/>
    <w:multiLevelType w:val="multilevel"/>
    <w:tmpl w:val="E38C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F4DEB"/>
    <w:multiLevelType w:val="multilevel"/>
    <w:tmpl w:val="DACC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9"/>
  </w:num>
  <w:num w:numId="4">
    <w:abstractNumId w:val="1"/>
  </w:num>
  <w:num w:numId="5">
    <w:abstractNumId w:val="3"/>
  </w:num>
  <w:num w:numId="6">
    <w:abstractNumId w:val="16"/>
  </w:num>
  <w:num w:numId="7">
    <w:abstractNumId w:val="5"/>
  </w:num>
  <w:num w:numId="8">
    <w:abstractNumId w:val="6"/>
  </w:num>
  <w:num w:numId="9">
    <w:abstractNumId w:val="14"/>
  </w:num>
  <w:num w:numId="10">
    <w:abstractNumId w:val="2"/>
  </w:num>
  <w:num w:numId="11">
    <w:abstractNumId w:val="10"/>
  </w:num>
  <w:num w:numId="12">
    <w:abstractNumId w:val="13"/>
  </w:num>
  <w:num w:numId="13">
    <w:abstractNumId w:val="12"/>
  </w:num>
  <w:num w:numId="14">
    <w:abstractNumId w:val="7"/>
  </w:num>
  <w:num w:numId="15">
    <w:abstractNumId w:val="8"/>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67"/>
    <w:rsid w:val="00014326"/>
    <w:rsid w:val="0002014C"/>
    <w:rsid w:val="00021605"/>
    <w:rsid w:val="000A1D60"/>
    <w:rsid w:val="000D6EBC"/>
    <w:rsid w:val="001205CB"/>
    <w:rsid w:val="00171D57"/>
    <w:rsid w:val="00184AE6"/>
    <w:rsid w:val="001E09C9"/>
    <w:rsid w:val="003551FD"/>
    <w:rsid w:val="0035784B"/>
    <w:rsid w:val="00364D67"/>
    <w:rsid w:val="00366BD4"/>
    <w:rsid w:val="00394625"/>
    <w:rsid w:val="003F19FA"/>
    <w:rsid w:val="0044027C"/>
    <w:rsid w:val="00442447"/>
    <w:rsid w:val="004470D8"/>
    <w:rsid w:val="00505159"/>
    <w:rsid w:val="00535523"/>
    <w:rsid w:val="00586D37"/>
    <w:rsid w:val="005F7AE1"/>
    <w:rsid w:val="00640691"/>
    <w:rsid w:val="0072550E"/>
    <w:rsid w:val="00741621"/>
    <w:rsid w:val="00794234"/>
    <w:rsid w:val="007D46F2"/>
    <w:rsid w:val="007E6187"/>
    <w:rsid w:val="0084003F"/>
    <w:rsid w:val="00880C09"/>
    <w:rsid w:val="008A7F40"/>
    <w:rsid w:val="008E5EDB"/>
    <w:rsid w:val="009A2BC5"/>
    <w:rsid w:val="00A80F84"/>
    <w:rsid w:val="00AC32C5"/>
    <w:rsid w:val="00B014A1"/>
    <w:rsid w:val="00B456F5"/>
    <w:rsid w:val="00C23E0B"/>
    <w:rsid w:val="00C405D8"/>
    <w:rsid w:val="00C52B31"/>
    <w:rsid w:val="00C778E7"/>
    <w:rsid w:val="00C80B3D"/>
    <w:rsid w:val="00E22E6E"/>
    <w:rsid w:val="00EB7BFE"/>
    <w:rsid w:val="00ED5781"/>
    <w:rsid w:val="00FE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628A"/>
  <w15:chartTrackingRefBased/>
  <w15:docId w15:val="{791452FD-94A5-4ECC-812A-D595A681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2B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16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00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
    <w:name w:val="red"/>
    <w:basedOn w:val="DefaultParagraphFont"/>
    <w:rsid w:val="007D46F2"/>
  </w:style>
  <w:style w:type="character" w:customStyle="1" w:styleId="blue">
    <w:name w:val="blue"/>
    <w:basedOn w:val="DefaultParagraphFont"/>
    <w:rsid w:val="007D46F2"/>
  </w:style>
  <w:style w:type="character" w:customStyle="1" w:styleId="underline">
    <w:name w:val="underline"/>
    <w:basedOn w:val="DefaultParagraphFont"/>
    <w:rsid w:val="00C52B31"/>
  </w:style>
  <w:style w:type="character" w:customStyle="1" w:styleId="Heading2Char">
    <w:name w:val="Heading 2 Char"/>
    <w:basedOn w:val="DefaultParagraphFont"/>
    <w:link w:val="Heading2"/>
    <w:uiPriority w:val="9"/>
    <w:rsid w:val="00741621"/>
    <w:rPr>
      <w:rFonts w:ascii="Times New Roman" w:eastAsia="Times New Roman" w:hAnsi="Times New Roman" w:cs="Times New Roman"/>
      <w:b/>
      <w:bCs/>
      <w:sz w:val="36"/>
      <w:szCs w:val="36"/>
    </w:rPr>
  </w:style>
  <w:style w:type="character" w:styleId="Strong">
    <w:name w:val="Strong"/>
    <w:basedOn w:val="DefaultParagraphFont"/>
    <w:uiPriority w:val="22"/>
    <w:qFormat/>
    <w:rsid w:val="00B456F5"/>
    <w:rPr>
      <w:b/>
      <w:bCs/>
    </w:rPr>
  </w:style>
  <w:style w:type="character" w:customStyle="1" w:styleId="Heading3Char">
    <w:name w:val="Heading 3 Char"/>
    <w:basedOn w:val="DefaultParagraphFont"/>
    <w:link w:val="Heading3"/>
    <w:uiPriority w:val="9"/>
    <w:rsid w:val="0084003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8E5EDB"/>
    <w:pPr>
      <w:ind w:left="720"/>
      <w:contextualSpacing/>
    </w:pPr>
  </w:style>
  <w:style w:type="paragraph" w:customStyle="1" w:styleId="isselectedend">
    <w:name w:val="isselectedend"/>
    <w:basedOn w:val="Normal"/>
    <w:rsid w:val="00586D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86D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0C09"/>
    <w:rPr>
      <w:color w:val="0563C1" w:themeColor="hyperlink"/>
      <w:u w:val="single"/>
    </w:rPr>
  </w:style>
  <w:style w:type="character" w:customStyle="1" w:styleId="Heading1Char">
    <w:name w:val="Heading 1 Char"/>
    <w:basedOn w:val="DefaultParagraphFont"/>
    <w:link w:val="Heading1"/>
    <w:uiPriority w:val="9"/>
    <w:rsid w:val="009A2BC5"/>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9A2BC5"/>
    <w:rPr>
      <w:i/>
      <w:iCs/>
    </w:rPr>
  </w:style>
  <w:style w:type="table" w:styleId="TableGrid">
    <w:name w:val="Table Grid"/>
    <w:basedOn w:val="TableNormal"/>
    <w:uiPriority w:val="39"/>
    <w:rsid w:val="0039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570">
      <w:bodyDiv w:val="1"/>
      <w:marLeft w:val="0"/>
      <w:marRight w:val="0"/>
      <w:marTop w:val="0"/>
      <w:marBottom w:val="0"/>
      <w:divBdr>
        <w:top w:val="none" w:sz="0" w:space="0" w:color="auto"/>
        <w:left w:val="none" w:sz="0" w:space="0" w:color="auto"/>
        <w:bottom w:val="none" w:sz="0" w:space="0" w:color="auto"/>
        <w:right w:val="none" w:sz="0" w:space="0" w:color="auto"/>
      </w:divBdr>
    </w:div>
    <w:div w:id="72506962">
      <w:bodyDiv w:val="1"/>
      <w:marLeft w:val="0"/>
      <w:marRight w:val="0"/>
      <w:marTop w:val="0"/>
      <w:marBottom w:val="0"/>
      <w:divBdr>
        <w:top w:val="none" w:sz="0" w:space="0" w:color="auto"/>
        <w:left w:val="none" w:sz="0" w:space="0" w:color="auto"/>
        <w:bottom w:val="none" w:sz="0" w:space="0" w:color="auto"/>
        <w:right w:val="none" w:sz="0" w:space="0" w:color="auto"/>
      </w:divBdr>
      <w:divsChild>
        <w:div w:id="1249776148">
          <w:marLeft w:val="0"/>
          <w:marRight w:val="0"/>
          <w:marTop w:val="0"/>
          <w:marBottom w:val="0"/>
          <w:divBdr>
            <w:top w:val="none" w:sz="0" w:space="0" w:color="auto"/>
            <w:left w:val="none" w:sz="0" w:space="0" w:color="auto"/>
            <w:bottom w:val="none" w:sz="0" w:space="0" w:color="auto"/>
            <w:right w:val="none" w:sz="0" w:space="0" w:color="auto"/>
          </w:divBdr>
        </w:div>
      </w:divsChild>
    </w:div>
    <w:div w:id="101192672">
      <w:bodyDiv w:val="1"/>
      <w:marLeft w:val="0"/>
      <w:marRight w:val="0"/>
      <w:marTop w:val="0"/>
      <w:marBottom w:val="0"/>
      <w:divBdr>
        <w:top w:val="none" w:sz="0" w:space="0" w:color="auto"/>
        <w:left w:val="none" w:sz="0" w:space="0" w:color="auto"/>
        <w:bottom w:val="none" w:sz="0" w:space="0" w:color="auto"/>
        <w:right w:val="none" w:sz="0" w:space="0" w:color="auto"/>
      </w:divBdr>
    </w:div>
    <w:div w:id="172453692">
      <w:bodyDiv w:val="1"/>
      <w:marLeft w:val="0"/>
      <w:marRight w:val="0"/>
      <w:marTop w:val="0"/>
      <w:marBottom w:val="0"/>
      <w:divBdr>
        <w:top w:val="none" w:sz="0" w:space="0" w:color="auto"/>
        <w:left w:val="none" w:sz="0" w:space="0" w:color="auto"/>
        <w:bottom w:val="none" w:sz="0" w:space="0" w:color="auto"/>
        <w:right w:val="none" w:sz="0" w:space="0" w:color="auto"/>
      </w:divBdr>
    </w:div>
    <w:div w:id="237785892">
      <w:bodyDiv w:val="1"/>
      <w:marLeft w:val="0"/>
      <w:marRight w:val="0"/>
      <w:marTop w:val="0"/>
      <w:marBottom w:val="0"/>
      <w:divBdr>
        <w:top w:val="none" w:sz="0" w:space="0" w:color="auto"/>
        <w:left w:val="none" w:sz="0" w:space="0" w:color="auto"/>
        <w:bottom w:val="none" w:sz="0" w:space="0" w:color="auto"/>
        <w:right w:val="none" w:sz="0" w:space="0" w:color="auto"/>
      </w:divBdr>
      <w:divsChild>
        <w:div w:id="999192011">
          <w:marLeft w:val="0"/>
          <w:marRight w:val="0"/>
          <w:marTop w:val="0"/>
          <w:marBottom w:val="0"/>
          <w:divBdr>
            <w:top w:val="none" w:sz="0" w:space="0" w:color="auto"/>
            <w:left w:val="none" w:sz="0" w:space="0" w:color="auto"/>
            <w:bottom w:val="none" w:sz="0" w:space="0" w:color="auto"/>
            <w:right w:val="none" w:sz="0" w:space="0" w:color="auto"/>
          </w:divBdr>
          <w:divsChild>
            <w:div w:id="118378706">
              <w:marLeft w:val="0"/>
              <w:marRight w:val="0"/>
              <w:marTop w:val="0"/>
              <w:marBottom w:val="0"/>
              <w:divBdr>
                <w:top w:val="none" w:sz="0" w:space="0" w:color="auto"/>
                <w:left w:val="none" w:sz="0" w:space="0" w:color="auto"/>
                <w:bottom w:val="none" w:sz="0" w:space="0" w:color="auto"/>
                <w:right w:val="none" w:sz="0" w:space="0" w:color="auto"/>
              </w:divBdr>
              <w:divsChild>
                <w:div w:id="907695207">
                  <w:marLeft w:val="0"/>
                  <w:marRight w:val="0"/>
                  <w:marTop w:val="0"/>
                  <w:marBottom w:val="0"/>
                  <w:divBdr>
                    <w:top w:val="none" w:sz="0" w:space="0" w:color="auto"/>
                    <w:left w:val="none" w:sz="0" w:space="0" w:color="auto"/>
                    <w:bottom w:val="none" w:sz="0" w:space="0" w:color="auto"/>
                    <w:right w:val="none" w:sz="0" w:space="0" w:color="auto"/>
                  </w:divBdr>
                  <w:divsChild>
                    <w:div w:id="436294153">
                      <w:marLeft w:val="0"/>
                      <w:marRight w:val="0"/>
                      <w:marTop w:val="0"/>
                      <w:marBottom w:val="0"/>
                      <w:divBdr>
                        <w:top w:val="none" w:sz="0" w:space="0" w:color="auto"/>
                        <w:left w:val="none" w:sz="0" w:space="0" w:color="auto"/>
                        <w:bottom w:val="none" w:sz="0" w:space="0" w:color="auto"/>
                        <w:right w:val="none" w:sz="0" w:space="0" w:color="auto"/>
                      </w:divBdr>
                      <w:divsChild>
                        <w:div w:id="766779011">
                          <w:marLeft w:val="0"/>
                          <w:marRight w:val="0"/>
                          <w:marTop w:val="0"/>
                          <w:marBottom w:val="0"/>
                          <w:divBdr>
                            <w:top w:val="none" w:sz="0" w:space="0" w:color="auto"/>
                            <w:left w:val="none" w:sz="0" w:space="0" w:color="auto"/>
                            <w:bottom w:val="none" w:sz="0" w:space="0" w:color="auto"/>
                            <w:right w:val="none" w:sz="0" w:space="0" w:color="auto"/>
                          </w:divBdr>
                          <w:divsChild>
                            <w:div w:id="1498419569">
                              <w:marLeft w:val="0"/>
                              <w:marRight w:val="0"/>
                              <w:marTop w:val="0"/>
                              <w:marBottom w:val="0"/>
                              <w:divBdr>
                                <w:top w:val="none" w:sz="0" w:space="0" w:color="auto"/>
                                <w:left w:val="none" w:sz="0" w:space="0" w:color="auto"/>
                                <w:bottom w:val="none" w:sz="0" w:space="0" w:color="auto"/>
                                <w:right w:val="none" w:sz="0" w:space="0" w:color="auto"/>
                              </w:divBdr>
                              <w:divsChild>
                                <w:div w:id="1632398146">
                                  <w:marLeft w:val="0"/>
                                  <w:marRight w:val="0"/>
                                  <w:marTop w:val="0"/>
                                  <w:marBottom w:val="0"/>
                                  <w:divBdr>
                                    <w:top w:val="none" w:sz="0" w:space="0" w:color="auto"/>
                                    <w:left w:val="none" w:sz="0" w:space="0" w:color="auto"/>
                                    <w:bottom w:val="none" w:sz="0" w:space="0" w:color="auto"/>
                                    <w:right w:val="none" w:sz="0" w:space="0" w:color="auto"/>
                                  </w:divBdr>
                                  <w:divsChild>
                                    <w:div w:id="190847537">
                                      <w:marLeft w:val="0"/>
                                      <w:marRight w:val="0"/>
                                      <w:marTop w:val="0"/>
                                      <w:marBottom w:val="0"/>
                                      <w:divBdr>
                                        <w:top w:val="none" w:sz="0" w:space="0" w:color="auto"/>
                                        <w:left w:val="none" w:sz="0" w:space="0" w:color="auto"/>
                                        <w:bottom w:val="none" w:sz="0" w:space="0" w:color="auto"/>
                                        <w:right w:val="none" w:sz="0" w:space="0" w:color="auto"/>
                                      </w:divBdr>
                                      <w:divsChild>
                                        <w:div w:id="866328842">
                                          <w:marLeft w:val="0"/>
                                          <w:marRight w:val="0"/>
                                          <w:marTop w:val="0"/>
                                          <w:marBottom w:val="0"/>
                                          <w:divBdr>
                                            <w:top w:val="none" w:sz="0" w:space="0" w:color="auto"/>
                                            <w:left w:val="none" w:sz="0" w:space="0" w:color="auto"/>
                                            <w:bottom w:val="none" w:sz="0" w:space="0" w:color="auto"/>
                                            <w:right w:val="none" w:sz="0" w:space="0" w:color="auto"/>
                                          </w:divBdr>
                                          <w:divsChild>
                                            <w:div w:id="7091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06090">
      <w:bodyDiv w:val="1"/>
      <w:marLeft w:val="0"/>
      <w:marRight w:val="0"/>
      <w:marTop w:val="0"/>
      <w:marBottom w:val="0"/>
      <w:divBdr>
        <w:top w:val="none" w:sz="0" w:space="0" w:color="auto"/>
        <w:left w:val="none" w:sz="0" w:space="0" w:color="auto"/>
        <w:bottom w:val="none" w:sz="0" w:space="0" w:color="auto"/>
        <w:right w:val="none" w:sz="0" w:space="0" w:color="auto"/>
      </w:divBdr>
      <w:divsChild>
        <w:div w:id="1895658711">
          <w:marLeft w:val="0"/>
          <w:marRight w:val="0"/>
          <w:marTop w:val="0"/>
          <w:marBottom w:val="0"/>
          <w:divBdr>
            <w:top w:val="none" w:sz="0" w:space="0" w:color="auto"/>
            <w:left w:val="none" w:sz="0" w:space="0" w:color="auto"/>
            <w:bottom w:val="none" w:sz="0" w:space="0" w:color="auto"/>
            <w:right w:val="none" w:sz="0" w:space="0" w:color="auto"/>
          </w:divBdr>
        </w:div>
      </w:divsChild>
    </w:div>
    <w:div w:id="405807900">
      <w:bodyDiv w:val="1"/>
      <w:marLeft w:val="0"/>
      <w:marRight w:val="0"/>
      <w:marTop w:val="0"/>
      <w:marBottom w:val="0"/>
      <w:divBdr>
        <w:top w:val="none" w:sz="0" w:space="0" w:color="auto"/>
        <w:left w:val="none" w:sz="0" w:space="0" w:color="auto"/>
        <w:bottom w:val="none" w:sz="0" w:space="0" w:color="auto"/>
        <w:right w:val="none" w:sz="0" w:space="0" w:color="auto"/>
      </w:divBdr>
      <w:divsChild>
        <w:div w:id="119229049">
          <w:marLeft w:val="0"/>
          <w:marRight w:val="0"/>
          <w:marTop w:val="0"/>
          <w:marBottom w:val="0"/>
          <w:divBdr>
            <w:top w:val="none" w:sz="0" w:space="0" w:color="auto"/>
            <w:left w:val="none" w:sz="0" w:space="0" w:color="auto"/>
            <w:bottom w:val="none" w:sz="0" w:space="0" w:color="auto"/>
            <w:right w:val="none" w:sz="0" w:space="0" w:color="auto"/>
          </w:divBdr>
        </w:div>
      </w:divsChild>
    </w:div>
    <w:div w:id="413280038">
      <w:bodyDiv w:val="1"/>
      <w:marLeft w:val="0"/>
      <w:marRight w:val="0"/>
      <w:marTop w:val="0"/>
      <w:marBottom w:val="0"/>
      <w:divBdr>
        <w:top w:val="none" w:sz="0" w:space="0" w:color="auto"/>
        <w:left w:val="none" w:sz="0" w:space="0" w:color="auto"/>
        <w:bottom w:val="none" w:sz="0" w:space="0" w:color="auto"/>
        <w:right w:val="none" w:sz="0" w:space="0" w:color="auto"/>
      </w:divBdr>
    </w:div>
    <w:div w:id="427123610">
      <w:bodyDiv w:val="1"/>
      <w:marLeft w:val="0"/>
      <w:marRight w:val="0"/>
      <w:marTop w:val="0"/>
      <w:marBottom w:val="0"/>
      <w:divBdr>
        <w:top w:val="none" w:sz="0" w:space="0" w:color="auto"/>
        <w:left w:val="none" w:sz="0" w:space="0" w:color="auto"/>
        <w:bottom w:val="none" w:sz="0" w:space="0" w:color="auto"/>
        <w:right w:val="none" w:sz="0" w:space="0" w:color="auto"/>
      </w:divBdr>
    </w:div>
    <w:div w:id="536164418">
      <w:bodyDiv w:val="1"/>
      <w:marLeft w:val="0"/>
      <w:marRight w:val="0"/>
      <w:marTop w:val="0"/>
      <w:marBottom w:val="0"/>
      <w:divBdr>
        <w:top w:val="none" w:sz="0" w:space="0" w:color="auto"/>
        <w:left w:val="none" w:sz="0" w:space="0" w:color="auto"/>
        <w:bottom w:val="none" w:sz="0" w:space="0" w:color="auto"/>
        <w:right w:val="none" w:sz="0" w:space="0" w:color="auto"/>
      </w:divBdr>
    </w:div>
    <w:div w:id="650870420">
      <w:bodyDiv w:val="1"/>
      <w:marLeft w:val="0"/>
      <w:marRight w:val="0"/>
      <w:marTop w:val="0"/>
      <w:marBottom w:val="0"/>
      <w:divBdr>
        <w:top w:val="none" w:sz="0" w:space="0" w:color="auto"/>
        <w:left w:val="none" w:sz="0" w:space="0" w:color="auto"/>
        <w:bottom w:val="none" w:sz="0" w:space="0" w:color="auto"/>
        <w:right w:val="none" w:sz="0" w:space="0" w:color="auto"/>
      </w:divBdr>
      <w:divsChild>
        <w:div w:id="1249122914">
          <w:marLeft w:val="0"/>
          <w:marRight w:val="0"/>
          <w:marTop w:val="0"/>
          <w:marBottom w:val="0"/>
          <w:divBdr>
            <w:top w:val="none" w:sz="0" w:space="0" w:color="auto"/>
            <w:left w:val="none" w:sz="0" w:space="0" w:color="auto"/>
            <w:bottom w:val="none" w:sz="0" w:space="0" w:color="auto"/>
            <w:right w:val="none" w:sz="0" w:space="0" w:color="auto"/>
          </w:divBdr>
          <w:divsChild>
            <w:div w:id="4685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283">
      <w:bodyDiv w:val="1"/>
      <w:marLeft w:val="0"/>
      <w:marRight w:val="0"/>
      <w:marTop w:val="0"/>
      <w:marBottom w:val="0"/>
      <w:divBdr>
        <w:top w:val="none" w:sz="0" w:space="0" w:color="auto"/>
        <w:left w:val="none" w:sz="0" w:space="0" w:color="auto"/>
        <w:bottom w:val="none" w:sz="0" w:space="0" w:color="auto"/>
        <w:right w:val="none" w:sz="0" w:space="0" w:color="auto"/>
      </w:divBdr>
    </w:div>
    <w:div w:id="752431120">
      <w:bodyDiv w:val="1"/>
      <w:marLeft w:val="0"/>
      <w:marRight w:val="0"/>
      <w:marTop w:val="0"/>
      <w:marBottom w:val="0"/>
      <w:divBdr>
        <w:top w:val="none" w:sz="0" w:space="0" w:color="auto"/>
        <w:left w:val="none" w:sz="0" w:space="0" w:color="auto"/>
        <w:bottom w:val="none" w:sz="0" w:space="0" w:color="auto"/>
        <w:right w:val="none" w:sz="0" w:space="0" w:color="auto"/>
      </w:divBdr>
    </w:div>
    <w:div w:id="784932675">
      <w:bodyDiv w:val="1"/>
      <w:marLeft w:val="0"/>
      <w:marRight w:val="0"/>
      <w:marTop w:val="0"/>
      <w:marBottom w:val="0"/>
      <w:divBdr>
        <w:top w:val="none" w:sz="0" w:space="0" w:color="auto"/>
        <w:left w:val="none" w:sz="0" w:space="0" w:color="auto"/>
        <w:bottom w:val="none" w:sz="0" w:space="0" w:color="auto"/>
        <w:right w:val="none" w:sz="0" w:space="0" w:color="auto"/>
      </w:divBdr>
    </w:div>
    <w:div w:id="1024943124">
      <w:bodyDiv w:val="1"/>
      <w:marLeft w:val="0"/>
      <w:marRight w:val="0"/>
      <w:marTop w:val="0"/>
      <w:marBottom w:val="0"/>
      <w:divBdr>
        <w:top w:val="none" w:sz="0" w:space="0" w:color="auto"/>
        <w:left w:val="none" w:sz="0" w:space="0" w:color="auto"/>
        <w:bottom w:val="none" w:sz="0" w:space="0" w:color="auto"/>
        <w:right w:val="none" w:sz="0" w:space="0" w:color="auto"/>
      </w:divBdr>
    </w:div>
    <w:div w:id="1025864820">
      <w:bodyDiv w:val="1"/>
      <w:marLeft w:val="0"/>
      <w:marRight w:val="0"/>
      <w:marTop w:val="0"/>
      <w:marBottom w:val="0"/>
      <w:divBdr>
        <w:top w:val="none" w:sz="0" w:space="0" w:color="auto"/>
        <w:left w:val="none" w:sz="0" w:space="0" w:color="auto"/>
        <w:bottom w:val="none" w:sz="0" w:space="0" w:color="auto"/>
        <w:right w:val="none" w:sz="0" w:space="0" w:color="auto"/>
      </w:divBdr>
    </w:div>
    <w:div w:id="1043477076">
      <w:bodyDiv w:val="1"/>
      <w:marLeft w:val="0"/>
      <w:marRight w:val="0"/>
      <w:marTop w:val="0"/>
      <w:marBottom w:val="0"/>
      <w:divBdr>
        <w:top w:val="none" w:sz="0" w:space="0" w:color="auto"/>
        <w:left w:val="none" w:sz="0" w:space="0" w:color="auto"/>
        <w:bottom w:val="none" w:sz="0" w:space="0" w:color="auto"/>
        <w:right w:val="none" w:sz="0" w:space="0" w:color="auto"/>
      </w:divBdr>
    </w:div>
    <w:div w:id="1131823959">
      <w:bodyDiv w:val="1"/>
      <w:marLeft w:val="0"/>
      <w:marRight w:val="0"/>
      <w:marTop w:val="0"/>
      <w:marBottom w:val="0"/>
      <w:divBdr>
        <w:top w:val="none" w:sz="0" w:space="0" w:color="auto"/>
        <w:left w:val="none" w:sz="0" w:space="0" w:color="auto"/>
        <w:bottom w:val="none" w:sz="0" w:space="0" w:color="auto"/>
        <w:right w:val="none" w:sz="0" w:space="0" w:color="auto"/>
      </w:divBdr>
      <w:divsChild>
        <w:div w:id="1994291152">
          <w:marLeft w:val="0"/>
          <w:marRight w:val="0"/>
          <w:marTop w:val="0"/>
          <w:marBottom w:val="0"/>
          <w:divBdr>
            <w:top w:val="none" w:sz="0" w:space="0" w:color="auto"/>
            <w:left w:val="none" w:sz="0" w:space="0" w:color="auto"/>
            <w:bottom w:val="none" w:sz="0" w:space="0" w:color="auto"/>
            <w:right w:val="none" w:sz="0" w:space="0" w:color="auto"/>
          </w:divBdr>
        </w:div>
      </w:divsChild>
    </w:div>
    <w:div w:id="1195072157">
      <w:bodyDiv w:val="1"/>
      <w:marLeft w:val="0"/>
      <w:marRight w:val="0"/>
      <w:marTop w:val="0"/>
      <w:marBottom w:val="0"/>
      <w:divBdr>
        <w:top w:val="none" w:sz="0" w:space="0" w:color="auto"/>
        <w:left w:val="none" w:sz="0" w:space="0" w:color="auto"/>
        <w:bottom w:val="none" w:sz="0" w:space="0" w:color="auto"/>
        <w:right w:val="none" w:sz="0" w:space="0" w:color="auto"/>
      </w:divBdr>
      <w:divsChild>
        <w:div w:id="571935556">
          <w:marLeft w:val="0"/>
          <w:marRight w:val="0"/>
          <w:marTop w:val="0"/>
          <w:marBottom w:val="0"/>
          <w:divBdr>
            <w:top w:val="none" w:sz="0" w:space="0" w:color="auto"/>
            <w:left w:val="none" w:sz="0" w:space="0" w:color="auto"/>
            <w:bottom w:val="none" w:sz="0" w:space="0" w:color="auto"/>
            <w:right w:val="none" w:sz="0" w:space="0" w:color="auto"/>
          </w:divBdr>
        </w:div>
      </w:divsChild>
    </w:div>
    <w:div w:id="1260604669">
      <w:bodyDiv w:val="1"/>
      <w:marLeft w:val="0"/>
      <w:marRight w:val="0"/>
      <w:marTop w:val="0"/>
      <w:marBottom w:val="0"/>
      <w:divBdr>
        <w:top w:val="none" w:sz="0" w:space="0" w:color="auto"/>
        <w:left w:val="none" w:sz="0" w:space="0" w:color="auto"/>
        <w:bottom w:val="none" w:sz="0" w:space="0" w:color="auto"/>
        <w:right w:val="none" w:sz="0" w:space="0" w:color="auto"/>
      </w:divBdr>
    </w:div>
    <w:div w:id="1369452078">
      <w:bodyDiv w:val="1"/>
      <w:marLeft w:val="0"/>
      <w:marRight w:val="0"/>
      <w:marTop w:val="0"/>
      <w:marBottom w:val="0"/>
      <w:divBdr>
        <w:top w:val="none" w:sz="0" w:space="0" w:color="auto"/>
        <w:left w:val="none" w:sz="0" w:space="0" w:color="auto"/>
        <w:bottom w:val="none" w:sz="0" w:space="0" w:color="auto"/>
        <w:right w:val="none" w:sz="0" w:space="0" w:color="auto"/>
      </w:divBdr>
    </w:div>
    <w:div w:id="1468081759">
      <w:bodyDiv w:val="1"/>
      <w:marLeft w:val="0"/>
      <w:marRight w:val="0"/>
      <w:marTop w:val="0"/>
      <w:marBottom w:val="0"/>
      <w:divBdr>
        <w:top w:val="none" w:sz="0" w:space="0" w:color="auto"/>
        <w:left w:val="none" w:sz="0" w:space="0" w:color="auto"/>
        <w:bottom w:val="none" w:sz="0" w:space="0" w:color="auto"/>
        <w:right w:val="none" w:sz="0" w:space="0" w:color="auto"/>
      </w:divBdr>
    </w:div>
    <w:div w:id="1529220037">
      <w:bodyDiv w:val="1"/>
      <w:marLeft w:val="0"/>
      <w:marRight w:val="0"/>
      <w:marTop w:val="0"/>
      <w:marBottom w:val="0"/>
      <w:divBdr>
        <w:top w:val="none" w:sz="0" w:space="0" w:color="auto"/>
        <w:left w:val="none" w:sz="0" w:space="0" w:color="auto"/>
        <w:bottom w:val="none" w:sz="0" w:space="0" w:color="auto"/>
        <w:right w:val="none" w:sz="0" w:space="0" w:color="auto"/>
      </w:divBdr>
    </w:div>
    <w:div w:id="1531643168">
      <w:bodyDiv w:val="1"/>
      <w:marLeft w:val="0"/>
      <w:marRight w:val="0"/>
      <w:marTop w:val="0"/>
      <w:marBottom w:val="0"/>
      <w:divBdr>
        <w:top w:val="none" w:sz="0" w:space="0" w:color="auto"/>
        <w:left w:val="none" w:sz="0" w:space="0" w:color="auto"/>
        <w:bottom w:val="none" w:sz="0" w:space="0" w:color="auto"/>
        <w:right w:val="none" w:sz="0" w:space="0" w:color="auto"/>
      </w:divBdr>
    </w:div>
    <w:div w:id="1533301197">
      <w:bodyDiv w:val="1"/>
      <w:marLeft w:val="0"/>
      <w:marRight w:val="0"/>
      <w:marTop w:val="0"/>
      <w:marBottom w:val="0"/>
      <w:divBdr>
        <w:top w:val="none" w:sz="0" w:space="0" w:color="auto"/>
        <w:left w:val="none" w:sz="0" w:space="0" w:color="auto"/>
        <w:bottom w:val="none" w:sz="0" w:space="0" w:color="auto"/>
        <w:right w:val="none" w:sz="0" w:space="0" w:color="auto"/>
      </w:divBdr>
      <w:divsChild>
        <w:div w:id="1670867264">
          <w:marLeft w:val="0"/>
          <w:marRight w:val="0"/>
          <w:marTop w:val="0"/>
          <w:marBottom w:val="0"/>
          <w:divBdr>
            <w:top w:val="none" w:sz="0" w:space="0" w:color="auto"/>
            <w:left w:val="none" w:sz="0" w:space="0" w:color="auto"/>
            <w:bottom w:val="none" w:sz="0" w:space="0" w:color="auto"/>
            <w:right w:val="none" w:sz="0" w:space="0" w:color="auto"/>
          </w:divBdr>
        </w:div>
      </w:divsChild>
    </w:div>
    <w:div w:id="1655645170">
      <w:bodyDiv w:val="1"/>
      <w:marLeft w:val="0"/>
      <w:marRight w:val="0"/>
      <w:marTop w:val="0"/>
      <w:marBottom w:val="0"/>
      <w:divBdr>
        <w:top w:val="none" w:sz="0" w:space="0" w:color="auto"/>
        <w:left w:val="none" w:sz="0" w:space="0" w:color="auto"/>
        <w:bottom w:val="none" w:sz="0" w:space="0" w:color="auto"/>
        <w:right w:val="none" w:sz="0" w:space="0" w:color="auto"/>
      </w:divBdr>
      <w:divsChild>
        <w:div w:id="1729036477">
          <w:marLeft w:val="0"/>
          <w:marRight w:val="0"/>
          <w:marTop w:val="0"/>
          <w:marBottom w:val="0"/>
          <w:divBdr>
            <w:top w:val="none" w:sz="0" w:space="0" w:color="auto"/>
            <w:left w:val="none" w:sz="0" w:space="0" w:color="auto"/>
            <w:bottom w:val="none" w:sz="0" w:space="0" w:color="auto"/>
            <w:right w:val="none" w:sz="0" w:space="0" w:color="auto"/>
          </w:divBdr>
          <w:divsChild>
            <w:div w:id="16782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6911">
      <w:bodyDiv w:val="1"/>
      <w:marLeft w:val="0"/>
      <w:marRight w:val="0"/>
      <w:marTop w:val="0"/>
      <w:marBottom w:val="0"/>
      <w:divBdr>
        <w:top w:val="none" w:sz="0" w:space="0" w:color="auto"/>
        <w:left w:val="none" w:sz="0" w:space="0" w:color="auto"/>
        <w:bottom w:val="none" w:sz="0" w:space="0" w:color="auto"/>
        <w:right w:val="none" w:sz="0" w:space="0" w:color="auto"/>
      </w:divBdr>
      <w:divsChild>
        <w:div w:id="861091333">
          <w:marLeft w:val="0"/>
          <w:marRight w:val="0"/>
          <w:marTop w:val="0"/>
          <w:marBottom w:val="0"/>
          <w:divBdr>
            <w:top w:val="none" w:sz="0" w:space="0" w:color="auto"/>
            <w:left w:val="none" w:sz="0" w:space="0" w:color="auto"/>
            <w:bottom w:val="none" w:sz="0" w:space="0" w:color="auto"/>
            <w:right w:val="none" w:sz="0" w:space="0" w:color="auto"/>
          </w:divBdr>
          <w:divsChild>
            <w:div w:id="39571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484">
      <w:bodyDiv w:val="1"/>
      <w:marLeft w:val="0"/>
      <w:marRight w:val="0"/>
      <w:marTop w:val="0"/>
      <w:marBottom w:val="0"/>
      <w:divBdr>
        <w:top w:val="none" w:sz="0" w:space="0" w:color="auto"/>
        <w:left w:val="none" w:sz="0" w:space="0" w:color="auto"/>
        <w:bottom w:val="none" w:sz="0" w:space="0" w:color="auto"/>
        <w:right w:val="none" w:sz="0" w:space="0" w:color="auto"/>
      </w:divBdr>
    </w:div>
    <w:div w:id="1803886808">
      <w:bodyDiv w:val="1"/>
      <w:marLeft w:val="0"/>
      <w:marRight w:val="0"/>
      <w:marTop w:val="0"/>
      <w:marBottom w:val="0"/>
      <w:divBdr>
        <w:top w:val="none" w:sz="0" w:space="0" w:color="auto"/>
        <w:left w:val="none" w:sz="0" w:space="0" w:color="auto"/>
        <w:bottom w:val="none" w:sz="0" w:space="0" w:color="auto"/>
        <w:right w:val="none" w:sz="0" w:space="0" w:color="auto"/>
      </w:divBdr>
    </w:div>
    <w:div w:id="1926188751">
      <w:bodyDiv w:val="1"/>
      <w:marLeft w:val="0"/>
      <w:marRight w:val="0"/>
      <w:marTop w:val="0"/>
      <w:marBottom w:val="0"/>
      <w:divBdr>
        <w:top w:val="none" w:sz="0" w:space="0" w:color="auto"/>
        <w:left w:val="none" w:sz="0" w:space="0" w:color="auto"/>
        <w:bottom w:val="none" w:sz="0" w:space="0" w:color="auto"/>
        <w:right w:val="none" w:sz="0" w:space="0" w:color="auto"/>
      </w:divBdr>
      <w:divsChild>
        <w:div w:id="1788810778">
          <w:marLeft w:val="0"/>
          <w:marRight w:val="0"/>
          <w:marTop w:val="0"/>
          <w:marBottom w:val="0"/>
          <w:divBdr>
            <w:top w:val="none" w:sz="0" w:space="0" w:color="auto"/>
            <w:left w:val="none" w:sz="0" w:space="0" w:color="auto"/>
            <w:bottom w:val="none" w:sz="0" w:space="0" w:color="auto"/>
            <w:right w:val="none" w:sz="0" w:space="0" w:color="auto"/>
          </w:divBdr>
          <w:divsChild>
            <w:div w:id="2927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1633">
      <w:bodyDiv w:val="1"/>
      <w:marLeft w:val="0"/>
      <w:marRight w:val="0"/>
      <w:marTop w:val="0"/>
      <w:marBottom w:val="0"/>
      <w:divBdr>
        <w:top w:val="none" w:sz="0" w:space="0" w:color="auto"/>
        <w:left w:val="none" w:sz="0" w:space="0" w:color="auto"/>
        <w:bottom w:val="none" w:sz="0" w:space="0" w:color="auto"/>
        <w:right w:val="none" w:sz="0" w:space="0" w:color="auto"/>
      </w:divBdr>
    </w:div>
    <w:div w:id="1993026212">
      <w:bodyDiv w:val="1"/>
      <w:marLeft w:val="0"/>
      <w:marRight w:val="0"/>
      <w:marTop w:val="0"/>
      <w:marBottom w:val="0"/>
      <w:divBdr>
        <w:top w:val="none" w:sz="0" w:space="0" w:color="auto"/>
        <w:left w:val="none" w:sz="0" w:space="0" w:color="auto"/>
        <w:bottom w:val="none" w:sz="0" w:space="0" w:color="auto"/>
        <w:right w:val="none" w:sz="0" w:space="0" w:color="auto"/>
      </w:divBdr>
    </w:div>
    <w:div w:id="2007047379">
      <w:bodyDiv w:val="1"/>
      <w:marLeft w:val="0"/>
      <w:marRight w:val="0"/>
      <w:marTop w:val="0"/>
      <w:marBottom w:val="0"/>
      <w:divBdr>
        <w:top w:val="none" w:sz="0" w:space="0" w:color="auto"/>
        <w:left w:val="none" w:sz="0" w:space="0" w:color="auto"/>
        <w:bottom w:val="none" w:sz="0" w:space="0" w:color="auto"/>
        <w:right w:val="none" w:sz="0" w:space="0" w:color="auto"/>
      </w:divBdr>
      <w:divsChild>
        <w:div w:id="1634944782">
          <w:marLeft w:val="0"/>
          <w:marRight w:val="0"/>
          <w:marTop w:val="0"/>
          <w:marBottom w:val="0"/>
          <w:divBdr>
            <w:top w:val="none" w:sz="0" w:space="0" w:color="auto"/>
            <w:left w:val="none" w:sz="0" w:space="0" w:color="auto"/>
            <w:bottom w:val="none" w:sz="0" w:space="0" w:color="auto"/>
            <w:right w:val="none" w:sz="0" w:space="0" w:color="auto"/>
          </w:divBdr>
          <w:divsChild>
            <w:div w:id="17790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0990">
      <w:bodyDiv w:val="1"/>
      <w:marLeft w:val="0"/>
      <w:marRight w:val="0"/>
      <w:marTop w:val="0"/>
      <w:marBottom w:val="0"/>
      <w:divBdr>
        <w:top w:val="none" w:sz="0" w:space="0" w:color="auto"/>
        <w:left w:val="none" w:sz="0" w:space="0" w:color="auto"/>
        <w:bottom w:val="none" w:sz="0" w:space="0" w:color="auto"/>
        <w:right w:val="none" w:sz="0" w:space="0" w:color="auto"/>
      </w:divBdr>
    </w:div>
    <w:div w:id="2037345031">
      <w:bodyDiv w:val="1"/>
      <w:marLeft w:val="0"/>
      <w:marRight w:val="0"/>
      <w:marTop w:val="0"/>
      <w:marBottom w:val="0"/>
      <w:divBdr>
        <w:top w:val="none" w:sz="0" w:space="0" w:color="auto"/>
        <w:left w:val="none" w:sz="0" w:space="0" w:color="auto"/>
        <w:bottom w:val="none" w:sz="0" w:space="0" w:color="auto"/>
        <w:right w:val="none" w:sz="0" w:space="0" w:color="auto"/>
      </w:divBdr>
    </w:div>
    <w:div w:id="2046635550">
      <w:bodyDiv w:val="1"/>
      <w:marLeft w:val="0"/>
      <w:marRight w:val="0"/>
      <w:marTop w:val="0"/>
      <w:marBottom w:val="0"/>
      <w:divBdr>
        <w:top w:val="none" w:sz="0" w:space="0" w:color="auto"/>
        <w:left w:val="none" w:sz="0" w:space="0" w:color="auto"/>
        <w:bottom w:val="none" w:sz="0" w:space="0" w:color="auto"/>
        <w:right w:val="none" w:sz="0" w:space="0" w:color="auto"/>
      </w:divBdr>
    </w:div>
    <w:div w:id="2124763562">
      <w:bodyDiv w:val="1"/>
      <w:marLeft w:val="0"/>
      <w:marRight w:val="0"/>
      <w:marTop w:val="0"/>
      <w:marBottom w:val="0"/>
      <w:divBdr>
        <w:top w:val="none" w:sz="0" w:space="0" w:color="auto"/>
        <w:left w:val="none" w:sz="0" w:space="0" w:color="auto"/>
        <w:bottom w:val="none" w:sz="0" w:space="0" w:color="auto"/>
        <w:right w:val="none" w:sz="0" w:space="0" w:color="auto"/>
      </w:divBdr>
      <w:divsChild>
        <w:div w:id="362825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74/rbr-19-2.5" TargetMode="External"/><Relationship Id="rId3" Type="http://schemas.openxmlformats.org/officeDocument/2006/relationships/settings" Target="settings.xml"/><Relationship Id="rId7" Type="http://schemas.openxmlformats.org/officeDocument/2006/relationships/hyperlink" Target="https://cleartax.in/s/tax-free-countries-in-the-wor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t/taxation.asp" TargetMode="External"/><Relationship Id="rId5" Type="http://schemas.openxmlformats.org/officeDocument/2006/relationships/hyperlink" Target="https://www.incometaxindia.gov.in/Pages/about-us/history-of-direct-taxation%20.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10</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2026-05-28T08:26:00Z</dcterms:created>
  <dcterms:modified xsi:type="dcterms:W3CDTF">2026-05-29T07:49:00Z</dcterms:modified>
</cp:coreProperties>
</file>