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538D" w14:textId="544134DF" w:rsidR="008E25E4" w:rsidRPr="005B1AAD" w:rsidRDefault="00EB676E">
      <w:pPr>
        <w:spacing w:after="0"/>
        <w:ind w:left="74"/>
        <w:jc w:val="center"/>
        <w:rPr>
          <w:rFonts w:ascii="Times New Roman" w:eastAsia="Times New Roman" w:hAnsi="Times New Roman" w:cs="Times New Roman"/>
          <w:b/>
          <w:color w:val="365F91"/>
          <w:sz w:val="96"/>
        </w:rPr>
      </w:pPr>
      <w:r w:rsidRPr="00EB676E">
        <w:rPr>
          <w:rFonts w:ascii="Times New Roman" w:hAnsi="Times New Roman" w:cs="Times New Roman"/>
          <w:b/>
          <w:bCs/>
          <w:sz w:val="36"/>
          <w:szCs w:val="36"/>
          <w:lang w:val="en-GB"/>
        </w:rPr>
        <w:t>Leveraging Diaspora Remittances for Nigeria’s Green Transition: A Fintech-Driven Cooperative Model to Fund Renewable Energy Infrastructure</w:t>
      </w:r>
      <w:r w:rsidRPr="005B1AAD">
        <w:rPr>
          <w:rFonts w:ascii="Times New Roman" w:hAnsi="Times New Roman" w:cs="Times New Roman"/>
          <w:b/>
          <w:sz w:val="36"/>
          <w:szCs w:val="24"/>
        </w:rPr>
        <w:t xml:space="preserve"> </w:t>
      </w:r>
    </w:p>
    <w:p w14:paraId="766B2D86" w14:textId="77777777" w:rsidR="008E25E4" w:rsidRDefault="008E25E4">
      <w:pPr>
        <w:spacing w:after="0"/>
        <w:ind w:left="74"/>
        <w:jc w:val="center"/>
        <w:rPr>
          <w:rFonts w:ascii="Times New Roman" w:eastAsia="Times New Roman" w:hAnsi="Times New Roman" w:cs="Times New Roman"/>
          <w:b/>
          <w:color w:val="365F91"/>
          <w:sz w:val="52"/>
        </w:rPr>
      </w:pPr>
    </w:p>
    <w:p w14:paraId="08BE5DB4" w14:textId="3F33253B" w:rsidR="008E25E4" w:rsidRDefault="00030887" w:rsidP="005470FD">
      <w:pPr>
        <w:spacing w:after="0"/>
        <w:ind w:left="74"/>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 xml:space="preserve">Obamoh </w:t>
      </w:r>
      <w:bookmarkStart w:id="0" w:name="_Hlk219172631"/>
      <w:r>
        <w:rPr>
          <w:rFonts w:ascii="Times New Roman" w:eastAsia="Times New Roman" w:hAnsi="Times New Roman" w:cs="Times New Roman"/>
          <w:b/>
          <w:color w:val="auto"/>
          <w:sz w:val="24"/>
        </w:rPr>
        <w:t>Hannah Yetunde</w:t>
      </w:r>
      <w:r w:rsidR="00EB676E">
        <w:rPr>
          <w:rFonts w:ascii="Times New Roman" w:eastAsia="Times New Roman" w:hAnsi="Times New Roman" w:cs="Times New Roman"/>
          <w:b/>
          <w:color w:val="auto"/>
          <w:sz w:val="24"/>
          <w:vertAlign w:val="superscript"/>
        </w:rPr>
        <w:t>1</w:t>
      </w:r>
      <w:bookmarkEnd w:id="0"/>
      <w:r w:rsidR="00D708AF">
        <w:rPr>
          <w:rFonts w:ascii="Times New Roman" w:eastAsia="Times New Roman" w:hAnsi="Times New Roman" w:cs="Times New Roman"/>
          <w:b/>
          <w:color w:val="auto"/>
          <w:sz w:val="24"/>
        </w:rPr>
        <w:t xml:space="preserve">, </w:t>
      </w:r>
      <w:r w:rsidR="00EB676E">
        <w:rPr>
          <w:rFonts w:ascii="Times New Roman" w:eastAsia="Times New Roman" w:hAnsi="Times New Roman" w:cs="Times New Roman"/>
          <w:b/>
          <w:color w:val="auto"/>
          <w:sz w:val="24"/>
        </w:rPr>
        <w:t xml:space="preserve">Raphael Ofori -Adeniran </w:t>
      </w:r>
      <w:proofErr w:type="gramStart"/>
      <w:r w:rsidR="00EB676E">
        <w:rPr>
          <w:rFonts w:ascii="Times New Roman" w:eastAsia="Times New Roman" w:hAnsi="Times New Roman" w:cs="Times New Roman"/>
          <w:b/>
          <w:color w:val="auto"/>
          <w:sz w:val="24"/>
          <w:vertAlign w:val="superscript"/>
        </w:rPr>
        <w:t xml:space="preserve">2 </w:t>
      </w:r>
      <w:r w:rsidR="00EB676E">
        <w:rPr>
          <w:rFonts w:ascii="Times New Roman" w:eastAsia="Times New Roman" w:hAnsi="Times New Roman" w:cs="Times New Roman"/>
          <w:b/>
          <w:color w:val="auto"/>
          <w:sz w:val="24"/>
        </w:rPr>
        <w:t>,</w:t>
      </w:r>
      <w:proofErr w:type="gramEnd"/>
      <w:r w:rsidR="00EB676E">
        <w:rPr>
          <w:rFonts w:ascii="Times New Roman" w:eastAsia="Times New Roman" w:hAnsi="Times New Roman" w:cs="Times New Roman"/>
          <w:b/>
          <w:color w:val="auto"/>
          <w:sz w:val="24"/>
        </w:rPr>
        <w:t xml:space="preserve"> </w:t>
      </w:r>
      <w:r w:rsidR="00EB676E" w:rsidRPr="005B1AAD">
        <w:rPr>
          <w:rFonts w:ascii="Times New Roman" w:eastAsia="Times New Roman" w:hAnsi="Times New Roman" w:cs="Times New Roman"/>
          <w:b/>
          <w:color w:val="auto"/>
          <w:sz w:val="24"/>
        </w:rPr>
        <w:t>Obamoh Samuel Olaolu</w:t>
      </w:r>
      <w:r w:rsidR="00EB676E">
        <w:rPr>
          <w:rFonts w:ascii="Times New Roman" w:eastAsia="Times New Roman" w:hAnsi="Times New Roman" w:cs="Times New Roman"/>
          <w:b/>
          <w:color w:val="auto"/>
          <w:sz w:val="24"/>
          <w:vertAlign w:val="superscript"/>
        </w:rPr>
        <w:t>3</w:t>
      </w:r>
      <w:r>
        <w:rPr>
          <w:rFonts w:ascii="Times New Roman" w:eastAsia="Times New Roman" w:hAnsi="Times New Roman" w:cs="Times New Roman"/>
          <w:b/>
          <w:color w:val="auto"/>
          <w:sz w:val="24"/>
        </w:rPr>
        <w:t>,</w:t>
      </w:r>
    </w:p>
    <w:p w14:paraId="73BA4FB1" w14:textId="72A50163" w:rsidR="005470FD" w:rsidRDefault="00030887" w:rsidP="005470FD">
      <w:pPr>
        <w:spacing w:after="0"/>
        <w:ind w:left="74"/>
        <w:jc w:val="center"/>
        <w:rPr>
          <w:rFonts w:ascii="Times New Roman" w:eastAsia="Times New Roman" w:hAnsi="Times New Roman" w:cs="Times New Roman"/>
          <w:b/>
          <w:color w:val="auto"/>
          <w:sz w:val="24"/>
        </w:rPr>
      </w:pPr>
      <w:r w:rsidRPr="00030887">
        <w:rPr>
          <w:rFonts w:ascii="Times New Roman" w:eastAsia="Times New Roman" w:hAnsi="Times New Roman" w:cs="Times New Roman"/>
          <w:b/>
          <w:color w:val="auto"/>
          <w:sz w:val="24"/>
          <w:vertAlign w:val="superscript"/>
        </w:rPr>
        <w:t>1</w:t>
      </w:r>
      <w:r w:rsidR="005B1AAD">
        <w:rPr>
          <w:rFonts w:ascii="Times New Roman" w:eastAsia="Times New Roman" w:hAnsi="Times New Roman" w:cs="Times New Roman"/>
          <w:b/>
          <w:color w:val="auto"/>
          <w:sz w:val="24"/>
        </w:rPr>
        <w:t>Department of</w:t>
      </w:r>
      <w:r w:rsidR="005470FD" w:rsidRPr="005470FD">
        <w:rPr>
          <w:rFonts w:ascii="Times New Roman" w:eastAsia="Times New Roman" w:hAnsi="Times New Roman" w:cs="Times New Roman"/>
          <w:b/>
          <w:color w:val="auto"/>
          <w:sz w:val="24"/>
        </w:rPr>
        <w:t xml:space="preserve"> </w:t>
      </w:r>
      <w:r w:rsidR="005470FD">
        <w:rPr>
          <w:rFonts w:ascii="Times New Roman" w:eastAsia="Times New Roman" w:hAnsi="Times New Roman" w:cs="Times New Roman"/>
          <w:b/>
          <w:color w:val="auto"/>
          <w:sz w:val="24"/>
        </w:rPr>
        <w:t>Architectural Technology,</w:t>
      </w:r>
      <w:r w:rsidR="005470FD" w:rsidRPr="005470FD">
        <w:rPr>
          <w:rFonts w:ascii="Times New Roman" w:eastAsia="Times New Roman" w:hAnsi="Times New Roman" w:cs="Times New Roman"/>
          <w:b/>
          <w:color w:val="auto"/>
          <w:sz w:val="24"/>
        </w:rPr>
        <w:t xml:space="preserve"> </w:t>
      </w:r>
      <w:r w:rsidR="005470FD">
        <w:rPr>
          <w:rFonts w:ascii="Times New Roman" w:eastAsia="Times New Roman" w:hAnsi="Times New Roman" w:cs="Times New Roman"/>
          <w:b/>
          <w:color w:val="auto"/>
          <w:sz w:val="24"/>
        </w:rPr>
        <w:t>Federal Polytechnic, Ukana, Akwa Ibom State</w:t>
      </w:r>
    </w:p>
    <w:p w14:paraId="0A1D64C9" w14:textId="40B4AE5B" w:rsidR="005B1AAD" w:rsidRPr="005B1AAD" w:rsidRDefault="005B1AAD">
      <w:pPr>
        <w:spacing w:after="0"/>
        <w:ind w:left="74"/>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 xml:space="preserve"> </w:t>
      </w:r>
      <w:r w:rsidR="005470FD" w:rsidRPr="00030887">
        <w:rPr>
          <w:rFonts w:ascii="Times New Roman" w:eastAsia="Times New Roman" w:hAnsi="Times New Roman" w:cs="Times New Roman"/>
          <w:b/>
          <w:color w:val="auto"/>
          <w:sz w:val="24"/>
          <w:vertAlign w:val="superscript"/>
        </w:rPr>
        <w:t>2</w:t>
      </w:r>
      <w:r w:rsidR="0054166B" w:rsidRPr="0054166B">
        <w:t xml:space="preserve"> </w:t>
      </w:r>
      <w:r w:rsidR="0054166B" w:rsidRPr="00283AA5">
        <w:rPr>
          <w:rFonts w:ascii="Times New Roman" w:hAnsi="Times New Roman" w:cs="Times New Roman"/>
          <w:b/>
          <w:bCs/>
          <w:sz w:val="24"/>
          <w:szCs w:val="24"/>
        </w:rPr>
        <w:t xml:space="preserve">R&amp;S Consulting </w:t>
      </w:r>
      <w:proofErr w:type="spellStart"/>
      <w:r w:rsidR="0054166B" w:rsidRPr="00283AA5">
        <w:rPr>
          <w:rFonts w:ascii="Times New Roman" w:hAnsi="Times New Roman" w:cs="Times New Roman"/>
          <w:b/>
          <w:bCs/>
          <w:sz w:val="24"/>
          <w:szCs w:val="24"/>
        </w:rPr>
        <w:t>GbR</w:t>
      </w:r>
      <w:proofErr w:type="spellEnd"/>
      <w:r w:rsidR="0054166B" w:rsidRPr="00283AA5">
        <w:rPr>
          <w:rFonts w:ascii="Times New Roman" w:hAnsi="Times New Roman" w:cs="Times New Roman"/>
          <w:b/>
          <w:bCs/>
          <w:sz w:val="24"/>
          <w:szCs w:val="24"/>
        </w:rPr>
        <w:t>, Bielefeld, Germany,</w:t>
      </w:r>
    </w:p>
    <w:p w14:paraId="16E6AF1C" w14:textId="77777777" w:rsidR="008E25E4" w:rsidRDefault="00030887">
      <w:pPr>
        <w:spacing w:after="0"/>
        <w:ind w:left="74"/>
        <w:jc w:val="center"/>
        <w:rPr>
          <w:rFonts w:ascii="Times New Roman" w:eastAsia="Times New Roman" w:hAnsi="Times New Roman" w:cs="Times New Roman"/>
          <w:b/>
          <w:color w:val="auto"/>
          <w:sz w:val="24"/>
        </w:rPr>
      </w:pPr>
      <w:r w:rsidRPr="00030887">
        <w:rPr>
          <w:rFonts w:ascii="Times New Roman" w:eastAsia="Times New Roman" w:hAnsi="Times New Roman" w:cs="Times New Roman"/>
          <w:b/>
          <w:color w:val="auto"/>
          <w:sz w:val="24"/>
          <w:vertAlign w:val="superscript"/>
        </w:rPr>
        <w:t>3</w:t>
      </w:r>
      <w:r>
        <w:rPr>
          <w:rFonts w:ascii="Times New Roman" w:eastAsia="Times New Roman" w:hAnsi="Times New Roman" w:cs="Times New Roman"/>
          <w:b/>
          <w:color w:val="auto"/>
          <w:sz w:val="24"/>
        </w:rPr>
        <w:t>Department of Quantity Surveying, Federal Polytechnic, Ukana, Akwa Ibom State</w:t>
      </w:r>
    </w:p>
    <w:p w14:paraId="504E0ACF" w14:textId="77777777" w:rsidR="003D1605" w:rsidRDefault="003D1605">
      <w:pPr>
        <w:spacing w:after="0"/>
        <w:ind w:left="74"/>
        <w:jc w:val="center"/>
        <w:rPr>
          <w:rFonts w:ascii="Times New Roman" w:eastAsia="Times New Roman" w:hAnsi="Times New Roman" w:cs="Times New Roman"/>
          <w:b/>
          <w:color w:val="365F91"/>
          <w:sz w:val="24"/>
        </w:rPr>
      </w:pPr>
    </w:p>
    <w:p w14:paraId="5D0184DC" w14:textId="7B844BF3" w:rsidR="00030887" w:rsidRPr="003D1605" w:rsidRDefault="003D1605">
      <w:pPr>
        <w:spacing w:after="0"/>
        <w:ind w:left="74"/>
        <w:jc w:val="center"/>
        <w:rPr>
          <w:rFonts w:ascii="Times New Roman" w:eastAsia="Times New Roman" w:hAnsi="Times New Roman" w:cs="Times New Roman"/>
          <w:b/>
          <w:color w:val="auto"/>
          <w:sz w:val="24"/>
        </w:rPr>
      </w:pPr>
      <w:r w:rsidRPr="003D1605">
        <w:rPr>
          <w:rFonts w:ascii="Times New Roman" w:eastAsia="Times New Roman" w:hAnsi="Times New Roman" w:cs="Times New Roman"/>
          <w:b/>
          <w:color w:val="auto"/>
          <w:sz w:val="24"/>
        </w:rPr>
        <w:t xml:space="preserve">*Corresponding Author; Obamoh </w:t>
      </w:r>
      <w:r w:rsidR="00283AA5" w:rsidRPr="00283AA5">
        <w:rPr>
          <w:rFonts w:ascii="Times New Roman" w:eastAsia="Times New Roman" w:hAnsi="Times New Roman" w:cs="Times New Roman"/>
          <w:b/>
          <w:color w:val="auto"/>
          <w:sz w:val="24"/>
        </w:rPr>
        <w:t>Hannah Yetunde</w:t>
      </w:r>
    </w:p>
    <w:p w14:paraId="1E52C7B6" w14:textId="3BDEEE6E" w:rsidR="003D1605" w:rsidRPr="003D1605" w:rsidRDefault="00283AA5">
      <w:pPr>
        <w:spacing w:after="0"/>
        <w:ind w:left="74"/>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hannah</w:t>
      </w:r>
      <w:r w:rsidR="003D1605" w:rsidRPr="003D1605">
        <w:rPr>
          <w:rFonts w:ascii="Times New Roman" w:eastAsia="Times New Roman" w:hAnsi="Times New Roman" w:cs="Times New Roman"/>
          <w:b/>
          <w:color w:val="auto"/>
          <w:sz w:val="24"/>
        </w:rPr>
        <w:t>.obamoh@fedpolyukana.edu.ng</w:t>
      </w:r>
    </w:p>
    <w:p w14:paraId="68C45826" w14:textId="77777777" w:rsidR="008E25E4" w:rsidRDefault="008E25E4">
      <w:pPr>
        <w:spacing w:after="0"/>
        <w:ind w:left="74"/>
        <w:jc w:val="center"/>
        <w:rPr>
          <w:rFonts w:ascii="Times New Roman" w:eastAsia="Times New Roman" w:hAnsi="Times New Roman" w:cs="Times New Roman"/>
          <w:b/>
          <w:color w:val="365F91"/>
          <w:sz w:val="52"/>
        </w:rPr>
      </w:pPr>
    </w:p>
    <w:p w14:paraId="4F768B23" w14:textId="7C7DBF81" w:rsidR="008E25E4" w:rsidRPr="00030887" w:rsidRDefault="00030887" w:rsidP="00030887">
      <w:pPr>
        <w:spacing w:after="0"/>
        <w:ind w:left="74"/>
        <w:rPr>
          <w:rFonts w:ascii="Times New Roman" w:eastAsia="Times New Roman" w:hAnsi="Times New Roman" w:cs="Times New Roman"/>
          <w:b/>
          <w:color w:val="auto"/>
          <w:sz w:val="28"/>
        </w:rPr>
      </w:pPr>
      <w:r w:rsidRPr="00030887">
        <w:rPr>
          <w:rFonts w:ascii="Times New Roman" w:eastAsia="Times New Roman" w:hAnsi="Times New Roman" w:cs="Times New Roman"/>
          <w:b/>
          <w:color w:val="auto"/>
          <w:sz w:val="28"/>
        </w:rPr>
        <w:t>ABSTRACT</w:t>
      </w:r>
      <w:r w:rsidR="00E76893">
        <w:rPr>
          <w:rFonts w:ascii="Times New Roman" w:eastAsia="Times New Roman" w:hAnsi="Times New Roman" w:cs="Times New Roman"/>
          <w:b/>
          <w:color w:val="auto"/>
          <w:sz w:val="28"/>
        </w:rPr>
        <w:t xml:space="preserve">  </w:t>
      </w:r>
    </w:p>
    <w:p w14:paraId="3DAF177E" w14:textId="180C9FA4" w:rsidR="008E25E4" w:rsidRPr="005E2BC3" w:rsidRDefault="005E2BC3" w:rsidP="005E2BC3">
      <w:pPr>
        <w:spacing w:after="0"/>
        <w:ind w:left="74"/>
        <w:jc w:val="both"/>
        <w:rPr>
          <w:rFonts w:ascii="Times New Roman" w:hAnsi="Times New Roman" w:cs="Times New Roman"/>
          <w:sz w:val="24"/>
          <w:szCs w:val="24"/>
        </w:rPr>
      </w:pPr>
      <w:r w:rsidRPr="005E2BC3">
        <w:rPr>
          <w:rFonts w:ascii="Times New Roman" w:hAnsi="Times New Roman" w:cs="Times New Roman"/>
          <w:sz w:val="24"/>
          <w:szCs w:val="24"/>
        </w:rPr>
        <w:t>Nigeria’s ambitious Energy Transition Plan (ETP) which is currently a top-priority government policy, $410 billion to achieve the planned net-zero emissions target by 2060. But the key to success is already being hindered by a $10 billion annual funding gap. This study explores an innovative financing mechanism leveraging up to 10 per cent of Nigerian Diaspora’s $20 billion annual remittances to fund green infrastructure, focusing on the model of the private sector-inspired Nigerian Renewable Energy Village (NREV). Motivation: This study is motivated by the need to bridge Nigeria’s green financing gap using the untapped resources of diaspora capital for sustainable development. Data and Methodology: Using secondary data from the Central Bank of Nigeria, World Bank, Rural Electrification Agency (REA), the United Nations (UN), NREV project documents and reports from other authoritative sources, we propose a Green Transition Fintech capturing 10% of remittances ($2 billion/year) via fees and exchange rate margins, integrated with a Diaspora Cooperative offering dividends and carbon credits. Findings: The model could fund NREV’s $120 million solar mini-grid and EV infrastructure, electrifying 100,000+ people, creating 700+ jobs, and reducing emissions. Policy Implications and Recommendations: Regulatory reforms for Fintech and carbon markets, tax incentives for diaspora dividends, and public awareness campaigns are critical to drive adoption. The model is scalable across Africa.</w:t>
      </w:r>
    </w:p>
    <w:p w14:paraId="39C462D1" w14:textId="77777777" w:rsidR="005E2BC3" w:rsidRDefault="005E2BC3" w:rsidP="0098294F">
      <w:pPr>
        <w:spacing w:after="0"/>
        <w:ind w:left="74"/>
        <w:rPr>
          <w:rFonts w:ascii="Times New Roman" w:eastAsia="Times New Roman" w:hAnsi="Times New Roman" w:cs="Times New Roman"/>
          <w:b/>
          <w:color w:val="365F91"/>
          <w:sz w:val="52"/>
        </w:rPr>
      </w:pPr>
    </w:p>
    <w:p w14:paraId="45130DDE" w14:textId="77777777" w:rsidR="005E2BC3" w:rsidRPr="005E2BC3" w:rsidRDefault="00A97531" w:rsidP="005E2BC3">
      <w:pPr>
        <w:spacing w:after="0"/>
        <w:ind w:left="74"/>
        <w:jc w:val="both"/>
        <w:rPr>
          <w:rFonts w:ascii="Times New Roman" w:hAnsi="Times New Roman" w:cs="Times New Roman"/>
          <w:b/>
          <w:bCs/>
          <w:sz w:val="24"/>
          <w:szCs w:val="24"/>
        </w:rPr>
      </w:pPr>
      <w:r>
        <w:rPr>
          <w:rFonts w:ascii="Times New Roman" w:hAnsi="Times New Roman" w:cs="Times New Roman"/>
          <w:b/>
          <w:sz w:val="24"/>
          <w:szCs w:val="24"/>
        </w:rPr>
        <w:t xml:space="preserve">Keywords: </w:t>
      </w:r>
      <w:r w:rsidR="005E2BC3" w:rsidRPr="005E2BC3">
        <w:rPr>
          <w:rFonts w:ascii="Times New Roman" w:hAnsi="Times New Roman" w:cs="Times New Roman"/>
          <w:b/>
          <w:bCs/>
          <w:sz w:val="24"/>
          <w:szCs w:val="24"/>
        </w:rPr>
        <w:t>Remittances, Renewable Resources, Financial Institutions (Fintech), renewable energy, Environment and Development, Sustainable Development. JEL Classification: F24, Q27, G23, Q56, Q01 and Q48 respectively.</w:t>
      </w:r>
    </w:p>
    <w:p w14:paraId="01250A1B" w14:textId="0707CDFA" w:rsidR="0098294F" w:rsidRPr="00211942" w:rsidRDefault="0098294F" w:rsidP="0098294F">
      <w:pPr>
        <w:spacing w:after="0"/>
        <w:ind w:left="74"/>
        <w:rPr>
          <w:rFonts w:ascii="Times New Roman" w:eastAsia="Times New Roman" w:hAnsi="Times New Roman" w:cs="Times New Roman"/>
          <w:b/>
          <w:color w:val="365F91"/>
          <w:sz w:val="24"/>
          <w:szCs w:val="24"/>
        </w:rPr>
      </w:pPr>
    </w:p>
    <w:p w14:paraId="1DD92368" w14:textId="77777777" w:rsidR="00D56645" w:rsidRDefault="00D56645" w:rsidP="00D56645">
      <w:pPr>
        <w:spacing w:after="0"/>
        <w:rPr>
          <w:rFonts w:ascii="Times New Roman" w:eastAsia="Times New Roman" w:hAnsi="Times New Roman" w:cs="Times New Roman"/>
          <w:b/>
          <w:color w:val="365F91"/>
          <w:sz w:val="52"/>
        </w:rPr>
      </w:pPr>
    </w:p>
    <w:p w14:paraId="2E300E4E" w14:textId="77777777" w:rsidR="003D1605" w:rsidRDefault="003D1605" w:rsidP="00D56645">
      <w:pPr>
        <w:spacing w:after="0"/>
        <w:rPr>
          <w:rFonts w:ascii="Times New Roman" w:eastAsia="Times New Roman" w:hAnsi="Times New Roman" w:cs="Times New Roman"/>
          <w:b/>
          <w:color w:val="365F91"/>
          <w:sz w:val="52"/>
        </w:rPr>
      </w:pPr>
    </w:p>
    <w:p w14:paraId="04A17F66" w14:textId="77777777" w:rsidR="009F5F3F" w:rsidRDefault="009F5F3F" w:rsidP="00D56645">
      <w:pPr>
        <w:spacing w:after="0"/>
        <w:rPr>
          <w:rFonts w:ascii="Times New Roman" w:eastAsia="Times New Roman" w:hAnsi="Times New Roman" w:cs="Times New Roman"/>
          <w:b/>
          <w:color w:val="365F91"/>
          <w:sz w:val="52"/>
        </w:rPr>
      </w:pPr>
    </w:p>
    <w:p w14:paraId="5AC6BF9C" w14:textId="77777777" w:rsidR="008F568F" w:rsidRDefault="008F568F" w:rsidP="00632303">
      <w:pPr>
        <w:spacing w:after="0"/>
        <w:rPr>
          <w:rFonts w:ascii="Times New Roman" w:eastAsia="Times New Roman" w:hAnsi="Times New Roman" w:cs="Times New Roman"/>
          <w:b/>
          <w:color w:val="365F91"/>
          <w:sz w:val="52"/>
        </w:rPr>
      </w:pPr>
    </w:p>
    <w:p w14:paraId="6FEC6FFD" w14:textId="77777777" w:rsidR="00632303" w:rsidRDefault="00632303" w:rsidP="00B1069D">
      <w:pPr>
        <w:spacing w:after="0"/>
        <w:ind w:left="74"/>
        <w:rPr>
          <w:rFonts w:ascii="Times New Roman" w:eastAsia="Times New Roman" w:hAnsi="Times New Roman" w:cs="Times New Roman"/>
          <w:b/>
          <w:color w:val="365F91"/>
          <w:sz w:val="52"/>
        </w:rPr>
      </w:pPr>
    </w:p>
    <w:p w14:paraId="42A1189A" w14:textId="7AE2F560" w:rsidR="008E25E4" w:rsidRPr="00632303" w:rsidRDefault="00B1069D" w:rsidP="00B1069D">
      <w:pPr>
        <w:spacing w:after="0"/>
        <w:ind w:left="74"/>
        <w:rPr>
          <w:rFonts w:ascii="Times New Roman" w:eastAsia="Times New Roman" w:hAnsi="Times New Roman" w:cs="Times New Roman"/>
          <w:b/>
          <w:color w:val="auto"/>
          <w:sz w:val="28"/>
          <w:szCs w:val="28"/>
        </w:rPr>
      </w:pPr>
      <w:r w:rsidRPr="00632303">
        <w:rPr>
          <w:rFonts w:ascii="Times New Roman" w:eastAsia="Times New Roman" w:hAnsi="Times New Roman" w:cs="Times New Roman"/>
          <w:b/>
          <w:color w:val="auto"/>
          <w:sz w:val="28"/>
          <w:szCs w:val="28"/>
        </w:rPr>
        <w:t>INTRODUCTION</w:t>
      </w:r>
    </w:p>
    <w:p w14:paraId="0EA26E3F" w14:textId="086C1B44" w:rsidR="0016655F" w:rsidRPr="00632303" w:rsidRDefault="005E2BC3" w:rsidP="0016655F">
      <w:pPr>
        <w:spacing w:after="0"/>
        <w:ind w:left="74"/>
        <w:jc w:val="both"/>
        <w:rPr>
          <w:rFonts w:ascii="Times New Roman" w:hAnsi="Times New Roman" w:cs="Times New Roman"/>
          <w:color w:val="auto"/>
          <w:sz w:val="24"/>
          <w:szCs w:val="24"/>
        </w:rPr>
      </w:pPr>
      <w:r w:rsidRPr="00632303">
        <w:rPr>
          <w:rFonts w:ascii="Times New Roman" w:hAnsi="Times New Roman" w:cs="Times New Roman"/>
          <w:color w:val="auto"/>
          <w:sz w:val="24"/>
          <w:szCs w:val="24"/>
        </w:rPr>
        <w:t xml:space="preserve">Nigeria’s enduring energy crisis presents a dual challenge of severe energy poverty and significant climate vulnerability. At present, 92 million people lack access to electricity, whilst the nation remains heavily dependent on fossil fuels for power generation. It is estimated that 10–15 gigawatts (GW) of electricity produced annually in Nigeria comes from privately owned, </w:t>
      </w:r>
      <w:r w:rsidR="00E94BE7" w:rsidRPr="00632303">
        <w:rPr>
          <w:rFonts w:ascii="Times New Roman" w:hAnsi="Times New Roman" w:cs="Times New Roman"/>
          <w:color w:val="auto"/>
          <w:sz w:val="24"/>
          <w:szCs w:val="24"/>
        </w:rPr>
        <w:t>small-scale</w:t>
      </w:r>
      <w:r w:rsidRPr="00632303">
        <w:rPr>
          <w:rFonts w:ascii="Times New Roman" w:hAnsi="Times New Roman" w:cs="Times New Roman"/>
          <w:color w:val="auto"/>
          <w:sz w:val="24"/>
          <w:szCs w:val="24"/>
        </w:rPr>
        <w:t xml:space="preserve"> diesel and petrol generators. This inefficient and environmentally damaging energy source costs the nation approximately US$14 billion each year (Rural Electrification Agency [REA], 2017). Launched to achieve net-zero emissions by 2060, Nigeria’s Energy Transition Plan (ETP) requires US$410 billion in investments. </w:t>
      </w:r>
    </w:p>
    <w:p w14:paraId="69DBDF94" w14:textId="77777777" w:rsidR="0016655F" w:rsidRPr="00632303" w:rsidRDefault="005E2BC3" w:rsidP="005E2BC3">
      <w:pPr>
        <w:spacing w:after="0"/>
        <w:ind w:left="74"/>
        <w:jc w:val="both"/>
        <w:rPr>
          <w:rFonts w:ascii="Times New Roman" w:hAnsi="Times New Roman" w:cs="Times New Roman"/>
          <w:color w:val="auto"/>
          <w:sz w:val="24"/>
          <w:szCs w:val="24"/>
        </w:rPr>
      </w:pPr>
      <w:r w:rsidRPr="00632303">
        <w:rPr>
          <w:rFonts w:ascii="Times New Roman" w:hAnsi="Times New Roman" w:cs="Times New Roman"/>
          <w:color w:val="auto"/>
          <w:sz w:val="24"/>
          <w:szCs w:val="24"/>
        </w:rPr>
        <w:t>The ETP focuses on infrastructure upgrades, solar development (leveraging 5.5 kWh/m²/day potential), e-mobility, and clean cooking to boost renewables to 50% by 2030. The plan aims to address the nation's 56% electrification rate. This ambitious plan translates to an annual requirement of approximately US$10 billion above business-as-usual spending. However, current funding from multilateral institutions such as the World Bank and the African Development Bank falls critically short, contributing less than US$1 billion per year. This substantial funding gap underscores the urgent need for innovative financing mechanisms to support Nigeria’s ambitious goals for renewable energy, e-mobility, and green infrastructure (Climate Policy Initiative [CPI], 2024).</w:t>
      </w:r>
    </w:p>
    <w:p w14:paraId="79CDCBFA" w14:textId="77777777" w:rsidR="0016655F" w:rsidRPr="00632303" w:rsidRDefault="005E2BC3" w:rsidP="005E2BC3">
      <w:pPr>
        <w:spacing w:after="0"/>
        <w:ind w:left="74"/>
        <w:jc w:val="both"/>
        <w:rPr>
          <w:rFonts w:ascii="Times New Roman" w:hAnsi="Times New Roman" w:cs="Times New Roman"/>
          <w:color w:val="auto"/>
          <w:sz w:val="24"/>
          <w:szCs w:val="24"/>
        </w:rPr>
      </w:pPr>
      <w:r w:rsidRPr="00632303">
        <w:rPr>
          <w:rFonts w:ascii="Times New Roman" w:hAnsi="Times New Roman" w:cs="Times New Roman"/>
          <w:color w:val="auto"/>
          <w:sz w:val="24"/>
          <w:szCs w:val="24"/>
        </w:rPr>
        <w:t>The financing challenge is further exacerbated by the structure of existing green finance flows. More than three-quarters (US$1.6 billion) of this financing is sourced from public institutions, primarily multilateral development finance institutions, bilateral development finance institutions, and the government itself. Only 23 per cent (US$435 million) originates from private sources, with non-financial corporations accounting for about US$150 million (7.7 per cent). The remainder is spread across unidentified private sources (US$192 million, or 10 per cent) and other private sector entities, which collectively account for less than 5 per cent (African Development Bank [AfDB], 2023).</w:t>
      </w:r>
    </w:p>
    <w:p w14:paraId="7F2D30B9" w14:textId="77777777" w:rsidR="0016655F" w:rsidRPr="00632303" w:rsidRDefault="005E2BC3" w:rsidP="005E2BC3">
      <w:pPr>
        <w:spacing w:after="0"/>
        <w:ind w:left="74"/>
        <w:jc w:val="both"/>
        <w:rPr>
          <w:rFonts w:ascii="Times New Roman" w:hAnsi="Times New Roman" w:cs="Times New Roman"/>
          <w:color w:val="auto"/>
          <w:sz w:val="24"/>
          <w:szCs w:val="24"/>
        </w:rPr>
      </w:pPr>
      <w:r w:rsidRPr="00632303">
        <w:rPr>
          <w:rFonts w:ascii="Times New Roman" w:hAnsi="Times New Roman" w:cs="Times New Roman"/>
          <w:color w:val="auto"/>
          <w:sz w:val="24"/>
          <w:szCs w:val="24"/>
        </w:rPr>
        <w:t xml:space="preserve"> According to CPI et al. (2022), the bulk of investments (66 per cent) in Nigeria's energy systems were </w:t>
      </w:r>
      <w:proofErr w:type="spellStart"/>
      <w:r w:rsidRPr="00632303">
        <w:rPr>
          <w:rFonts w:ascii="Times New Roman" w:hAnsi="Times New Roman" w:cs="Times New Roman"/>
          <w:color w:val="auto"/>
          <w:sz w:val="24"/>
          <w:szCs w:val="24"/>
        </w:rPr>
        <w:t>channelled</w:t>
      </w:r>
      <w:proofErr w:type="spellEnd"/>
      <w:r w:rsidRPr="00632303">
        <w:rPr>
          <w:rFonts w:ascii="Times New Roman" w:hAnsi="Times New Roman" w:cs="Times New Roman"/>
          <w:color w:val="auto"/>
          <w:sz w:val="24"/>
          <w:szCs w:val="24"/>
        </w:rPr>
        <w:t xml:space="preserve"> into on- and off-grid solar projects. With its strong green transition policy that </w:t>
      </w:r>
      <w:proofErr w:type="spellStart"/>
      <w:r w:rsidRPr="00632303">
        <w:rPr>
          <w:rFonts w:ascii="Times New Roman" w:hAnsi="Times New Roman" w:cs="Times New Roman"/>
          <w:color w:val="auto"/>
          <w:sz w:val="24"/>
          <w:szCs w:val="24"/>
        </w:rPr>
        <w:t>emphasises</w:t>
      </w:r>
      <w:proofErr w:type="spellEnd"/>
      <w:r w:rsidRPr="00632303">
        <w:rPr>
          <w:rFonts w:ascii="Times New Roman" w:hAnsi="Times New Roman" w:cs="Times New Roman"/>
          <w:color w:val="auto"/>
          <w:sz w:val="24"/>
          <w:szCs w:val="24"/>
        </w:rPr>
        <w:t xml:space="preserve"> off-grid initiatives and its vast underserved population, Nigeria represents the most compelling off-grid electrification opportunity on the African continent.</w:t>
      </w:r>
    </w:p>
    <w:p w14:paraId="6B1BC7A6" w14:textId="77777777" w:rsidR="0016655F" w:rsidRPr="00632303" w:rsidRDefault="005E2BC3" w:rsidP="005E2BC3">
      <w:pPr>
        <w:spacing w:after="0"/>
        <w:ind w:left="74"/>
        <w:jc w:val="both"/>
        <w:rPr>
          <w:rFonts w:ascii="Times New Roman" w:hAnsi="Times New Roman" w:cs="Times New Roman"/>
          <w:color w:val="auto"/>
          <w:sz w:val="24"/>
          <w:szCs w:val="24"/>
        </w:rPr>
      </w:pPr>
      <w:r w:rsidRPr="00632303">
        <w:rPr>
          <w:rFonts w:ascii="Times New Roman" w:hAnsi="Times New Roman" w:cs="Times New Roman"/>
          <w:color w:val="auto"/>
          <w:sz w:val="24"/>
          <w:szCs w:val="24"/>
        </w:rPr>
        <w:t xml:space="preserve"> In the search for innovative financing models, the Nigerian diaspora</w:t>
      </w:r>
      <w:r w:rsidR="0016655F" w:rsidRPr="00632303">
        <w:rPr>
          <w:rFonts w:ascii="Times New Roman" w:hAnsi="Times New Roman" w:cs="Times New Roman"/>
          <w:color w:val="auto"/>
          <w:sz w:val="24"/>
          <w:szCs w:val="24"/>
        </w:rPr>
        <w:t xml:space="preserve"> </w:t>
      </w:r>
      <w:r w:rsidRPr="00632303">
        <w:rPr>
          <w:rFonts w:ascii="Times New Roman" w:hAnsi="Times New Roman" w:cs="Times New Roman"/>
          <w:color w:val="auto"/>
          <w:sz w:val="24"/>
          <w:szCs w:val="24"/>
        </w:rPr>
        <w:t>which remits over US$25 billion annually</w:t>
      </w:r>
      <w:r w:rsidR="0016655F" w:rsidRPr="00632303">
        <w:rPr>
          <w:rFonts w:ascii="Times New Roman" w:hAnsi="Times New Roman" w:cs="Times New Roman"/>
          <w:color w:val="auto"/>
          <w:sz w:val="24"/>
          <w:szCs w:val="24"/>
        </w:rPr>
        <w:t xml:space="preserve"> </w:t>
      </w:r>
      <w:r w:rsidRPr="00632303">
        <w:rPr>
          <w:rFonts w:ascii="Times New Roman" w:hAnsi="Times New Roman" w:cs="Times New Roman"/>
          <w:color w:val="auto"/>
          <w:sz w:val="24"/>
          <w:szCs w:val="24"/>
        </w:rPr>
        <w:t xml:space="preserve">emerges as a significant yet </w:t>
      </w:r>
      <w:proofErr w:type="spellStart"/>
      <w:r w:rsidRPr="00632303">
        <w:rPr>
          <w:rFonts w:ascii="Times New Roman" w:hAnsi="Times New Roman" w:cs="Times New Roman"/>
          <w:color w:val="auto"/>
          <w:sz w:val="24"/>
          <w:szCs w:val="24"/>
        </w:rPr>
        <w:t>underutilised</w:t>
      </w:r>
      <w:proofErr w:type="spellEnd"/>
      <w:r w:rsidRPr="00632303">
        <w:rPr>
          <w:rFonts w:ascii="Times New Roman" w:hAnsi="Times New Roman" w:cs="Times New Roman"/>
          <w:color w:val="auto"/>
          <w:sz w:val="24"/>
          <w:szCs w:val="24"/>
        </w:rPr>
        <w:t xml:space="preserve"> resource for development finance. These funds, currently directed primarily towards consumption, could be </w:t>
      </w:r>
      <w:proofErr w:type="spellStart"/>
      <w:r w:rsidRPr="00632303">
        <w:rPr>
          <w:rFonts w:ascii="Times New Roman" w:hAnsi="Times New Roman" w:cs="Times New Roman"/>
          <w:color w:val="auto"/>
          <w:sz w:val="24"/>
          <w:szCs w:val="24"/>
        </w:rPr>
        <w:t>channelled</w:t>
      </w:r>
      <w:proofErr w:type="spellEnd"/>
      <w:r w:rsidRPr="00632303">
        <w:rPr>
          <w:rFonts w:ascii="Times New Roman" w:hAnsi="Times New Roman" w:cs="Times New Roman"/>
          <w:color w:val="auto"/>
          <w:sz w:val="24"/>
          <w:szCs w:val="24"/>
        </w:rPr>
        <w:t xml:space="preserve"> into productive investments through structured mechanisms. This paper proposes a Green Transition Fintech platform, integrated with a diaspora cooperative business model, designed to capture 10 per cent of annual remittance inflows (~US$2.5 billion). Through fees and exchange rate margins, this platform is projected to generate approximately US$100 million per year to fund renewable energy projects.</w:t>
      </w:r>
    </w:p>
    <w:p w14:paraId="2861A8A2" w14:textId="77777777" w:rsidR="0016655F" w:rsidRPr="00632303" w:rsidRDefault="005E2BC3" w:rsidP="005E2BC3">
      <w:pPr>
        <w:spacing w:after="0"/>
        <w:ind w:left="74"/>
        <w:jc w:val="both"/>
        <w:rPr>
          <w:rFonts w:ascii="Times New Roman" w:hAnsi="Times New Roman" w:cs="Times New Roman"/>
          <w:color w:val="auto"/>
          <w:sz w:val="24"/>
          <w:szCs w:val="24"/>
        </w:rPr>
      </w:pPr>
      <w:r w:rsidRPr="00632303">
        <w:rPr>
          <w:rFonts w:ascii="Times New Roman" w:hAnsi="Times New Roman" w:cs="Times New Roman"/>
          <w:color w:val="auto"/>
          <w:sz w:val="24"/>
          <w:szCs w:val="24"/>
        </w:rPr>
        <w:t xml:space="preserve"> The Fintech platform concept originates from a diaspora-inspired renewable energy project </w:t>
      </w:r>
      <w:proofErr w:type="spellStart"/>
      <w:r w:rsidRPr="00632303">
        <w:rPr>
          <w:rFonts w:ascii="Times New Roman" w:hAnsi="Times New Roman" w:cs="Times New Roman"/>
          <w:color w:val="auto"/>
          <w:sz w:val="24"/>
          <w:szCs w:val="24"/>
        </w:rPr>
        <w:t>conceptualised</w:t>
      </w:r>
      <w:proofErr w:type="spellEnd"/>
      <w:r w:rsidRPr="00632303">
        <w:rPr>
          <w:rFonts w:ascii="Times New Roman" w:hAnsi="Times New Roman" w:cs="Times New Roman"/>
          <w:color w:val="auto"/>
          <w:sz w:val="24"/>
          <w:szCs w:val="24"/>
        </w:rPr>
        <w:t xml:space="preserve"> by R&amp;S Consultancy </w:t>
      </w:r>
      <w:proofErr w:type="spellStart"/>
      <w:r w:rsidRPr="00632303">
        <w:rPr>
          <w:rFonts w:ascii="Times New Roman" w:hAnsi="Times New Roman" w:cs="Times New Roman"/>
          <w:color w:val="auto"/>
          <w:sz w:val="24"/>
          <w:szCs w:val="24"/>
        </w:rPr>
        <w:t>GbR</w:t>
      </w:r>
      <w:proofErr w:type="spellEnd"/>
      <w:r w:rsidRPr="00632303">
        <w:rPr>
          <w:rFonts w:ascii="Times New Roman" w:hAnsi="Times New Roman" w:cs="Times New Roman"/>
          <w:color w:val="auto"/>
          <w:sz w:val="24"/>
          <w:szCs w:val="24"/>
        </w:rPr>
        <w:t xml:space="preserve">, a firm founded by Stephen Adeoye and his partners. Mr. Adeoye, a former lecturer and international business consultant, is a first-generation Nigerian immigrant who has lived in Germany for nearly four decades. The collective experiences of him and his partners are instrumental to the innovative approach of incorporating a diaspora financing model into their project, the Nigerian Renewable Energy Village (NREV). The NREV blueprint incorporates a diaspora funding mechanism through a cooperative named Nigerians in the Diaspora Cooperative (NIDCOG). According to the project proprietors, NIDCOG’s vision is to become the foremost project crowdfunding platform for the Nigerian diaspora. </w:t>
      </w:r>
    </w:p>
    <w:p w14:paraId="64CAA27E" w14:textId="5241A2D6" w:rsidR="009E189D" w:rsidRPr="00632303" w:rsidRDefault="005E2BC3" w:rsidP="008F568F">
      <w:pPr>
        <w:spacing w:after="0"/>
        <w:ind w:left="74"/>
        <w:jc w:val="both"/>
        <w:rPr>
          <w:rFonts w:ascii="Times New Roman" w:hAnsi="Times New Roman" w:cs="Times New Roman"/>
          <w:color w:val="auto"/>
          <w:sz w:val="24"/>
          <w:szCs w:val="24"/>
        </w:rPr>
      </w:pPr>
      <w:r w:rsidRPr="00632303">
        <w:rPr>
          <w:rFonts w:ascii="Times New Roman" w:hAnsi="Times New Roman" w:cs="Times New Roman"/>
          <w:color w:val="auto"/>
          <w:sz w:val="24"/>
          <w:szCs w:val="24"/>
        </w:rPr>
        <w:t xml:space="preserve">With this plan embedded in the NREV project, R&amp;S Consulting and its partners presented their proposal to the Federal Ministry of Innovation, Science and Technology (FMIST), where the blueprint was formally acknowledged under Nigeria’s ETP. On 19 February 2025, the FMIST issued a commitment letter endorsing the NREV blueprint. </w:t>
      </w:r>
      <w:r w:rsidRPr="00632303">
        <w:rPr>
          <w:rFonts w:ascii="Times New Roman" w:hAnsi="Times New Roman" w:cs="Times New Roman"/>
          <w:color w:val="auto"/>
          <w:sz w:val="24"/>
          <w:szCs w:val="24"/>
        </w:rPr>
        <w:lastRenderedPageBreak/>
        <w:t>This was followed by a Memorandum of Understanding (MoU) signed on 17 April 2025 between the NREV consortium, the FMIST, and the Energy Commission of Nigeria (ECN).</w:t>
      </w:r>
    </w:p>
    <w:p w14:paraId="0FA65DB7" w14:textId="77777777" w:rsidR="008F568F" w:rsidRPr="00632303" w:rsidRDefault="008F568F" w:rsidP="008F568F">
      <w:pPr>
        <w:spacing w:after="0"/>
        <w:ind w:left="74"/>
        <w:jc w:val="both"/>
        <w:rPr>
          <w:rFonts w:ascii="Times New Roman" w:hAnsi="Times New Roman" w:cs="Times New Roman"/>
          <w:color w:val="auto"/>
          <w:sz w:val="24"/>
          <w:szCs w:val="24"/>
        </w:rPr>
      </w:pPr>
    </w:p>
    <w:p w14:paraId="104401B0" w14:textId="44E10811" w:rsidR="00AB1288" w:rsidRPr="00632303" w:rsidRDefault="00844E58" w:rsidP="00AB1288">
      <w:pPr>
        <w:spacing w:after="0"/>
        <w:rPr>
          <w:rFonts w:ascii="Times New Roman" w:eastAsia="Times New Roman" w:hAnsi="Times New Roman" w:cs="Times New Roman"/>
          <w:b/>
          <w:color w:val="auto"/>
          <w:sz w:val="28"/>
          <w:szCs w:val="28"/>
        </w:rPr>
      </w:pPr>
      <w:r w:rsidRPr="00632303">
        <w:rPr>
          <w:rFonts w:ascii="Times New Roman" w:eastAsia="Times New Roman" w:hAnsi="Times New Roman" w:cs="Times New Roman"/>
          <w:b/>
          <w:color w:val="auto"/>
          <w:sz w:val="28"/>
          <w:szCs w:val="28"/>
        </w:rPr>
        <w:t>PROBLEM STATEMENT / JUSTIFICATION</w:t>
      </w:r>
    </w:p>
    <w:p w14:paraId="56BAAB12" w14:textId="77777777" w:rsidR="008F568F" w:rsidRPr="00632303" w:rsidRDefault="009E189D" w:rsidP="008F568F">
      <w:pPr>
        <w:spacing w:after="0"/>
        <w:rPr>
          <w:rFonts w:ascii="Times New Roman" w:eastAsia="Times New Roman" w:hAnsi="Times New Roman" w:cs="Times New Roman"/>
          <w:b/>
          <w:bCs/>
          <w:color w:val="auto"/>
          <w:sz w:val="28"/>
          <w:szCs w:val="28"/>
        </w:rPr>
      </w:pPr>
      <w:r w:rsidRPr="00632303">
        <w:rPr>
          <w:rFonts w:ascii="Times New Roman" w:eastAsia="Times New Roman" w:hAnsi="Times New Roman" w:cs="Times New Roman"/>
          <w:b/>
          <w:bCs/>
          <w:color w:val="auto"/>
          <w:sz w:val="28"/>
          <w:szCs w:val="28"/>
          <w:lang w:eastAsia="zh-CN"/>
        </w:rPr>
        <w:t>The Urgency of the Problem</w:t>
      </w:r>
    </w:p>
    <w:p w14:paraId="075B425D" w14:textId="010277CD" w:rsidR="009E189D" w:rsidRPr="00632303" w:rsidRDefault="009E189D" w:rsidP="008F568F">
      <w:pPr>
        <w:spacing w:after="0"/>
        <w:rPr>
          <w:rFonts w:ascii="Times New Roman" w:eastAsia="Times New Roman" w:hAnsi="Times New Roman" w:cs="Times New Roman"/>
          <w:b/>
          <w:color w:val="auto"/>
          <w:sz w:val="28"/>
          <w:szCs w:val="28"/>
        </w:rPr>
      </w:pPr>
      <w:r w:rsidRPr="00632303">
        <w:rPr>
          <w:rFonts w:ascii="Times New Roman" w:hAnsi="Times New Roman" w:cs="Times New Roman"/>
          <w:color w:val="auto"/>
          <w:sz w:val="24"/>
          <w:szCs w:val="24"/>
        </w:rPr>
        <w:t xml:space="preserve">The urgency arises because </w:t>
      </w:r>
      <w:r w:rsidRPr="00632303">
        <w:rPr>
          <w:rStyle w:val="Strong"/>
          <w:rFonts w:ascii="Times New Roman" w:hAnsi="Times New Roman" w:cs="Times New Roman"/>
          <w:color w:val="auto"/>
          <w:sz w:val="24"/>
          <w:szCs w:val="24"/>
        </w:rPr>
        <w:t>every year of delayed action widens the financing gap, raises transition costs, and heightens climate vulnerabilities</w:t>
      </w:r>
      <w:r w:rsidRPr="00632303">
        <w:rPr>
          <w:rFonts w:ascii="Times New Roman" w:hAnsi="Times New Roman" w:cs="Times New Roman"/>
          <w:color w:val="auto"/>
          <w:sz w:val="24"/>
          <w:szCs w:val="24"/>
        </w:rPr>
        <w:t xml:space="preserve">. Harnessing diaspora remittances through an innovative fintech-cooperative model is therefore a </w:t>
      </w:r>
      <w:r w:rsidRPr="00632303">
        <w:rPr>
          <w:rStyle w:val="Strong"/>
          <w:rFonts w:ascii="Times New Roman" w:hAnsi="Times New Roman" w:cs="Times New Roman"/>
          <w:color w:val="auto"/>
          <w:sz w:val="24"/>
          <w:szCs w:val="24"/>
        </w:rPr>
        <w:t>pressing and immediate priority</w:t>
      </w:r>
      <w:r w:rsidRPr="00632303">
        <w:rPr>
          <w:rFonts w:ascii="Times New Roman" w:hAnsi="Times New Roman" w:cs="Times New Roman"/>
          <w:b/>
          <w:bCs/>
          <w:color w:val="auto"/>
          <w:sz w:val="24"/>
          <w:szCs w:val="24"/>
        </w:rPr>
        <w:t xml:space="preserve"> </w:t>
      </w:r>
      <w:r w:rsidRPr="00632303">
        <w:rPr>
          <w:rFonts w:ascii="Times New Roman" w:hAnsi="Times New Roman" w:cs="Times New Roman"/>
          <w:color w:val="auto"/>
          <w:sz w:val="24"/>
          <w:szCs w:val="24"/>
        </w:rPr>
        <w:t>for Nigeria’s sustainable energy future.</w:t>
      </w:r>
    </w:p>
    <w:p w14:paraId="7D0DE2D9" w14:textId="77777777" w:rsidR="008F568F" w:rsidRPr="00632303" w:rsidRDefault="009E189D" w:rsidP="008F568F">
      <w:pPr>
        <w:spacing w:after="0" w:line="240" w:lineRule="auto"/>
        <w:jc w:val="both"/>
        <w:rPr>
          <w:rFonts w:ascii="Times New Roman" w:eastAsia="Times New Roman" w:hAnsi="Times New Roman" w:cs="Times New Roman"/>
          <w:color w:val="auto"/>
          <w:sz w:val="28"/>
          <w:szCs w:val="28"/>
          <w:lang w:eastAsia="zh-CN"/>
        </w:rPr>
      </w:pPr>
      <w:r w:rsidRPr="00632303">
        <w:rPr>
          <w:rFonts w:ascii="Times New Roman" w:eastAsia="Times New Roman" w:hAnsi="Times New Roman" w:cs="Times New Roman"/>
          <w:b/>
          <w:bCs/>
          <w:color w:val="auto"/>
          <w:sz w:val="28"/>
          <w:szCs w:val="28"/>
          <w:lang w:eastAsia="zh-CN"/>
        </w:rPr>
        <w:t>Justification for the Research</w:t>
      </w:r>
    </w:p>
    <w:p w14:paraId="5C53CB50" w14:textId="5D897301" w:rsidR="009E189D" w:rsidRPr="00632303" w:rsidRDefault="009E189D" w:rsidP="008F568F">
      <w:pPr>
        <w:spacing w:after="0" w:line="240" w:lineRule="auto"/>
        <w:jc w:val="both"/>
        <w:rPr>
          <w:rFonts w:ascii="Times New Roman" w:eastAsia="Times New Roman" w:hAnsi="Times New Roman" w:cs="Times New Roman"/>
          <w:color w:val="auto"/>
          <w:sz w:val="28"/>
          <w:szCs w:val="28"/>
          <w:lang w:eastAsia="zh-CN"/>
        </w:rPr>
      </w:pPr>
      <w:r w:rsidRPr="00632303">
        <w:rPr>
          <w:rFonts w:ascii="Times New Roman" w:hAnsi="Times New Roman" w:cs="Times New Roman"/>
          <w:color w:val="auto"/>
          <w:sz w:val="24"/>
          <w:szCs w:val="24"/>
        </w:rPr>
        <w:t xml:space="preserve">The proposed research project seeks to provide a comprehensive solution to </w:t>
      </w:r>
      <w:r w:rsidRPr="00632303">
        <w:rPr>
          <w:rStyle w:val="Strong"/>
          <w:rFonts w:ascii="Times New Roman" w:hAnsi="Times New Roman" w:cs="Times New Roman"/>
          <w:color w:val="auto"/>
          <w:sz w:val="24"/>
          <w:szCs w:val="24"/>
        </w:rPr>
        <w:t>Nigeria’s green-energy financing gap</w:t>
      </w:r>
      <w:r w:rsidRPr="00632303">
        <w:rPr>
          <w:rFonts w:ascii="Times New Roman" w:hAnsi="Times New Roman" w:cs="Times New Roman"/>
          <w:color w:val="auto"/>
          <w:sz w:val="24"/>
          <w:szCs w:val="24"/>
        </w:rPr>
        <w:t xml:space="preserve"> by promoting the adoption of </w:t>
      </w:r>
      <w:r w:rsidRPr="00632303">
        <w:rPr>
          <w:rStyle w:val="Strong"/>
          <w:rFonts w:ascii="Times New Roman" w:hAnsi="Times New Roman" w:cs="Times New Roman"/>
          <w:color w:val="auto"/>
          <w:sz w:val="24"/>
          <w:szCs w:val="24"/>
        </w:rPr>
        <w:t>a Fintech-driven diaspora cooperative model to fund renewable infrastructure</w:t>
      </w:r>
      <w:r w:rsidRPr="00632303">
        <w:rPr>
          <w:rFonts w:ascii="Times New Roman" w:hAnsi="Times New Roman" w:cs="Times New Roman"/>
          <w:color w:val="auto"/>
          <w:sz w:val="24"/>
          <w:szCs w:val="24"/>
        </w:rPr>
        <w:t>, justified by the urgent need for sustainable local financing and timely achievement of the nation’s 2060 net-zero target.</w:t>
      </w:r>
      <w:r w:rsidRPr="00632303">
        <w:rPr>
          <w:rFonts w:ascii="Times New Roman" w:eastAsia="Times New Roman" w:hAnsi="Times New Roman" w:cs="Times New Roman"/>
          <w:color w:val="auto"/>
          <w:sz w:val="24"/>
          <w:szCs w:val="24"/>
          <w:lang w:eastAsia="zh-CN"/>
        </w:rPr>
        <w:t xml:space="preserve"> The justification for this research is multifaceted:</w:t>
      </w:r>
    </w:p>
    <w:p w14:paraId="15ABAF15" w14:textId="77777777" w:rsidR="009E189D" w:rsidRPr="00632303" w:rsidRDefault="009E189D" w:rsidP="009E189D">
      <w:pPr>
        <w:pStyle w:val="NormalWeb"/>
        <w:jc w:val="both"/>
      </w:pPr>
      <w:r w:rsidRPr="00632303">
        <w:t xml:space="preserve">Nigeria’s ambition to achieve </w:t>
      </w:r>
      <w:r w:rsidRPr="00632303">
        <w:rPr>
          <w:rStyle w:val="Strong"/>
          <w:rFonts w:eastAsia="Century Gothic"/>
        </w:rPr>
        <w:t>net-zero carbon emissions by 2060</w:t>
      </w:r>
      <w:r w:rsidRPr="00632303">
        <w:rPr>
          <w:b/>
          <w:bCs/>
        </w:rPr>
        <w:t>,</w:t>
      </w:r>
      <w:r w:rsidRPr="00632303">
        <w:t xml:space="preserve"> as outlined in the </w:t>
      </w:r>
      <w:r w:rsidRPr="00632303">
        <w:rPr>
          <w:rStyle w:val="Strong"/>
          <w:rFonts w:eastAsia="Century Gothic"/>
        </w:rPr>
        <w:t>Energy Transition Plan (ETP)</w:t>
      </w:r>
      <w:r w:rsidRPr="00632303">
        <w:rPr>
          <w:b/>
          <w:bCs/>
        </w:rPr>
        <w:t>,</w:t>
      </w:r>
      <w:r w:rsidRPr="00632303">
        <w:t xml:space="preserve"> faces a </w:t>
      </w:r>
      <w:r w:rsidRPr="00632303">
        <w:rPr>
          <w:rStyle w:val="Strong"/>
          <w:rFonts w:eastAsia="Century Gothic"/>
        </w:rPr>
        <w:t>massive green-energy financing gap</w:t>
      </w:r>
      <w:r w:rsidRPr="00632303">
        <w:rPr>
          <w:rStyle w:val="Strong"/>
        </w:rPr>
        <w:t xml:space="preserve"> </w:t>
      </w:r>
      <w:r w:rsidRPr="00632303">
        <w:t xml:space="preserve">estimated at </w:t>
      </w:r>
      <w:r w:rsidRPr="00632303">
        <w:rPr>
          <w:rStyle w:val="Strong"/>
          <w:rFonts w:eastAsia="Century Gothic"/>
        </w:rPr>
        <w:t>about US $10 billion annually</w:t>
      </w:r>
      <w:r w:rsidRPr="00632303">
        <w:rPr>
          <w:b/>
          <w:bCs/>
        </w:rPr>
        <w:t>.</w:t>
      </w:r>
      <w:r w:rsidRPr="00632303">
        <w:t xml:space="preserve"> Current sources of funding, including government budgets, foreign aid and conventional private investment, are </w:t>
      </w:r>
      <w:r w:rsidRPr="00632303">
        <w:rPr>
          <w:rStyle w:val="Strong"/>
          <w:rFonts w:eastAsia="Century Gothic"/>
        </w:rPr>
        <w:t>inadequate and inconsistent</w:t>
      </w:r>
      <w:r w:rsidRPr="00632303">
        <w:rPr>
          <w:b/>
          <w:bCs/>
        </w:rPr>
        <w:t>,</w:t>
      </w:r>
      <w:r w:rsidRPr="00632303">
        <w:t xml:space="preserve"> leaving critical renewable energy projects underfunded.</w:t>
      </w:r>
    </w:p>
    <w:p w14:paraId="76686522" w14:textId="295AF639" w:rsidR="009E189D" w:rsidRPr="00632303" w:rsidRDefault="009E189D" w:rsidP="009E189D">
      <w:pPr>
        <w:pStyle w:val="NormalWeb"/>
        <w:jc w:val="both"/>
      </w:pPr>
      <w:r w:rsidRPr="00632303">
        <w:t xml:space="preserve">At the same time, </w:t>
      </w:r>
      <w:r w:rsidRPr="00632303">
        <w:rPr>
          <w:rStyle w:val="Strong"/>
          <w:rFonts w:eastAsia="Century Gothic"/>
        </w:rPr>
        <w:t>diaspora remittances to Nigeria exceed US $20 billion every year</w:t>
      </w:r>
      <w:r w:rsidRPr="00632303">
        <w:t xml:space="preserve">, yet these inflows are largely used for </w:t>
      </w:r>
      <w:r w:rsidRPr="00632303">
        <w:rPr>
          <w:rStyle w:val="Strong"/>
          <w:rFonts w:eastAsia="Century Gothic"/>
        </w:rPr>
        <w:t>household consumption</w:t>
      </w:r>
      <w:r w:rsidRPr="00632303">
        <w:t xml:space="preserve"> rather than strategic national development. Without an innovative mechanism to redirect even a fraction of these funds toward green infrastructure, Nigeria risks </w:t>
      </w:r>
      <w:r w:rsidRPr="00632303">
        <w:rPr>
          <w:rStyle w:val="Strong"/>
          <w:rFonts w:eastAsia="Century Gothic"/>
        </w:rPr>
        <w:t>delay in its energy transition</w:t>
      </w:r>
      <w:r w:rsidRPr="00632303">
        <w:rPr>
          <w:b/>
          <w:bCs/>
        </w:rPr>
        <w:t>,</w:t>
      </w:r>
      <w:r w:rsidRPr="00632303">
        <w:t xml:space="preserve"> continued dependence on fossil fuels, and </w:t>
      </w:r>
      <w:r w:rsidRPr="00632303">
        <w:rPr>
          <w:rStyle w:val="Strong"/>
          <w:rFonts w:eastAsia="Century Gothic"/>
        </w:rPr>
        <w:t>missed socio-economic opportunities</w:t>
      </w:r>
      <w:r w:rsidRPr="00632303">
        <w:t xml:space="preserve"> such as job creation, energy security, and improved public health.</w:t>
      </w:r>
    </w:p>
    <w:p w14:paraId="06C3674A" w14:textId="62561126" w:rsidR="009E189D" w:rsidRPr="00632303" w:rsidRDefault="009E189D" w:rsidP="00AB1288">
      <w:pPr>
        <w:pStyle w:val="NormalWeb"/>
        <w:jc w:val="both"/>
      </w:pPr>
      <w:r w:rsidRPr="00632303">
        <w:t xml:space="preserve">The study is therefore justified by the need to </w:t>
      </w:r>
      <w:r w:rsidRPr="00632303">
        <w:rPr>
          <w:rStyle w:val="Strong"/>
          <w:rFonts w:eastAsia="Century Gothic"/>
        </w:rPr>
        <w:t>mobilize an untapped, stable, and locally-rooted source of finance</w:t>
      </w:r>
      <w:r w:rsidRPr="00632303">
        <w:rPr>
          <w:rStyle w:val="Strong"/>
        </w:rPr>
        <w:t xml:space="preserve"> </w:t>
      </w:r>
      <w:r w:rsidRPr="00632303">
        <w:t xml:space="preserve">diaspora remittances through a </w:t>
      </w:r>
      <w:r w:rsidRPr="00632303">
        <w:rPr>
          <w:rStyle w:val="Strong"/>
          <w:rFonts w:eastAsia="Century Gothic"/>
          <w:b w:val="0"/>
          <w:bCs w:val="0"/>
        </w:rPr>
        <w:t>Fintech-enabled cooperative model</w:t>
      </w:r>
      <w:r w:rsidRPr="00632303">
        <w:t xml:space="preserve"> that can provide reliable capital for renewable energy projects. This approach offers a </w:t>
      </w:r>
      <w:r w:rsidRPr="00632303">
        <w:rPr>
          <w:rStyle w:val="Strong"/>
          <w:rFonts w:eastAsia="Century Gothic"/>
        </w:rPr>
        <w:t>sustainable, scalable alternative</w:t>
      </w:r>
      <w:r w:rsidRPr="00632303">
        <w:t xml:space="preserve"> to external borrowing and donor funding, while deepening diaspora engagement in Nigeria’s green development agenda.</w:t>
      </w:r>
    </w:p>
    <w:p w14:paraId="6FDCB0FF" w14:textId="77777777" w:rsidR="00333072" w:rsidRDefault="00333072" w:rsidP="00333072">
      <w:pPr>
        <w:spacing w:after="0"/>
        <w:ind w:left="74"/>
        <w:rPr>
          <w:rFonts w:ascii="Times New Roman" w:hAnsi="Times New Roman" w:cs="Times New Roman"/>
          <w:b/>
          <w:color w:val="FFFFFF"/>
          <w:sz w:val="24"/>
          <w:szCs w:val="24"/>
        </w:rPr>
      </w:pPr>
    </w:p>
    <w:p w14:paraId="007F18FB" w14:textId="62EAEC0C" w:rsidR="00333072" w:rsidRPr="00632303" w:rsidRDefault="009A0F60" w:rsidP="009F5F3F">
      <w:pPr>
        <w:spacing w:after="0"/>
        <w:rPr>
          <w:rFonts w:ascii="Times New Roman" w:eastAsia="Times New Roman" w:hAnsi="Times New Roman" w:cs="Times New Roman"/>
          <w:b/>
          <w:color w:val="auto"/>
          <w:sz w:val="28"/>
          <w:szCs w:val="28"/>
        </w:rPr>
      </w:pPr>
      <w:r w:rsidRPr="00632303">
        <w:rPr>
          <w:rFonts w:ascii="Times New Roman" w:eastAsia="Times New Roman" w:hAnsi="Times New Roman" w:cs="Times New Roman"/>
          <w:b/>
          <w:color w:val="auto"/>
          <w:sz w:val="28"/>
          <w:szCs w:val="28"/>
        </w:rPr>
        <w:t>OBJECTIVES OF THE STUDIES</w:t>
      </w:r>
    </w:p>
    <w:p w14:paraId="749F4267" w14:textId="77777777" w:rsidR="00AB1288" w:rsidRPr="00632303" w:rsidRDefault="00333072" w:rsidP="00AB1288">
      <w:pPr>
        <w:spacing w:after="0" w:line="240" w:lineRule="auto"/>
        <w:rPr>
          <w:rFonts w:ascii="Times New Roman" w:hAnsi="Times New Roman" w:cs="Times New Roman"/>
          <w:b/>
          <w:color w:val="auto"/>
          <w:sz w:val="28"/>
          <w:szCs w:val="28"/>
        </w:rPr>
      </w:pPr>
      <w:r w:rsidRPr="00632303">
        <w:rPr>
          <w:rFonts w:ascii="Times New Roman" w:hAnsi="Times New Roman" w:cs="Times New Roman"/>
          <w:b/>
          <w:color w:val="auto"/>
          <w:sz w:val="28"/>
          <w:szCs w:val="28"/>
        </w:rPr>
        <w:t>Aim</w:t>
      </w:r>
    </w:p>
    <w:p w14:paraId="06D7280F" w14:textId="24087C8F" w:rsidR="007B7C99" w:rsidRPr="00632303" w:rsidRDefault="007B7C99" w:rsidP="00AB1288">
      <w:pPr>
        <w:spacing w:after="0" w:line="240" w:lineRule="auto"/>
        <w:rPr>
          <w:rFonts w:ascii="Times New Roman" w:hAnsi="Times New Roman" w:cs="Times New Roman"/>
          <w:b/>
          <w:color w:val="auto"/>
          <w:sz w:val="24"/>
          <w:szCs w:val="24"/>
        </w:rPr>
      </w:pPr>
      <w:r w:rsidRPr="00632303">
        <w:rPr>
          <w:rFonts w:ascii="Times New Roman" w:eastAsia="Times New Roman" w:hAnsi="Times New Roman" w:cs="Times New Roman"/>
          <w:color w:val="auto"/>
          <w:sz w:val="24"/>
          <w:szCs w:val="24"/>
        </w:rPr>
        <w:t xml:space="preserve">To propose and evaluate an innovative </w:t>
      </w:r>
      <w:r w:rsidRPr="00632303">
        <w:rPr>
          <w:rFonts w:ascii="Times New Roman" w:eastAsia="Century Gothic" w:hAnsi="Times New Roman" w:cs="Times New Roman"/>
          <w:color w:val="auto"/>
          <w:sz w:val="24"/>
          <w:szCs w:val="24"/>
        </w:rPr>
        <w:t>Fintech-driven Diaspora Cooperative financing mechanism</w:t>
      </w:r>
      <w:r w:rsidRPr="00632303">
        <w:rPr>
          <w:rFonts w:ascii="Times New Roman" w:eastAsia="Times New Roman" w:hAnsi="Times New Roman" w:cs="Times New Roman"/>
          <w:color w:val="auto"/>
          <w:sz w:val="24"/>
          <w:szCs w:val="24"/>
        </w:rPr>
        <w:t xml:space="preserve"> capable of mobilizing a portion of Nigeria’s annual diaspora remittances to bridge the country’s </w:t>
      </w:r>
      <w:r w:rsidRPr="00632303">
        <w:rPr>
          <w:rFonts w:ascii="Times New Roman" w:eastAsia="Century Gothic" w:hAnsi="Times New Roman" w:cs="Times New Roman"/>
          <w:color w:val="auto"/>
          <w:sz w:val="24"/>
          <w:szCs w:val="24"/>
        </w:rPr>
        <w:t>green energy</w:t>
      </w:r>
      <w:r w:rsidRPr="00632303">
        <w:rPr>
          <w:rFonts w:ascii="Times New Roman" w:eastAsia="Century Gothic" w:hAnsi="Times New Roman" w:cs="Times New Roman"/>
          <w:b/>
          <w:bCs/>
          <w:color w:val="auto"/>
          <w:sz w:val="24"/>
          <w:szCs w:val="24"/>
        </w:rPr>
        <w:t xml:space="preserve"> </w:t>
      </w:r>
      <w:r w:rsidRPr="00632303">
        <w:rPr>
          <w:rFonts w:ascii="Times New Roman" w:eastAsia="Century Gothic" w:hAnsi="Times New Roman" w:cs="Times New Roman"/>
          <w:color w:val="auto"/>
          <w:sz w:val="24"/>
          <w:szCs w:val="24"/>
        </w:rPr>
        <w:t>financing gap</w:t>
      </w:r>
      <w:r w:rsidRPr="00632303">
        <w:rPr>
          <w:rFonts w:ascii="Times New Roman" w:eastAsia="Times New Roman" w:hAnsi="Times New Roman" w:cs="Times New Roman"/>
          <w:color w:val="auto"/>
          <w:sz w:val="24"/>
          <w:szCs w:val="24"/>
        </w:rPr>
        <w:t xml:space="preserve"> and support the successful implementation of the </w:t>
      </w:r>
      <w:r w:rsidRPr="00632303">
        <w:rPr>
          <w:rFonts w:ascii="Times New Roman" w:eastAsia="Century Gothic" w:hAnsi="Times New Roman" w:cs="Times New Roman"/>
          <w:color w:val="auto"/>
          <w:sz w:val="24"/>
          <w:szCs w:val="24"/>
        </w:rPr>
        <w:t>Energy Transition Plan (ETP)</w:t>
      </w:r>
      <w:r w:rsidRPr="00632303">
        <w:rPr>
          <w:rFonts w:ascii="Times New Roman" w:eastAsia="Times New Roman" w:hAnsi="Times New Roman" w:cs="Times New Roman"/>
          <w:color w:val="auto"/>
          <w:sz w:val="24"/>
          <w:szCs w:val="24"/>
        </w:rPr>
        <w:t xml:space="preserve"> through projects such as the Nigerian Renewable Energy Village (NREV).</w:t>
      </w:r>
    </w:p>
    <w:p w14:paraId="072868CC" w14:textId="77777777" w:rsidR="007B7C99" w:rsidRPr="00632303" w:rsidRDefault="007B7C99" w:rsidP="007B7C99">
      <w:pPr>
        <w:spacing w:before="100" w:beforeAutospacing="1" w:after="100" w:afterAutospacing="1" w:line="240" w:lineRule="auto"/>
        <w:outlineLvl w:val="2"/>
        <w:rPr>
          <w:rFonts w:ascii="Times New Roman" w:eastAsia="Times New Roman" w:hAnsi="Times New Roman" w:cs="Times New Roman"/>
          <w:b/>
          <w:bCs/>
          <w:color w:val="auto"/>
          <w:sz w:val="28"/>
          <w:szCs w:val="28"/>
          <w:lang w:eastAsia="zh-CN"/>
        </w:rPr>
      </w:pPr>
      <w:r w:rsidRPr="00632303">
        <w:rPr>
          <w:rFonts w:ascii="Times New Roman" w:eastAsia="Times New Roman" w:hAnsi="Times New Roman" w:cs="Times New Roman"/>
          <w:b/>
          <w:bCs/>
          <w:color w:val="auto"/>
          <w:sz w:val="28"/>
          <w:szCs w:val="28"/>
          <w:lang w:eastAsia="zh-CN"/>
        </w:rPr>
        <w:t>Objectives of the Study</w:t>
      </w:r>
    </w:p>
    <w:p w14:paraId="34490711" w14:textId="77777777" w:rsidR="007B7C99" w:rsidRPr="00632303" w:rsidRDefault="007B7C99" w:rsidP="007B7C99">
      <w:pPr>
        <w:numPr>
          <w:ilvl w:val="0"/>
          <w:numId w:val="24"/>
        </w:numPr>
        <w:spacing w:before="100" w:beforeAutospacing="1" w:after="100" w:afterAutospacing="1" w:line="240" w:lineRule="auto"/>
        <w:ind w:right="6"/>
        <w:jc w:val="both"/>
        <w:rPr>
          <w:rFonts w:ascii="Times New Roman" w:eastAsia="Times New Roman" w:hAnsi="Times New Roman" w:cs="Times New Roman"/>
          <w:color w:val="auto"/>
          <w:sz w:val="24"/>
          <w:szCs w:val="24"/>
        </w:rPr>
      </w:pPr>
      <w:r w:rsidRPr="00632303">
        <w:rPr>
          <w:rFonts w:ascii="Times New Roman" w:eastAsia="Century Gothic" w:hAnsi="Times New Roman" w:cs="Times New Roman"/>
          <w:b/>
          <w:bCs/>
          <w:color w:val="auto"/>
          <w:sz w:val="24"/>
          <w:szCs w:val="24"/>
        </w:rPr>
        <w:t>To assess</w:t>
      </w:r>
      <w:r w:rsidRPr="00632303">
        <w:rPr>
          <w:rFonts w:ascii="Times New Roman" w:eastAsia="Times New Roman" w:hAnsi="Times New Roman" w:cs="Times New Roman"/>
          <w:color w:val="auto"/>
          <w:sz w:val="24"/>
          <w:szCs w:val="24"/>
        </w:rPr>
        <w:t xml:space="preserve"> Nigeria’s existing green energy financing gap and the limitations of conventional funding sources in achieving the ETP’s net-zero target by 2060.</w:t>
      </w:r>
    </w:p>
    <w:p w14:paraId="70A0F06A" w14:textId="77777777" w:rsidR="007B7C99" w:rsidRPr="00632303" w:rsidRDefault="007B7C99" w:rsidP="007B7C99">
      <w:pPr>
        <w:numPr>
          <w:ilvl w:val="0"/>
          <w:numId w:val="24"/>
        </w:numPr>
        <w:spacing w:before="100" w:beforeAutospacing="1" w:after="100" w:afterAutospacing="1" w:line="240" w:lineRule="auto"/>
        <w:ind w:right="6"/>
        <w:jc w:val="both"/>
        <w:rPr>
          <w:rFonts w:ascii="Times New Roman" w:eastAsia="Times New Roman" w:hAnsi="Times New Roman" w:cs="Times New Roman"/>
          <w:color w:val="auto"/>
          <w:sz w:val="24"/>
          <w:szCs w:val="24"/>
        </w:rPr>
      </w:pPr>
      <w:r w:rsidRPr="00632303">
        <w:rPr>
          <w:rFonts w:ascii="Times New Roman" w:eastAsia="Century Gothic" w:hAnsi="Times New Roman" w:cs="Times New Roman"/>
          <w:b/>
          <w:bCs/>
          <w:color w:val="auto"/>
          <w:sz w:val="24"/>
          <w:szCs w:val="24"/>
        </w:rPr>
        <w:t>To examine</w:t>
      </w:r>
      <w:r w:rsidRPr="00632303">
        <w:rPr>
          <w:rFonts w:ascii="Times New Roman" w:eastAsia="Times New Roman" w:hAnsi="Times New Roman" w:cs="Times New Roman"/>
          <w:color w:val="auto"/>
          <w:sz w:val="24"/>
          <w:szCs w:val="24"/>
        </w:rPr>
        <w:t xml:space="preserve"> the potential of Nigerian diaspora remittances as a sustainable source of capital for renewable energy and green infrastructure development.</w:t>
      </w:r>
    </w:p>
    <w:p w14:paraId="6933F928" w14:textId="77777777" w:rsidR="007B7C99" w:rsidRPr="00632303" w:rsidRDefault="007B7C99" w:rsidP="007B7C99">
      <w:pPr>
        <w:numPr>
          <w:ilvl w:val="0"/>
          <w:numId w:val="24"/>
        </w:numPr>
        <w:spacing w:before="100" w:beforeAutospacing="1" w:after="100" w:afterAutospacing="1" w:line="240" w:lineRule="auto"/>
        <w:ind w:right="6"/>
        <w:jc w:val="both"/>
        <w:rPr>
          <w:rFonts w:ascii="Times New Roman" w:eastAsia="Times New Roman" w:hAnsi="Times New Roman" w:cs="Times New Roman"/>
          <w:color w:val="auto"/>
          <w:sz w:val="24"/>
          <w:szCs w:val="24"/>
        </w:rPr>
      </w:pPr>
      <w:r w:rsidRPr="00632303">
        <w:rPr>
          <w:rFonts w:ascii="Times New Roman" w:eastAsia="Century Gothic" w:hAnsi="Times New Roman" w:cs="Times New Roman"/>
          <w:b/>
          <w:bCs/>
          <w:color w:val="auto"/>
          <w:sz w:val="24"/>
          <w:szCs w:val="24"/>
        </w:rPr>
        <w:t>To design and evaluate</w:t>
      </w:r>
      <w:r w:rsidRPr="00632303">
        <w:rPr>
          <w:rFonts w:ascii="Times New Roman" w:eastAsia="Times New Roman" w:hAnsi="Times New Roman" w:cs="Times New Roman"/>
          <w:color w:val="auto"/>
          <w:sz w:val="24"/>
          <w:szCs w:val="24"/>
        </w:rPr>
        <w:t xml:space="preserve"> a Fintech-driven Diaspora Cooperative model that can capture about 10% of annual remittance inflows and channel the proceeds into green transition projects.</w:t>
      </w:r>
    </w:p>
    <w:p w14:paraId="09EA6E0B" w14:textId="77777777" w:rsidR="007B7C99" w:rsidRPr="00632303" w:rsidRDefault="007B7C99" w:rsidP="007B7C99">
      <w:pPr>
        <w:numPr>
          <w:ilvl w:val="0"/>
          <w:numId w:val="24"/>
        </w:numPr>
        <w:spacing w:before="100" w:beforeAutospacing="1" w:after="100" w:afterAutospacing="1" w:line="240" w:lineRule="auto"/>
        <w:ind w:right="6"/>
        <w:jc w:val="both"/>
        <w:rPr>
          <w:rFonts w:ascii="Times New Roman" w:eastAsia="Times New Roman" w:hAnsi="Times New Roman" w:cs="Times New Roman"/>
          <w:color w:val="auto"/>
          <w:sz w:val="24"/>
          <w:szCs w:val="24"/>
        </w:rPr>
      </w:pPr>
      <w:r w:rsidRPr="00632303">
        <w:rPr>
          <w:rFonts w:ascii="Times New Roman" w:eastAsia="Century Gothic" w:hAnsi="Times New Roman" w:cs="Times New Roman"/>
          <w:b/>
          <w:bCs/>
          <w:color w:val="auto"/>
          <w:sz w:val="24"/>
          <w:szCs w:val="24"/>
        </w:rPr>
        <w:t>To use the Nigerian Renewable Energy Village (NREV) as a case study</w:t>
      </w:r>
      <w:r w:rsidRPr="00632303">
        <w:rPr>
          <w:rFonts w:ascii="Times New Roman" w:eastAsia="Times New Roman" w:hAnsi="Times New Roman" w:cs="Times New Roman"/>
          <w:color w:val="auto"/>
          <w:sz w:val="24"/>
          <w:szCs w:val="24"/>
        </w:rPr>
        <w:t xml:space="preserve"> to demonstrate the operational framework, financial viability, and socio-economic impacts of the proposed financing model.</w:t>
      </w:r>
    </w:p>
    <w:p w14:paraId="018C4ECD" w14:textId="77777777" w:rsidR="007B7C99" w:rsidRPr="00632303" w:rsidRDefault="007B7C99" w:rsidP="007B7C99">
      <w:pPr>
        <w:numPr>
          <w:ilvl w:val="0"/>
          <w:numId w:val="24"/>
        </w:numPr>
        <w:spacing w:before="100" w:beforeAutospacing="1" w:after="100" w:afterAutospacing="1" w:line="240" w:lineRule="auto"/>
        <w:ind w:right="6"/>
        <w:jc w:val="both"/>
        <w:rPr>
          <w:rFonts w:ascii="Times New Roman" w:eastAsia="Times New Roman" w:hAnsi="Times New Roman" w:cs="Times New Roman"/>
          <w:color w:val="auto"/>
          <w:sz w:val="24"/>
          <w:szCs w:val="24"/>
        </w:rPr>
      </w:pPr>
      <w:r w:rsidRPr="00632303">
        <w:rPr>
          <w:rFonts w:ascii="Times New Roman" w:eastAsia="Century Gothic" w:hAnsi="Times New Roman" w:cs="Times New Roman"/>
          <w:b/>
          <w:bCs/>
          <w:color w:val="auto"/>
          <w:sz w:val="24"/>
          <w:szCs w:val="24"/>
        </w:rPr>
        <w:lastRenderedPageBreak/>
        <w:t>To provide policy recommendations</w:t>
      </w:r>
      <w:r w:rsidRPr="00632303">
        <w:rPr>
          <w:rFonts w:ascii="Times New Roman" w:eastAsia="Times New Roman" w:hAnsi="Times New Roman" w:cs="Times New Roman"/>
          <w:color w:val="auto"/>
          <w:sz w:val="24"/>
          <w:szCs w:val="24"/>
        </w:rPr>
        <w:t xml:space="preserve"> that will enable government and stakeholders to create the regulatory, financial, and institutional support needed for successful adoption and scalability of the model.</w:t>
      </w:r>
    </w:p>
    <w:p w14:paraId="332ED8ED" w14:textId="77777777" w:rsidR="00333072" w:rsidRDefault="00333072" w:rsidP="00333072">
      <w:pPr>
        <w:spacing w:after="0"/>
        <w:ind w:left="74"/>
        <w:rPr>
          <w:rFonts w:ascii="Times New Roman" w:eastAsia="Times New Roman" w:hAnsi="Times New Roman" w:cs="Times New Roman"/>
          <w:b/>
          <w:color w:val="auto"/>
          <w:sz w:val="28"/>
          <w:szCs w:val="28"/>
        </w:rPr>
      </w:pPr>
      <w:r>
        <w:rPr>
          <w:rFonts w:ascii="Times New Roman" w:hAnsi="Times New Roman" w:cs="Times New Roman"/>
          <w:b/>
          <w:color w:val="FFFFFF"/>
          <w:sz w:val="24"/>
          <w:szCs w:val="24"/>
        </w:rPr>
        <w:t xml:space="preserve"> e</w:t>
      </w:r>
    </w:p>
    <w:p w14:paraId="17C44864" w14:textId="0837693D" w:rsidR="00FE516A" w:rsidRDefault="00333072" w:rsidP="009A0F60">
      <w:pPr>
        <w:spacing w:after="0"/>
        <w:ind w:left="74"/>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LITERATURE REVIEW</w:t>
      </w:r>
    </w:p>
    <w:p w14:paraId="29617A70" w14:textId="77777777" w:rsidR="00484630" w:rsidRDefault="00484630" w:rsidP="009F5F3F">
      <w:pPr>
        <w:pStyle w:val="NormalWeb"/>
        <w:spacing w:before="0" w:beforeAutospacing="0" w:after="0" w:afterAutospacing="0"/>
        <w:jc w:val="both"/>
        <w:rPr>
          <w:rFonts w:eastAsia="Calibri"/>
          <w:color w:val="000000"/>
        </w:rPr>
      </w:pPr>
      <w:r w:rsidRPr="00484630">
        <w:rPr>
          <w:rFonts w:eastAsia="Calibri"/>
          <w:color w:val="000000"/>
        </w:rPr>
        <w:t xml:space="preserve">The objectives of a green transition in African economies are inextricably linked to the perennial challenge of </w:t>
      </w:r>
      <w:proofErr w:type="spellStart"/>
      <w:r w:rsidRPr="00484630">
        <w:rPr>
          <w:rFonts w:eastAsia="Calibri"/>
          <w:color w:val="000000"/>
        </w:rPr>
        <w:t>mobilising</w:t>
      </w:r>
      <w:proofErr w:type="spellEnd"/>
      <w:r w:rsidRPr="00484630">
        <w:rPr>
          <w:rFonts w:eastAsia="Calibri"/>
          <w:color w:val="000000"/>
        </w:rPr>
        <w:t xml:space="preserve"> sufficient capital, a domain where conventional financing mechanisms have proven inadequate. This literature review </w:t>
      </w:r>
      <w:proofErr w:type="spellStart"/>
      <w:r w:rsidRPr="00484630">
        <w:rPr>
          <w:rFonts w:eastAsia="Calibri"/>
          <w:color w:val="000000"/>
        </w:rPr>
        <w:t>synthesises</w:t>
      </w:r>
      <w:proofErr w:type="spellEnd"/>
      <w:r w:rsidRPr="00484630">
        <w:rPr>
          <w:rFonts w:eastAsia="Calibri"/>
          <w:color w:val="000000"/>
        </w:rPr>
        <w:t xml:space="preserve"> existing scholarship across four critical domains: the landscape of green financing in developing nations, the transformative potential of diaspora remittances as development finance, the disruptive role of financial technology (Fintech), and the participatory framework of cooperative models. By examining the intersections and gaps within these fields, this review establishes the theoretical foundation for proposing an innovative, integrated Fintech-Driven Diaspora Cooperative model to finance Nigeria's renewable energy infrastructure. </w:t>
      </w:r>
    </w:p>
    <w:p w14:paraId="3401FF5E" w14:textId="77777777" w:rsidR="00484630" w:rsidRDefault="00484630" w:rsidP="009F5F3F">
      <w:pPr>
        <w:pStyle w:val="NormalWeb"/>
        <w:spacing w:before="0" w:beforeAutospacing="0" w:after="0" w:afterAutospacing="0"/>
        <w:jc w:val="both"/>
        <w:rPr>
          <w:rFonts w:eastAsia="Calibri"/>
          <w:color w:val="000000"/>
        </w:rPr>
      </w:pPr>
    </w:p>
    <w:p w14:paraId="6B648D30" w14:textId="48EB1E0E" w:rsidR="00484630" w:rsidRDefault="00484630" w:rsidP="009F5F3F">
      <w:pPr>
        <w:pStyle w:val="NormalWeb"/>
        <w:spacing w:before="0" w:beforeAutospacing="0" w:after="0" w:afterAutospacing="0"/>
        <w:jc w:val="both"/>
        <w:rPr>
          <w:rFonts w:eastAsia="Calibri"/>
          <w:color w:val="000000"/>
        </w:rPr>
      </w:pPr>
      <w:r w:rsidRPr="00844E58">
        <w:rPr>
          <w:rFonts w:eastAsia="Calibri"/>
          <w:b/>
          <w:bCs/>
          <w:color w:val="000000"/>
        </w:rPr>
        <w:t>The Green Financing Conundrum in Developing Economies</w:t>
      </w:r>
      <w:r>
        <w:rPr>
          <w:rFonts w:eastAsia="Calibri"/>
          <w:color w:val="000000"/>
        </w:rPr>
        <w:t>:</w:t>
      </w:r>
      <w:r w:rsidRPr="00484630">
        <w:rPr>
          <w:rFonts w:eastAsia="Calibri"/>
          <w:color w:val="000000"/>
        </w:rPr>
        <w:t xml:space="preserve"> A substantial body of literature confirms that financing remains the most significant barrier to achieving climate and sustainable development goals in the Global South (Agusto &amp; Co., 2025; Climate Policy Initiative [CPI], 2024). In response, mechanisms such as green bonds, blended finance, and </w:t>
      </w:r>
      <w:proofErr w:type="spellStart"/>
      <w:r w:rsidRPr="00484630">
        <w:rPr>
          <w:rFonts w:eastAsia="Calibri"/>
          <w:color w:val="000000"/>
        </w:rPr>
        <w:t>publicprivate</w:t>
      </w:r>
      <w:proofErr w:type="spellEnd"/>
      <w:r w:rsidRPr="00484630">
        <w:rPr>
          <w:rFonts w:eastAsia="Calibri"/>
          <w:color w:val="000000"/>
        </w:rPr>
        <w:t xml:space="preserve"> partnerships (PPPs) have emerged as critical tools. Nigeria’s issuance of Africa’s first sovereign green bond in 2017 exemplifies this trend, demonstrating a nascent institutional willingness to leverage capital markets for sustainable infrastructure (Okafor &amp; Adeola, 2024). </w:t>
      </w:r>
    </w:p>
    <w:p w14:paraId="309C3509" w14:textId="77777777" w:rsidR="00484630" w:rsidRDefault="00484630" w:rsidP="009F5F3F">
      <w:pPr>
        <w:pStyle w:val="NormalWeb"/>
        <w:spacing w:before="0" w:beforeAutospacing="0" w:after="0" w:afterAutospacing="0"/>
        <w:jc w:val="both"/>
        <w:rPr>
          <w:rFonts w:eastAsia="Calibri"/>
          <w:color w:val="000000"/>
        </w:rPr>
      </w:pPr>
      <w:r w:rsidRPr="00484630">
        <w:rPr>
          <w:rFonts w:eastAsia="Calibri"/>
          <w:color w:val="000000"/>
        </w:rPr>
        <w:t xml:space="preserve">However, scholarly consensus indicates that these mechanisms face profound challenges in the Nigerian context and across much of </w:t>
      </w:r>
      <w:proofErr w:type="spellStart"/>
      <w:r w:rsidRPr="00484630">
        <w:rPr>
          <w:rFonts w:eastAsia="Calibri"/>
          <w:color w:val="000000"/>
        </w:rPr>
        <w:t>SubSaharan</w:t>
      </w:r>
      <w:proofErr w:type="spellEnd"/>
      <w:r w:rsidRPr="00484630">
        <w:rPr>
          <w:rFonts w:eastAsia="Calibri"/>
          <w:color w:val="000000"/>
        </w:rPr>
        <w:t xml:space="preserve"> Africa. These include a limited pipeline of bankable projects, regulatory instability, currency exchange risks, and persistent investor </w:t>
      </w:r>
      <w:proofErr w:type="spellStart"/>
      <w:r w:rsidRPr="00484630">
        <w:rPr>
          <w:rFonts w:eastAsia="Calibri"/>
          <w:color w:val="000000"/>
        </w:rPr>
        <w:t>scepticism</w:t>
      </w:r>
      <w:proofErr w:type="spellEnd"/>
      <w:r w:rsidRPr="00484630">
        <w:rPr>
          <w:rFonts w:eastAsia="Calibri"/>
          <w:color w:val="000000"/>
        </w:rPr>
        <w:t xml:space="preserve"> stemming from governance concerns (World Bank, 2024; Akinyemi &amp; </w:t>
      </w:r>
      <w:proofErr w:type="spellStart"/>
      <w:r w:rsidRPr="00484630">
        <w:rPr>
          <w:rFonts w:eastAsia="Calibri"/>
          <w:color w:val="000000"/>
        </w:rPr>
        <w:t>Alege</w:t>
      </w:r>
      <w:proofErr w:type="spellEnd"/>
      <w:r w:rsidRPr="00484630">
        <w:rPr>
          <w:rFonts w:eastAsia="Calibri"/>
          <w:color w:val="000000"/>
        </w:rPr>
        <w:t xml:space="preserve">, 2023). Consequently, whilst de-risking investment in the green transition space sounds practical, Africa remains over-reliant on multilateral agencies and development banks, failing to develop innovative, </w:t>
      </w:r>
      <w:proofErr w:type="spellStart"/>
      <w:r w:rsidRPr="00484630">
        <w:rPr>
          <w:rFonts w:eastAsia="Calibri"/>
          <w:color w:val="000000"/>
        </w:rPr>
        <w:t>localised</w:t>
      </w:r>
      <w:proofErr w:type="spellEnd"/>
      <w:r w:rsidRPr="00484630">
        <w:rPr>
          <w:rFonts w:eastAsia="Calibri"/>
          <w:color w:val="000000"/>
        </w:rPr>
        <w:t xml:space="preserve"> structures that can attract capital at the scale required to meet national ambitions, such as those outlined in Nigeria’s Energy Transition Plan (ETP) (African Development Bank [AfDB], 2023). This gap between the availability of traditional green finance and the monumental need underscores the necessity for alternative, scalable models. </w:t>
      </w:r>
    </w:p>
    <w:p w14:paraId="21A821FE" w14:textId="77777777" w:rsidR="00484630" w:rsidRDefault="00484630" w:rsidP="009F5F3F">
      <w:pPr>
        <w:pStyle w:val="NormalWeb"/>
        <w:spacing w:before="0" w:beforeAutospacing="0" w:after="0" w:afterAutospacing="0"/>
        <w:jc w:val="both"/>
        <w:rPr>
          <w:rFonts w:eastAsia="Calibri"/>
          <w:color w:val="000000"/>
        </w:rPr>
      </w:pPr>
      <w:r w:rsidRPr="00484630">
        <w:rPr>
          <w:rFonts w:eastAsia="Calibri"/>
          <w:color w:val="000000"/>
        </w:rPr>
        <w:t xml:space="preserve">For instance, Nigeria has issued three green bonds since 2017, </w:t>
      </w:r>
      <w:proofErr w:type="spellStart"/>
      <w:r w:rsidRPr="00484630">
        <w:rPr>
          <w:rFonts w:eastAsia="Calibri"/>
          <w:color w:val="000000"/>
        </w:rPr>
        <w:t>totalling</w:t>
      </w:r>
      <w:proofErr w:type="spellEnd"/>
      <w:r w:rsidRPr="00484630">
        <w:rPr>
          <w:rFonts w:eastAsia="Calibri"/>
          <w:color w:val="000000"/>
        </w:rPr>
        <w:t xml:space="preserve"> approximately US$50 million (index-linked to current exchange rates). This amount is negligible compared to the investments Nigeria actually requires for green infrastructure, particularly given the prevailing US$10 billion annual funding gap. Whilst the second and third green bonds have been hailed for their positive impact—reducing carbon emissions, creating jobs, and improving livelihoods (DMO, 2025)—some critics have expressed </w:t>
      </w:r>
      <w:proofErr w:type="spellStart"/>
      <w:r w:rsidRPr="00484630">
        <w:rPr>
          <w:rFonts w:eastAsia="Calibri"/>
          <w:color w:val="000000"/>
        </w:rPr>
        <w:t>scepticism</w:t>
      </w:r>
      <w:proofErr w:type="spellEnd"/>
      <w:r w:rsidRPr="00484630">
        <w:rPr>
          <w:rFonts w:eastAsia="Calibri"/>
          <w:color w:val="000000"/>
        </w:rPr>
        <w:t>. They highlight how infrastructure development projects in Nigeria often remain obscure, with low transparency and accountability, community exclusion, and an absence of sustainability checks and scalability mechanisms (Brookings Institute, 2022).</w:t>
      </w:r>
    </w:p>
    <w:p w14:paraId="1105A534" w14:textId="209F7DC1" w:rsidR="00484630" w:rsidRDefault="00484630" w:rsidP="009F5F3F">
      <w:pPr>
        <w:pStyle w:val="NormalWeb"/>
        <w:spacing w:before="0" w:beforeAutospacing="0" w:after="0" w:afterAutospacing="0"/>
        <w:jc w:val="both"/>
        <w:rPr>
          <w:rFonts w:eastAsia="Calibri"/>
          <w:color w:val="000000"/>
        </w:rPr>
      </w:pPr>
      <w:r w:rsidRPr="00484630">
        <w:rPr>
          <w:rFonts w:eastAsia="Calibri"/>
          <w:color w:val="000000"/>
        </w:rPr>
        <w:t xml:space="preserve"> </w:t>
      </w:r>
    </w:p>
    <w:p w14:paraId="4F3A38F3" w14:textId="559879D9" w:rsidR="00C31A2A" w:rsidRDefault="00484630" w:rsidP="009F5F3F">
      <w:pPr>
        <w:pStyle w:val="NormalWeb"/>
        <w:spacing w:before="0" w:beforeAutospacing="0" w:after="0" w:afterAutospacing="0"/>
        <w:jc w:val="both"/>
        <w:rPr>
          <w:rFonts w:eastAsia="Calibri"/>
          <w:color w:val="000000"/>
        </w:rPr>
      </w:pPr>
      <w:r w:rsidRPr="00844E58">
        <w:rPr>
          <w:rFonts w:eastAsia="Calibri"/>
          <w:b/>
          <w:bCs/>
          <w:color w:val="000000"/>
        </w:rPr>
        <w:t>Diaspora Remittances: From Consumption to Strategic Development</w:t>
      </w:r>
      <w:r w:rsidRPr="00484630">
        <w:rPr>
          <w:rFonts w:eastAsia="Calibri"/>
          <w:color w:val="000000"/>
        </w:rPr>
        <w:t xml:space="preserve"> </w:t>
      </w:r>
    </w:p>
    <w:p w14:paraId="460E5D33" w14:textId="77777777" w:rsidR="00C31A2A" w:rsidRDefault="00484630" w:rsidP="009F5F3F">
      <w:pPr>
        <w:pStyle w:val="NormalWeb"/>
        <w:spacing w:before="0" w:beforeAutospacing="0" w:after="0" w:afterAutospacing="0"/>
        <w:jc w:val="both"/>
        <w:rPr>
          <w:rFonts w:eastAsia="Calibri"/>
          <w:color w:val="000000"/>
        </w:rPr>
      </w:pPr>
      <w:r w:rsidRPr="00C31A2A">
        <w:rPr>
          <w:rFonts w:eastAsia="Calibri"/>
          <w:b/>
          <w:bCs/>
          <w:color w:val="000000"/>
        </w:rPr>
        <w:t>Finance</w:t>
      </w:r>
      <w:r w:rsidRPr="00484630">
        <w:rPr>
          <w:rFonts w:eastAsia="Calibri"/>
          <w:color w:val="000000"/>
        </w:rPr>
        <w:t xml:space="preserve"> </w:t>
      </w:r>
    </w:p>
    <w:p w14:paraId="7C27E7B2" w14:textId="77777777" w:rsidR="00C31A2A" w:rsidRDefault="00484630" w:rsidP="009F5F3F">
      <w:pPr>
        <w:pStyle w:val="NormalWeb"/>
        <w:spacing w:before="0" w:beforeAutospacing="0" w:after="0" w:afterAutospacing="0"/>
        <w:jc w:val="both"/>
        <w:rPr>
          <w:rFonts w:eastAsia="Calibri"/>
          <w:color w:val="000000"/>
        </w:rPr>
      </w:pPr>
      <w:r w:rsidRPr="00484630">
        <w:rPr>
          <w:rFonts w:eastAsia="Calibri"/>
          <w:color w:val="000000"/>
        </w:rPr>
        <w:t>Globally, diaspora remittances constitute a vital, resilient, and often countercyclical flow of capital into developing nations. The World Bank (2023) consistently highlights that these flows far exceed official development assistance and, in many countries, rival foreign direct investment. Nigeria is a prime example, with annual remittance inflows consistently exceeding US$20 billion and representing approximately 4 per cent of GDP (Central Bank of Nigeria [CBN], 2024).</w:t>
      </w:r>
    </w:p>
    <w:p w14:paraId="248F01F3" w14:textId="77777777" w:rsidR="00C31A2A" w:rsidRDefault="00484630" w:rsidP="009F5F3F">
      <w:pPr>
        <w:pStyle w:val="NormalWeb"/>
        <w:spacing w:before="0" w:beforeAutospacing="0" w:after="0" w:afterAutospacing="0"/>
        <w:jc w:val="both"/>
        <w:rPr>
          <w:rFonts w:eastAsia="Calibri"/>
          <w:color w:val="000000"/>
        </w:rPr>
      </w:pPr>
      <w:r w:rsidRPr="00484630">
        <w:rPr>
          <w:rFonts w:eastAsia="Calibri"/>
          <w:color w:val="000000"/>
        </w:rPr>
        <w:t xml:space="preserve"> However, the prevailing literature notes a critical inefficiency: the majority of these funds are allocated to immediate consumption and familial support rather than productive, job-creating investment (Musa &amp; Ibrahim, 2022). Scholars have long argued for the strategic </w:t>
      </w:r>
      <w:proofErr w:type="spellStart"/>
      <w:r w:rsidRPr="00484630">
        <w:rPr>
          <w:rFonts w:eastAsia="Calibri"/>
          <w:color w:val="000000"/>
        </w:rPr>
        <w:t>channelling</w:t>
      </w:r>
      <w:proofErr w:type="spellEnd"/>
      <w:r w:rsidRPr="00484630">
        <w:rPr>
          <w:rFonts w:eastAsia="Calibri"/>
          <w:color w:val="000000"/>
        </w:rPr>
        <w:t xml:space="preserve"> of a fraction of these flows into national development priorities. Proposed instruments include diaspora bonds, which have seen success in countries like Israel and India, and targeted investment funds (Akinyemi &amp; </w:t>
      </w:r>
      <w:proofErr w:type="spellStart"/>
      <w:r w:rsidRPr="00484630">
        <w:rPr>
          <w:rFonts w:eastAsia="Calibri"/>
          <w:color w:val="000000"/>
        </w:rPr>
        <w:t>Alege</w:t>
      </w:r>
      <w:proofErr w:type="spellEnd"/>
      <w:r w:rsidRPr="00484630">
        <w:rPr>
          <w:rFonts w:eastAsia="Calibri"/>
          <w:color w:val="000000"/>
        </w:rPr>
        <w:t xml:space="preserve">, 2023). The research suggests that the diaspora’s motivation to invest is not purely financial; it is also driven by emotional connections, a desire for tangible impact in their countries </w:t>
      </w:r>
      <w:r w:rsidRPr="00484630">
        <w:rPr>
          <w:rFonts w:eastAsia="Calibri"/>
          <w:color w:val="000000"/>
        </w:rPr>
        <w:lastRenderedPageBreak/>
        <w:t xml:space="preserve">of origin, and the pursuit of social returns alongside financial ones. Despite this </w:t>
      </w:r>
      <w:proofErr w:type="spellStart"/>
      <w:r w:rsidRPr="00484630">
        <w:rPr>
          <w:rFonts w:eastAsia="Calibri"/>
          <w:color w:val="000000"/>
        </w:rPr>
        <w:t>recognised</w:t>
      </w:r>
      <w:proofErr w:type="spellEnd"/>
      <w:r w:rsidRPr="00484630">
        <w:rPr>
          <w:rFonts w:eastAsia="Calibri"/>
          <w:color w:val="000000"/>
        </w:rPr>
        <w:t xml:space="preserve"> potential, there is a notable deficiency in empirical studies examining the practical mechanisms for effectively </w:t>
      </w:r>
      <w:proofErr w:type="spellStart"/>
      <w:r w:rsidRPr="00484630">
        <w:rPr>
          <w:rFonts w:eastAsia="Calibri"/>
          <w:color w:val="000000"/>
        </w:rPr>
        <w:t>mobilising</w:t>
      </w:r>
      <w:proofErr w:type="spellEnd"/>
      <w:r w:rsidRPr="00484630">
        <w:rPr>
          <w:rFonts w:eastAsia="Calibri"/>
          <w:color w:val="000000"/>
        </w:rPr>
        <w:t xml:space="preserve"> remittances for specific, capital-intensive sectors like renewable energy infrastructure in Nigeria. Nigeria has </w:t>
      </w:r>
      <w:proofErr w:type="spellStart"/>
      <w:r w:rsidRPr="00484630">
        <w:rPr>
          <w:rFonts w:eastAsia="Calibri"/>
          <w:color w:val="000000"/>
        </w:rPr>
        <w:t>recognised</w:t>
      </w:r>
      <w:proofErr w:type="spellEnd"/>
      <w:r w:rsidRPr="00484630">
        <w:rPr>
          <w:rFonts w:eastAsia="Calibri"/>
          <w:color w:val="000000"/>
        </w:rPr>
        <w:t xml:space="preserve"> the importance of tapping diaspora capital for investment, as evidenced by the US$300 million diaspora bond issued in 2017.</w:t>
      </w:r>
    </w:p>
    <w:p w14:paraId="529DF2DF" w14:textId="77777777" w:rsidR="00C31A2A" w:rsidRDefault="00C31A2A" w:rsidP="009F5F3F">
      <w:pPr>
        <w:pStyle w:val="NormalWeb"/>
        <w:spacing w:before="0" w:beforeAutospacing="0" w:after="0" w:afterAutospacing="0"/>
        <w:jc w:val="both"/>
        <w:rPr>
          <w:rFonts w:eastAsia="Calibri"/>
          <w:color w:val="000000"/>
        </w:rPr>
      </w:pPr>
    </w:p>
    <w:p w14:paraId="13DFE064" w14:textId="3718A41E" w:rsidR="00E11B70" w:rsidRDefault="00484630" w:rsidP="009F5F3F">
      <w:pPr>
        <w:pStyle w:val="NormalWeb"/>
        <w:spacing w:before="0" w:beforeAutospacing="0" w:after="0" w:afterAutospacing="0"/>
        <w:jc w:val="both"/>
        <w:rPr>
          <w:rFonts w:eastAsia="Calibri"/>
          <w:color w:val="000000"/>
        </w:rPr>
      </w:pPr>
      <w:r w:rsidRPr="00484630">
        <w:rPr>
          <w:rFonts w:eastAsia="Calibri"/>
          <w:color w:val="000000"/>
        </w:rPr>
        <w:t xml:space="preserve"> </w:t>
      </w:r>
      <w:r w:rsidRPr="00844E58">
        <w:rPr>
          <w:rFonts w:eastAsia="Calibri"/>
          <w:b/>
          <w:bCs/>
          <w:color w:val="000000"/>
        </w:rPr>
        <w:t>The Fintech Revolution and Participatory Cooperative Models</w:t>
      </w:r>
      <w:r w:rsidR="00E11B70" w:rsidRPr="00844E58">
        <w:rPr>
          <w:rFonts w:eastAsia="Calibri"/>
          <w:b/>
          <w:bCs/>
          <w:color w:val="000000"/>
        </w:rPr>
        <w:t>:</w:t>
      </w:r>
    </w:p>
    <w:p w14:paraId="1701597B" w14:textId="77777777" w:rsidR="00E11B70" w:rsidRDefault="00484630" w:rsidP="009F5F3F">
      <w:pPr>
        <w:pStyle w:val="NormalWeb"/>
        <w:spacing w:before="0" w:beforeAutospacing="0" w:after="0" w:afterAutospacing="0"/>
        <w:jc w:val="both"/>
        <w:rPr>
          <w:rFonts w:eastAsia="Calibri"/>
          <w:color w:val="000000"/>
        </w:rPr>
      </w:pPr>
      <w:r w:rsidRPr="00484630">
        <w:rPr>
          <w:rFonts w:eastAsia="Calibri"/>
          <w:color w:val="000000"/>
        </w:rPr>
        <w:t xml:space="preserve"> The rise of financial technology has fundamentally altered the landscape of financial inclusion and capital </w:t>
      </w:r>
      <w:proofErr w:type="spellStart"/>
      <w:r w:rsidRPr="00484630">
        <w:rPr>
          <w:rFonts w:eastAsia="Calibri"/>
          <w:color w:val="000000"/>
        </w:rPr>
        <w:t>mobilisation</w:t>
      </w:r>
      <w:proofErr w:type="spellEnd"/>
      <w:r w:rsidRPr="00484630">
        <w:rPr>
          <w:rFonts w:eastAsia="Calibri"/>
          <w:color w:val="000000"/>
        </w:rPr>
        <w:t xml:space="preserve">. Fintech platforms lower transaction costs, enhance transparency through technologies like blockchain, and facilitate seamless cross-border payments, thereby addressing key barriers that have historically plagued development finance (Okafor &amp; Adeola, 2024). In Africa, the success of mobile money platforms like M-Pesa in Kenya illustrates the power of technology to unlock economic participation. </w:t>
      </w:r>
    </w:p>
    <w:p w14:paraId="13289351" w14:textId="77777777" w:rsidR="00E11B70" w:rsidRDefault="00484630" w:rsidP="009F5F3F">
      <w:pPr>
        <w:pStyle w:val="NormalWeb"/>
        <w:spacing w:before="0" w:beforeAutospacing="0" w:after="0" w:afterAutospacing="0"/>
        <w:jc w:val="both"/>
        <w:rPr>
          <w:rFonts w:eastAsia="Calibri"/>
          <w:color w:val="000000"/>
        </w:rPr>
      </w:pPr>
      <w:r w:rsidRPr="00484630">
        <w:rPr>
          <w:rFonts w:eastAsia="Calibri"/>
          <w:color w:val="000000"/>
        </w:rPr>
        <w:t>Concurrently, cooperative models</w:t>
      </w:r>
      <w:r w:rsidR="00E11B70">
        <w:rPr>
          <w:rFonts w:eastAsia="Calibri"/>
          <w:color w:val="000000"/>
        </w:rPr>
        <w:t xml:space="preserve"> </w:t>
      </w:r>
      <w:r w:rsidRPr="00484630">
        <w:rPr>
          <w:rFonts w:eastAsia="Calibri"/>
          <w:color w:val="000000"/>
        </w:rPr>
        <w:t>rooted in principles of member ownership, democratic governance, and profit-sharing</w:t>
      </w:r>
      <w:r w:rsidR="00E11B70">
        <w:rPr>
          <w:rFonts w:eastAsia="Calibri"/>
          <w:color w:val="000000"/>
        </w:rPr>
        <w:t xml:space="preserve"> </w:t>
      </w:r>
      <w:r w:rsidRPr="00484630">
        <w:rPr>
          <w:rFonts w:eastAsia="Calibri"/>
          <w:color w:val="000000"/>
        </w:rPr>
        <w:t xml:space="preserve">have a proven track record in community development, particularly in agriculture and microfinance. The academic literature posits that cooperatives foster high levels of trust and engagement by aligning the interests of investors with those of the community (Sustainable Energy for All, 2022). However, the application of these models in the renewable energy sector, particularly at a scale capable of funding national infrastructure projects, remains underexplored. </w:t>
      </w:r>
    </w:p>
    <w:p w14:paraId="4FDCF2C5" w14:textId="77777777" w:rsidR="00E11B70" w:rsidRDefault="00E11B70" w:rsidP="009F5F3F">
      <w:pPr>
        <w:pStyle w:val="NormalWeb"/>
        <w:spacing w:before="0" w:beforeAutospacing="0" w:after="0" w:afterAutospacing="0"/>
        <w:jc w:val="both"/>
        <w:rPr>
          <w:rFonts w:eastAsia="Calibri"/>
          <w:color w:val="000000"/>
        </w:rPr>
      </w:pPr>
    </w:p>
    <w:p w14:paraId="533CA4E4" w14:textId="760BD5E8" w:rsidR="00E11B70" w:rsidRDefault="00484630" w:rsidP="009F5F3F">
      <w:pPr>
        <w:pStyle w:val="NormalWeb"/>
        <w:spacing w:before="0" w:beforeAutospacing="0" w:after="0" w:afterAutospacing="0"/>
        <w:jc w:val="both"/>
        <w:rPr>
          <w:rFonts w:eastAsia="Calibri"/>
          <w:color w:val="000000"/>
        </w:rPr>
      </w:pPr>
      <w:proofErr w:type="spellStart"/>
      <w:r w:rsidRPr="00844E58">
        <w:rPr>
          <w:rFonts w:eastAsia="Calibri"/>
          <w:b/>
          <w:bCs/>
          <w:color w:val="000000"/>
        </w:rPr>
        <w:t>Synthesising</w:t>
      </w:r>
      <w:proofErr w:type="spellEnd"/>
      <w:r w:rsidRPr="00844E58">
        <w:rPr>
          <w:rFonts w:eastAsia="Calibri"/>
          <w:b/>
          <w:bCs/>
          <w:color w:val="000000"/>
        </w:rPr>
        <w:t xml:space="preserve"> the Gaps and Proposing a Novel Integration</w:t>
      </w:r>
      <w:r w:rsidR="00E11B70" w:rsidRPr="00844E58">
        <w:rPr>
          <w:rFonts w:eastAsia="Calibri"/>
          <w:b/>
          <w:bCs/>
          <w:color w:val="000000"/>
        </w:rPr>
        <w:t>:</w:t>
      </w:r>
    </w:p>
    <w:p w14:paraId="74358AC0" w14:textId="77777777" w:rsidR="00E11B70" w:rsidRDefault="00484630" w:rsidP="009F5F3F">
      <w:pPr>
        <w:pStyle w:val="NormalWeb"/>
        <w:spacing w:before="0" w:beforeAutospacing="0" w:after="0" w:afterAutospacing="0"/>
        <w:jc w:val="both"/>
        <w:rPr>
          <w:rFonts w:eastAsia="Calibri"/>
          <w:color w:val="000000"/>
        </w:rPr>
      </w:pPr>
      <w:r w:rsidRPr="00484630">
        <w:rPr>
          <w:rFonts w:eastAsia="Calibri"/>
          <w:color w:val="000000"/>
        </w:rPr>
        <w:t xml:space="preserve"> Whilst the domains of green finance, diaspora remittances, Fintech, and cooperatives are well-studied in isolation, there is a critical gap in the literature regarding their integration. Existing research tends to operate in silos: studies on green finance seldom engage deeply with diaspora capital, and analyses of remittances rarely propose concrete, technology-driven investment vehicles beyond theoretical bonds. Furthermore, the potential of the cooperative model to serve as a trust-building intermediary for diaspora investment in national projects is virtually absent from the discourse. </w:t>
      </w:r>
    </w:p>
    <w:p w14:paraId="74498B92" w14:textId="4F3BED4A" w:rsidR="00CA5A77" w:rsidRPr="00E11E43" w:rsidRDefault="00484630" w:rsidP="00CA5A77">
      <w:pPr>
        <w:spacing w:after="0" w:line="240" w:lineRule="auto"/>
        <w:ind w:left="74"/>
        <w:jc w:val="both"/>
        <w:rPr>
          <w:color w:val="00B0F0"/>
        </w:rPr>
      </w:pPr>
      <w:r w:rsidRPr="00484630">
        <w:t>This paper directly addresses this lacuna. It moves beyond theoretical propositions by examining a tangible case study</w:t>
      </w:r>
      <w:r w:rsidR="00E11B70">
        <w:t xml:space="preserve"> </w:t>
      </w:r>
      <w:r w:rsidRPr="00484630">
        <w:t>the Nigerian Renewable Energy Village (NREV)</w:t>
      </w:r>
      <w:r w:rsidR="00E11B70">
        <w:t xml:space="preserve"> </w:t>
      </w:r>
      <w:r w:rsidRPr="00484630">
        <w:t xml:space="preserve">to argue for the viability of a Fintech-Driven Diaspora Cooperative. This model </w:t>
      </w:r>
      <w:proofErr w:type="spellStart"/>
      <w:r w:rsidRPr="00484630">
        <w:t>synthesises</w:t>
      </w:r>
      <w:proofErr w:type="spellEnd"/>
      <w:r w:rsidRPr="00484630">
        <w:t xml:space="preserve"> these disparate strands: it leverages Fintech for efficiency and transparency, harnesses the diaspora's financial and social capital, </w:t>
      </w:r>
      <w:proofErr w:type="spellStart"/>
      <w:r w:rsidRPr="00484630">
        <w:t>utilises</w:t>
      </w:r>
      <w:proofErr w:type="spellEnd"/>
      <w:r w:rsidRPr="00484630">
        <w:t xml:space="preserve"> the cooperative structure for governance and </w:t>
      </w:r>
      <w:proofErr w:type="spellStart"/>
      <w:r w:rsidRPr="00484630">
        <w:t>risksharing</w:t>
      </w:r>
      <w:proofErr w:type="spellEnd"/>
      <w:r w:rsidRPr="00484630">
        <w:t>, and directs the resultant capital toward Nigeria’s pressing green financing gap. This integrated approach represents a novel contribution to the field, offering a scalable and replicable framework for transforming remittances from a source of consumption into a cornerstone of sustainable development.</w:t>
      </w:r>
      <w:bookmarkStart w:id="1" w:name="_Hlk219293673"/>
      <w:r w:rsidR="00CA5A77" w:rsidRPr="00CA5A77">
        <w:rPr>
          <w:rFonts w:ascii="Times New Roman" w:eastAsia="Times New Roman" w:hAnsi="Times New Roman" w:cs="Times New Roman"/>
          <w:b/>
          <w:color w:val="auto"/>
          <w:sz w:val="24"/>
          <w:szCs w:val="24"/>
        </w:rPr>
        <w:t xml:space="preserve"> </w:t>
      </w:r>
    </w:p>
    <w:bookmarkEnd w:id="1"/>
    <w:p w14:paraId="03C63940" w14:textId="735ECD87" w:rsidR="009F5F3F" w:rsidRDefault="009F5F3F" w:rsidP="009F5F3F">
      <w:pPr>
        <w:pStyle w:val="NormalWeb"/>
        <w:spacing w:before="0" w:beforeAutospacing="0" w:after="0" w:afterAutospacing="0"/>
        <w:jc w:val="both"/>
        <w:rPr>
          <w:rFonts w:eastAsia="Calibri"/>
          <w:color w:val="000000"/>
        </w:rPr>
      </w:pPr>
    </w:p>
    <w:p w14:paraId="325F54A3" w14:textId="77777777" w:rsidR="009E53BF" w:rsidRDefault="009E53BF" w:rsidP="009F5F3F">
      <w:pPr>
        <w:pStyle w:val="NormalWeb"/>
        <w:spacing w:before="0" w:beforeAutospacing="0" w:after="0" w:afterAutospacing="0"/>
        <w:jc w:val="both"/>
        <w:rPr>
          <w:rFonts w:eastAsia="Calibri"/>
          <w:color w:val="000000"/>
        </w:rPr>
      </w:pPr>
    </w:p>
    <w:p w14:paraId="1448E303" w14:textId="77777777" w:rsidR="009E53BF" w:rsidRPr="009C75DD" w:rsidRDefault="009E53BF" w:rsidP="009E53BF">
      <w:pPr>
        <w:spacing w:after="0" w:line="240" w:lineRule="auto"/>
        <w:ind w:left="74"/>
        <w:jc w:val="both"/>
        <w:rPr>
          <w:rFonts w:ascii="Times New Roman" w:eastAsia="Times New Roman" w:hAnsi="Times New Roman" w:cs="Times New Roman"/>
          <w:b/>
          <w:color w:val="auto"/>
          <w:sz w:val="24"/>
          <w:szCs w:val="24"/>
        </w:rPr>
      </w:pPr>
      <w:r w:rsidRPr="009C75DD">
        <w:rPr>
          <w:rFonts w:ascii="Times New Roman" w:eastAsia="Times New Roman" w:hAnsi="Times New Roman" w:cs="Times New Roman"/>
          <w:b/>
          <w:color w:val="auto"/>
          <w:sz w:val="24"/>
          <w:szCs w:val="24"/>
        </w:rPr>
        <w:t>METHODOLOGY</w:t>
      </w:r>
    </w:p>
    <w:p w14:paraId="4B399686" w14:textId="77777777" w:rsidR="009E53BF" w:rsidRDefault="009E53BF" w:rsidP="009E53BF">
      <w:pPr>
        <w:spacing w:after="0" w:line="240" w:lineRule="auto"/>
        <w:ind w:left="74"/>
        <w:jc w:val="both"/>
        <w:rPr>
          <w:rFonts w:ascii="Times New Roman" w:eastAsia="Times New Roman" w:hAnsi="Times New Roman" w:cs="Times New Roman"/>
          <w:b/>
          <w:color w:val="auto"/>
          <w:sz w:val="28"/>
          <w:szCs w:val="28"/>
        </w:rPr>
      </w:pPr>
    </w:p>
    <w:p w14:paraId="7B506180" w14:textId="77777777" w:rsidR="009E53BF" w:rsidRPr="00CA5A77" w:rsidRDefault="009E53BF" w:rsidP="009E53BF">
      <w:pPr>
        <w:pStyle w:val="NormalWeb"/>
        <w:spacing w:before="0" w:beforeAutospacing="0" w:after="0" w:afterAutospacing="0"/>
        <w:jc w:val="both"/>
        <w:rPr>
          <w:color w:val="000000" w:themeColor="text1"/>
        </w:rPr>
      </w:pPr>
      <w:r w:rsidRPr="00CA5A77">
        <w:rPr>
          <w:color w:val="000000" w:themeColor="text1"/>
        </w:rPr>
        <w:t xml:space="preserve">This research employs a mixed-methods design to holistically assess the feasibility of a Fintech-driven Diaspora Cooperative model for financing Nigeria's green transition. The methodology integrates quantitative and qualitative analyses to ensure a comprehensive evaluation. The investigation is grounded primarily in secondary data from authoritative sources, including the Central Bank of Nigeria (CBN), the World Bank, the African Development Bank (AfDB), Nigeria's Energy Transition Plan (ETP) documentation, the Rural Electrification Agency (REA), the Debt Management Office (DMO), and reports from international professional services firms such as PricewaterhouseCoopers. This data establishes the macro-context of the nation's energy financing gap and the scale of diaspora remittances. </w:t>
      </w:r>
    </w:p>
    <w:p w14:paraId="55B96F00" w14:textId="77777777" w:rsidR="009E53BF" w:rsidRPr="00CA5A77" w:rsidRDefault="009E53BF" w:rsidP="009E53BF">
      <w:pPr>
        <w:pStyle w:val="NormalWeb"/>
        <w:spacing w:before="0" w:beforeAutospacing="0" w:after="0" w:afterAutospacing="0"/>
        <w:jc w:val="both"/>
        <w:rPr>
          <w:color w:val="000000" w:themeColor="text1"/>
        </w:rPr>
      </w:pPr>
      <w:r w:rsidRPr="00CA5A77">
        <w:rPr>
          <w:color w:val="000000" w:themeColor="text1"/>
        </w:rPr>
        <w:t xml:space="preserve">The core of the empirical validation rests on a detailed case study analysis of the Nigerian Renewable Energy Village (NREV). This </w:t>
      </w:r>
      <w:proofErr w:type="spellStart"/>
      <w:r w:rsidRPr="00CA5A77">
        <w:rPr>
          <w:color w:val="000000" w:themeColor="text1"/>
        </w:rPr>
        <w:t>utilises</w:t>
      </w:r>
      <w:proofErr w:type="spellEnd"/>
      <w:r w:rsidRPr="00CA5A77">
        <w:rPr>
          <w:color w:val="000000" w:themeColor="text1"/>
        </w:rPr>
        <w:t xml:space="preserve"> the project's internal financial projections, feasibility studies, and contractual agreements as primary data to </w:t>
      </w:r>
      <w:proofErr w:type="spellStart"/>
      <w:r w:rsidRPr="00CA5A77">
        <w:rPr>
          <w:color w:val="000000" w:themeColor="text1"/>
        </w:rPr>
        <w:t>scrutinise</w:t>
      </w:r>
      <w:proofErr w:type="spellEnd"/>
      <w:r w:rsidRPr="00CA5A77">
        <w:rPr>
          <w:color w:val="000000" w:themeColor="text1"/>
        </w:rPr>
        <w:t xml:space="preserve"> the model's practical application. This is complemented by a rigorous financial modelling exercise involving revenue projections for the proposed Fintech platform, a cost-benefit analysis of the NREV, and sensitivity analyses on critical variables such as remittance volume and exchange rate margins.</w:t>
      </w:r>
    </w:p>
    <w:p w14:paraId="45E42472" w14:textId="77777777" w:rsidR="009E53BF" w:rsidRPr="00CA5A77" w:rsidRDefault="009E53BF" w:rsidP="009E53BF">
      <w:pPr>
        <w:pStyle w:val="NormalWeb"/>
        <w:spacing w:before="0" w:beforeAutospacing="0" w:after="0" w:afterAutospacing="0"/>
        <w:jc w:val="both"/>
        <w:rPr>
          <w:color w:val="000000" w:themeColor="text1"/>
        </w:rPr>
      </w:pPr>
      <w:r w:rsidRPr="00CA5A77">
        <w:rPr>
          <w:color w:val="000000" w:themeColor="text1"/>
        </w:rPr>
        <w:lastRenderedPageBreak/>
        <w:t xml:space="preserve"> To enrich the analysis with grounded expertise, primary data will be gathered through structured interviews with key stakeholders. This includes executives from the NREV consortium, renewable energy experts directly involved in the project's development, and Fintech specialists. Interviews with policymakers from relevant Nigerian ministries will also be sought to understand the regulatory landscape.</w:t>
      </w:r>
    </w:p>
    <w:p w14:paraId="5C571443" w14:textId="77777777" w:rsidR="009E53BF" w:rsidRPr="00CA5A77" w:rsidRDefault="009E53BF" w:rsidP="009E53BF">
      <w:pPr>
        <w:pStyle w:val="NormalWeb"/>
        <w:spacing w:before="0" w:beforeAutospacing="0" w:after="0" w:afterAutospacing="0"/>
        <w:jc w:val="both"/>
        <w:rPr>
          <w:color w:val="000000" w:themeColor="text1"/>
          <w:lang w:eastAsia="zh-CN"/>
        </w:rPr>
      </w:pPr>
      <w:r w:rsidRPr="00CA5A77">
        <w:rPr>
          <w:color w:val="000000" w:themeColor="text1"/>
        </w:rPr>
        <w:t xml:space="preserve"> It is acknowledged that the scope for gathering a wider range of primary data is limited by two key factors: the time constraints of this research project and the novel, pioneering nature of the NREV model itself, which means longitudinal data on its performance is not yet available. Consequently, this study anticipates that its findings will provide a foundational framework, warranting future expansion for more extensive primary data collection once the model is operational. The analytical framework will apply quantitative methods for financial assessment and qualitative methods for stakeholder and policy analysis, with findings triangulated through comparative analysis and expert review to ensure robustness and validity.</w:t>
      </w:r>
    </w:p>
    <w:p w14:paraId="18E9D64E" w14:textId="77777777" w:rsidR="009E53BF" w:rsidRDefault="009E53BF" w:rsidP="009F5F3F">
      <w:pPr>
        <w:pStyle w:val="NormalWeb"/>
        <w:spacing w:before="0" w:beforeAutospacing="0" w:after="0" w:afterAutospacing="0"/>
        <w:jc w:val="both"/>
        <w:rPr>
          <w:rFonts w:eastAsia="Calibri"/>
          <w:color w:val="000000"/>
        </w:rPr>
      </w:pPr>
    </w:p>
    <w:p w14:paraId="7DAEC8CF" w14:textId="77777777" w:rsidR="008D1B46" w:rsidRDefault="008D1B46" w:rsidP="009F5F3F">
      <w:pPr>
        <w:pStyle w:val="NormalWeb"/>
        <w:spacing w:before="0" w:beforeAutospacing="0" w:after="0" w:afterAutospacing="0"/>
        <w:jc w:val="both"/>
        <w:rPr>
          <w:rFonts w:eastAsia="Calibri"/>
          <w:color w:val="000000"/>
        </w:rPr>
      </w:pPr>
    </w:p>
    <w:p w14:paraId="52C58436" w14:textId="1959C0E1" w:rsidR="008D1B46" w:rsidRDefault="00FF58B7" w:rsidP="008D1B46">
      <w:pPr>
        <w:pStyle w:val="NormalWeb"/>
        <w:spacing w:before="0" w:beforeAutospacing="0" w:after="0" w:afterAutospacing="0"/>
        <w:jc w:val="both"/>
        <w:rPr>
          <w:b/>
          <w:bCs/>
          <w:sz w:val="28"/>
          <w:szCs w:val="28"/>
        </w:rPr>
      </w:pPr>
      <w:r w:rsidRPr="00844E58">
        <w:rPr>
          <w:b/>
          <w:bCs/>
          <w:sz w:val="28"/>
          <w:szCs w:val="28"/>
        </w:rPr>
        <w:t xml:space="preserve">CASE STUDY: NIGERIAN RENEWABLE ENERGY VILLAGE </w:t>
      </w:r>
      <w:r w:rsidR="008D1B46" w:rsidRPr="00844E58">
        <w:rPr>
          <w:b/>
          <w:bCs/>
          <w:sz w:val="28"/>
          <w:szCs w:val="28"/>
        </w:rPr>
        <w:t>(NREV)</w:t>
      </w:r>
    </w:p>
    <w:p w14:paraId="4DC4FEB0" w14:textId="77777777" w:rsidR="008078F6" w:rsidRPr="00844E58" w:rsidRDefault="008078F6" w:rsidP="008D1B46">
      <w:pPr>
        <w:pStyle w:val="NormalWeb"/>
        <w:spacing w:before="0" w:beforeAutospacing="0" w:after="0" w:afterAutospacing="0"/>
        <w:jc w:val="both"/>
        <w:rPr>
          <w:b/>
          <w:bCs/>
          <w:sz w:val="28"/>
          <w:szCs w:val="28"/>
        </w:rPr>
      </w:pPr>
    </w:p>
    <w:p w14:paraId="2C766CFD" w14:textId="6F76FE86" w:rsidR="006B6E47" w:rsidRPr="004E60BD" w:rsidRDefault="008D1B46" w:rsidP="008D1B46">
      <w:pPr>
        <w:pStyle w:val="NormalWeb"/>
        <w:spacing w:before="0" w:beforeAutospacing="0" w:after="0" w:afterAutospacing="0"/>
        <w:jc w:val="both"/>
        <w:rPr>
          <w:sz w:val="28"/>
          <w:szCs w:val="28"/>
        </w:rPr>
      </w:pPr>
      <w:r w:rsidRPr="004E60BD">
        <w:rPr>
          <w:b/>
          <w:bCs/>
          <w:sz w:val="28"/>
          <w:szCs w:val="28"/>
        </w:rPr>
        <w:t>Project Overview</w:t>
      </w:r>
    </w:p>
    <w:p w14:paraId="71EBC8C6" w14:textId="77777777" w:rsidR="00844E58" w:rsidRDefault="008D1B46" w:rsidP="008D1B46">
      <w:pPr>
        <w:pStyle w:val="NormalWeb"/>
        <w:spacing w:before="0" w:beforeAutospacing="0" w:after="0" w:afterAutospacing="0"/>
        <w:jc w:val="both"/>
      </w:pPr>
      <w:r>
        <w:t xml:space="preserve"> The Nigerian Renewable Energy Village (NREV) offers a strategic, first-mover advantage for investors seeking entry into Nigeria's nascent but </w:t>
      </w:r>
      <w:proofErr w:type="spellStart"/>
      <w:r>
        <w:t>highpotential</w:t>
      </w:r>
      <w:proofErr w:type="spellEnd"/>
      <w:r>
        <w:t xml:space="preserve"> energy market by presenting a diversified and scalable pipeline of projects. This pipeline is designed to capture value across the entire green energy spectrum, commencing with the establishment of </w:t>
      </w:r>
      <w:proofErr w:type="spellStart"/>
      <w:r>
        <w:t>containerised</w:t>
      </w:r>
      <w:proofErr w:type="spellEnd"/>
      <w:r>
        <w:t xml:space="preserve"> solar mini-grid plants with capacities ranging from 200 kilowatts (kW) up to 1 megawatt (MW) per designated community or cluster (NREV, 2025). Building on this foundation, the NREV project will leverage a combination of financing strategies, including diaspora contributions, to facilitate the development of a broader suite of renewable energy facilities</w:t>
      </w:r>
      <w:r w:rsidR="00844E58">
        <w:t xml:space="preserve"> </w:t>
      </w:r>
      <w:r>
        <w:t>including electric vehicles (EVs) and their charging infrastructure, solar PV manufacturing, wind, biogas, and green hydrogen</w:t>
      </w:r>
      <w:r w:rsidR="00844E58">
        <w:t xml:space="preserve"> </w:t>
      </w:r>
      <w:r>
        <w:t xml:space="preserve">tailored to the nation’s diverse resource endowment. </w:t>
      </w:r>
    </w:p>
    <w:p w14:paraId="0B8C31FB" w14:textId="77777777" w:rsidR="00844E58" w:rsidRDefault="00844E58" w:rsidP="008D1B46">
      <w:pPr>
        <w:pStyle w:val="NormalWeb"/>
        <w:spacing w:before="0" w:beforeAutospacing="0" w:after="0" w:afterAutospacing="0"/>
        <w:jc w:val="both"/>
      </w:pPr>
    </w:p>
    <w:p w14:paraId="6DB3D7E8" w14:textId="15924481" w:rsidR="006B6E47" w:rsidRPr="004E60BD" w:rsidRDefault="008D5DE9" w:rsidP="008D1B46">
      <w:pPr>
        <w:pStyle w:val="NormalWeb"/>
        <w:spacing w:before="0" w:beforeAutospacing="0" w:after="0" w:afterAutospacing="0"/>
        <w:jc w:val="both"/>
        <w:rPr>
          <w:sz w:val="28"/>
          <w:szCs w:val="28"/>
        </w:rPr>
      </w:pPr>
      <w:r w:rsidRPr="004E60BD">
        <w:rPr>
          <w:b/>
          <w:bCs/>
          <w:sz w:val="28"/>
          <w:szCs w:val="28"/>
        </w:rPr>
        <w:t>Conceptual Framework</w:t>
      </w:r>
      <w:r w:rsidRPr="004E60BD">
        <w:rPr>
          <w:sz w:val="28"/>
          <w:szCs w:val="28"/>
        </w:rPr>
        <w:t xml:space="preserve"> </w:t>
      </w:r>
    </w:p>
    <w:p w14:paraId="6083CC31" w14:textId="77777777" w:rsidR="006B6E47" w:rsidRDefault="008D1B46" w:rsidP="008D1B46">
      <w:pPr>
        <w:pStyle w:val="NormalWeb"/>
        <w:spacing w:before="0" w:beforeAutospacing="0" w:after="0" w:afterAutospacing="0"/>
        <w:jc w:val="both"/>
      </w:pPr>
      <w:r>
        <w:t xml:space="preserve">NREV’s diaspora platform aims to capture 10 per cent of Nigeria’s US$25 billion in annual remittance inflows (~US$2.5 billion) in transactions. Through transaction fees (e.g., 2–3 per cent) and exchange rate margins (e.g., 2 per cent), this is projected to generate a total turnover of approximately US$100 million to fund green infrastructure projects, such as solar mini-grids, the EV value chain, and other downstream renewable energy projects. Integrated with a Diaspora Cooperative, modelled after R&amp;S Consulting’s initiative in Germany, the platform </w:t>
      </w:r>
      <w:proofErr w:type="spellStart"/>
      <w:r>
        <w:t>enrols</w:t>
      </w:r>
      <w:proofErr w:type="spellEnd"/>
      <w:r>
        <w:t xml:space="preserve"> remittance senders as cooperative members, granting them dividends from project returns. This participatory model </w:t>
      </w:r>
      <w:proofErr w:type="spellStart"/>
      <w:r>
        <w:t>incentivises</w:t>
      </w:r>
      <w:proofErr w:type="spellEnd"/>
      <w:r>
        <w:t xml:space="preserve"> diaspora engagement whilst ensuring sustainable funding. NIDCOG will adopt the </w:t>
      </w:r>
      <w:proofErr w:type="spellStart"/>
      <w:r>
        <w:t>Ziphii</w:t>
      </w:r>
      <w:proofErr w:type="spellEnd"/>
      <w:r>
        <w:t xml:space="preserve"> technology platform (https://www.ziphii.co.uk/en-in) to </w:t>
      </w:r>
      <w:proofErr w:type="spellStart"/>
      <w:r>
        <w:t>mobilise</w:t>
      </w:r>
      <w:proofErr w:type="spellEnd"/>
      <w:r>
        <w:t xml:space="preserve"> the diaspora. </w:t>
      </w:r>
    </w:p>
    <w:p w14:paraId="3E1F8CFA" w14:textId="77777777" w:rsidR="006B6E47" w:rsidRDefault="008D1B46" w:rsidP="008D1B46">
      <w:pPr>
        <w:pStyle w:val="NormalWeb"/>
        <w:spacing w:before="0" w:beforeAutospacing="0" w:after="0" w:afterAutospacing="0"/>
        <w:jc w:val="both"/>
      </w:pPr>
      <w:proofErr w:type="spellStart"/>
      <w:r>
        <w:t>Ziphii</w:t>
      </w:r>
      <w:proofErr w:type="spellEnd"/>
      <w:r>
        <w:t xml:space="preserve"> is a global technology platform that </w:t>
      </w:r>
      <w:proofErr w:type="spellStart"/>
      <w:r>
        <w:t>specialises</w:t>
      </w:r>
      <w:proofErr w:type="spellEnd"/>
      <w:r>
        <w:t xml:space="preserve"> in connecting and </w:t>
      </w:r>
      <w:proofErr w:type="spellStart"/>
      <w:r>
        <w:t>mobilising</w:t>
      </w:r>
      <w:proofErr w:type="spellEnd"/>
      <w:r>
        <w:t xml:space="preserve"> diaspora communities by providing a secure, all-in-one ecosystem for communication, project management, and financial collaboration. Its platform can be instrumental for NREV by serving as the dedicated digital hub to engage, educate, and </w:t>
      </w:r>
      <w:proofErr w:type="spellStart"/>
      <w:r>
        <w:t>organise</w:t>
      </w:r>
      <w:proofErr w:type="spellEnd"/>
      <w:r>
        <w:t xml:space="preserve"> the Nigerian diaspora. </w:t>
      </w:r>
      <w:proofErr w:type="spellStart"/>
      <w:r>
        <w:t>Ziphii</w:t>
      </w:r>
      <w:proofErr w:type="spellEnd"/>
      <w:r>
        <w:t xml:space="preserve"> facilitates the seamless formation of the planned cooperative through features like secure group forums for discussion, transparent project showcases for the pipelines in Nigeria, and integrated tools for collective decision-making and governance. Crucially, its secure payment and investment tracking systems will provide the trust and operational transparency needed to </w:t>
      </w:r>
      <w:proofErr w:type="spellStart"/>
      <w:r>
        <w:t>mobilise</w:t>
      </w:r>
      <w:proofErr w:type="spellEnd"/>
      <w:r>
        <w:t xml:space="preserve"> capital for project financing. </w:t>
      </w:r>
    </w:p>
    <w:p w14:paraId="63CAD92F" w14:textId="77777777" w:rsidR="006B6E47" w:rsidRDefault="008D1B46" w:rsidP="008D1B46">
      <w:pPr>
        <w:pStyle w:val="NormalWeb"/>
        <w:spacing w:before="0" w:beforeAutospacing="0" w:after="0" w:afterAutospacing="0"/>
        <w:jc w:val="both"/>
      </w:pPr>
      <w:r>
        <w:t xml:space="preserve">The goal of NREV is to channel renewable resources into productive use, such as </w:t>
      </w:r>
      <w:proofErr w:type="spellStart"/>
      <w:r>
        <w:t>energising</w:t>
      </w:r>
      <w:proofErr w:type="spellEnd"/>
      <w:r>
        <w:t xml:space="preserve"> integrated agricultural projects and processing facilities to boost agricultural output and value addition. Ultimately, these components will coalesce to create a </w:t>
      </w:r>
      <w:proofErr w:type="spellStart"/>
      <w:r>
        <w:t>liveable</w:t>
      </w:r>
      <w:proofErr w:type="spellEnd"/>
      <w:r>
        <w:t>, self-sufficient social infrastructure</w:t>
      </w:r>
      <w:r w:rsidR="006B6E47">
        <w:t xml:space="preserve"> </w:t>
      </w:r>
      <w:r>
        <w:t xml:space="preserve">a model community that demonstrates a holistic and replicable pathway to sustainable development. </w:t>
      </w:r>
    </w:p>
    <w:p w14:paraId="40E1275D" w14:textId="77777777" w:rsidR="00BC7CDA" w:rsidRDefault="008D1B46" w:rsidP="008D1B46">
      <w:pPr>
        <w:pStyle w:val="NormalWeb"/>
        <w:spacing w:before="0" w:beforeAutospacing="0" w:after="0" w:afterAutospacing="0"/>
        <w:jc w:val="both"/>
      </w:pPr>
      <w:r>
        <w:t xml:space="preserve">The diaspora financing model built into NREV would automatically use its planned Fintech platform to </w:t>
      </w:r>
      <w:proofErr w:type="spellStart"/>
      <w:r>
        <w:t>enrol</w:t>
      </w:r>
      <w:proofErr w:type="spellEnd"/>
      <w:r>
        <w:t xml:space="preserve"> remittance senders as cooperative members, granting them the ability to contribute to Nigeria’s green financing whilst sending money, or to opt for direct investment in the project portfolios available within NREV. With nearly US$100 million projected annually from this financing model, NREV has the potential to exemplify a unique strategy to position the Nigerian diaspora as a veritable contributor to the country’s green transition by electrifying </w:t>
      </w:r>
      <w:r>
        <w:lastRenderedPageBreak/>
        <w:t xml:space="preserve">tens of thousands of households, accelerating EV adoption, and creating thousands of jobs within the emerging renewable energy sector. </w:t>
      </w:r>
    </w:p>
    <w:p w14:paraId="2EA20E52" w14:textId="77777777" w:rsidR="00BC7CDA" w:rsidRDefault="008D1B46" w:rsidP="008D1B46">
      <w:pPr>
        <w:pStyle w:val="NormalWeb"/>
        <w:spacing w:before="0" w:beforeAutospacing="0" w:after="0" w:afterAutospacing="0"/>
        <w:jc w:val="both"/>
      </w:pPr>
      <w:r>
        <w:t>Backed by government guarantees, Power Purchase Agreements (PPAs), and tax incentives, the NREV offers a de-risked investment opportunity aligned with Nigeria’s ETP and Sustainable Development Goals (SDGs) 7 (affordable, clean energy) and 13 (climate action). This paper aims to outline the operational framework, financial viability, and socio-economic impacts of the proposed model, using the NREV as a case study. The paper is structured as follows: a literature review, analysis of Nigeria’s green transition, the proposed financing mechanism and projections, a detailed NREV case study, discussion, and conclusion.</w:t>
      </w:r>
    </w:p>
    <w:p w14:paraId="15390EB4" w14:textId="77777777" w:rsidR="00E224D5" w:rsidRDefault="008D1B46" w:rsidP="008D1B46">
      <w:pPr>
        <w:pStyle w:val="NormalWeb"/>
        <w:spacing w:before="0" w:beforeAutospacing="0" w:after="0" w:afterAutospacing="0"/>
        <w:jc w:val="both"/>
      </w:pPr>
      <w:r>
        <w:t xml:space="preserve"> Phase 1 of the NREV deploys 20 MW of solar mini-grids across 40 underserved towns, supported by 3.6 MWh battery storage and 2 MW diesel backup, with a US$60 million CAPEX. Phase 2 establishes an EV marketing hub and 50+ charging stations in Abuja, targeting public sector fleets, with a US$60 million CAPEX. The project is endorsed by the Federal Ministry of Innovation, Science and Technology (FMIST) and the Energy Commission of Nigeria (ECN), with 1,000 acres of government-provided land and sovereign guarantees.</w:t>
      </w:r>
    </w:p>
    <w:p w14:paraId="5E4012DF" w14:textId="335D169B" w:rsidR="00BC7CDA" w:rsidRDefault="008D1B46" w:rsidP="008D1B46">
      <w:pPr>
        <w:pStyle w:val="NormalWeb"/>
        <w:spacing w:before="0" w:beforeAutospacing="0" w:after="0" w:afterAutospacing="0"/>
        <w:jc w:val="both"/>
      </w:pPr>
      <w:r>
        <w:t xml:space="preserve"> </w:t>
      </w:r>
    </w:p>
    <w:p w14:paraId="16613F36" w14:textId="799EB0BB" w:rsidR="00BC7CDA" w:rsidRDefault="008D1B46" w:rsidP="008D1B46">
      <w:pPr>
        <w:pStyle w:val="NormalWeb"/>
        <w:spacing w:before="0" w:beforeAutospacing="0" w:after="0" w:afterAutospacing="0"/>
        <w:jc w:val="both"/>
      </w:pPr>
      <w:r w:rsidRPr="00BC7CDA">
        <w:rPr>
          <w:b/>
          <w:bCs/>
        </w:rPr>
        <w:t>Financial Structure</w:t>
      </w:r>
      <w:r>
        <w:t xml:space="preserve"> </w:t>
      </w:r>
    </w:p>
    <w:p w14:paraId="547914DA" w14:textId="77777777" w:rsidR="004E60BD" w:rsidRDefault="008D1B46" w:rsidP="008D1B46">
      <w:pPr>
        <w:pStyle w:val="NormalWeb"/>
        <w:spacing w:before="0" w:beforeAutospacing="0" w:after="0" w:afterAutospacing="0"/>
        <w:jc w:val="both"/>
      </w:pPr>
      <w:r>
        <w:t xml:space="preserve">The NREV requires US$120 million in funding, fully backed by </w:t>
      </w:r>
      <w:r w:rsidR="00844E58">
        <w:t xml:space="preserve">government </w:t>
      </w:r>
      <w:proofErr w:type="spellStart"/>
      <w:r>
        <w:t>tguaranteed</w:t>
      </w:r>
      <w:proofErr w:type="spellEnd"/>
      <w:r>
        <w:t xml:space="preserve"> debt at 10 per cent APR, with an optional 20 per cent equity contribution (US$24 million). Phase 1 generates US$16.2 million annually via PPAs at US$0.33/kWh, delivering a 13.8 per cent IRR and 101 per cent ROI within 5 years. Phase 2 projects US$20 million in annual revenue from EV sales and charging fees, with a 13.5 per cent IRR and 96 per cent ROI. The combined project yields a 13.6–14.0 per cent IRR and US$86.8–91.4M NPV, with a payback period of 4.2–4.4 years (NREV, 2025).</w:t>
      </w:r>
    </w:p>
    <w:p w14:paraId="4187469B" w14:textId="57723C1D" w:rsidR="00BC7CDA" w:rsidRDefault="008D1B46" w:rsidP="008D1B46">
      <w:pPr>
        <w:pStyle w:val="NormalWeb"/>
        <w:spacing w:before="0" w:beforeAutospacing="0" w:after="0" w:afterAutospacing="0"/>
        <w:jc w:val="both"/>
      </w:pPr>
      <w:r>
        <w:t xml:space="preserve"> </w:t>
      </w:r>
    </w:p>
    <w:p w14:paraId="5BC51799" w14:textId="237D33D8" w:rsidR="00BC7CDA" w:rsidRDefault="008D1B46" w:rsidP="008D1B46">
      <w:pPr>
        <w:pStyle w:val="NormalWeb"/>
        <w:spacing w:before="0" w:beforeAutospacing="0" w:after="0" w:afterAutospacing="0"/>
        <w:jc w:val="both"/>
      </w:pPr>
      <w:r w:rsidRPr="00BC7CDA">
        <w:rPr>
          <w:b/>
          <w:bCs/>
        </w:rPr>
        <w:t>Alignment with Diaspora Financing</w:t>
      </w:r>
      <w:r>
        <w:t xml:space="preserve"> </w:t>
      </w:r>
    </w:p>
    <w:p w14:paraId="60C78F15" w14:textId="77777777" w:rsidR="00BC7CDA" w:rsidRDefault="008D1B46" w:rsidP="008D1B46">
      <w:pPr>
        <w:pStyle w:val="NormalWeb"/>
        <w:spacing w:before="0" w:beforeAutospacing="0" w:after="0" w:afterAutospacing="0"/>
        <w:jc w:val="both"/>
      </w:pPr>
      <w:r>
        <w:t xml:space="preserve">The proposed Fintech-Cooperative model could fund the NREV’s US$120 million requirement within two years, using approximately 70 per cent (US$70 million) of the annual fees and service charges from remittances processed through the Fintech Cooperative revenue. PPAs and EV sales ensure revenue certainty, whilst diaspora dividends (e.g., 5–7 per cent annually) </w:t>
      </w:r>
      <w:proofErr w:type="spellStart"/>
      <w:r>
        <w:t>incentivise</w:t>
      </w:r>
      <w:proofErr w:type="spellEnd"/>
      <w:r>
        <w:t xml:space="preserve"> participation. The cooperative’s governance ensures equitable fund allocation, aligning with the NREV’s socio-economic goals of electrification, job creation, and </w:t>
      </w:r>
      <w:proofErr w:type="spellStart"/>
      <w:r>
        <w:t>decarbonisation</w:t>
      </w:r>
      <w:proofErr w:type="spellEnd"/>
      <w:r>
        <w:t xml:space="preserve">. </w:t>
      </w:r>
    </w:p>
    <w:p w14:paraId="60C53D72" w14:textId="77777777" w:rsidR="004E60BD" w:rsidRDefault="004E60BD" w:rsidP="008D1B46">
      <w:pPr>
        <w:pStyle w:val="NormalWeb"/>
        <w:spacing w:before="0" w:beforeAutospacing="0" w:after="0" w:afterAutospacing="0"/>
        <w:jc w:val="both"/>
      </w:pPr>
    </w:p>
    <w:p w14:paraId="57549A5A" w14:textId="469BAE2F" w:rsidR="00BC7CDA" w:rsidRPr="00B204B8" w:rsidRDefault="008D1B46" w:rsidP="008D1B46">
      <w:pPr>
        <w:pStyle w:val="NormalWeb"/>
        <w:spacing w:before="0" w:beforeAutospacing="0" w:after="0" w:afterAutospacing="0"/>
        <w:jc w:val="both"/>
        <w:rPr>
          <w:b/>
          <w:bCs/>
        </w:rPr>
      </w:pPr>
      <w:r w:rsidRPr="00BC7CDA">
        <w:rPr>
          <w:b/>
          <w:bCs/>
        </w:rPr>
        <w:t>Scalability and Replication</w:t>
      </w:r>
      <w:r>
        <w:t xml:space="preserve"> </w:t>
      </w:r>
    </w:p>
    <w:p w14:paraId="7384511C" w14:textId="2BB04244" w:rsidR="008D1B46" w:rsidRDefault="008D1B46" w:rsidP="008D1B46">
      <w:pPr>
        <w:pStyle w:val="NormalWeb"/>
        <w:spacing w:before="0" w:beforeAutospacing="0" w:after="0" w:afterAutospacing="0"/>
        <w:jc w:val="both"/>
      </w:pPr>
      <w:r>
        <w:t xml:space="preserve">The NREV’s model is scalable, targeting Nigeria’s planned 10,000 mini-grids and a US$10 billion off-grid market. Its EV infrastructure aligns with a 20 per cent annual market growth projection, offering a blueprint for urban </w:t>
      </w:r>
      <w:proofErr w:type="spellStart"/>
      <w:r>
        <w:t>centres</w:t>
      </w:r>
      <w:proofErr w:type="spellEnd"/>
      <w:r>
        <w:t>. The Fintech-Cooperative model can be replicated across Sub-Saharan Africa, where 350 million people lack energy access, leveraging diaspora capital from countries like Ghana and Kenya</w:t>
      </w:r>
      <w:r w:rsidR="00FF58B7">
        <w:t>.</w:t>
      </w:r>
    </w:p>
    <w:p w14:paraId="0A003B56" w14:textId="77777777" w:rsidR="00FF58B7" w:rsidRDefault="00FF58B7" w:rsidP="008D1B46">
      <w:pPr>
        <w:pStyle w:val="NormalWeb"/>
        <w:spacing w:before="0" w:beforeAutospacing="0" w:after="0" w:afterAutospacing="0"/>
        <w:jc w:val="both"/>
      </w:pPr>
    </w:p>
    <w:p w14:paraId="5559BFA0" w14:textId="5FEF282C" w:rsidR="00FF58B7" w:rsidRDefault="004E60BD" w:rsidP="008D1B46">
      <w:pPr>
        <w:pStyle w:val="NormalWeb"/>
        <w:spacing w:before="0" w:beforeAutospacing="0" w:after="0" w:afterAutospacing="0"/>
        <w:jc w:val="both"/>
      </w:pPr>
      <w:r w:rsidRPr="00FF58B7">
        <w:rPr>
          <w:b/>
          <w:bCs/>
        </w:rPr>
        <w:t>Risk Mitigation</w:t>
      </w:r>
      <w:r>
        <w:t xml:space="preserve"> </w:t>
      </w:r>
    </w:p>
    <w:p w14:paraId="069DDD96" w14:textId="77777777" w:rsidR="00B204B8" w:rsidRDefault="00B204B8" w:rsidP="008D1B46">
      <w:pPr>
        <w:pStyle w:val="NormalWeb"/>
        <w:spacing w:before="0" w:beforeAutospacing="0" w:after="0" w:afterAutospacing="0"/>
        <w:jc w:val="both"/>
      </w:pPr>
    </w:p>
    <w:p w14:paraId="6890D709" w14:textId="77777777" w:rsidR="00FF58B7" w:rsidRDefault="00FF58B7" w:rsidP="008D1B46">
      <w:pPr>
        <w:pStyle w:val="NormalWeb"/>
        <w:spacing w:before="0" w:beforeAutospacing="0" w:after="0" w:afterAutospacing="0"/>
        <w:jc w:val="both"/>
      </w:pPr>
      <w:r>
        <w:t>The model leverages government-backed de-risking instruments, including:</w:t>
      </w:r>
    </w:p>
    <w:p w14:paraId="76143CB0" w14:textId="77777777" w:rsidR="00FF58B7" w:rsidRDefault="00FF58B7" w:rsidP="00FF58B7">
      <w:pPr>
        <w:pStyle w:val="NormalWeb"/>
        <w:numPr>
          <w:ilvl w:val="0"/>
          <w:numId w:val="25"/>
        </w:numPr>
        <w:spacing w:before="0" w:beforeAutospacing="0" w:after="0" w:afterAutospacing="0"/>
        <w:jc w:val="both"/>
      </w:pPr>
      <w:r>
        <w:t>Sovereign guarantees for debt financing, as seen in NREV’s US$120 million package.</w:t>
      </w:r>
    </w:p>
    <w:p w14:paraId="050CC69B" w14:textId="77777777" w:rsidR="00FF58B7" w:rsidRDefault="00FF58B7" w:rsidP="00FF58B7">
      <w:pPr>
        <w:pStyle w:val="NormalWeb"/>
        <w:numPr>
          <w:ilvl w:val="0"/>
          <w:numId w:val="25"/>
        </w:numPr>
        <w:spacing w:before="0" w:beforeAutospacing="0" w:after="0" w:afterAutospacing="0"/>
        <w:jc w:val="both"/>
      </w:pPr>
      <w:r>
        <w:t xml:space="preserve">Power Purchase Agreements (PPAs) ensuring revenue certainty for mini-grid electricity and EV sales. </w:t>
      </w:r>
    </w:p>
    <w:p w14:paraId="22F91281" w14:textId="77777777" w:rsidR="00FF58B7" w:rsidRDefault="00FF58B7" w:rsidP="00FF58B7">
      <w:pPr>
        <w:pStyle w:val="NormalWeb"/>
        <w:numPr>
          <w:ilvl w:val="0"/>
          <w:numId w:val="25"/>
        </w:numPr>
        <w:spacing w:before="0" w:beforeAutospacing="0" w:after="0" w:afterAutospacing="0"/>
        <w:jc w:val="both"/>
      </w:pPr>
      <w:r>
        <w:t xml:space="preserve">Tax holidays and regulatory fast-tracking, reducing operational risks. </w:t>
      </w:r>
    </w:p>
    <w:p w14:paraId="4C7D620E" w14:textId="10D611F1" w:rsidR="00FF58B7" w:rsidRDefault="00FF58B7" w:rsidP="00FF58B7">
      <w:pPr>
        <w:pStyle w:val="NormalWeb"/>
        <w:numPr>
          <w:ilvl w:val="0"/>
          <w:numId w:val="25"/>
        </w:numPr>
        <w:spacing w:before="0" w:beforeAutospacing="0" w:after="0" w:afterAutospacing="0"/>
        <w:jc w:val="both"/>
      </w:pPr>
      <w:r>
        <w:t xml:space="preserve">Blockchain-based Fintech ensures transparent fund allocation, mitigating governance concerns.  </w:t>
      </w:r>
    </w:p>
    <w:p w14:paraId="4A33187D" w14:textId="3E4A892D" w:rsidR="00FF58B7" w:rsidRDefault="00FF58B7" w:rsidP="00FF58B7">
      <w:pPr>
        <w:pStyle w:val="NormalWeb"/>
        <w:spacing w:before="0" w:beforeAutospacing="0" w:after="0" w:afterAutospacing="0"/>
        <w:jc w:val="both"/>
      </w:pPr>
      <w:r>
        <w:t xml:space="preserve">  </w:t>
      </w:r>
    </w:p>
    <w:p w14:paraId="247E077C" w14:textId="23D26BD9" w:rsidR="00FF58B7" w:rsidRDefault="007F209D" w:rsidP="007F209D">
      <w:pPr>
        <w:pStyle w:val="NormalWeb"/>
        <w:spacing w:before="0" w:beforeAutospacing="0" w:after="0" w:afterAutospacing="0"/>
        <w:jc w:val="both"/>
        <w:rPr>
          <w:b/>
          <w:bCs/>
        </w:rPr>
      </w:pPr>
      <w:r>
        <w:rPr>
          <w:b/>
          <w:bCs/>
        </w:rPr>
        <w:t xml:space="preserve">  </w:t>
      </w:r>
      <w:r w:rsidRPr="00FF58B7">
        <w:rPr>
          <w:b/>
          <w:bCs/>
        </w:rPr>
        <w:t>Driving Diaspora Adoption</w:t>
      </w:r>
    </w:p>
    <w:p w14:paraId="4EE172BD" w14:textId="77777777" w:rsidR="00B204B8" w:rsidRDefault="00B204B8" w:rsidP="007F209D">
      <w:pPr>
        <w:pStyle w:val="NormalWeb"/>
        <w:spacing w:before="0" w:beforeAutospacing="0" w:after="0" w:afterAutospacing="0"/>
        <w:jc w:val="both"/>
        <w:rPr>
          <w:b/>
          <w:bCs/>
        </w:rPr>
      </w:pPr>
    </w:p>
    <w:p w14:paraId="41DD5E57" w14:textId="31F9130D" w:rsidR="00FF58B7" w:rsidRDefault="00FF58B7" w:rsidP="0022564B">
      <w:pPr>
        <w:pStyle w:val="NormalWeb"/>
        <w:tabs>
          <w:tab w:val="left" w:pos="142"/>
        </w:tabs>
        <w:spacing w:before="0" w:beforeAutospacing="0" w:after="0" w:afterAutospacing="0"/>
        <w:ind w:left="142" w:firstLine="218"/>
        <w:jc w:val="both"/>
      </w:pPr>
      <w:r>
        <w:t xml:space="preserve"> A Multi-Faceted Strategy This model aims to leverage Nigeria's substantial US$25 billion in annual remittance inflows by encouraging the diaspora to fund green energy projects. Its success depends on a multi-faceted strategy involving targeted marketing through diaspora </w:t>
      </w:r>
      <w:proofErr w:type="spellStart"/>
      <w:r>
        <w:t>organisations</w:t>
      </w:r>
      <w:proofErr w:type="spellEnd"/>
      <w:r>
        <w:t xml:space="preserve">, financial incentives like competitive dividends, and the unique offering of carbon credits. These credits, earned for every US$1,000 remitted, can be redeemed with partner companies, providing a tangible social benefit alongside financial returns. Trust is built through transparent </w:t>
      </w:r>
      <w:r>
        <w:lastRenderedPageBreak/>
        <w:t xml:space="preserve">governance with diaspora representation. The expected outcomes are significant, aiming to redirect US$100 million annually towards Nigeria's green transition. This would help bridge a significant portion of the funding gap whilst creating substantial socioeconomic impact, electrifying over communities, creating hundreds of jobs, and reducing carbon emissions. The model empowers the diaspora as a </w:t>
      </w:r>
      <w:r w:rsidR="0022564B">
        <w:t>veritable agent of economic transformation</w:t>
      </w:r>
      <w:r>
        <w:t>.</w:t>
      </w:r>
    </w:p>
    <w:p w14:paraId="7DB7E8E6" w14:textId="77777777" w:rsidR="00FF58B7" w:rsidRDefault="00FF58B7" w:rsidP="008D1B46">
      <w:pPr>
        <w:pStyle w:val="NormalWeb"/>
        <w:spacing w:before="0" w:beforeAutospacing="0" w:after="0" w:afterAutospacing="0"/>
        <w:jc w:val="both"/>
        <w:rPr>
          <w:rFonts w:eastAsia="Calibri"/>
          <w:color w:val="000000"/>
        </w:rPr>
      </w:pPr>
    </w:p>
    <w:p w14:paraId="70300AF9" w14:textId="2D832975" w:rsidR="0022564B" w:rsidRPr="008D5DE9" w:rsidRDefault="008D5DE9" w:rsidP="007F209D">
      <w:pPr>
        <w:pStyle w:val="NormalWeb"/>
        <w:spacing w:before="0" w:beforeAutospacing="0" w:after="0" w:afterAutospacing="0"/>
        <w:jc w:val="both"/>
        <w:rPr>
          <w:b/>
          <w:bCs/>
          <w:sz w:val="28"/>
          <w:szCs w:val="28"/>
        </w:rPr>
      </w:pPr>
      <w:r w:rsidRPr="008D5DE9">
        <w:rPr>
          <w:b/>
          <w:bCs/>
          <w:sz w:val="28"/>
          <w:szCs w:val="28"/>
        </w:rPr>
        <w:t>A COMPREHENSIVE FINANCIAL MODEL FOR THE GREEN TRANSITION FINTECH</w:t>
      </w:r>
    </w:p>
    <w:p w14:paraId="0523CF95" w14:textId="77777777" w:rsidR="007F209D" w:rsidRPr="0022564B" w:rsidRDefault="007F209D" w:rsidP="007F209D">
      <w:pPr>
        <w:pStyle w:val="NormalWeb"/>
        <w:spacing w:before="0" w:beforeAutospacing="0" w:after="0" w:afterAutospacing="0"/>
        <w:jc w:val="both"/>
        <w:rPr>
          <w:b/>
          <w:bCs/>
        </w:rPr>
      </w:pPr>
    </w:p>
    <w:p w14:paraId="7D68B4A7" w14:textId="77777777" w:rsidR="0022564B" w:rsidRDefault="0022564B" w:rsidP="0022564B">
      <w:pPr>
        <w:pStyle w:val="NormalWeb"/>
        <w:spacing w:before="0" w:beforeAutospacing="0" w:after="0" w:afterAutospacing="0"/>
        <w:jc w:val="both"/>
      </w:pPr>
      <w:r>
        <w:t xml:space="preserve"> This model projects the financial performance over a 5-year horizon (2025- 2029), which is a standard period for such analyses. </w:t>
      </w:r>
    </w:p>
    <w:p w14:paraId="1B12C6E3" w14:textId="77777777" w:rsidR="008D5DE9" w:rsidRDefault="0022564B" w:rsidP="00C4453A">
      <w:pPr>
        <w:pStyle w:val="NormalWeb"/>
        <w:spacing w:before="0" w:beforeAutospacing="0" w:after="0" w:afterAutospacing="0"/>
        <w:jc w:val="both"/>
        <w:rPr>
          <w:b/>
          <w:bCs/>
        </w:rPr>
      </w:pPr>
      <w:r w:rsidRPr="008D5DE9">
        <w:rPr>
          <w:b/>
          <w:bCs/>
        </w:rPr>
        <w:t>Core Assumptions (Base Case)</w:t>
      </w:r>
    </w:p>
    <w:p w14:paraId="476C297A" w14:textId="77777777" w:rsidR="008D5DE9" w:rsidRDefault="0022564B" w:rsidP="008D5DE9">
      <w:pPr>
        <w:pStyle w:val="NormalWeb"/>
        <w:numPr>
          <w:ilvl w:val="0"/>
          <w:numId w:val="32"/>
        </w:numPr>
        <w:spacing w:before="0" w:beforeAutospacing="0" w:after="0" w:afterAutospacing="0"/>
        <w:ind w:left="142" w:firstLine="0"/>
        <w:jc w:val="both"/>
      </w:pPr>
      <w:r>
        <w:t xml:space="preserve">Total Annual Remittances to Nigeria (Year 1): $25 billion (PwC Projection). We assume a 3% annual growth in total remittance volume, reflecting economic and demographic trends. </w:t>
      </w:r>
    </w:p>
    <w:p w14:paraId="59E4B546" w14:textId="77777777" w:rsidR="008D5DE9" w:rsidRDefault="0022564B" w:rsidP="008D5DE9">
      <w:pPr>
        <w:pStyle w:val="NormalWeb"/>
        <w:numPr>
          <w:ilvl w:val="0"/>
          <w:numId w:val="32"/>
        </w:numPr>
        <w:spacing w:before="0" w:beforeAutospacing="0" w:after="0" w:afterAutospacing="0"/>
        <w:ind w:left="142" w:firstLine="0"/>
        <w:jc w:val="both"/>
      </w:pPr>
      <w:r>
        <w:t xml:space="preserve">Fintech Market Penetration: 10% in Year 1, growing by 2 percentage points per year as the platform gains trust and brand recognition (reaching 18% by Year 5). </w:t>
      </w:r>
    </w:p>
    <w:p w14:paraId="118DC0A5" w14:textId="77777777" w:rsidR="008D5DE9" w:rsidRDefault="0022564B" w:rsidP="008D5DE9">
      <w:pPr>
        <w:pStyle w:val="NormalWeb"/>
        <w:numPr>
          <w:ilvl w:val="0"/>
          <w:numId w:val="32"/>
        </w:numPr>
        <w:spacing w:before="0" w:beforeAutospacing="0" w:after="0" w:afterAutospacing="0"/>
        <w:ind w:left="142" w:firstLine="0"/>
        <w:jc w:val="both"/>
      </w:pPr>
      <w:r>
        <w:t xml:space="preserve"> Revenue Streams: a) Transfer Fee: 2% of the transaction value. b) Exchange Rate Margin: 2% of the transaction value. </w:t>
      </w:r>
    </w:p>
    <w:p w14:paraId="7879F364" w14:textId="77777777" w:rsidR="008D5DE9" w:rsidRDefault="0022564B" w:rsidP="008D5DE9">
      <w:pPr>
        <w:pStyle w:val="NormalWeb"/>
        <w:numPr>
          <w:ilvl w:val="0"/>
          <w:numId w:val="32"/>
        </w:numPr>
        <w:spacing w:before="0" w:beforeAutospacing="0" w:after="0" w:afterAutospacing="0"/>
        <w:ind w:left="142" w:firstLine="0"/>
        <w:jc w:val="both"/>
      </w:pPr>
      <w:r>
        <w:t>Operational Costs (</w:t>
      </w:r>
      <w:proofErr w:type="spellStart"/>
      <w:r>
        <w:t>Opex</w:t>
      </w:r>
      <w:proofErr w:type="spellEnd"/>
      <w:r>
        <w:t xml:space="preserve">): a) Variable Costs (Payment Processing, Compliance): 0.7% of the processed volume. This covers bank fees, AML/KYC checks, and blockchain transaction costs. b) Fixed Costs (Salaries, Marketing, Tech, and Office): We model these to scale with operations. Starting at $5 million in Year 1 and growing at 10% annually to account for team expansion and increased marketing spend. </w:t>
      </w:r>
    </w:p>
    <w:p w14:paraId="7F2BDE01" w14:textId="77777777" w:rsidR="008D5DE9" w:rsidRDefault="0022564B" w:rsidP="008D5DE9">
      <w:pPr>
        <w:pStyle w:val="NormalWeb"/>
        <w:numPr>
          <w:ilvl w:val="0"/>
          <w:numId w:val="32"/>
        </w:numPr>
        <w:spacing w:before="0" w:beforeAutospacing="0" w:after="0" w:afterAutospacing="0"/>
        <w:ind w:left="142" w:firstLine="0"/>
        <w:jc w:val="both"/>
      </w:pPr>
      <w:r>
        <w:t xml:space="preserve">Capital Expenditure (Capex - Initial Setup): $2 million in Year 0 (prelaunch) for technology development, licensing, and initial branding. </w:t>
      </w:r>
    </w:p>
    <w:p w14:paraId="4ECE93FE" w14:textId="77777777" w:rsidR="008D5DE9" w:rsidRDefault="0022564B" w:rsidP="008D5DE9">
      <w:pPr>
        <w:pStyle w:val="NormalWeb"/>
        <w:numPr>
          <w:ilvl w:val="0"/>
          <w:numId w:val="32"/>
        </w:numPr>
        <w:spacing w:before="0" w:beforeAutospacing="0" w:after="0" w:afterAutospacing="0"/>
        <w:ind w:left="142" w:firstLine="0"/>
        <w:jc w:val="both"/>
      </w:pPr>
      <w:r>
        <w:t>Tax Rate: 30% (Nigeria's Corporate Income Tax rate).</w:t>
      </w:r>
    </w:p>
    <w:p w14:paraId="29AEEE97" w14:textId="35D88762" w:rsidR="00484630" w:rsidRDefault="0022564B" w:rsidP="008D5DE9">
      <w:pPr>
        <w:pStyle w:val="NormalWeb"/>
        <w:numPr>
          <w:ilvl w:val="0"/>
          <w:numId w:val="32"/>
        </w:numPr>
        <w:spacing w:before="0" w:beforeAutospacing="0" w:after="0" w:afterAutospacing="0"/>
        <w:ind w:left="142" w:firstLine="0"/>
        <w:jc w:val="both"/>
      </w:pPr>
      <w:r>
        <w:t>Green Project Allocation: 70% of Net Profit After Tax (NPAT) is allocated to the Diaspora Cooperative for investment in green projects. The remaining 30% is retained for re-investment into internal operations.</w:t>
      </w:r>
    </w:p>
    <w:p w14:paraId="4E71F8FD" w14:textId="77777777" w:rsidR="00C4453A" w:rsidRDefault="00C4453A" w:rsidP="0022564B">
      <w:pPr>
        <w:pStyle w:val="NormalWeb"/>
        <w:spacing w:before="0" w:beforeAutospacing="0" w:after="0" w:afterAutospacing="0"/>
        <w:jc w:val="both"/>
        <w:rPr>
          <w:b/>
          <w:bCs/>
          <w:sz w:val="22"/>
          <w:szCs w:val="22"/>
        </w:rPr>
      </w:pPr>
    </w:p>
    <w:p w14:paraId="4B0310B2" w14:textId="77777777" w:rsidR="00C4453A" w:rsidRDefault="00C4453A" w:rsidP="0022564B">
      <w:pPr>
        <w:pStyle w:val="NormalWeb"/>
        <w:spacing w:before="0" w:beforeAutospacing="0" w:after="0" w:afterAutospacing="0"/>
        <w:jc w:val="both"/>
        <w:rPr>
          <w:b/>
          <w:bCs/>
          <w:sz w:val="22"/>
          <w:szCs w:val="22"/>
        </w:rPr>
      </w:pPr>
    </w:p>
    <w:p w14:paraId="34A5725D" w14:textId="0569E857" w:rsidR="00E02942" w:rsidRPr="00C4453A" w:rsidRDefault="00781EA2" w:rsidP="0022564B">
      <w:pPr>
        <w:pStyle w:val="NormalWeb"/>
        <w:spacing w:before="0" w:beforeAutospacing="0" w:after="0" w:afterAutospacing="0"/>
        <w:jc w:val="both"/>
        <w:rPr>
          <w:b/>
          <w:bCs/>
          <w:sz w:val="28"/>
          <w:szCs w:val="28"/>
        </w:rPr>
      </w:pPr>
      <w:r w:rsidRPr="00C4453A">
        <w:rPr>
          <w:b/>
          <w:bCs/>
          <w:sz w:val="28"/>
          <w:szCs w:val="28"/>
        </w:rPr>
        <w:t xml:space="preserve">Year Financial Projection (Base Case) </w:t>
      </w:r>
    </w:p>
    <w:p w14:paraId="3A5E2770" w14:textId="77777777" w:rsidR="008D157B" w:rsidRDefault="008D157B" w:rsidP="0022564B">
      <w:pPr>
        <w:pStyle w:val="NormalWeb"/>
        <w:spacing w:before="0" w:beforeAutospacing="0" w:after="0" w:afterAutospacing="0"/>
        <w:jc w:val="both"/>
      </w:pPr>
    </w:p>
    <w:p w14:paraId="5DDC15CD" w14:textId="4FA45441" w:rsidR="004E075A" w:rsidRPr="00C4453A" w:rsidRDefault="00781EA2" w:rsidP="008D157B">
      <w:pPr>
        <w:pStyle w:val="NormalWeb"/>
        <w:spacing w:before="0" w:beforeAutospacing="0" w:after="0" w:afterAutospacing="0"/>
        <w:jc w:val="both"/>
      </w:pPr>
      <w:r w:rsidRPr="00E02942">
        <w:t>(All Figures in U</w:t>
      </w:r>
      <w:r w:rsidR="00E02942">
        <w:t>SD</w:t>
      </w:r>
      <w:r w:rsidRPr="00E02942">
        <w:t xml:space="preserve"> Millions)</w:t>
      </w:r>
    </w:p>
    <w:tbl>
      <w:tblPr>
        <w:tblStyle w:val="TableGrid0"/>
        <w:tblW w:w="0" w:type="auto"/>
        <w:tblLook w:val="04A0" w:firstRow="1" w:lastRow="0" w:firstColumn="1" w:lastColumn="0" w:noHBand="0" w:noVBand="1"/>
      </w:tblPr>
      <w:tblGrid>
        <w:gridCol w:w="1710"/>
        <w:gridCol w:w="1974"/>
        <w:gridCol w:w="1834"/>
        <w:gridCol w:w="1834"/>
        <w:gridCol w:w="1834"/>
        <w:gridCol w:w="1834"/>
      </w:tblGrid>
      <w:tr w:rsidR="00491F54" w:rsidRPr="00592D55" w14:paraId="1D31DBA1" w14:textId="77777777" w:rsidTr="008D157B">
        <w:tc>
          <w:tcPr>
            <w:tcW w:w="1696" w:type="dxa"/>
          </w:tcPr>
          <w:p w14:paraId="3E41B1EB" w14:textId="68E3923B" w:rsidR="00491F54" w:rsidRPr="00592D55" w:rsidRDefault="00491F54" w:rsidP="00491F54">
            <w:pPr>
              <w:pStyle w:val="NormalWeb"/>
              <w:spacing w:before="0" w:beforeAutospacing="0" w:after="0" w:afterAutospacing="0"/>
              <w:jc w:val="both"/>
              <w:rPr>
                <w:b/>
                <w:bCs/>
              </w:rPr>
            </w:pPr>
            <w:r w:rsidRPr="00592D55">
              <w:t>Line Item</w:t>
            </w:r>
          </w:p>
        </w:tc>
        <w:tc>
          <w:tcPr>
            <w:tcW w:w="1976" w:type="dxa"/>
          </w:tcPr>
          <w:p w14:paraId="79534747" w14:textId="62DFB427" w:rsidR="00491F54" w:rsidRPr="00E02942" w:rsidRDefault="00491F54" w:rsidP="00491F54">
            <w:pPr>
              <w:pStyle w:val="NormalWeb"/>
              <w:spacing w:before="0" w:beforeAutospacing="0" w:after="0" w:afterAutospacing="0"/>
              <w:jc w:val="both"/>
              <w:rPr>
                <w:b/>
                <w:bCs/>
              </w:rPr>
            </w:pPr>
            <w:r w:rsidRPr="00E02942">
              <w:rPr>
                <w:b/>
                <w:bCs/>
              </w:rPr>
              <w:t xml:space="preserve">Year 1 </w:t>
            </w:r>
            <w:r w:rsidRPr="00E02942">
              <w:t>(2025)</w:t>
            </w:r>
          </w:p>
        </w:tc>
        <w:tc>
          <w:tcPr>
            <w:tcW w:w="1837" w:type="dxa"/>
          </w:tcPr>
          <w:p w14:paraId="0AE276DE" w14:textId="346B8222" w:rsidR="00491F54" w:rsidRPr="00E02942" w:rsidRDefault="00491F54" w:rsidP="00491F54">
            <w:pPr>
              <w:pStyle w:val="NormalWeb"/>
              <w:spacing w:before="0" w:beforeAutospacing="0" w:after="0" w:afterAutospacing="0"/>
              <w:jc w:val="both"/>
              <w:rPr>
                <w:b/>
                <w:bCs/>
              </w:rPr>
            </w:pPr>
            <w:r w:rsidRPr="00E02942">
              <w:rPr>
                <w:b/>
                <w:bCs/>
              </w:rPr>
              <w:t xml:space="preserve">Year </w:t>
            </w:r>
            <w:r w:rsidRPr="00E02942">
              <w:rPr>
                <w:b/>
                <w:bCs/>
              </w:rPr>
              <w:t>2</w:t>
            </w:r>
            <w:r w:rsidRPr="00E02942">
              <w:rPr>
                <w:b/>
                <w:bCs/>
              </w:rPr>
              <w:t xml:space="preserve"> </w:t>
            </w:r>
            <w:r w:rsidRPr="00E02942">
              <w:t>(202</w:t>
            </w:r>
            <w:r w:rsidRPr="00E02942">
              <w:t>6</w:t>
            </w:r>
            <w:r w:rsidRPr="00E02942">
              <w:t>)</w:t>
            </w:r>
          </w:p>
        </w:tc>
        <w:tc>
          <w:tcPr>
            <w:tcW w:w="1837" w:type="dxa"/>
          </w:tcPr>
          <w:p w14:paraId="2CF6D0BB" w14:textId="3A8E4AAD" w:rsidR="00491F54" w:rsidRPr="00E02942" w:rsidRDefault="00491F54" w:rsidP="00491F54">
            <w:pPr>
              <w:pStyle w:val="NormalWeb"/>
              <w:spacing w:before="0" w:beforeAutospacing="0" w:after="0" w:afterAutospacing="0"/>
              <w:jc w:val="both"/>
              <w:rPr>
                <w:b/>
                <w:bCs/>
              </w:rPr>
            </w:pPr>
            <w:r w:rsidRPr="00E02942">
              <w:rPr>
                <w:b/>
                <w:bCs/>
              </w:rPr>
              <w:t xml:space="preserve">Year </w:t>
            </w:r>
            <w:r w:rsidRPr="00E02942">
              <w:rPr>
                <w:b/>
                <w:bCs/>
              </w:rPr>
              <w:t>3</w:t>
            </w:r>
            <w:r w:rsidRPr="00E02942">
              <w:rPr>
                <w:b/>
                <w:bCs/>
              </w:rPr>
              <w:t xml:space="preserve"> </w:t>
            </w:r>
            <w:r w:rsidRPr="00E02942">
              <w:t>(202</w:t>
            </w:r>
            <w:r w:rsidRPr="00E02942">
              <w:t>7</w:t>
            </w:r>
            <w:r w:rsidRPr="00E02942">
              <w:t>)</w:t>
            </w:r>
          </w:p>
        </w:tc>
        <w:tc>
          <w:tcPr>
            <w:tcW w:w="1837" w:type="dxa"/>
          </w:tcPr>
          <w:p w14:paraId="13B2649D" w14:textId="6C2F3599" w:rsidR="00491F54" w:rsidRPr="00E02942" w:rsidRDefault="00491F54" w:rsidP="00491F54">
            <w:pPr>
              <w:pStyle w:val="NormalWeb"/>
              <w:spacing w:before="0" w:beforeAutospacing="0" w:after="0" w:afterAutospacing="0"/>
              <w:jc w:val="both"/>
              <w:rPr>
                <w:b/>
                <w:bCs/>
              </w:rPr>
            </w:pPr>
            <w:r w:rsidRPr="00E02942">
              <w:rPr>
                <w:b/>
                <w:bCs/>
              </w:rPr>
              <w:t xml:space="preserve">Year </w:t>
            </w:r>
            <w:r w:rsidRPr="00E02942">
              <w:rPr>
                <w:b/>
                <w:bCs/>
              </w:rPr>
              <w:t>4</w:t>
            </w:r>
            <w:r w:rsidRPr="00E02942">
              <w:rPr>
                <w:b/>
                <w:bCs/>
              </w:rPr>
              <w:t xml:space="preserve"> </w:t>
            </w:r>
            <w:r w:rsidRPr="00E02942">
              <w:t>(202</w:t>
            </w:r>
            <w:r w:rsidRPr="00E02942">
              <w:t>8</w:t>
            </w:r>
            <w:r w:rsidRPr="00E02942">
              <w:t>)</w:t>
            </w:r>
          </w:p>
        </w:tc>
        <w:tc>
          <w:tcPr>
            <w:tcW w:w="1837" w:type="dxa"/>
          </w:tcPr>
          <w:p w14:paraId="3DCA83DF" w14:textId="44A16D82" w:rsidR="00491F54" w:rsidRPr="00E02942" w:rsidRDefault="00491F54" w:rsidP="00491F54">
            <w:pPr>
              <w:pStyle w:val="NormalWeb"/>
              <w:spacing w:before="0" w:beforeAutospacing="0" w:after="0" w:afterAutospacing="0"/>
              <w:jc w:val="both"/>
              <w:rPr>
                <w:b/>
                <w:bCs/>
              </w:rPr>
            </w:pPr>
            <w:r w:rsidRPr="00E02942">
              <w:rPr>
                <w:b/>
                <w:bCs/>
              </w:rPr>
              <w:t xml:space="preserve">Year </w:t>
            </w:r>
            <w:r w:rsidRPr="00E02942">
              <w:rPr>
                <w:b/>
                <w:bCs/>
              </w:rPr>
              <w:t>5</w:t>
            </w:r>
            <w:r w:rsidRPr="00E02942">
              <w:rPr>
                <w:b/>
                <w:bCs/>
              </w:rPr>
              <w:t xml:space="preserve"> </w:t>
            </w:r>
            <w:r w:rsidRPr="00E02942">
              <w:t>(202</w:t>
            </w:r>
            <w:r w:rsidRPr="00E02942">
              <w:t>9</w:t>
            </w:r>
            <w:r w:rsidRPr="00E02942">
              <w:t>)</w:t>
            </w:r>
          </w:p>
        </w:tc>
      </w:tr>
      <w:tr w:rsidR="00491F54" w:rsidRPr="00592D55" w14:paraId="17B075AC" w14:textId="77777777" w:rsidTr="003D1DE5">
        <w:tc>
          <w:tcPr>
            <w:tcW w:w="1696" w:type="dxa"/>
            <w:shd w:val="clear" w:color="auto" w:fill="8EAADB" w:themeFill="accent1" w:themeFillTint="99"/>
          </w:tcPr>
          <w:p w14:paraId="1CC36C42" w14:textId="5D30AF2A" w:rsidR="00491F54" w:rsidRPr="00592D55" w:rsidRDefault="00491F54" w:rsidP="004E075A">
            <w:pPr>
              <w:pStyle w:val="NormalWeb"/>
              <w:spacing w:before="0" w:beforeAutospacing="0" w:after="0" w:afterAutospacing="0"/>
              <w:jc w:val="both"/>
              <w:rPr>
                <w:b/>
                <w:bCs/>
              </w:rPr>
            </w:pPr>
            <w:r w:rsidRPr="00592D55">
              <w:t>Total Remittance Market</w:t>
            </w:r>
          </w:p>
        </w:tc>
        <w:tc>
          <w:tcPr>
            <w:tcW w:w="1976" w:type="dxa"/>
            <w:shd w:val="clear" w:color="auto" w:fill="8EAADB" w:themeFill="accent1" w:themeFillTint="99"/>
          </w:tcPr>
          <w:p w14:paraId="101CDF5F" w14:textId="6517D1FD" w:rsidR="00491F54" w:rsidRPr="00592D55" w:rsidRDefault="00491F54" w:rsidP="004E075A">
            <w:pPr>
              <w:pStyle w:val="NormalWeb"/>
              <w:spacing w:before="0" w:beforeAutospacing="0" w:after="0" w:afterAutospacing="0"/>
              <w:jc w:val="both"/>
              <w:rPr>
                <w:b/>
                <w:bCs/>
              </w:rPr>
            </w:pPr>
            <w:r w:rsidRPr="00592D55">
              <w:t>$25,000</w:t>
            </w:r>
          </w:p>
        </w:tc>
        <w:tc>
          <w:tcPr>
            <w:tcW w:w="1837" w:type="dxa"/>
            <w:shd w:val="clear" w:color="auto" w:fill="8EAADB" w:themeFill="accent1" w:themeFillTint="99"/>
          </w:tcPr>
          <w:p w14:paraId="3EB1E640" w14:textId="38E9317E" w:rsidR="00491F54" w:rsidRPr="00592D55" w:rsidRDefault="00491F54" w:rsidP="004E075A">
            <w:pPr>
              <w:pStyle w:val="NormalWeb"/>
              <w:spacing w:before="0" w:beforeAutospacing="0" w:after="0" w:afterAutospacing="0"/>
              <w:jc w:val="both"/>
              <w:rPr>
                <w:b/>
                <w:bCs/>
              </w:rPr>
            </w:pPr>
            <w:r w:rsidRPr="00592D55">
              <w:t>$25,750</w:t>
            </w:r>
          </w:p>
        </w:tc>
        <w:tc>
          <w:tcPr>
            <w:tcW w:w="1837" w:type="dxa"/>
            <w:shd w:val="clear" w:color="auto" w:fill="8EAADB" w:themeFill="accent1" w:themeFillTint="99"/>
          </w:tcPr>
          <w:p w14:paraId="49DAFB91" w14:textId="4A846A3A" w:rsidR="00491F54" w:rsidRPr="00592D55" w:rsidRDefault="009A1361" w:rsidP="004E075A">
            <w:pPr>
              <w:pStyle w:val="NormalWeb"/>
              <w:spacing w:before="0" w:beforeAutospacing="0" w:after="0" w:afterAutospacing="0"/>
              <w:jc w:val="both"/>
              <w:rPr>
                <w:b/>
                <w:bCs/>
              </w:rPr>
            </w:pPr>
            <w:r w:rsidRPr="00592D55">
              <w:t>$26,523</w:t>
            </w:r>
          </w:p>
        </w:tc>
        <w:tc>
          <w:tcPr>
            <w:tcW w:w="1837" w:type="dxa"/>
            <w:shd w:val="clear" w:color="auto" w:fill="8EAADB" w:themeFill="accent1" w:themeFillTint="99"/>
          </w:tcPr>
          <w:p w14:paraId="70F1CD1A" w14:textId="3F02F513" w:rsidR="00491F54" w:rsidRPr="00592D55" w:rsidRDefault="009A1361" w:rsidP="004E075A">
            <w:pPr>
              <w:pStyle w:val="NormalWeb"/>
              <w:spacing w:before="0" w:beforeAutospacing="0" w:after="0" w:afterAutospacing="0"/>
              <w:jc w:val="both"/>
              <w:rPr>
                <w:b/>
                <w:bCs/>
              </w:rPr>
            </w:pPr>
            <w:r w:rsidRPr="00592D55">
              <w:t>$27,318</w:t>
            </w:r>
          </w:p>
        </w:tc>
        <w:tc>
          <w:tcPr>
            <w:tcW w:w="1837" w:type="dxa"/>
            <w:shd w:val="clear" w:color="auto" w:fill="8EAADB" w:themeFill="accent1" w:themeFillTint="99"/>
          </w:tcPr>
          <w:p w14:paraId="07566013" w14:textId="442F6E61" w:rsidR="00491F54" w:rsidRPr="00592D55" w:rsidRDefault="009A1361" w:rsidP="004E075A">
            <w:pPr>
              <w:pStyle w:val="NormalWeb"/>
              <w:spacing w:before="0" w:beforeAutospacing="0" w:after="0" w:afterAutospacing="0"/>
              <w:jc w:val="both"/>
              <w:rPr>
                <w:b/>
                <w:bCs/>
              </w:rPr>
            </w:pPr>
            <w:r w:rsidRPr="00592D55">
              <w:t>$28,138</w:t>
            </w:r>
          </w:p>
        </w:tc>
      </w:tr>
      <w:tr w:rsidR="009A1361" w:rsidRPr="00592D55" w14:paraId="51F88291" w14:textId="77777777" w:rsidTr="008D157B">
        <w:tc>
          <w:tcPr>
            <w:tcW w:w="1696" w:type="dxa"/>
          </w:tcPr>
          <w:p w14:paraId="679F06DF" w14:textId="605EB52C" w:rsidR="009A1361" w:rsidRPr="00592D55" w:rsidRDefault="009A1361" w:rsidP="009A1361">
            <w:pPr>
              <w:pStyle w:val="NormalWeb"/>
              <w:spacing w:before="0" w:beforeAutospacing="0" w:after="0" w:afterAutospacing="0"/>
              <w:jc w:val="both"/>
              <w:rPr>
                <w:b/>
                <w:bCs/>
              </w:rPr>
            </w:pPr>
            <w:r w:rsidRPr="00592D55">
              <w:t xml:space="preserve">Market Penetration </w:t>
            </w:r>
          </w:p>
        </w:tc>
        <w:tc>
          <w:tcPr>
            <w:tcW w:w="1976" w:type="dxa"/>
          </w:tcPr>
          <w:p w14:paraId="5AD78C7A" w14:textId="5815D379" w:rsidR="009A1361" w:rsidRPr="00592D55" w:rsidRDefault="009A1361" w:rsidP="009A1361">
            <w:pPr>
              <w:pStyle w:val="NormalWeb"/>
              <w:spacing w:before="0" w:beforeAutospacing="0" w:after="0" w:afterAutospacing="0"/>
              <w:jc w:val="both"/>
              <w:rPr>
                <w:b/>
                <w:bCs/>
              </w:rPr>
            </w:pPr>
            <w:r w:rsidRPr="00592D55">
              <w:t xml:space="preserve">10.0% </w:t>
            </w:r>
          </w:p>
        </w:tc>
        <w:tc>
          <w:tcPr>
            <w:tcW w:w="1837" w:type="dxa"/>
          </w:tcPr>
          <w:p w14:paraId="1A34FAA4" w14:textId="41F159C6" w:rsidR="009A1361" w:rsidRPr="00592D55" w:rsidRDefault="009A1361" w:rsidP="009A1361">
            <w:pPr>
              <w:pStyle w:val="NormalWeb"/>
              <w:spacing w:before="0" w:beforeAutospacing="0" w:after="0" w:afterAutospacing="0"/>
              <w:jc w:val="both"/>
              <w:rPr>
                <w:b/>
                <w:bCs/>
              </w:rPr>
            </w:pPr>
            <w:r w:rsidRPr="00592D55">
              <w:t xml:space="preserve">12.0% </w:t>
            </w:r>
          </w:p>
        </w:tc>
        <w:tc>
          <w:tcPr>
            <w:tcW w:w="1837" w:type="dxa"/>
          </w:tcPr>
          <w:p w14:paraId="7D8022A4" w14:textId="23977FDF" w:rsidR="009A1361" w:rsidRPr="00592D55" w:rsidRDefault="009A1361" w:rsidP="009A1361">
            <w:pPr>
              <w:pStyle w:val="NormalWeb"/>
              <w:spacing w:before="0" w:beforeAutospacing="0" w:after="0" w:afterAutospacing="0"/>
              <w:jc w:val="both"/>
              <w:rPr>
                <w:b/>
                <w:bCs/>
              </w:rPr>
            </w:pPr>
            <w:r w:rsidRPr="00592D55">
              <w:t xml:space="preserve">14.0% </w:t>
            </w:r>
          </w:p>
        </w:tc>
        <w:tc>
          <w:tcPr>
            <w:tcW w:w="1837" w:type="dxa"/>
          </w:tcPr>
          <w:p w14:paraId="37BDEF34" w14:textId="3CD5F2F5" w:rsidR="009A1361" w:rsidRPr="00592D55" w:rsidRDefault="009A1361" w:rsidP="009A1361">
            <w:pPr>
              <w:pStyle w:val="NormalWeb"/>
              <w:spacing w:before="0" w:beforeAutospacing="0" w:after="0" w:afterAutospacing="0"/>
              <w:jc w:val="both"/>
              <w:rPr>
                <w:b/>
                <w:bCs/>
              </w:rPr>
            </w:pPr>
            <w:r w:rsidRPr="00592D55">
              <w:t xml:space="preserve">16.0% </w:t>
            </w:r>
          </w:p>
        </w:tc>
        <w:tc>
          <w:tcPr>
            <w:tcW w:w="1837" w:type="dxa"/>
          </w:tcPr>
          <w:p w14:paraId="0C8E8106" w14:textId="1B171A75" w:rsidR="009A1361" w:rsidRPr="00592D55" w:rsidRDefault="009A1361" w:rsidP="009A1361">
            <w:pPr>
              <w:pStyle w:val="NormalWeb"/>
              <w:spacing w:before="0" w:beforeAutospacing="0" w:after="0" w:afterAutospacing="0"/>
              <w:jc w:val="both"/>
              <w:rPr>
                <w:b/>
                <w:bCs/>
              </w:rPr>
            </w:pPr>
            <w:r w:rsidRPr="00592D55">
              <w:t xml:space="preserve">18.0% </w:t>
            </w:r>
          </w:p>
        </w:tc>
      </w:tr>
      <w:tr w:rsidR="00E97528" w:rsidRPr="00592D55" w14:paraId="1DF8783E" w14:textId="77777777" w:rsidTr="003D1DE5">
        <w:tc>
          <w:tcPr>
            <w:tcW w:w="1696" w:type="dxa"/>
            <w:shd w:val="clear" w:color="auto" w:fill="8EAADB" w:themeFill="accent1" w:themeFillTint="99"/>
          </w:tcPr>
          <w:p w14:paraId="45B5E824" w14:textId="23BF9C56" w:rsidR="00E97528" w:rsidRPr="00592D55" w:rsidRDefault="00E97528" w:rsidP="00E97528">
            <w:pPr>
              <w:pStyle w:val="NormalWeb"/>
              <w:spacing w:before="0" w:beforeAutospacing="0" w:after="0" w:afterAutospacing="0"/>
              <w:jc w:val="both"/>
              <w:rPr>
                <w:b/>
                <w:bCs/>
              </w:rPr>
            </w:pPr>
            <w:r w:rsidRPr="00592D55">
              <w:t>Platform Volume</w:t>
            </w:r>
          </w:p>
        </w:tc>
        <w:tc>
          <w:tcPr>
            <w:tcW w:w="1976" w:type="dxa"/>
            <w:shd w:val="clear" w:color="auto" w:fill="8EAADB" w:themeFill="accent1" w:themeFillTint="99"/>
          </w:tcPr>
          <w:p w14:paraId="6E978365" w14:textId="18607815" w:rsidR="00E97528" w:rsidRPr="008D157B" w:rsidRDefault="00E97528" w:rsidP="00E97528">
            <w:pPr>
              <w:pStyle w:val="NormalWeb"/>
              <w:spacing w:before="0" w:beforeAutospacing="0" w:after="0" w:afterAutospacing="0"/>
              <w:jc w:val="both"/>
              <w:rPr>
                <w:b/>
                <w:bCs/>
              </w:rPr>
            </w:pPr>
            <w:r w:rsidRPr="008D157B">
              <w:rPr>
                <w:b/>
                <w:bCs/>
              </w:rPr>
              <w:t xml:space="preserve">$2,500 </w:t>
            </w:r>
          </w:p>
        </w:tc>
        <w:tc>
          <w:tcPr>
            <w:tcW w:w="1837" w:type="dxa"/>
            <w:shd w:val="clear" w:color="auto" w:fill="8EAADB" w:themeFill="accent1" w:themeFillTint="99"/>
          </w:tcPr>
          <w:p w14:paraId="45989D1F" w14:textId="3172870C" w:rsidR="00E97528" w:rsidRPr="008D157B" w:rsidRDefault="00E97528" w:rsidP="00E97528">
            <w:pPr>
              <w:pStyle w:val="NormalWeb"/>
              <w:spacing w:before="0" w:beforeAutospacing="0" w:after="0" w:afterAutospacing="0"/>
              <w:jc w:val="both"/>
              <w:rPr>
                <w:b/>
                <w:bCs/>
              </w:rPr>
            </w:pPr>
            <w:r w:rsidRPr="008D157B">
              <w:rPr>
                <w:b/>
                <w:bCs/>
              </w:rPr>
              <w:t xml:space="preserve">$3,090 </w:t>
            </w:r>
          </w:p>
        </w:tc>
        <w:tc>
          <w:tcPr>
            <w:tcW w:w="1837" w:type="dxa"/>
            <w:shd w:val="clear" w:color="auto" w:fill="8EAADB" w:themeFill="accent1" w:themeFillTint="99"/>
          </w:tcPr>
          <w:p w14:paraId="0AD0899A" w14:textId="331260B0" w:rsidR="00E97528" w:rsidRPr="008D157B" w:rsidRDefault="00E97528" w:rsidP="00E97528">
            <w:pPr>
              <w:pStyle w:val="NormalWeb"/>
              <w:spacing w:before="0" w:beforeAutospacing="0" w:after="0" w:afterAutospacing="0"/>
              <w:jc w:val="both"/>
              <w:rPr>
                <w:b/>
                <w:bCs/>
              </w:rPr>
            </w:pPr>
            <w:r w:rsidRPr="008D157B">
              <w:rPr>
                <w:b/>
                <w:bCs/>
              </w:rPr>
              <w:t xml:space="preserve">$3,713 </w:t>
            </w:r>
          </w:p>
        </w:tc>
        <w:tc>
          <w:tcPr>
            <w:tcW w:w="1837" w:type="dxa"/>
            <w:shd w:val="clear" w:color="auto" w:fill="8EAADB" w:themeFill="accent1" w:themeFillTint="99"/>
          </w:tcPr>
          <w:p w14:paraId="7D3B9C87" w14:textId="16FD8EEA" w:rsidR="00E97528" w:rsidRPr="008D157B" w:rsidRDefault="00E97528" w:rsidP="00E97528">
            <w:pPr>
              <w:pStyle w:val="NormalWeb"/>
              <w:spacing w:before="0" w:beforeAutospacing="0" w:after="0" w:afterAutospacing="0"/>
              <w:jc w:val="both"/>
              <w:rPr>
                <w:b/>
                <w:bCs/>
              </w:rPr>
            </w:pPr>
            <w:r w:rsidRPr="008D157B">
              <w:rPr>
                <w:b/>
                <w:bCs/>
              </w:rPr>
              <w:t xml:space="preserve">$4,371 </w:t>
            </w:r>
          </w:p>
        </w:tc>
        <w:tc>
          <w:tcPr>
            <w:tcW w:w="1837" w:type="dxa"/>
            <w:shd w:val="clear" w:color="auto" w:fill="8EAADB" w:themeFill="accent1" w:themeFillTint="99"/>
          </w:tcPr>
          <w:p w14:paraId="72F0E119" w14:textId="6DBA4C68" w:rsidR="00E97528" w:rsidRPr="008D157B" w:rsidRDefault="00E97528" w:rsidP="00E97528">
            <w:pPr>
              <w:pStyle w:val="NormalWeb"/>
              <w:spacing w:before="0" w:beforeAutospacing="0" w:after="0" w:afterAutospacing="0"/>
              <w:jc w:val="both"/>
              <w:rPr>
                <w:b/>
                <w:bCs/>
              </w:rPr>
            </w:pPr>
            <w:r w:rsidRPr="008D157B">
              <w:rPr>
                <w:b/>
                <w:bCs/>
              </w:rPr>
              <w:t xml:space="preserve">$5,065 </w:t>
            </w:r>
          </w:p>
        </w:tc>
      </w:tr>
      <w:tr w:rsidR="00491F54" w:rsidRPr="00592D55" w14:paraId="78F32CB3" w14:textId="77777777" w:rsidTr="008D157B">
        <w:tc>
          <w:tcPr>
            <w:tcW w:w="1696" w:type="dxa"/>
          </w:tcPr>
          <w:p w14:paraId="60299540" w14:textId="275EB0FC" w:rsidR="00491F54" w:rsidRPr="00592D55" w:rsidRDefault="009A1361" w:rsidP="004E075A">
            <w:pPr>
              <w:pStyle w:val="NormalWeb"/>
              <w:spacing w:before="0" w:beforeAutospacing="0" w:after="0" w:afterAutospacing="0"/>
              <w:jc w:val="both"/>
              <w:rPr>
                <w:b/>
                <w:bCs/>
              </w:rPr>
            </w:pPr>
            <w:r w:rsidRPr="00592D55">
              <w:t>REVENUE</w:t>
            </w:r>
          </w:p>
        </w:tc>
        <w:tc>
          <w:tcPr>
            <w:tcW w:w="1976" w:type="dxa"/>
          </w:tcPr>
          <w:p w14:paraId="364F90F7" w14:textId="77777777" w:rsidR="00491F54" w:rsidRPr="00592D55" w:rsidRDefault="00491F54" w:rsidP="004E075A">
            <w:pPr>
              <w:pStyle w:val="NormalWeb"/>
              <w:spacing w:before="0" w:beforeAutospacing="0" w:after="0" w:afterAutospacing="0"/>
              <w:jc w:val="both"/>
              <w:rPr>
                <w:b/>
                <w:bCs/>
              </w:rPr>
            </w:pPr>
          </w:p>
        </w:tc>
        <w:tc>
          <w:tcPr>
            <w:tcW w:w="1837" w:type="dxa"/>
          </w:tcPr>
          <w:p w14:paraId="25792FF8" w14:textId="77777777" w:rsidR="00491F54" w:rsidRPr="00592D55" w:rsidRDefault="00491F54" w:rsidP="004E075A">
            <w:pPr>
              <w:pStyle w:val="NormalWeb"/>
              <w:spacing w:before="0" w:beforeAutospacing="0" w:after="0" w:afterAutospacing="0"/>
              <w:jc w:val="both"/>
              <w:rPr>
                <w:b/>
                <w:bCs/>
              </w:rPr>
            </w:pPr>
          </w:p>
        </w:tc>
        <w:tc>
          <w:tcPr>
            <w:tcW w:w="1837" w:type="dxa"/>
          </w:tcPr>
          <w:p w14:paraId="35320793" w14:textId="77777777" w:rsidR="00491F54" w:rsidRPr="00592D55" w:rsidRDefault="00491F54" w:rsidP="004E075A">
            <w:pPr>
              <w:pStyle w:val="NormalWeb"/>
              <w:spacing w:before="0" w:beforeAutospacing="0" w:after="0" w:afterAutospacing="0"/>
              <w:jc w:val="both"/>
              <w:rPr>
                <w:b/>
                <w:bCs/>
              </w:rPr>
            </w:pPr>
          </w:p>
        </w:tc>
        <w:tc>
          <w:tcPr>
            <w:tcW w:w="1837" w:type="dxa"/>
          </w:tcPr>
          <w:p w14:paraId="5B595B02" w14:textId="77777777" w:rsidR="00491F54" w:rsidRPr="00592D55" w:rsidRDefault="00491F54" w:rsidP="004E075A">
            <w:pPr>
              <w:pStyle w:val="NormalWeb"/>
              <w:spacing w:before="0" w:beforeAutospacing="0" w:after="0" w:afterAutospacing="0"/>
              <w:jc w:val="both"/>
              <w:rPr>
                <w:b/>
                <w:bCs/>
              </w:rPr>
            </w:pPr>
          </w:p>
        </w:tc>
        <w:tc>
          <w:tcPr>
            <w:tcW w:w="1837" w:type="dxa"/>
          </w:tcPr>
          <w:p w14:paraId="0E0535F2" w14:textId="77777777" w:rsidR="00491F54" w:rsidRPr="00592D55" w:rsidRDefault="00491F54" w:rsidP="004E075A">
            <w:pPr>
              <w:pStyle w:val="NormalWeb"/>
              <w:spacing w:before="0" w:beforeAutospacing="0" w:after="0" w:afterAutospacing="0"/>
              <w:jc w:val="both"/>
              <w:rPr>
                <w:b/>
                <w:bCs/>
              </w:rPr>
            </w:pPr>
          </w:p>
        </w:tc>
      </w:tr>
      <w:tr w:rsidR="00E97528" w:rsidRPr="00592D55" w14:paraId="5D89CF6B" w14:textId="77777777" w:rsidTr="008D157B">
        <w:tc>
          <w:tcPr>
            <w:tcW w:w="1696" w:type="dxa"/>
          </w:tcPr>
          <w:p w14:paraId="2406BA2D" w14:textId="52928522" w:rsidR="00E97528" w:rsidRPr="008D157B" w:rsidRDefault="00E97528" w:rsidP="00E97528">
            <w:pPr>
              <w:pStyle w:val="NormalWeb"/>
              <w:spacing w:before="0" w:beforeAutospacing="0" w:after="0" w:afterAutospacing="0"/>
              <w:jc w:val="both"/>
              <w:rPr>
                <w:b/>
                <w:bCs/>
              </w:rPr>
            </w:pPr>
            <w:r w:rsidRPr="008D157B">
              <w:rPr>
                <w:b/>
                <w:bCs/>
              </w:rPr>
              <w:t>Transfer Fees (2%)</w:t>
            </w:r>
          </w:p>
        </w:tc>
        <w:tc>
          <w:tcPr>
            <w:tcW w:w="1976" w:type="dxa"/>
          </w:tcPr>
          <w:p w14:paraId="31212099" w14:textId="0A2FFAEF" w:rsidR="00E97528" w:rsidRPr="00592D55" w:rsidRDefault="00E97528" w:rsidP="00E97528">
            <w:pPr>
              <w:pStyle w:val="NormalWeb"/>
              <w:spacing w:before="0" w:beforeAutospacing="0" w:after="0" w:afterAutospacing="0"/>
              <w:jc w:val="both"/>
              <w:rPr>
                <w:b/>
                <w:bCs/>
              </w:rPr>
            </w:pPr>
            <w:r w:rsidRPr="00592D55">
              <w:t>$50.0</w:t>
            </w:r>
          </w:p>
        </w:tc>
        <w:tc>
          <w:tcPr>
            <w:tcW w:w="1837" w:type="dxa"/>
          </w:tcPr>
          <w:p w14:paraId="5EEC55A9" w14:textId="132C96E9" w:rsidR="00E97528" w:rsidRPr="00592D55" w:rsidRDefault="00E97528" w:rsidP="00E97528">
            <w:pPr>
              <w:pStyle w:val="NormalWeb"/>
              <w:spacing w:before="0" w:beforeAutospacing="0" w:after="0" w:afterAutospacing="0"/>
              <w:jc w:val="both"/>
              <w:rPr>
                <w:b/>
                <w:bCs/>
              </w:rPr>
            </w:pPr>
            <w:r w:rsidRPr="00592D55">
              <w:t>$61.8</w:t>
            </w:r>
          </w:p>
        </w:tc>
        <w:tc>
          <w:tcPr>
            <w:tcW w:w="1837" w:type="dxa"/>
          </w:tcPr>
          <w:p w14:paraId="2B9F2A8F" w14:textId="56E9650E" w:rsidR="00E97528" w:rsidRPr="00592D55" w:rsidRDefault="00E97528" w:rsidP="00E97528">
            <w:pPr>
              <w:pStyle w:val="NormalWeb"/>
              <w:spacing w:before="0" w:beforeAutospacing="0" w:after="0" w:afterAutospacing="0"/>
              <w:jc w:val="both"/>
              <w:rPr>
                <w:b/>
                <w:bCs/>
              </w:rPr>
            </w:pPr>
            <w:r w:rsidRPr="00592D55">
              <w:t>$74.3</w:t>
            </w:r>
          </w:p>
        </w:tc>
        <w:tc>
          <w:tcPr>
            <w:tcW w:w="1837" w:type="dxa"/>
          </w:tcPr>
          <w:p w14:paraId="14307496" w14:textId="5E3E4BE4" w:rsidR="00E97528" w:rsidRPr="00592D55" w:rsidRDefault="00E97528" w:rsidP="00E97528">
            <w:pPr>
              <w:pStyle w:val="NormalWeb"/>
              <w:spacing w:before="0" w:beforeAutospacing="0" w:after="0" w:afterAutospacing="0"/>
              <w:jc w:val="both"/>
              <w:rPr>
                <w:b/>
                <w:bCs/>
              </w:rPr>
            </w:pPr>
            <w:r w:rsidRPr="00592D55">
              <w:t>$87.4</w:t>
            </w:r>
          </w:p>
        </w:tc>
        <w:tc>
          <w:tcPr>
            <w:tcW w:w="1837" w:type="dxa"/>
          </w:tcPr>
          <w:p w14:paraId="21F560A8" w14:textId="6CDD7205" w:rsidR="00E97528" w:rsidRPr="00592D55" w:rsidRDefault="00E97528" w:rsidP="00E97528">
            <w:pPr>
              <w:pStyle w:val="NormalWeb"/>
              <w:spacing w:before="0" w:beforeAutospacing="0" w:after="0" w:afterAutospacing="0"/>
              <w:jc w:val="both"/>
              <w:rPr>
                <w:b/>
                <w:bCs/>
              </w:rPr>
            </w:pPr>
            <w:r w:rsidRPr="00592D55">
              <w:t>$101.3</w:t>
            </w:r>
          </w:p>
        </w:tc>
      </w:tr>
      <w:tr w:rsidR="00E97528" w:rsidRPr="00592D55" w14:paraId="27B8C5BB" w14:textId="77777777" w:rsidTr="003D1DE5">
        <w:tc>
          <w:tcPr>
            <w:tcW w:w="1696" w:type="dxa"/>
            <w:shd w:val="clear" w:color="auto" w:fill="8EAADB" w:themeFill="accent1" w:themeFillTint="99"/>
          </w:tcPr>
          <w:p w14:paraId="30B29109" w14:textId="5F9F3800" w:rsidR="00E97528" w:rsidRPr="008D157B" w:rsidRDefault="00E97528" w:rsidP="00E97528">
            <w:pPr>
              <w:pStyle w:val="NormalWeb"/>
              <w:spacing w:before="0" w:beforeAutospacing="0" w:after="0" w:afterAutospacing="0"/>
              <w:jc w:val="both"/>
              <w:rPr>
                <w:b/>
                <w:bCs/>
              </w:rPr>
            </w:pPr>
            <w:r w:rsidRPr="008D157B">
              <w:rPr>
                <w:b/>
                <w:bCs/>
              </w:rPr>
              <w:t>FX Margin (2%)</w:t>
            </w:r>
          </w:p>
        </w:tc>
        <w:tc>
          <w:tcPr>
            <w:tcW w:w="1976" w:type="dxa"/>
            <w:shd w:val="clear" w:color="auto" w:fill="8EAADB" w:themeFill="accent1" w:themeFillTint="99"/>
          </w:tcPr>
          <w:p w14:paraId="4D72C43C" w14:textId="16C42392" w:rsidR="00E97528" w:rsidRPr="00592D55" w:rsidRDefault="00E97528" w:rsidP="00E97528">
            <w:pPr>
              <w:pStyle w:val="NormalWeb"/>
              <w:spacing w:before="0" w:beforeAutospacing="0" w:after="0" w:afterAutospacing="0"/>
              <w:jc w:val="both"/>
              <w:rPr>
                <w:b/>
                <w:bCs/>
              </w:rPr>
            </w:pPr>
            <w:r w:rsidRPr="00592D55">
              <w:t xml:space="preserve">$50.0 </w:t>
            </w:r>
          </w:p>
        </w:tc>
        <w:tc>
          <w:tcPr>
            <w:tcW w:w="1837" w:type="dxa"/>
            <w:shd w:val="clear" w:color="auto" w:fill="8EAADB" w:themeFill="accent1" w:themeFillTint="99"/>
          </w:tcPr>
          <w:p w14:paraId="46DF13F4" w14:textId="67C6075A" w:rsidR="00E97528" w:rsidRPr="00592D55" w:rsidRDefault="00E97528" w:rsidP="00E97528">
            <w:pPr>
              <w:pStyle w:val="NormalWeb"/>
              <w:spacing w:before="0" w:beforeAutospacing="0" w:after="0" w:afterAutospacing="0"/>
              <w:jc w:val="both"/>
              <w:rPr>
                <w:b/>
                <w:bCs/>
              </w:rPr>
            </w:pPr>
            <w:r w:rsidRPr="00592D55">
              <w:t xml:space="preserve">$61.8 </w:t>
            </w:r>
          </w:p>
        </w:tc>
        <w:tc>
          <w:tcPr>
            <w:tcW w:w="1837" w:type="dxa"/>
            <w:shd w:val="clear" w:color="auto" w:fill="8EAADB" w:themeFill="accent1" w:themeFillTint="99"/>
          </w:tcPr>
          <w:p w14:paraId="770D4F87" w14:textId="4379124E" w:rsidR="00E97528" w:rsidRPr="00592D55" w:rsidRDefault="00E97528" w:rsidP="00E97528">
            <w:pPr>
              <w:pStyle w:val="NormalWeb"/>
              <w:spacing w:before="0" w:beforeAutospacing="0" w:after="0" w:afterAutospacing="0"/>
              <w:jc w:val="both"/>
              <w:rPr>
                <w:b/>
                <w:bCs/>
              </w:rPr>
            </w:pPr>
            <w:r w:rsidRPr="00592D55">
              <w:t xml:space="preserve">$74.3 </w:t>
            </w:r>
          </w:p>
        </w:tc>
        <w:tc>
          <w:tcPr>
            <w:tcW w:w="1837" w:type="dxa"/>
            <w:shd w:val="clear" w:color="auto" w:fill="8EAADB" w:themeFill="accent1" w:themeFillTint="99"/>
          </w:tcPr>
          <w:p w14:paraId="54B0F0B8" w14:textId="5F3DB1C3" w:rsidR="00E97528" w:rsidRPr="00592D55" w:rsidRDefault="00E97528" w:rsidP="00E97528">
            <w:pPr>
              <w:pStyle w:val="NormalWeb"/>
              <w:spacing w:before="0" w:beforeAutospacing="0" w:after="0" w:afterAutospacing="0"/>
              <w:jc w:val="both"/>
              <w:rPr>
                <w:b/>
                <w:bCs/>
              </w:rPr>
            </w:pPr>
            <w:r w:rsidRPr="00592D55">
              <w:t xml:space="preserve">$87.4 </w:t>
            </w:r>
          </w:p>
        </w:tc>
        <w:tc>
          <w:tcPr>
            <w:tcW w:w="1837" w:type="dxa"/>
            <w:shd w:val="clear" w:color="auto" w:fill="8EAADB" w:themeFill="accent1" w:themeFillTint="99"/>
          </w:tcPr>
          <w:p w14:paraId="230F944B" w14:textId="5CD97A5A" w:rsidR="00E97528" w:rsidRPr="00592D55" w:rsidRDefault="00E97528" w:rsidP="00E97528">
            <w:pPr>
              <w:pStyle w:val="NormalWeb"/>
              <w:spacing w:before="0" w:beforeAutospacing="0" w:after="0" w:afterAutospacing="0"/>
              <w:jc w:val="both"/>
              <w:rPr>
                <w:b/>
                <w:bCs/>
              </w:rPr>
            </w:pPr>
            <w:r w:rsidRPr="00592D55">
              <w:t xml:space="preserve">$101.3 </w:t>
            </w:r>
          </w:p>
        </w:tc>
      </w:tr>
      <w:tr w:rsidR="00E97528" w:rsidRPr="00592D55" w14:paraId="18644CC4" w14:textId="77777777" w:rsidTr="008D157B">
        <w:tc>
          <w:tcPr>
            <w:tcW w:w="1696" w:type="dxa"/>
          </w:tcPr>
          <w:p w14:paraId="04CF40E9" w14:textId="0F576F6C" w:rsidR="00E97528" w:rsidRPr="00592D55" w:rsidRDefault="00E97528" w:rsidP="00E97528">
            <w:pPr>
              <w:pStyle w:val="NormalWeb"/>
              <w:spacing w:before="0" w:beforeAutospacing="0" w:after="0" w:afterAutospacing="0"/>
              <w:jc w:val="both"/>
              <w:rPr>
                <w:b/>
                <w:bCs/>
              </w:rPr>
            </w:pPr>
            <w:r w:rsidRPr="00592D55">
              <w:t>Total Revenue</w:t>
            </w:r>
          </w:p>
        </w:tc>
        <w:tc>
          <w:tcPr>
            <w:tcW w:w="1976" w:type="dxa"/>
          </w:tcPr>
          <w:p w14:paraId="1DF9E949" w14:textId="0308B35B" w:rsidR="00E97528" w:rsidRPr="008D157B" w:rsidRDefault="00E97528" w:rsidP="00E97528">
            <w:pPr>
              <w:pStyle w:val="NormalWeb"/>
              <w:spacing w:before="0" w:beforeAutospacing="0" w:after="0" w:afterAutospacing="0"/>
              <w:jc w:val="both"/>
              <w:rPr>
                <w:b/>
                <w:bCs/>
              </w:rPr>
            </w:pPr>
            <w:r w:rsidRPr="008D157B">
              <w:rPr>
                <w:b/>
                <w:bCs/>
              </w:rPr>
              <w:t xml:space="preserve">$100.0 </w:t>
            </w:r>
          </w:p>
        </w:tc>
        <w:tc>
          <w:tcPr>
            <w:tcW w:w="1837" w:type="dxa"/>
          </w:tcPr>
          <w:p w14:paraId="177769AB" w14:textId="35053E61" w:rsidR="00E97528" w:rsidRPr="008D157B" w:rsidRDefault="00E97528" w:rsidP="00E97528">
            <w:pPr>
              <w:pStyle w:val="NormalWeb"/>
              <w:spacing w:before="0" w:beforeAutospacing="0" w:after="0" w:afterAutospacing="0"/>
              <w:jc w:val="both"/>
              <w:rPr>
                <w:b/>
                <w:bCs/>
              </w:rPr>
            </w:pPr>
            <w:r w:rsidRPr="008D157B">
              <w:rPr>
                <w:b/>
                <w:bCs/>
              </w:rPr>
              <w:t xml:space="preserve">$123.6 </w:t>
            </w:r>
          </w:p>
        </w:tc>
        <w:tc>
          <w:tcPr>
            <w:tcW w:w="1837" w:type="dxa"/>
          </w:tcPr>
          <w:p w14:paraId="5B1D77EC" w14:textId="4567C3A5" w:rsidR="00E97528" w:rsidRPr="008D157B" w:rsidRDefault="00E97528" w:rsidP="00E97528">
            <w:pPr>
              <w:pStyle w:val="NormalWeb"/>
              <w:spacing w:before="0" w:beforeAutospacing="0" w:after="0" w:afterAutospacing="0"/>
              <w:jc w:val="both"/>
              <w:rPr>
                <w:b/>
                <w:bCs/>
              </w:rPr>
            </w:pPr>
            <w:r w:rsidRPr="008D157B">
              <w:rPr>
                <w:b/>
                <w:bCs/>
              </w:rPr>
              <w:t xml:space="preserve">$148.5 </w:t>
            </w:r>
          </w:p>
        </w:tc>
        <w:tc>
          <w:tcPr>
            <w:tcW w:w="1837" w:type="dxa"/>
          </w:tcPr>
          <w:p w14:paraId="148E786C" w14:textId="67D676E9" w:rsidR="00E97528" w:rsidRPr="008D157B" w:rsidRDefault="00E97528" w:rsidP="00E97528">
            <w:pPr>
              <w:pStyle w:val="NormalWeb"/>
              <w:spacing w:before="0" w:beforeAutospacing="0" w:after="0" w:afterAutospacing="0"/>
              <w:jc w:val="both"/>
              <w:rPr>
                <w:b/>
                <w:bCs/>
              </w:rPr>
            </w:pPr>
            <w:r w:rsidRPr="008D157B">
              <w:rPr>
                <w:b/>
                <w:bCs/>
              </w:rPr>
              <w:t xml:space="preserve">$174.8 </w:t>
            </w:r>
          </w:p>
        </w:tc>
        <w:tc>
          <w:tcPr>
            <w:tcW w:w="1837" w:type="dxa"/>
          </w:tcPr>
          <w:p w14:paraId="38AE78FD" w14:textId="299CB870" w:rsidR="00E97528" w:rsidRPr="008D157B" w:rsidRDefault="00E97528" w:rsidP="00E97528">
            <w:pPr>
              <w:pStyle w:val="NormalWeb"/>
              <w:spacing w:before="0" w:beforeAutospacing="0" w:after="0" w:afterAutospacing="0"/>
              <w:jc w:val="both"/>
              <w:rPr>
                <w:b/>
                <w:bCs/>
              </w:rPr>
            </w:pPr>
            <w:r w:rsidRPr="008D157B">
              <w:rPr>
                <w:b/>
                <w:bCs/>
              </w:rPr>
              <w:t xml:space="preserve">$202.6 </w:t>
            </w:r>
          </w:p>
        </w:tc>
      </w:tr>
      <w:tr w:rsidR="00491F54" w:rsidRPr="00592D55" w14:paraId="4FDB4580" w14:textId="77777777" w:rsidTr="008D157B">
        <w:tc>
          <w:tcPr>
            <w:tcW w:w="1696" w:type="dxa"/>
          </w:tcPr>
          <w:p w14:paraId="4E3CDB89" w14:textId="1042D0DF" w:rsidR="00491F54" w:rsidRPr="00592D55" w:rsidRDefault="009A1361" w:rsidP="004E075A">
            <w:pPr>
              <w:pStyle w:val="NormalWeb"/>
              <w:spacing w:before="0" w:beforeAutospacing="0" w:after="0" w:afterAutospacing="0"/>
              <w:jc w:val="both"/>
              <w:rPr>
                <w:b/>
                <w:bCs/>
              </w:rPr>
            </w:pPr>
            <w:r w:rsidRPr="00592D55">
              <w:t>OPERATING COSTS</w:t>
            </w:r>
          </w:p>
        </w:tc>
        <w:tc>
          <w:tcPr>
            <w:tcW w:w="1976" w:type="dxa"/>
          </w:tcPr>
          <w:p w14:paraId="0FBEF09D" w14:textId="77777777" w:rsidR="00491F54" w:rsidRPr="00592D55" w:rsidRDefault="00491F54" w:rsidP="004E075A">
            <w:pPr>
              <w:pStyle w:val="NormalWeb"/>
              <w:spacing w:before="0" w:beforeAutospacing="0" w:after="0" w:afterAutospacing="0"/>
              <w:jc w:val="both"/>
              <w:rPr>
                <w:b/>
                <w:bCs/>
              </w:rPr>
            </w:pPr>
          </w:p>
        </w:tc>
        <w:tc>
          <w:tcPr>
            <w:tcW w:w="1837" w:type="dxa"/>
          </w:tcPr>
          <w:p w14:paraId="2B216258" w14:textId="77777777" w:rsidR="00491F54" w:rsidRPr="00592D55" w:rsidRDefault="00491F54" w:rsidP="004E075A">
            <w:pPr>
              <w:pStyle w:val="NormalWeb"/>
              <w:spacing w:before="0" w:beforeAutospacing="0" w:after="0" w:afterAutospacing="0"/>
              <w:jc w:val="both"/>
              <w:rPr>
                <w:b/>
                <w:bCs/>
              </w:rPr>
            </w:pPr>
          </w:p>
        </w:tc>
        <w:tc>
          <w:tcPr>
            <w:tcW w:w="1837" w:type="dxa"/>
          </w:tcPr>
          <w:p w14:paraId="3AC6A35C" w14:textId="77777777" w:rsidR="00491F54" w:rsidRPr="00592D55" w:rsidRDefault="00491F54" w:rsidP="004E075A">
            <w:pPr>
              <w:pStyle w:val="NormalWeb"/>
              <w:spacing w:before="0" w:beforeAutospacing="0" w:after="0" w:afterAutospacing="0"/>
              <w:jc w:val="both"/>
              <w:rPr>
                <w:b/>
                <w:bCs/>
              </w:rPr>
            </w:pPr>
          </w:p>
        </w:tc>
        <w:tc>
          <w:tcPr>
            <w:tcW w:w="1837" w:type="dxa"/>
          </w:tcPr>
          <w:p w14:paraId="7175CEA5" w14:textId="77777777" w:rsidR="00491F54" w:rsidRPr="00592D55" w:rsidRDefault="00491F54" w:rsidP="004E075A">
            <w:pPr>
              <w:pStyle w:val="NormalWeb"/>
              <w:spacing w:before="0" w:beforeAutospacing="0" w:after="0" w:afterAutospacing="0"/>
              <w:jc w:val="both"/>
              <w:rPr>
                <w:b/>
                <w:bCs/>
              </w:rPr>
            </w:pPr>
          </w:p>
        </w:tc>
        <w:tc>
          <w:tcPr>
            <w:tcW w:w="1837" w:type="dxa"/>
          </w:tcPr>
          <w:p w14:paraId="4F85820E" w14:textId="77777777" w:rsidR="00491F54" w:rsidRPr="00592D55" w:rsidRDefault="00491F54" w:rsidP="004E075A">
            <w:pPr>
              <w:pStyle w:val="NormalWeb"/>
              <w:spacing w:before="0" w:beforeAutospacing="0" w:after="0" w:afterAutospacing="0"/>
              <w:jc w:val="both"/>
              <w:rPr>
                <w:b/>
                <w:bCs/>
              </w:rPr>
            </w:pPr>
          </w:p>
        </w:tc>
      </w:tr>
      <w:tr w:rsidR="00143A29" w:rsidRPr="00592D55" w14:paraId="45A9C9E1" w14:textId="77777777" w:rsidTr="003D1DE5">
        <w:tc>
          <w:tcPr>
            <w:tcW w:w="1696" w:type="dxa"/>
            <w:shd w:val="clear" w:color="auto" w:fill="8EAADB" w:themeFill="accent1" w:themeFillTint="99"/>
          </w:tcPr>
          <w:p w14:paraId="0FA3F885" w14:textId="6C9BDCB8" w:rsidR="00143A29" w:rsidRPr="00974098" w:rsidRDefault="00143A29" w:rsidP="00143A29">
            <w:pPr>
              <w:pStyle w:val="NormalWeb"/>
              <w:spacing w:before="0" w:beforeAutospacing="0" w:after="0" w:afterAutospacing="0"/>
              <w:jc w:val="both"/>
              <w:rPr>
                <w:b/>
                <w:bCs/>
              </w:rPr>
            </w:pPr>
            <w:r w:rsidRPr="00974098">
              <w:rPr>
                <w:b/>
                <w:bCs/>
              </w:rPr>
              <w:t>Variable Costs (0.7%)</w:t>
            </w:r>
          </w:p>
        </w:tc>
        <w:tc>
          <w:tcPr>
            <w:tcW w:w="1976" w:type="dxa"/>
            <w:shd w:val="clear" w:color="auto" w:fill="8EAADB" w:themeFill="accent1" w:themeFillTint="99"/>
          </w:tcPr>
          <w:p w14:paraId="2081BB71" w14:textId="206C7F00" w:rsidR="00143A29" w:rsidRPr="00592D55" w:rsidRDefault="00143A29" w:rsidP="00143A29">
            <w:pPr>
              <w:pStyle w:val="NormalWeb"/>
              <w:spacing w:before="0" w:beforeAutospacing="0" w:after="0" w:afterAutospacing="0"/>
              <w:jc w:val="both"/>
              <w:rPr>
                <w:b/>
                <w:bCs/>
              </w:rPr>
            </w:pPr>
            <w:r w:rsidRPr="00592D55">
              <w:t xml:space="preserve">$17.5 </w:t>
            </w:r>
          </w:p>
        </w:tc>
        <w:tc>
          <w:tcPr>
            <w:tcW w:w="1837" w:type="dxa"/>
            <w:shd w:val="clear" w:color="auto" w:fill="8EAADB" w:themeFill="accent1" w:themeFillTint="99"/>
          </w:tcPr>
          <w:p w14:paraId="2C00AF93" w14:textId="4EAB65C8" w:rsidR="00143A29" w:rsidRPr="00592D55" w:rsidRDefault="00143A29" w:rsidP="00143A29">
            <w:pPr>
              <w:pStyle w:val="NormalWeb"/>
              <w:spacing w:before="0" w:beforeAutospacing="0" w:after="0" w:afterAutospacing="0"/>
              <w:jc w:val="both"/>
              <w:rPr>
                <w:b/>
                <w:bCs/>
              </w:rPr>
            </w:pPr>
            <w:r w:rsidRPr="00592D55">
              <w:t xml:space="preserve">$21.6 </w:t>
            </w:r>
          </w:p>
        </w:tc>
        <w:tc>
          <w:tcPr>
            <w:tcW w:w="1837" w:type="dxa"/>
            <w:shd w:val="clear" w:color="auto" w:fill="8EAADB" w:themeFill="accent1" w:themeFillTint="99"/>
          </w:tcPr>
          <w:p w14:paraId="315C65DB" w14:textId="1A03E489" w:rsidR="00143A29" w:rsidRPr="00592D55" w:rsidRDefault="00143A29" w:rsidP="00143A29">
            <w:pPr>
              <w:pStyle w:val="NormalWeb"/>
              <w:spacing w:before="0" w:beforeAutospacing="0" w:after="0" w:afterAutospacing="0"/>
              <w:jc w:val="both"/>
              <w:rPr>
                <w:b/>
                <w:bCs/>
              </w:rPr>
            </w:pPr>
            <w:r w:rsidRPr="00592D55">
              <w:t xml:space="preserve">$26.0 </w:t>
            </w:r>
          </w:p>
        </w:tc>
        <w:tc>
          <w:tcPr>
            <w:tcW w:w="1837" w:type="dxa"/>
            <w:shd w:val="clear" w:color="auto" w:fill="8EAADB" w:themeFill="accent1" w:themeFillTint="99"/>
          </w:tcPr>
          <w:p w14:paraId="40BC5907" w14:textId="73DB5FCE" w:rsidR="00143A29" w:rsidRPr="00592D55" w:rsidRDefault="00143A29" w:rsidP="00143A29">
            <w:pPr>
              <w:pStyle w:val="NormalWeb"/>
              <w:spacing w:before="0" w:beforeAutospacing="0" w:after="0" w:afterAutospacing="0"/>
              <w:jc w:val="both"/>
              <w:rPr>
                <w:b/>
                <w:bCs/>
              </w:rPr>
            </w:pPr>
            <w:r w:rsidRPr="00592D55">
              <w:t xml:space="preserve">$30.6 </w:t>
            </w:r>
          </w:p>
        </w:tc>
        <w:tc>
          <w:tcPr>
            <w:tcW w:w="1837" w:type="dxa"/>
            <w:shd w:val="clear" w:color="auto" w:fill="8EAADB" w:themeFill="accent1" w:themeFillTint="99"/>
          </w:tcPr>
          <w:p w14:paraId="14B02C8D" w14:textId="073AC8EE" w:rsidR="00143A29" w:rsidRPr="00592D55" w:rsidRDefault="00143A29" w:rsidP="00143A29">
            <w:pPr>
              <w:pStyle w:val="NormalWeb"/>
              <w:spacing w:before="0" w:beforeAutospacing="0" w:after="0" w:afterAutospacing="0"/>
              <w:jc w:val="both"/>
              <w:rPr>
                <w:b/>
                <w:bCs/>
              </w:rPr>
            </w:pPr>
            <w:r w:rsidRPr="00592D55">
              <w:t xml:space="preserve">$35.5 </w:t>
            </w:r>
          </w:p>
        </w:tc>
      </w:tr>
      <w:tr w:rsidR="00C03943" w:rsidRPr="00592D55" w14:paraId="68FCEA01" w14:textId="77777777" w:rsidTr="008D157B">
        <w:tc>
          <w:tcPr>
            <w:tcW w:w="1696" w:type="dxa"/>
          </w:tcPr>
          <w:p w14:paraId="4E331116" w14:textId="643DDE6B" w:rsidR="00C03943" w:rsidRPr="00974098" w:rsidRDefault="00C03943" w:rsidP="00C03943">
            <w:pPr>
              <w:pStyle w:val="NormalWeb"/>
              <w:spacing w:before="0" w:beforeAutospacing="0" w:after="0" w:afterAutospacing="0"/>
              <w:jc w:val="both"/>
              <w:rPr>
                <w:b/>
                <w:bCs/>
              </w:rPr>
            </w:pPr>
            <w:r w:rsidRPr="00974098">
              <w:rPr>
                <w:b/>
                <w:bCs/>
              </w:rPr>
              <w:t>Fixed Costs</w:t>
            </w:r>
          </w:p>
        </w:tc>
        <w:tc>
          <w:tcPr>
            <w:tcW w:w="1976" w:type="dxa"/>
          </w:tcPr>
          <w:p w14:paraId="18235D66" w14:textId="1F3DB68F" w:rsidR="00C03943" w:rsidRPr="00592D55" w:rsidRDefault="00C03943" w:rsidP="00C03943">
            <w:pPr>
              <w:pStyle w:val="NormalWeb"/>
              <w:spacing w:before="0" w:beforeAutospacing="0" w:after="0" w:afterAutospacing="0"/>
              <w:jc w:val="both"/>
              <w:rPr>
                <w:b/>
                <w:bCs/>
              </w:rPr>
            </w:pPr>
            <w:r w:rsidRPr="00592D55">
              <w:t xml:space="preserve">$5.0 </w:t>
            </w:r>
          </w:p>
        </w:tc>
        <w:tc>
          <w:tcPr>
            <w:tcW w:w="1837" w:type="dxa"/>
          </w:tcPr>
          <w:p w14:paraId="1FC2D4D1" w14:textId="6CBBB668" w:rsidR="00C03943" w:rsidRPr="00592D55" w:rsidRDefault="00C03943" w:rsidP="00C03943">
            <w:pPr>
              <w:pStyle w:val="NormalWeb"/>
              <w:spacing w:before="0" w:beforeAutospacing="0" w:after="0" w:afterAutospacing="0"/>
              <w:jc w:val="both"/>
              <w:rPr>
                <w:b/>
                <w:bCs/>
              </w:rPr>
            </w:pPr>
            <w:r w:rsidRPr="00592D55">
              <w:t xml:space="preserve">$5.5 </w:t>
            </w:r>
          </w:p>
        </w:tc>
        <w:tc>
          <w:tcPr>
            <w:tcW w:w="1837" w:type="dxa"/>
          </w:tcPr>
          <w:p w14:paraId="106B29B3" w14:textId="70F14230" w:rsidR="00C03943" w:rsidRPr="00592D55" w:rsidRDefault="00C03943" w:rsidP="00C03943">
            <w:pPr>
              <w:pStyle w:val="NormalWeb"/>
              <w:spacing w:before="0" w:beforeAutospacing="0" w:after="0" w:afterAutospacing="0"/>
              <w:jc w:val="both"/>
              <w:rPr>
                <w:b/>
                <w:bCs/>
              </w:rPr>
            </w:pPr>
            <w:r w:rsidRPr="00592D55">
              <w:t xml:space="preserve">$6.1 </w:t>
            </w:r>
          </w:p>
        </w:tc>
        <w:tc>
          <w:tcPr>
            <w:tcW w:w="1837" w:type="dxa"/>
          </w:tcPr>
          <w:p w14:paraId="7A2B6E59" w14:textId="228EB212" w:rsidR="00C03943" w:rsidRPr="00592D55" w:rsidRDefault="00C03943" w:rsidP="00C03943">
            <w:pPr>
              <w:pStyle w:val="NormalWeb"/>
              <w:spacing w:before="0" w:beforeAutospacing="0" w:after="0" w:afterAutospacing="0"/>
              <w:jc w:val="both"/>
              <w:rPr>
                <w:b/>
                <w:bCs/>
              </w:rPr>
            </w:pPr>
            <w:r w:rsidRPr="00592D55">
              <w:t xml:space="preserve">$6.7 </w:t>
            </w:r>
          </w:p>
        </w:tc>
        <w:tc>
          <w:tcPr>
            <w:tcW w:w="1837" w:type="dxa"/>
          </w:tcPr>
          <w:p w14:paraId="6F35409E" w14:textId="753C3A1F" w:rsidR="00C03943" w:rsidRPr="00592D55" w:rsidRDefault="00C03943" w:rsidP="00C03943">
            <w:pPr>
              <w:pStyle w:val="NormalWeb"/>
              <w:spacing w:before="0" w:beforeAutospacing="0" w:after="0" w:afterAutospacing="0"/>
              <w:jc w:val="both"/>
              <w:rPr>
                <w:b/>
                <w:bCs/>
              </w:rPr>
            </w:pPr>
            <w:r w:rsidRPr="00592D55">
              <w:t xml:space="preserve">$7.3 </w:t>
            </w:r>
          </w:p>
        </w:tc>
      </w:tr>
      <w:tr w:rsidR="00C03943" w:rsidRPr="00592D55" w14:paraId="08A035E2" w14:textId="77777777" w:rsidTr="003D1DE5">
        <w:tc>
          <w:tcPr>
            <w:tcW w:w="1696" w:type="dxa"/>
            <w:shd w:val="clear" w:color="auto" w:fill="8EAADB" w:themeFill="accent1" w:themeFillTint="99"/>
          </w:tcPr>
          <w:p w14:paraId="632684E2" w14:textId="352163B3" w:rsidR="00C03943" w:rsidRPr="00592D55" w:rsidRDefault="00C03943" w:rsidP="00C03943">
            <w:pPr>
              <w:pStyle w:val="NormalWeb"/>
              <w:spacing w:before="0" w:beforeAutospacing="0" w:after="0" w:afterAutospacing="0"/>
              <w:jc w:val="both"/>
              <w:rPr>
                <w:b/>
                <w:bCs/>
              </w:rPr>
            </w:pPr>
            <w:r w:rsidRPr="00592D55">
              <w:t xml:space="preserve">Total </w:t>
            </w:r>
            <w:proofErr w:type="spellStart"/>
            <w:r w:rsidRPr="00592D55">
              <w:t>Opex</w:t>
            </w:r>
            <w:proofErr w:type="spellEnd"/>
          </w:p>
        </w:tc>
        <w:tc>
          <w:tcPr>
            <w:tcW w:w="1976" w:type="dxa"/>
            <w:shd w:val="clear" w:color="auto" w:fill="8EAADB" w:themeFill="accent1" w:themeFillTint="99"/>
          </w:tcPr>
          <w:p w14:paraId="57C4B8E7" w14:textId="7A42B881" w:rsidR="00C03943" w:rsidRPr="009A5E03" w:rsidRDefault="00C03943" w:rsidP="00C03943">
            <w:pPr>
              <w:pStyle w:val="NormalWeb"/>
              <w:spacing w:before="0" w:beforeAutospacing="0" w:after="0" w:afterAutospacing="0"/>
              <w:jc w:val="both"/>
              <w:rPr>
                <w:b/>
                <w:bCs/>
              </w:rPr>
            </w:pPr>
            <w:r w:rsidRPr="009A5E03">
              <w:rPr>
                <w:b/>
                <w:bCs/>
              </w:rPr>
              <w:t xml:space="preserve">$22.5 </w:t>
            </w:r>
          </w:p>
        </w:tc>
        <w:tc>
          <w:tcPr>
            <w:tcW w:w="1837" w:type="dxa"/>
            <w:shd w:val="clear" w:color="auto" w:fill="8EAADB" w:themeFill="accent1" w:themeFillTint="99"/>
          </w:tcPr>
          <w:p w14:paraId="30F657DA" w14:textId="4BAC4B3A" w:rsidR="00C03943" w:rsidRPr="009A5E03" w:rsidRDefault="00C03943" w:rsidP="00C03943">
            <w:pPr>
              <w:pStyle w:val="NormalWeb"/>
              <w:spacing w:before="0" w:beforeAutospacing="0" w:after="0" w:afterAutospacing="0"/>
              <w:jc w:val="both"/>
              <w:rPr>
                <w:b/>
                <w:bCs/>
              </w:rPr>
            </w:pPr>
            <w:r w:rsidRPr="009A5E03">
              <w:rPr>
                <w:b/>
                <w:bCs/>
              </w:rPr>
              <w:t xml:space="preserve">$27.1 </w:t>
            </w:r>
          </w:p>
        </w:tc>
        <w:tc>
          <w:tcPr>
            <w:tcW w:w="1837" w:type="dxa"/>
            <w:shd w:val="clear" w:color="auto" w:fill="8EAADB" w:themeFill="accent1" w:themeFillTint="99"/>
          </w:tcPr>
          <w:p w14:paraId="7595092E" w14:textId="4AFCEA25" w:rsidR="00C03943" w:rsidRPr="009A5E03" w:rsidRDefault="00C03943" w:rsidP="00C03943">
            <w:pPr>
              <w:pStyle w:val="NormalWeb"/>
              <w:spacing w:before="0" w:beforeAutospacing="0" w:after="0" w:afterAutospacing="0"/>
              <w:jc w:val="both"/>
              <w:rPr>
                <w:b/>
                <w:bCs/>
              </w:rPr>
            </w:pPr>
            <w:r w:rsidRPr="009A5E03">
              <w:rPr>
                <w:b/>
                <w:bCs/>
              </w:rPr>
              <w:t xml:space="preserve">$32.1 </w:t>
            </w:r>
          </w:p>
        </w:tc>
        <w:tc>
          <w:tcPr>
            <w:tcW w:w="1837" w:type="dxa"/>
            <w:shd w:val="clear" w:color="auto" w:fill="8EAADB" w:themeFill="accent1" w:themeFillTint="99"/>
          </w:tcPr>
          <w:p w14:paraId="718E1262" w14:textId="19838974" w:rsidR="00C03943" w:rsidRPr="009A5E03" w:rsidRDefault="00C03943" w:rsidP="00C03943">
            <w:pPr>
              <w:pStyle w:val="NormalWeb"/>
              <w:spacing w:before="0" w:beforeAutospacing="0" w:after="0" w:afterAutospacing="0"/>
              <w:jc w:val="both"/>
              <w:rPr>
                <w:b/>
                <w:bCs/>
              </w:rPr>
            </w:pPr>
            <w:r w:rsidRPr="009A5E03">
              <w:rPr>
                <w:b/>
                <w:bCs/>
              </w:rPr>
              <w:t xml:space="preserve">$37.3 </w:t>
            </w:r>
          </w:p>
        </w:tc>
        <w:tc>
          <w:tcPr>
            <w:tcW w:w="1837" w:type="dxa"/>
            <w:shd w:val="clear" w:color="auto" w:fill="8EAADB" w:themeFill="accent1" w:themeFillTint="99"/>
          </w:tcPr>
          <w:p w14:paraId="7264305C" w14:textId="2BCEE017" w:rsidR="00C03943" w:rsidRPr="009A5E03" w:rsidRDefault="00C03943" w:rsidP="00C03943">
            <w:pPr>
              <w:pStyle w:val="NormalWeb"/>
              <w:spacing w:before="0" w:beforeAutospacing="0" w:after="0" w:afterAutospacing="0"/>
              <w:jc w:val="both"/>
              <w:rPr>
                <w:b/>
                <w:bCs/>
              </w:rPr>
            </w:pPr>
            <w:r w:rsidRPr="009A5E03">
              <w:rPr>
                <w:b/>
                <w:bCs/>
              </w:rPr>
              <w:t>$42.8</w:t>
            </w:r>
          </w:p>
        </w:tc>
      </w:tr>
      <w:tr w:rsidR="00C03943" w:rsidRPr="00592D55" w14:paraId="61102C8A" w14:textId="77777777" w:rsidTr="008D157B">
        <w:tc>
          <w:tcPr>
            <w:tcW w:w="1696" w:type="dxa"/>
          </w:tcPr>
          <w:p w14:paraId="3474FBA0" w14:textId="6003AE0E" w:rsidR="00C03943" w:rsidRPr="00592D55" w:rsidRDefault="00C03943" w:rsidP="00C03943">
            <w:pPr>
              <w:pStyle w:val="NormalWeb"/>
              <w:spacing w:before="0" w:beforeAutospacing="0" w:after="0" w:afterAutospacing="0"/>
              <w:jc w:val="both"/>
              <w:rPr>
                <w:b/>
                <w:bCs/>
              </w:rPr>
            </w:pPr>
            <w:r w:rsidRPr="00592D55">
              <w:lastRenderedPageBreak/>
              <w:t>EBITDA</w:t>
            </w:r>
          </w:p>
        </w:tc>
        <w:tc>
          <w:tcPr>
            <w:tcW w:w="1976" w:type="dxa"/>
          </w:tcPr>
          <w:p w14:paraId="06E5F4A8" w14:textId="158B4D8A" w:rsidR="00C03943" w:rsidRPr="009A5E03" w:rsidRDefault="00C03943" w:rsidP="00C03943">
            <w:pPr>
              <w:pStyle w:val="NormalWeb"/>
              <w:spacing w:before="0" w:beforeAutospacing="0" w:after="0" w:afterAutospacing="0"/>
              <w:jc w:val="both"/>
              <w:rPr>
                <w:b/>
                <w:bCs/>
              </w:rPr>
            </w:pPr>
            <w:r w:rsidRPr="009A5E03">
              <w:rPr>
                <w:b/>
                <w:bCs/>
              </w:rPr>
              <w:t xml:space="preserve">$77.5 </w:t>
            </w:r>
          </w:p>
        </w:tc>
        <w:tc>
          <w:tcPr>
            <w:tcW w:w="1837" w:type="dxa"/>
          </w:tcPr>
          <w:p w14:paraId="3EE7881B" w14:textId="2178321C" w:rsidR="00C03943" w:rsidRPr="009A5E03" w:rsidRDefault="00C03943" w:rsidP="00C03943">
            <w:pPr>
              <w:pStyle w:val="NormalWeb"/>
              <w:spacing w:before="0" w:beforeAutospacing="0" w:after="0" w:afterAutospacing="0"/>
              <w:jc w:val="both"/>
              <w:rPr>
                <w:b/>
                <w:bCs/>
              </w:rPr>
            </w:pPr>
            <w:r w:rsidRPr="009A5E03">
              <w:rPr>
                <w:b/>
                <w:bCs/>
              </w:rPr>
              <w:t xml:space="preserve">$96.5 </w:t>
            </w:r>
          </w:p>
        </w:tc>
        <w:tc>
          <w:tcPr>
            <w:tcW w:w="1837" w:type="dxa"/>
          </w:tcPr>
          <w:p w14:paraId="535D3AB1" w14:textId="49670D3D" w:rsidR="00C03943" w:rsidRPr="009A5E03" w:rsidRDefault="00C03943" w:rsidP="00C03943">
            <w:pPr>
              <w:pStyle w:val="NormalWeb"/>
              <w:spacing w:before="0" w:beforeAutospacing="0" w:after="0" w:afterAutospacing="0"/>
              <w:jc w:val="both"/>
              <w:rPr>
                <w:b/>
                <w:bCs/>
              </w:rPr>
            </w:pPr>
            <w:r w:rsidRPr="009A5E03">
              <w:rPr>
                <w:b/>
                <w:bCs/>
              </w:rPr>
              <w:t xml:space="preserve">$116.4 </w:t>
            </w:r>
          </w:p>
        </w:tc>
        <w:tc>
          <w:tcPr>
            <w:tcW w:w="1837" w:type="dxa"/>
          </w:tcPr>
          <w:p w14:paraId="3AA16BB2" w14:textId="030E7743" w:rsidR="00C03943" w:rsidRPr="009A5E03" w:rsidRDefault="00C03943" w:rsidP="00C03943">
            <w:pPr>
              <w:pStyle w:val="NormalWeb"/>
              <w:spacing w:before="0" w:beforeAutospacing="0" w:after="0" w:afterAutospacing="0"/>
              <w:jc w:val="both"/>
              <w:rPr>
                <w:b/>
                <w:bCs/>
              </w:rPr>
            </w:pPr>
            <w:r w:rsidRPr="009A5E03">
              <w:rPr>
                <w:b/>
                <w:bCs/>
              </w:rPr>
              <w:t xml:space="preserve">$137.5 </w:t>
            </w:r>
          </w:p>
        </w:tc>
        <w:tc>
          <w:tcPr>
            <w:tcW w:w="1837" w:type="dxa"/>
          </w:tcPr>
          <w:p w14:paraId="5DAD6BDF" w14:textId="1173AB17" w:rsidR="00C03943" w:rsidRPr="009A5E03" w:rsidRDefault="00C03943" w:rsidP="00C03943">
            <w:pPr>
              <w:pStyle w:val="NormalWeb"/>
              <w:spacing w:before="0" w:beforeAutospacing="0" w:after="0" w:afterAutospacing="0"/>
              <w:jc w:val="both"/>
              <w:rPr>
                <w:b/>
                <w:bCs/>
              </w:rPr>
            </w:pPr>
            <w:r w:rsidRPr="009A5E03">
              <w:rPr>
                <w:b/>
                <w:bCs/>
              </w:rPr>
              <w:t xml:space="preserve">$159.8 </w:t>
            </w:r>
          </w:p>
        </w:tc>
      </w:tr>
      <w:tr w:rsidR="00B92062" w:rsidRPr="00592D55" w14:paraId="5819580B" w14:textId="77777777" w:rsidTr="003D1DE5">
        <w:tc>
          <w:tcPr>
            <w:tcW w:w="1696" w:type="dxa"/>
            <w:shd w:val="clear" w:color="auto" w:fill="8EAADB" w:themeFill="accent1" w:themeFillTint="99"/>
          </w:tcPr>
          <w:p w14:paraId="256DBF5F" w14:textId="57BDA748" w:rsidR="00B92062" w:rsidRPr="009A5E03" w:rsidRDefault="00B92062" w:rsidP="00B92062">
            <w:pPr>
              <w:pStyle w:val="NormalWeb"/>
              <w:spacing w:before="0" w:beforeAutospacing="0" w:after="0" w:afterAutospacing="0"/>
              <w:jc w:val="both"/>
              <w:rPr>
                <w:b/>
                <w:bCs/>
              </w:rPr>
            </w:pPr>
            <w:r w:rsidRPr="009A5E03">
              <w:rPr>
                <w:b/>
                <w:bCs/>
              </w:rPr>
              <w:t>Depreciation &amp; Amortization*</w:t>
            </w:r>
          </w:p>
        </w:tc>
        <w:tc>
          <w:tcPr>
            <w:tcW w:w="1976" w:type="dxa"/>
            <w:shd w:val="clear" w:color="auto" w:fill="8EAADB" w:themeFill="accent1" w:themeFillTint="99"/>
          </w:tcPr>
          <w:p w14:paraId="7E536112" w14:textId="560AB6D4" w:rsidR="00B92062" w:rsidRPr="00592D55" w:rsidRDefault="00B92062" w:rsidP="00B92062">
            <w:pPr>
              <w:pStyle w:val="NormalWeb"/>
              <w:spacing w:before="0" w:beforeAutospacing="0" w:after="0" w:afterAutospacing="0"/>
              <w:jc w:val="both"/>
              <w:rPr>
                <w:b/>
                <w:bCs/>
              </w:rPr>
            </w:pPr>
            <w:r w:rsidRPr="00592D55">
              <w:t xml:space="preserve">$0.4 </w:t>
            </w:r>
          </w:p>
        </w:tc>
        <w:tc>
          <w:tcPr>
            <w:tcW w:w="1837" w:type="dxa"/>
            <w:shd w:val="clear" w:color="auto" w:fill="8EAADB" w:themeFill="accent1" w:themeFillTint="99"/>
          </w:tcPr>
          <w:p w14:paraId="5FBFED44" w14:textId="7414BAE7" w:rsidR="00B92062" w:rsidRPr="00592D55" w:rsidRDefault="00B92062" w:rsidP="00B92062">
            <w:pPr>
              <w:pStyle w:val="NormalWeb"/>
              <w:spacing w:before="0" w:beforeAutospacing="0" w:after="0" w:afterAutospacing="0"/>
              <w:jc w:val="both"/>
              <w:rPr>
                <w:b/>
                <w:bCs/>
              </w:rPr>
            </w:pPr>
            <w:r w:rsidRPr="00592D55">
              <w:t xml:space="preserve">$0.4 </w:t>
            </w:r>
          </w:p>
        </w:tc>
        <w:tc>
          <w:tcPr>
            <w:tcW w:w="1837" w:type="dxa"/>
            <w:shd w:val="clear" w:color="auto" w:fill="8EAADB" w:themeFill="accent1" w:themeFillTint="99"/>
          </w:tcPr>
          <w:p w14:paraId="60FE421C" w14:textId="5A533297" w:rsidR="00B92062" w:rsidRPr="00592D55" w:rsidRDefault="00B92062" w:rsidP="00B92062">
            <w:pPr>
              <w:pStyle w:val="NormalWeb"/>
              <w:spacing w:before="0" w:beforeAutospacing="0" w:after="0" w:afterAutospacing="0"/>
              <w:jc w:val="both"/>
              <w:rPr>
                <w:b/>
                <w:bCs/>
              </w:rPr>
            </w:pPr>
            <w:r w:rsidRPr="00592D55">
              <w:t xml:space="preserve">$0.4 </w:t>
            </w:r>
          </w:p>
        </w:tc>
        <w:tc>
          <w:tcPr>
            <w:tcW w:w="1837" w:type="dxa"/>
            <w:shd w:val="clear" w:color="auto" w:fill="8EAADB" w:themeFill="accent1" w:themeFillTint="99"/>
          </w:tcPr>
          <w:p w14:paraId="153B2868" w14:textId="44C8C2AA" w:rsidR="00B92062" w:rsidRPr="00592D55" w:rsidRDefault="00B92062" w:rsidP="00B92062">
            <w:pPr>
              <w:pStyle w:val="NormalWeb"/>
              <w:spacing w:before="0" w:beforeAutospacing="0" w:after="0" w:afterAutospacing="0"/>
              <w:jc w:val="both"/>
              <w:rPr>
                <w:b/>
                <w:bCs/>
              </w:rPr>
            </w:pPr>
            <w:r w:rsidRPr="00592D55">
              <w:t xml:space="preserve">$0.4 </w:t>
            </w:r>
          </w:p>
        </w:tc>
        <w:tc>
          <w:tcPr>
            <w:tcW w:w="1837" w:type="dxa"/>
            <w:shd w:val="clear" w:color="auto" w:fill="8EAADB" w:themeFill="accent1" w:themeFillTint="99"/>
          </w:tcPr>
          <w:p w14:paraId="1989D767" w14:textId="64E0DE9B" w:rsidR="00B92062" w:rsidRPr="00592D55" w:rsidRDefault="00B92062" w:rsidP="00B92062">
            <w:pPr>
              <w:pStyle w:val="NormalWeb"/>
              <w:spacing w:before="0" w:beforeAutospacing="0" w:after="0" w:afterAutospacing="0"/>
              <w:jc w:val="both"/>
              <w:rPr>
                <w:b/>
                <w:bCs/>
              </w:rPr>
            </w:pPr>
            <w:r w:rsidRPr="00592D55">
              <w:t xml:space="preserve">$0.4 </w:t>
            </w:r>
          </w:p>
        </w:tc>
      </w:tr>
      <w:tr w:rsidR="00B92062" w:rsidRPr="00592D55" w14:paraId="4DD6386E" w14:textId="77777777" w:rsidTr="008D157B">
        <w:tc>
          <w:tcPr>
            <w:tcW w:w="1696" w:type="dxa"/>
          </w:tcPr>
          <w:p w14:paraId="51FAAA5A" w14:textId="0A6707FD" w:rsidR="00B92062" w:rsidRPr="00592D55" w:rsidRDefault="00B92062" w:rsidP="00B92062">
            <w:pPr>
              <w:pStyle w:val="NormalWeb"/>
              <w:spacing w:before="0" w:beforeAutospacing="0" w:after="0" w:afterAutospacing="0"/>
              <w:jc w:val="both"/>
              <w:rPr>
                <w:b/>
                <w:bCs/>
              </w:rPr>
            </w:pPr>
            <w:r w:rsidRPr="00592D55">
              <w:t>EBIT / PBT</w:t>
            </w:r>
          </w:p>
        </w:tc>
        <w:tc>
          <w:tcPr>
            <w:tcW w:w="1976" w:type="dxa"/>
          </w:tcPr>
          <w:p w14:paraId="186630E4" w14:textId="1831829C" w:rsidR="00B92062" w:rsidRPr="009A5E03" w:rsidRDefault="00B92062" w:rsidP="00B92062">
            <w:pPr>
              <w:pStyle w:val="NormalWeb"/>
              <w:spacing w:before="0" w:beforeAutospacing="0" w:after="0" w:afterAutospacing="0"/>
              <w:jc w:val="both"/>
              <w:rPr>
                <w:b/>
                <w:bCs/>
              </w:rPr>
            </w:pPr>
            <w:r w:rsidRPr="009A5E03">
              <w:rPr>
                <w:b/>
                <w:bCs/>
              </w:rPr>
              <w:t xml:space="preserve">$77.1 </w:t>
            </w:r>
          </w:p>
        </w:tc>
        <w:tc>
          <w:tcPr>
            <w:tcW w:w="1837" w:type="dxa"/>
          </w:tcPr>
          <w:p w14:paraId="236E476A" w14:textId="5F12760A" w:rsidR="00B92062" w:rsidRPr="009A5E03" w:rsidRDefault="00B92062" w:rsidP="00B92062">
            <w:pPr>
              <w:pStyle w:val="NormalWeb"/>
              <w:spacing w:before="0" w:beforeAutospacing="0" w:after="0" w:afterAutospacing="0"/>
              <w:jc w:val="both"/>
              <w:rPr>
                <w:b/>
                <w:bCs/>
              </w:rPr>
            </w:pPr>
            <w:r w:rsidRPr="009A5E03">
              <w:rPr>
                <w:b/>
                <w:bCs/>
              </w:rPr>
              <w:t xml:space="preserve">$96.1 </w:t>
            </w:r>
          </w:p>
        </w:tc>
        <w:tc>
          <w:tcPr>
            <w:tcW w:w="1837" w:type="dxa"/>
          </w:tcPr>
          <w:p w14:paraId="58B663E8" w14:textId="645849E6" w:rsidR="00B92062" w:rsidRPr="009A5E03" w:rsidRDefault="00B92062" w:rsidP="00B92062">
            <w:pPr>
              <w:pStyle w:val="NormalWeb"/>
              <w:spacing w:before="0" w:beforeAutospacing="0" w:after="0" w:afterAutospacing="0"/>
              <w:jc w:val="both"/>
              <w:rPr>
                <w:b/>
                <w:bCs/>
              </w:rPr>
            </w:pPr>
            <w:r w:rsidRPr="009A5E03">
              <w:rPr>
                <w:b/>
                <w:bCs/>
              </w:rPr>
              <w:t xml:space="preserve">$116.0 </w:t>
            </w:r>
          </w:p>
        </w:tc>
        <w:tc>
          <w:tcPr>
            <w:tcW w:w="1837" w:type="dxa"/>
          </w:tcPr>
          <w:p w14:paraId="6823902C" w14:textId="724BD28C" w:rsidR="00B92062" w:rsidRPr="009A5E03" w:rsidRDefault="00B92062" w:rsidP="00B92062">
            <w:pPr>
              <w:pStyle w:val="NormalWeb"/>
              <w:spacing w:before="0" w:beforeAutospacing="0" w:after="0" w:afterAutospacing="0"/>
              <w:jc w:val="both"/>
              <w:rPr>
                <w:b/>
                <w:bCs/>
              </w:rPr>
            </w:pPr>
            <w:r w:rsidRPr="009A5E03">
              <w:rPr>
                <w:b/>
                <w:bCs/>
              </w:rPr>
              <w:t xml:space="preserve">$137.1 </w:t>
            </w:r>
          </w:p>
        </w:tc>
        <w:tc>
          <w:tcPr>
            <w:tcW w:w="1837" w:type="dxa"/>
          </w:tcPr>
          <w:p w14:paraId="375EE078" w14:textId="61D93447" w:rsidR="00B92062" w:rsidRPr="009A5E03" w:rsidRDefault="00B92062" w:rsidP="00B92062">
            <w:pPr>
              <w:pStyle w:val="NormalWeb"/>
              <w:spacing w:before="0" w:beforeAutospacing="0" w:after="0" w:afterAutospacing="0"/>
              <w:jc w:val="both"/>
              <w:rPr>
                <w:b/>
                <w:bCs/>
              </w:rPr>
            </w:pPr>
            <w:r w:rsidRPr="009A5E03">
              <w:rPr>
                <w:b/>
                <w:bCs/>
              </w:rPr>
              <w:t xml:space="preserve">$159.4 </w:t>
            </w:r>
          </w:p>
        </w:tc>
      </w:tr>
      <w:tr w:rsidR="00B92062" w:rsidRPr="00592D55" w14:paraId="50571360" w14:textId="77777777" w:rsidTr="003D1DE5">
        <w:tc>
          <w:tcPr>
            <w:tcW w:w="1696" w:type="dxa"/>
            <w:shd w:val="clear" w:color="auto" w:fill="8EAADB" w:themeFill="accent1" w:themeFillTint="99"/>
          </w:tcPr>
          <w:p w14:paraId="19443A73" w14:textId="18EFEB87" w:rsidR="00B92062" w:rsidRPr="009A5E03" w:rsidRDefault="00B92062" w:rsidP="00B92062">
            <w:pPr>
              <w:pStyle w:val="NormalWeb"/>
              <w:spacing w:before="0" w:beforeAutospacing="0" w:after="0" w:afterAutospacing="0"/>
              <w:jc w:val="both"/>
              <w:rPr>
                <w:b/>
                <w:bCs/>
              </w:rPr>
            </w:pPr>
            <w:r w:rsidRPr="009A5E03">
              <w:rPr>
                <w:b/>
                <w:bCs/>
              </w:rPr>
              <w:t>Corporate Tax (30%)</w:t>
            </w:r>
          </w:p>
        </w:tc>
        <w:tc>
          <w:tcPr>
            <w:tcW w:w="1976" w:type="dxa"/>
            <w:shd w:val="clear" w:color="auto" w:fill="8EAADB" w:themeFill="accent1" w:themeFillTint="99"/>
          </w:tcPr>
          <w:p w14:paraId="69831D20" w14:textId="0ADAB630" w:rsidR="00B92062" w:rsidRPr="00592D55" w:rsidRDefault="00B92062" w:rsidP="00B92062">
            <w:pPr>
              <w:pStyle w:val="NormalWeb"/>
              <w:spacing w:before="0" w:beforeAutospacing="0" w:after="0" w:afterAutospacing="0"/>
              <w:jc w:val="both"/>
              <w:rPr>
                <w:b/>
                <w:bCs/>
              </w:rPr>
            </w:pPr>
            <w:r w:rsidRPr="00592D55">
              <w:t xml:space="preserve">$23.1 </w:t>
            </w:r>
          </w:p>
        </w:tc>
        <w:tc>
          <w:tcPr>
            <w:tcW w:w="1837" w:type="dxa"/>
            <w:shd w:val="clear" w:color="auto" w:fill="8EAADB" w:themeFill="accent1" w:themeFillTint="99"/>
          </w:tcPr>
          <w:p w14:paraId="66013C2D" w14:textId="2DF3D5B3" w:rsidR="00B92062" w:rsidRPr="00592D55" w:rsidRDefault="00B92062" w:rsidP="00B92062">
            <w:pPr>
              <w:pStyle w:val="NormalWeb"/>
              <w:spacing w:before="0" w:beforeAutospacing="0" w:after="0" w:afterAutospacing="0"/>
              <w:jc w:val="both"/>
              <w:rPr>
                <w:b/>
                <w:bCs/>
              </w:rPr>
            </w:pPr>
            <w:r w:rsidRPr="00592D55">
              <w:t xml:space="preserve">$28.8 </w:t>
            </w:r>
          </w:p>
        </w:tc>
        <w:tc>
          <w:tcPr>
            <w:tcW w:w="1837" w:type="dxa"/>
            <w:shd w:val="clear" w:color="auto" w:fill="8EAADB" w:themeFill="accent1" w:themeFillTint="99"/>
          </w:tcPr>
          <w:p w14:paraId="586E653C" w14:textId="5B27051E" w:rsidR="00B92062" w:rsidRPr="00592D55" w:rsidRDefault="00B92062" w:rsidP="00B92062">
            <w:pPr>
              <w:pStyle w:val="NormalWeb"/>
              <w:spacing w:before="0" w:beforeAutospacing="0" w:after="0" w:afterAutospacing="0"/>
              <w:jc w:val="both"/>
              <w:rPr>
                <w:b/>
                <w:bCs/>
              </w:rPr>
            </w:pPr>
            <w:r w:rsidRPr="00592D55">
              <w:t xml:space="preserve">$34.8 </w:t>
            </w:r>
          </w:p>
        </w:tc>
        <w:tc>
          <w:tcPr>
            <w:tcW w:w="1837" w:type="dxa"/>
            <w:shd w:val="clear" w:color="auto" w:fill="8EAADB" w:themeFill="accent1" w:themeFillTint="99"/>
          </w:tcPr>
          <w:p w14:paraId="1E2E954D" w14:textId="22C25C54" w:rsidR="00B92062" w:rsidRPr="00592D55" w:rsidRDefault="00B92062" w:rsidP="00B92062">
            <w:pPr>
              <w:pStyle w:val="NormalWeb"/>
              <w:spacing w:before="0" w:beforeAutospacing="0" w:after="0" w:afterAutospacing="0"/>
              <w:jc w:val="both"/>
              <w:rPr>
                <w:b/>
                <w:bCs/>
              </w:rPr>
            </w:pPr>
            <w:r w:rsidRPr="00592D55">
              <w:t xml:space="preserve">$41.1 </w:t>
            </w:r>
          </w:p>
        </w:tc>
        <w:tc>
          <w:tcPr>
            <w:tcW w:w="1837" w:type="dxa"/>
            <w:shd w:val="clear" w:color="auto" w:fill="8EAADB" w:themeFill="accent1" w:themeFillTint="99"/>
          </w:tcPr>
          <w:p w14:paraId="7C227107" w14:textId="155CCD39" w:rsidR="00B92062" w:rsidRPr="00592D55" w:rsidRDefault="00B92062" w:rsidP="00B92062">
            <w:pPr>
              <w:pStyle w:val="NormalWeb"/>
              <w:spacing w:before="0" w:beforeAutospacing="0" w:after="0" w:afterAutospacing="0"/>
              <w:jc w:val="both"/>
              <w:rPr>
                <w:b/>
                <w:bCs/>
              </w:rPr>
            </w:pPr>
            <w:r w:rsidRPr="00592D55">
              <w:t xml:space="preserve">$47.8 </w:t>
            </w:r>
          </w:p>
        </w:tc>
      </w:tr>
      <w:tr w:rsidR="00B92062" w:rsidRPr="00592D55" w14:paraId="38B3E863" w14:textId="77777777" w:rsidTr="008D157B">
        <w:tc>
          <w:tcPr>
            <w:tcW w:w="1696" w:type="dxa"/>
          </w:tcPr>
          <w:p w14:paraId="1472E1E1" w14:textId="74FB76B6" w:rsidR="00B92062" w:rsidRPr="00592D55" w:rsidRDefault="00B92062" w:rsidP="00B92062">
            <w:pPr>
              <w:pStyle w:val="NormalWeb"/>
              <w:spacing w:before="0" w:beforeAutospacing="0" w:after="0" w:afterAutospacing="0"/>
              <w:jc w:val="both"/>
              <w:rPr>
                <w:b/>
                <w:bCs/>
              </w:rPr>
            </w:pPr>
            <w:r w:rsidRPr="00592D55">
              <w:t>Net Profit After Tax (NPAT)</w:t>
            </w:r>
          </w:p>
        </w:tc>
        <w:tc>
          <w:tcPr>
            <w:tcW w:w="1976" w:type="dxa"/>
          </w:tcPr>
          <w:p w14:paraId="16502572" w14:textId="0025EA4D" w:rsidR="00B92062" w:rsidRPr="009A5E03" w:rsidRDefault="00B92062" w:rsidP="00B92062">
            <w:pPr>
              <w:pStyle w:val="NormalWeb"/>
              <w:spacing w:before="0" w:beforeAutospacing="0" w:after="0" w:afterAutospacing="0"/>
              <w:jc w:val="both"/>
              <w:rPr>
                <w:b/>
                <w:bCs/>
              </w:rPr>
            </w:pPr>
            <w:r w:rsidRPr="009A5E03">
              <w:rPr>
                <w:b/>
                <w:bCs/>
              </w:rPr>
              <w:t xml:space="preserve">$54.0 </w:t>
            </w:r>
          </w:p>
        </w:tc>
        <w:tc>
          <w:tcPr>
            <w:tcW w:w="1837" w:type="dxa"/>
          </w:tcPr>
          <w:p w14:paraId="1BB93C71" w14:textId="3B088CE7" w:rsidR="00B92062" w:rsidRPr="009A5E03" w:rsidRDefault="00B92062" w:rsidP="00B92062">
            <w:pPr>
              <w:pStyle w:val="NormalWeb"/>
              <w:spacing w:before="0" w:beforeAutospacing="0" w:after="0" w:afterAutospacing="0"/>
              <w:jc w:val="both"/>
              <w:rPr>
                <w:b/>
                <w:bCs/>
              </w:rPr>
            </w:pPr>
            <w:r w:rsidRPr="009A5E03">
              <w:rPr>
                <w:b/>
                <w:bCs/>
              </w:rPr>
              <w:t xml:space="preserve">$67.3 </w:t>
            </w:r>
          </w:p>
        </w:tc>
        <w:tc>
          <w:tcPr>
            <w:tcW w:w="1837" w:type="dxa"/>
          </w:tcPr>
          <w:p w14:paraId="2C506D1B" w14:textId="241E4B69" w:rsidR="00B92062" w:rsidRPr="009A5E03" w:rsidRDefault="00B92062" w:rsidP="00B92062">
            <w:pPr>
              <w:pStyle w:val="NormalWeb"/>
              <w:spacing w:before="0" w:beforeAutospacing="0" w:after="0" w:afterAutospacing="0"/>
              <w:jc w:val="both"/>
              <w:rPr>
                <w:b/>
                <w:bCs/>
              </w:rPr>
            </w:pPr>
            <w:r w:rsidRPr="009A5E03">
              <w:rPr>
                <w:b/>
                <w:bCs/>
              </w:rPr>
              <w:t xml:space="preserve">$81.2 </w:t>
            </w:r>
          </w:p>
        </w:tc>
        <w:tc>
          <w:tcPr>
            <w:tcW w:w="1837" w:type="dxa"/>
          </w:tcPr>
          <w:p w14:paraId="2476652D" w14:textId="5C45CDFB" w:rsidR="00B92062" w:rsidRPr="009A5E03" w:rsidRDefault="00B92062" w:rsidP="00B92062">
            <w:pPr>
              <w:pStyle w:val="NormalWeb"/>
              <w:spacing w:before="0" w:beforeAutospacing="0" w:after="0" w:afterAutospacing="0"/>
              <w:jc w:val="both"/>
              <w:rPr>
                <w:b/>
                <w:bCs/>
              </w:rPr>
            </w:pPr>
            <w:r w:rsidRPr="009A5E03">
              <w:rPr>
                <w:b/>
                <w:bCs/>
              </w:rPr>
              <w:t xml:space="preserve">$96.0 </w:t>
            </w:r>
          </w:p>
        </w:tc>
        <w:tc>
          <w:tcPr>
            <w:tcW w:w="1837" w:type="dxa"/>
          </w:tcPr>
          <w:p w14:paraId="6D1423F2" w14:textId="7CFC0F57" w:rsidR="00B92062" w:rsidRPr="009A5E03" w:rsidRDefault="00B92062" w:rsidP="00B92062">
            <w:pPr>
              <w:pStyle w:val="NormalWeb"/>
              <w:spacing w:before="0" w:beforeAutospacing="0" w:after="0" w:afterAutospacing="0"/>
              <w:jc w:val="both"/>
              <w:rPr>
                <w:b/>
                <w:bCs/>
              </w:rPr>
            </w:pPr>
            <w:r w:rsidRPr="009A5E03">
              <w:rPr>
                <w:b/>
                <w:bCs/>
              </w:rPr>
              <w:t>$111.6</w:t>
            </w:r>
          </w:p>
        </w:tc>
      </w:tr>
      <w:tr w:rsidR="00B92062" w:rsidRPr="00592D55" w14:paraId="67CA7A33" w14:textId="77777777" w:rsidTr="003D1DE5">
        <w:tc>
          <w:tcPr>
            <w:tcW w:w="1696" w:type="dxa"/>
            <w:shd w:val="clear" w:color="auto" w:fill="8EAADB" w:themeFill="accent1" w:themeFillTint="99"/>
          </w:tcPr>
          <w:p w14:paraId="1B5086C6" w14:textId="540BA89D" w:rsidR="00B92062" w:rsidRPr="00592D55" w:rsidRDefault="00B92062" w:rsidP="00B92062">
            <w:pPr>
              <w:pStyle w:val="NormalWeb"/>
              <w:spacing w:before="0" w:beforeAutospacing="0" w:after="0" w:afterAutospacing="0"/>
              <w:jc w:val="both"/>
              <w:rPr>
                <w:b/>
                <w:bCs/>
              </w:rPr>
            </w:pPr>
            <w:r w:rsidRPr="00592D55">
              <w:t>Green Fund Allocation (70%)</w:t>
            </w:r>
          </w:p>
        </w:tc>
        <w:tc>
          <w:tcPr>
            <w:tcW w:w="1976" w:type="dxa"/>
            <w:shd w:val="clear" w:color="auto" w:fill="8EAADB" w:themeFill="accent1" w:themeFillTint="99"/>
          </w:tcPr>
          <w:p w14:paraId="7B4F0B3B" w14:textId="3A621569" w:rsidR="00B92062" w:rsidRPr="009A5E03" w:rsidRDefault="00B92062" w:rsidP="00B92062">
            <w:pPr>
              <w:pStyle w:val="NormalWeb"/>
              <w:spacing w:before="0" w:beforeAutospacing="0" w:after="0" w:afterAutospacing="0"/>
              <w:jc w:val="both"/>
              <w:rPr>
                <w:b/>
                <w:bCs/>
              </w:rPr>
            </w:pPr>
            <w:r w:rsidRPr="009A5E03">
              <w:rPr>
                <w:b/>
                <w:bCs/>
              </w:rPr>
              <w:t xml:space="preserve">$ </w:t>
            </w:r>
            <w:r w:rsidRPr="009A5E03">
              <w:rPr>
                <w:b/>
                <w:bCs/>
              </w:rPr>
              <w:t>37.8</w:t>
            </w:r>
          </w:p>
        </w:tc>
        <w:tc>
          <w:tcPr>
            <w:tcW w:w="1837" w:type="dxa"/>
            <w:shd w:val="clear" w:color="auto" w:fill="8EAADB" w:themeFill="accent1" w:themeFillTint="99"/>
          </w:tcPr>
          <w:p w14:paraId="226EC435" w14:textId="1E729081" w:rsidR="00B92062" w:rsidRPr="009A5E03" w:rsidRDefault="00B92062" w:rsidP="00B92062">
            <w:pPr>
              <w:pStyle w:val="NormalWeb"/>
              <w:spacing w:before="0" w:beforeAutospacing="0" w:after="0" w:afterAutospacing="0"/>
              <w:jc w:val="both"/>
              <w:rPr>
                <w:b/>
                <w:bCs/>
              </w:rPr>
            </w:pPr>
            <w:r w:rsidRPr="009A5E03">
              <w:rPr>
                <w:b/>
                <w:bCs/>
              </w:rPr>
              <w:t xml:space="preserve">$47.1 </w:t>
            </w:r>
          </w:p>
        </w:tc>
        <w:tc>
          <w:tcPr>
            <w:tcW w:w="1837" w:type="dxa"/>
            <w:shd w:val="clear" w:color="auto" w:fill="8EAADB" w:themeFill="accent1" w:themeFillTint="99"/>
          </w:tcPr>
          <w:p w14:paraId="0E69DCC7" w14:textId="2765C2C8" w:rsidR="00B92062" w:rsidRPr="009A5E03" w:rsidRDefault="00B92062" w:rsidP="00B92062">
            <w:pPr>
              <w:pStyle w:val="NormalWeb"/>
              <w:spacing w:before="0" w:beforeAutospacing="0" w:after="0" w:afterAutospacing="0"/>
              <w:jc w:val="both"/>
              <w:rPr>
                <w:b/>
                <w:bCs/>
              </w:rPr>
            </w:pPr>
            <w:r w:rsidRPr="009A5E03">
              <w:rPr>
                <w:b/>
                <w:bCs/>
              </w:rPr>
              <w:t xml:space="preserve">$56.8 </w:t>
            </w:r>
          </w:p>
        </w:tc>
        <w:tc>
          <w:tcPr>
            <w:tcW w:w="1837" w:type="dxa"/>
            <w:shd w:val="clear" w:color="auto" w:fill="8EAADB" w:themeFill="accent1" w:themeFillTint="99"/>
          </w:tcPr>
          <w:p w14:paraId="0E4788A0" w14:textId="20476957" w:rsidR="00B92062" w:rsidRPr="009A5E03" w:rsidRDefault="00B92062" w:rsidP="00B92062">
            <w:pPr>
              <w:pStyle w:val="NormalWeb"/>
              <w:spacing w:before="0" w:beforeAutospacing="0" w:after="0" w:afterAutospacing="0"/>
              <w:jc w:val="both"/>
              <w:rPr>
                <w:b/>
                <w:bCs/>
              </w:rPr>
            </w:pPr>
            <w:r w:rsidRPr="009A5E03">
              <w:rPr>
                <w:b/>
                <w:bCs/>
              </w:rPr>
              <w:t xml:space="preserve">$67.2 </w:t>
            </w:r>
          </w:p>
        </w:tc>
        <w:tc>
          <w:tcPr>
            <w:tcW w:w="1837" w:type="dxa"/>
            <w:shd w:val="clear" w:color="auto" w:fill="8EAADB" w:themeFill="accent1" w:themeFillTint="99"/>
          </w:tcPr>
          <w:p w14:paraId="69511CCB" w14:textId="6EA0EA19" w:rsidR="00B92062" w:rsidRPr="009A5E03" w:rsidRDefault="00B92062" w:rsidP="00B92062">
            <w:pPr>
              <w:pStyle w:val="NormalWeb"/>
              <w:spacing w:before="0" w:beforeAutospacing="0" w:after="0" w:afterAutospacing="0"/>
              <w:jc w:val="both"/>
              <w:rPr>
                <w:b/>
                <w:bCs/>
              </w:rPr>
            </w:pPr>
            <w:r w:rsidRPr="009A5E03">
              <w:rPr>
                <w:b/>
                <w:bCs/>
              </w:rPr>
              <w:t xml:space="preserve">$78.1 </w:t>
            </w:r>
          </w:p>
        </w:tc>
      </w:tr>
    </w:tbl>
    <w:p w14:paraId="4B5EE4CB" w14:textId="58EE735C" w:rsidR="004E075A" w:rsidRDefault="00E97528" w:rsidP="004E075A">
      <w:pPr>
        <w:pStyle w:val="NormalWeb"/>
        <w:spacing w:before="0" w:beforeAutospacing="0" w:after="0" w:afterAutospacing="0"/>
        <w:jc w:val="both"/>
      </w:pPr>
      <w:r w:rsidRPr="00592D55">
        <w:t>*Assu</w:t>
      </w:r>
      <w:r w:rsidR="00781EA2">
        <w:t xml:space="preserve">mes a </w:t>
      </w:r>
      <w:r w:rsidR="009A5E03">
        <w:t>five-year</w:t>
      </w:r>
      <w:r w:rsidR="00781EA2">
        <w:t xml:space="preserve"> straight-line depreciation of </w:t>
      </w:r>
      <w:r w:rsidR="009A5E03">
        <w:t>the $</w:t>
      </w:r>
      <w:r w:rsidR="00E02942">
        <w:t>2m initial Capex.</w:t>
      </w:r>
    </w:p>
    <w:p w14:paraId="1377199E" w14:textId="77777777" w:rsidR="009A5E03" w:rsidRDefault="009A5E03" w:rsidP="004E075A">
      <w:pPr>
        <w:pStyle w:val="NormalWeb"/>
        <w:spacing w:before="0" w:beforeAutospacing="0" w:after="0" w:afterAutospacing="0"/>
        <w:jc w:val="both"/>
      </w:pPr>
    </w:p>
    <w:p w14:paraId="69C72CC2" w14:textId="16427637" w:rsidR="009A5E03" w:rsidRPr="00C4453A" w:rsidRDefault="00CA7D48" w:rsidP="004E075A">
      <w:pPr>
        <w:pStyle w:val="NormalWeb"/>
        <w:spacing w:before="0" w:beforeAutospacing="0" w:after="0" w:afterAutospacing="0"/>
        <w:jc w:val="both"/>
        <w:rPr>
          <w:b/>
          <w:bCs/>
          <w:sz w:val="28"/>
          <w:szCs w:val="28"/>
        </w:rPr>
      </w:pPr>
      <w:r w:rsidRPr="00C4453A">
        <w:rPr>
          <w:b/>
          <w:bCs/>
          <w:sz w:val="28"/>
          <w:szCs w:val="28"/>
        </w:rPr>
        <w:t>COMPREHENSIVE SENSITIVITY ANALYSIS</w:t>
      </w:r>
    </w:p>
    <w:p w14:paraId="68619889" w14:textId="7A7B5589" w:rsidR="009A5E03" w:rsidRDefault="009A5E03" w:rsidP="004E075A">
      <w:pPr>
        <w:pStyle w:val="NormalWeb"/>
        <w:spacing w:before="0" w:beforeAutospacing="0" w:after="0" w:afterAutospacing="0"/>
        <w:jc w:val="both"/>
      </w:pPr>
      <w:r>
        <w:t xml:space="preserve"> </w:t>
      </w:r>
      <w:r>
        <w:t>The success of this model hinges on two key variables: Market Penetration and the Exchange Rate Margin which is subject to regulatory and competitive pressures. The table below shows the impact on the key output</w:t>
      </w:r>
      <w:r>
        <w:t>.</w:t>
      </w:r>
    </w:p>
    <w:p w14:paraId="4250DD78" w14:textId="77777777" w:rsidR="009A5E03" w:rsidRDefault="009A5E03" w:rsidP="004E075A">
      <w:pPr>
        <w:pStyle w:val="NormalWeb"/>
        <w:spacing w:before="0" w:beforeAutospacing="0" w:after="0" w:afterAutospacing="0"/>
        <w:jc w:val="both"/>
      </w:pPr>
    </w:p>
    <w:p w14:paraId="457690CF" w14:textId="01256FC8" w:rsidR="009A5E03" w:rsidRPr="009A5E03" w:rsidRDefault="009A5E03" w:rsidP="004E075A">
      <w:pPr>
        <w:pStyle w:val="NormalWeb"/>
        <w:spacing w:before="0" w:beforeAutospacing="0" w:after="0" w:afterAutospacing="0"/>
        <w:jc w:val="both"/>
        <w:rPr>
          <w:b/>
          <w:bCs/>
        </w:rPr>
      </w:pPr>
      <w:r w:rsidRPr="009A5E03">
        <w:rPr>
          <w:b/>
          <w:bCs/>
        </w:rPr>
        <w:t xml:space="preserve"> Annual Contribution to the Green Fund (Year 5</w:t>
      </w:r>
      <w:proofErr w:type="gramStart"/>
      <w:r w:rsidRPr="009A5E03">
        <w:rPr>
          <w:b/>
          <w:bCs/>
        </w:rPr>
        <w:t>)</w:t>
      </w:r>
      <w:r w:rsidR="00C4453A">
        <w:rPr>
          <w:b/>
          <w:bCs/>
        </w:rPr>
        <w:t xml:space="preserve"> </w:t>
      </w:r>
      <w:r w:rsidRPr="009A5E03">
        <w:rPr>
          <w:b/>
          <w:bCs/>
        </w:rPr>
        <w:t xml:space="preserve"> Key</w:t>
      </w:r>
      <w:proofErr w:type="gramEnd"/>
      <w:r w:rsidRPr="009A5E03">
        <w:rPr>
          <w:b/>
          <w:bCs/>
        </w:rPr>
        <w:t xml:space="preserve"> Assumptions</w:t>
      </w:r>
    </w:p>
    <w:p w14:paraId="3C8B4DCE" w14:textId="575726C1" w:rsidR="009A5E03" w:rsidRPr="00592D55" w:rsidRDefault="009A5E03" w:rsidP="004E075A">
      <w:pPr>
        <w:pStyle w:val="NormalWeb"/>
        <w:spacing w:before="0" w:beforeAutospacing="0" w:after="0" w:afterAutospacing="0"/>
        <w:jc w:val="both"/>
        <w:rPr>
          <w:b/>
          <w:bCs/>
        </w:rPr>
      </w:pPr>
      <w:r>
        <w:t xml:space="preserve"> (Values in USD Millions)</w:t>
      </w:r>
    </w:p>
    <w:p w14:paraId="29F0C1BC" w14:textId="77777777" w:rsidR="0022564B" w:rsidRDefault="0022564B" w:rsidP="0022564B">
      <w:pPr>
        <w:pStyle w:val="NormalWeb"/>
        <w:spacing w:before="0" w:beforeAutospacing="0" w:after="0" w:afterAutospacing="0"/>
        <w:jc w:val="both"/>
        <w:rPr>
          <w:b/>
        </w:rPr>
      </w:pPr>
    </w:p>
    <w:p w14:paraId="7C223ADD" w14:textId="1D319380" w:rsidR="0056120D" w:rsidRDefault="009A5E03" w:rsidP="0022564B">
      <w:pPr>
        <w:pStyle w:val="NormalWeb"/>
        <w:spacing w:before="0" w:beforeAutospacing="0" w:after="0" w:afterAutospacing="0"/>
        <w:jc w:val="both"/>
        <w:rPr>
          <w:b/>
          <w:bCs/>
        </w:rPr>
      </w:pPr>
      <w:r w:rsidRPr="009A5E03">
        <w:rPr>
          <w:b/>
          <w:bCs/>
        </w:rPr>
        <w:t xml:space="preserve">Market Penetration </w:t>
      </w:r>
      <w:r w:rsidR="0056120D">
        <w:rPr>
          <w:b/>
          <w:bCs/>
        </w:rPr>
        <w:t xml:space="preserve">  </w:t>
      </w:r>
      <w:r>
        <w:rPr>
          <w:b/>
          <w:bCs/>
        </w:rPr>
        <w:t xml:space="preserve">  </w:t>
      </w:r>
      <w:r w:rsidRPr="009A5E03">
        <w:rPr>
          <w:b/>
          <w:bCs/>
        </w:rPr>
        <w:t>Exchange Rate</w:t>
      </w:r>
      <w:r w:rsidR="0056120D">
        <w:rPr>
          <w:b/>
          <w:bCs/>
        </w:rPr>
        <w:t xml:space="preserve">              </w:t>
      </w:r>
      <w:r w:rsidR="0056120D" w:rsidRPr="009A5E03">
        <w:rPr>
          <w:b/>
          <w:bCs/>
        </w:rPr>
        <w:t xml:space="preserve">1.5% </w:t>
      </w:r>
      <w:r w:rsidR="0056120D">
        <w:rPr>
          <w:b/>
          <w:bCs/>
        </w:rPr>
        <w:t xml:space="preserve">                       </w:t>
      </w:r>
      <w:r w:rsidR="0056120D" w:rsidRPr="009A5E03">
        <w:rPr>
          <w:b/>
          <w:bCs/>
        </w:rPr>
        <w:t xml:space="preserve">2.0% </w:t>
      </w:r>
      <w:r w:rsidR="0056120D" w:rsidRPr="009A5E03">
        <w:rPr>
          <w:b/>
          <w:bCs/>
        </w:rPr>
        <w:t>(</w:t>
      </w:r>
      <w:proofErr w:type="gramStart"/>
      <w:r w:rsidR="0056120D">
        <w:rPr>
          <w:b/>
          <w:bCs/>
        </w:rPr>
        <w:t xml:space="preserve">Base </w:t>
      </w:r>
      <w:r w:rsidR="0056120D" w:rsidRPr="009A5E03">
        <w:rPr>
          <w:b/>
          <w:bCs/>
        </w:rPr>
        <w:t>)</w:t>
      </w:r>
      <w:proofErr w:type="gramEnd"/>
      <w:r w:rsidR="0056120D" w:rsidRPr="009A5E03">
        <w:rPr>
          <w:b/>
          <w:bCs/>
        </w:rPr>
        <w:t xml:space="preserve"> </w:t>
      </w:r>
      <w:r w:rsidR="0056120D">
        <w:rPr>
          <w:b/>
          <w:bCs/>
        </w:rPr>
        <w:t xml:space="preserve"> </w:t>
      </w:r>
      <w:r w:rsidR="0056120D">
        <w:rPr>
          <w:b/>
          <w:bCs/>
        </w:rPr>
        <w:t xml:space="preserve">                 </w:t>
      </w:r>
      <w:r w:rsidR="0056120D" w:rsidRPr="009A5E03">
        <w:rPr>
          <w:b/>
          <w:bCs/>
        </w:rPr>
        <w:t>2.5%</w:t>
      </w:r>
    </w:p>
    <w:p w14:paraId="307E5B08" w14:textId="0ED3F751" w:rsidR="009A5E03" w:rsidRDefault="0056120D" w:rsidP="0022564B">
      <w:pPr>
        <w:pStyle w:val="NormalWeb"/>
        <w:spacing w:before="0" w:beforeAutospacing="0" w:after="0" w:afterAutospacing="0"/>
        <w:jc w:val="both"/>
        <w:rPr>
          <w:b/>
          <w:bCs/>
        </w:rPr>
      </w:pPr>
      <w:r>
        <w:rPr>
          <w:b/>
          <w:bCs/>
        </w:rPr>
        <w:t xml:space="preserve">                                           </w:t>
      </w:r>
      <w:r w:rsidR="009A5E03" w:rsidRPr="009A5E03">
        <w:rPr>
          <w:b/>
          <w:bCs/>
        </w:rPr>
        <w:t xml:space="preserve"> Margin </w:t>
      </w:r>
      <w:r w:rsidR="009A5E03">
        <w:rPr>
          <w:b/>
          <w:bCs/>
        </w:rPr>
        <w:t xml:space="preserve">  </w:t>
      </w:r>
      <w:r>
        <w:rPr>
          <w:b/>
          <w:bCs/>
        </w:rPr>
        <w:t xml:space="preserve">                   </w:t>
      </w:r>
    </w:p>
    <w:tbl>
      <w:tblPr>
        <w:tblStyle w:val="TableGrid0"/>
        <w:tblW w:w="0" w:type="auto"/>
        <w:tblLook w:val="04A0" w:firstRow="1" w:lastRow="0" w:firstColumn="1" w:lastColumn="0" w:noHBand="0" w:noVBand="1"/>
      </w:tblPr>
      <w:tblGrid>
        <w:gridCol w:w="2204"/>
        <w:gridCol w:w="2204"/>
        <w:gridCol w:w="2204"/>
        <w:gridCol w:w="2204"/>
        <w:gridCol w:w="2204"/>
      </w:tblGrid>
      <w:tr w:rsidR="005D61F2" w14:paraId="65EE66C3" w14:textId="77777777" w:rsidTr="003D1DE5">
        <w:tc>
          <w:tcPr>
            <w:tcW w:w="2204" w:type="dxa"/>
            <w:shd w:val="clear" w:color="auto" w:fill="8EAADB" w:themeFill="accent1" w:themeFillTint="99"/>
          </w:tcPr>
          <w:p w14:paraId="017C57D7" w14:textId="1C8650A3" w:rsidR="005D61F2" w:rsidRDefault="005D61F2" w:rsidP="005D61F2">
            <w:pPr>
              <w:pStyle w:val="NormalWeb"/>
              <w:spacing w:before="0" w:beforeAutospacing="0" w:after="0" w:afterAutospacing="0"/>
              <w:jc w:val="both"/>
              <w:rPr>
                <w:b/>
                <w:bCs/>
              </w:rPr>
            </w:pPr>
            <w:r w:rsidRPr="00B2248F">
              <w:t xml:space="preserve">14.0% </w:t>
            </w:r>
          </w:p>
        </w:tc>
        <w:tc>
          <w:tcPr>
            <w:tcW w:w="2204" w:type="dxa"/>
            <w:shd w:val="clear" w:color="auto" w:fill="8EAADB" w:themeFill="accent1" w:themeFillTint="99"/>
          </w:tcPr>
          <w:p w14:paraId="1A4287A2" w14:textId="67D03868" w:rsidR="005D61F2" w:rsidRDefault="005D61F2" w:rsidP="005D61F2">
            <w:pPr>
              <w:pStyle w:val="NormalWeb"/>
              <w:spacing w:before="0" w:beforeAutospacing="0" w:after="0" w:afterAutospacing="0"/>
              <w:jc w:val="both"/>
              <w:rPr>
                <w:b/>
                <w:bCs/>
              </w:rPr>
            </w:pPr>
          </w:p>
        </w:tc>
        <w:tc>
          <w:tcPr>
            <w:tcW w:w="2204" w:type="dxa"/>
            <w:shd w:val="clear" w:color="auto" w:fill="8EAADB" w:themeFill="accent1" w:themeFillTint="99"/>
          </w:tcPr>
          <w:p w14:paraId="055A11FF" w14:textId="33A10F96" w:rsidR="005D61F2" w:rsidRDefault="005D61F2" w:rsidP="005D61F2">
            <w:pPr>
              <w:pStyle w:val="NormalWeb"/>
              <w:spacing w:before="0" w:beforeAutospacing="0" w:after="0" w:afterAutospacing="0"/>
              <w:jc w:val="both"/>
              <w:rPr>
                <w:b/>
                <w:bCs/>
              </w:rPr>
            </w:pPr>
            <w:r w:rsidRPr="00B2248F">
              <w:t xml:space="preserve">$53.1M </w:t>
            </w:r>
          </w:p>
        </w:tc>
        <w:tc>
          <w:tcPr>
            <w:tcW w:w="2204" w:type="dxa"/>
            <w:shd w:val="clear" w:color="auto" w:fill="8EAADB" w:themeFill="accent1" w:themeFillTint="99"/>
          </w:tcPr>
          <w:p w14:paraId="6B710ED5" w14:textId="074DF03C" w:rsidR="005D61F2" w:rsidRDefault="005D61F2" w:rsidP="005D61F2">
            <w:pPr>
              <w:pStyle w:val="NormalWeb"/>
              <w:spacing w:before="0" w:beforeAutospacing="0" w:after="0" w:afterAutospacing="0"/>
              <w:jc w:val="both"/>
              <w:rPr>
                <w:b/>
                <w:bCs/>
              </w:rPr>
            </w:pPr>
            <w:r w:rsidRPr="00B2248F">
              <w:t xml:space="preserve">$62.2M </w:t>
            </w:r>
          </w:p>
        </w:tc>
        <w:tc>
          <w:tcPr>
            <w:tcW w:w="2204" w:type="dxa"/>
            <w:shd w:val="clear" w:color="auto" w:fill="8EAADB" w:themeFill="accent1" w:themeFillTint="99"/>
          </w:tcPr>
          <w:p w14:paraId="6B52E37F" w14:textId="44DFBBF1" w:rsidR="005D61F2" w:rsidRDefault="005D61F2" w:rsidP="005D61F2">
            <w:pPr>
              <w:pStyle w:val="NormalWeb"/>
              <w:spacing w:before="0" w:beforeAutospacing="0" w:after="0" w:afterAutospacing="0"/>
              <w:jc w:val="both"/>
              <w:rPr>
                <w:b/>
                <w:bCs/>
              </w:rPr>
            </w:pPr>
            <w:r w:rsidRPr="00B2248F">
              <w:t xml:space="preserve">$71.3M </w:t>
            </w:r>
          </w:p>
        </w:tc>
      </w:tr>
      <w:tr w:rsidR="005D61F2" w14:paraId="799737FC" w14:textId="77777777" w:rsidTr="005D61F2">
        <w:tc>
          <w:tcPr>
            <w:tcW w:w="2204" w:type="dxa"/>
          </w:tcPr>
          <w:p w14:paraId="05E928C6" w14:textId="0C588B8A" w:rsidR="005D61F2" w:rsidRDefault="005D61F2" w:rsidP="005D61F2">
            <w:pPr>
              <w:pStyle w:val="NormalWeb"/>
              <w:spacing w:before="0" w:beforeAutospacing="0" w:after="0" w:afterAutospacing="0"/>
              <w:jc w:val="both"/>
              <w:rPr>
                <w:b/>
                <w:bCs/>
              </w:rPr>
            </w:pPr>
            <w:r w:rsidRPr="0082610E">
              <w:t xml:space="preserve">18.0% (Base) </w:t>
            </w:r>
          </w:p>
        </w:tc>
        <w:tc>
          <w:tcPr>
            <w:tcW w:w="2204" w:type="dxa"/>
          </w:tcPr>
          <w:p w14:paraId="5CCDF6EA" w14:textId="17074115" w:rsidR="005D61F2" w:rsidRDefault="005D61F2" w:rsidP="005D61F2">
            <w:pPr>
              <w:pStyle w:val="NormalWeb"/>
              <w:spacing w:before="0" w:beforeAutospacing="0" w:after="0" w:afterAutospacing="0"/>
              <w:jc w:val="both"/>
              <w:rPr>
                <w:b/>
                <w:bCs/>
              </w:rPr>
            </w:pPr>
          </w:p>
        </w:tc>
        <w:tc>
          <w:tcPr>
            <w:tcW w:w="2204" w:type="dxa"/>
          </w:tcPr>
          <w:p w14:paraId="648657AE" w14:textId="02C66672" w:rsidR="005D61F2" w:rsidRDefault="005D61F2" w:rsidP="005D61F2">
            <w:pPr>
              <w:pStyle w:val="NormalWeb"/>
              <w:spacing w:before="0" w:beforeAutospacing="0" w:after="0" w:afterAutospacing="0"/>
              <w:jc w:val="both"/>
              <w:rPr>
                <w:b/>
                <w:bCs/>
              </w:rPr>
            </w:pPr>
            <w:r w:rsidRPr="0082610E">
              <w:t xml:space="preserve">$66.4M </w:t>
            </w:r>
          </w:p>
        </w:tc>
        <w:tc>
          <w:tcPr>
            <w:tcW w:w="2204" w:type="dxa"/>
          </w:tcPr>
          <w:p w14:paraId="10DEA4E7" w14:textId="1EE1FBBE" w:rsidR="005D61F2" w:rsidRDefault="005D61F2" w:rsidP="005D61F2">
            <w:pPr>
              <w:pStyle w:val="NormalWeb"/>
              <w:spacing w:before="0" w:beforeAutospacing="0" w:after="0" w:afterAutospacing="0"/>
              <w:jc w:val="both"/>
              <w:rPr>
                <w:b/>
                <w:bCs/>
              </w:rPr>
            </w:pPr>
            <w:r w:rsidRPr="0082610E">
              <w:t xml:space="preserve">$78.1M </w:t>
            </w:r>
          </w:p>
        </w:tc>
        <w:tc>
          <w:tcPr>
            <w:tcW w:w="2204" w:type="dxa"/>
          </w:tcPr>
          <w:p w14:paraId="4868DA9B" w14:textId="5E8362FE" w:rsidR="005D61F2" w:rsidRDefault="005D61F2" w:rsidP="005D61F2">
            <w:pPr>
              <w:pStyle w:val="NormalWeb"/>
              <w:spacing w:before="0" w:beforeAutospacing="0" w:after="0" w:afterAutospacing="0"/>
              <w:jc w:val="both"/>
              <w:rPr>
                <w:b/>
                <w:bCs/>
              </w:rPr>
            </w:pPr>
            <w:r w:rsidRPr="0082610E">
              <w:t xml:space="preserve">$89.8M </w:t>
            </w:r>
          </w:p>
        </w:tc>
      </w:tr>
      <w:tr w:rsidR="0056120D" w14:paraId="56A4BC22" w14:textId="77777777" w:rsidTr="003D1DE5">
        <w:tc>
          <w:tcPr>
            <w:tcW w:w="2204" w:type="dxa"/>
            <w:shd w:val="clear" w:color="auto" w:fill="8EAADB" w:themeFill="accent1" w:themeFillTint="99"/>
          </w:tcPr>
          <w:p w14:paraId="394BA9EB" w14:textId="6E432BD8" w:rsidR="0056120D" w:rsidRDefault="0056120D" w:rsidP="0056120D">
            <w:pPr>
              <w:pStyle w:val="NormalWeb"/>
              <w:spacing w:before="0" w:beforeAutospacing="0" w:after="0" w:afterAutospacing="0"/>
              <w:jc w:val="both"/>
              <w:rPr>
                <w:b/>
                <w:bCs/>
              </w:rPr>
            </w:pPr>
            <w:r w:rsidRPr="00E00A1E">
              <w:t xml:space="preserve">22.0% </w:t>
            </w:r>
          </w:p>
        </w:tc>
        <w:tc>
          <w:tcPr>
            <w:tcW w:w="2204" w:type="dxa"/>
            <w:shd w:val="clear" w:color="auto" w:fill="8EAADB" w:themeFill="accent1" w:themeFillTint="99"/>
          </w:tcPr>
          <w:p w14:paraId="26C28174" w14:textId="1E183AFD" w:rsidR="0056120D" w:rsidRDefault="0056120D" w:rsidP="0056120D">
            <w:pPr>
              <w:pStyle w:val="NormalWeb"/>
              <w:spacing w:before="0" w:beforeAutospacing="0" w:after="0" w:afterAutospacing="0"/>
              <w:jc w:val="both"/>
              <w:rPr>
                <w:b/>
                <w:bCs/>
              </w:rPr>
            </w:pPr>
          </w:p>
        </w:tc>
        <w:tc>
          <w:tcPr>
            <w:tcW w:w="2204" w:type="dxa"/>
            <w:shd w:val="clear" w:color="auto" w:fill="8EAADB" w:themeFill="accent1" w:themeFillTint="99"/>
          </w:tcPr>
          <w:p w14:paraId="0EECF3E5" w14:textId="21975C1A" w:rsidR="0056120D" w:rsidRDefault="0056120D" w:rsidP="0056120D">
            <w:pPr>
              <w:pStyle w:val="NormalWeb"/>
              <w:spacing w:before="0" w:beforeAutospacing="0" w:after="0" w:afterAutospacing="0"/>
              <w:jc w:val="both"/>
              <w:rPr>
                <w:b/>
                <w:bCs/>
              </w:rPr>
            </w:pPr>
            <w:r w:rsidRPr="00E00A1E">
              <w:t xml:space="preserve">$79.7M </w:t>
            </w:r>
          </w:p>
        </w:tc>
        <w:tc>
          <w:tcPr>
            <w:tcW w:w="2204" w:type="dxa"/>
            <w:shd w:val="clear" w:color="auto" w:fill="8EAADB" w:themeFill="accent1" w:themeFillTint="99"/>
          </w:tcPr>
          <w:p w14:paraId="335546DF" w14:textId="6E57E92C" w:rsidR="0056120D" w:rsidRDefault="0056120D" w:rsidP="0056120D">
            <w:pPr>
              <w:pStyle w:val="NormalWeb"/>
              <w:spacing w:before="0" w:beforeAutospacing="0" w:after="0" w:afterAutospacing="0"/>
              <w:jc w:val="both"/>
              <w:rPr>
                <w:b/>
                <w:bCs/>
              </w:rPr>
            </w:pPr>
            <w:r w:rsidRPr="00E00A1E">
              <w:t xml:space="preserve">$93.9M </w:t>
            </w:r>
          </w:p>
        </w:tc>
        <w:tc>
          <w:tcPr>
            <w:tcW w:w="2204" w:type="dxa"/>
            <w:shd w:val="clear" w:color="auto" w:fill="8EAADB" w:themeFill="accent1" w:themeFillTint="99"/>
          </w:tcPr>
          <w:p w14:paraId="698CB911" w14:textId="7E276BE8" w:rsidR="0056120D" w:rsidRDefault="0056120D" w:rsidP="0056120D">
            <w:pPr>
              <w:pStyle w:val="NormalWeb"/>
              <w:spacing w:before="0" w:beforeAutospacing="0" w:after="0" w:afterAutospacing="0"/>
              <w:jc w:val="both"/>
              <w:rPr>
                <w:b/>
                <w:bCs/>
              </w:rPr>
            </w:pPr>
            <w:r w:rsidRPr="00E00A1E">
              <w:t xml:space="preserve">$108.2M </w:t>
            </w:r>
          </w:p>
        </w:tc>
      </w:tr>
    </w:tbl>
    <w:p w14:paraId="5FBE8C8B" w14:textId="77777777" w:rsidR="009A5E03" w:rsidRDefault="009A5E03" w:rsidP="0022564B">
      <w:pPr>
        <w:pStyle w:val="NormalWeb"/>
        <w:spacing w:before="0" w:beforeAutospacing="0" w:after="0" w:afterAutospacing="0"/>
        <w:jc w:val="both"/>
        <w:rPr>
          <w:b/>
          <w:bCs/>
        </w:rPr>
      </w:pPr>
    </w:p>
    <w:p w14:paraId="419810C6" w14:textId="77777777" w:rsidR="004F5C63" w:rsidRDefault="004F5C63" w:rsidP="0022564B">
      <w:pPr>
        <w:pStyle w:val="NormalWeb"/>
        <w:spacing w:before="0" w:beforeAutospacing="0" w:after="0" w:afterAutospacing="0"/>
        <w:jc w:val="both"/>
        <w:rPr>
          <w:b/>
          <w:bCs/>
          <w:sz w:val="28"/>
          <w:szCs w:val="28"/>
        </w:rPr>
      </w:pPr>
    </w:p>
    <w:p w14:paraId="0F582B81" w14:textId="23E920B2" w:rsidR="009A5E03" w:rsidRDefault="004F5C63" w:rsidP="0022564B">
      <w:pPr>
        <w:pStyle w:val="NormalWeb"/>
        <w:spacing w:before="0" w:beforeAutospacing="0" w:after="0" w:afterAutospacing="0"/>
        <w:jc w:val="both"/>
        <w:rPr>
          <w:b/>
          <w:bCs/>
          <w:sz w:val="28"/>
          <w:szCs w:val="28"/>
        </w:rPr>
      </w:pPr>
      <w:r w:rsidRPr="004F5C63">
        <w:rPr>
          <w:b/>
          <w:bCs/>
          <w:sz w:val="28"/>
          <w:szCs w:val="28"/>
        </w:rPr>
        <w:t>Key Insights from Sensitivity Analysis:</w:t>
      </w:r>
    </w:p>
    <w:p w14:paraId="2B150DE8" w14:textId="77777777" w:rsidR="004F5C63" w:rsidRPr="009C75DD" w:rsidRDefault="004F5C63" w:rsidP="009C75DD">
      <w:pPr>
        <w:pStyle w:val="NormalWeb"/>
        <w:numPr>
          <w:ilvl w:val="0"/>
          <w:numId w:val="33"/>
        </w:numPr>
        <w:spacing w:before="0" w:beforeAutospacing="0" w:after="0" w:afterAutospacing="0"/>
        <w:jc w:val="both"/>
        <w:rPr>
          <w:b/>
          <w:bCs/>
        </w:rPr>
      </w:pPr>
      <w:r w:rsidRPr="009C75DD">
        <w:t xml:space="preserve">High Leverage to Penetration: A </w:t>
      </w:r>
      <w:proofErr w:type="gramStart"/>
      <w:r w:rsidRPr="009C75DD">
        <w:t>4% point</w:t>
      </w:r>
      <w:proofErr w:type="gramEnd"/>
      <w:r w:rsidRPr="009C75DD">
        <w:t xml:space="preserve"> increase in penetration (from 18% to 22%) increases the Green Fund by ~$16M, or 20%. This underscores the critical importance of marketing, user experience, and trust-building.</w:t>
      </w:r>
    </w:p>
    <w:p w14:paraId="13BE1504" w14:textId="77777777" w:rsidR="009C75DD" w:rsidRPr="009C75DD" w:rsidRDefault="004F5C63" w:rsidP="009C75DD">
      <w:pPr>
        <w:pStyle w:val="NormalWeb"/>
        <w:numPr>
          <w:ilvl w:val="0"/>
          <w:numId w:val="33"/>
        </w:numPr>
        <w:spacing w:before="0" w:beforeAutospacing="0" w:after="0" w:afterAutospacing="0"/>
        <w:jc w:val="both"/>
        <w:rPr>
          <w:b/>
          <w:bCs/>
        </w:rPr>
      </w:pPr>
      <w:r w:rsidRPr="009C75DD">
        <w:t xml:space="preserve"> Margin Pressure is a Risk: If competition forces the FX margin down to 1.5%, the Green Fund drops by ~$12M (-15%). This highlights the need for a competitive but sustainable pricing strategy, potentially competing on brand and impact rather than price alone.</w:t>
      </w:r>
    </w:p>
    <w:p w14:paraId="140750C6" w14:textId="03634E43" w:rsidR="004F5C63" w:rsidRPr="009C75DD" w:rsidRDefault="004F5C63" w:rsidP="009C75DD">
      <w:pPr>
        <w:pStyle w:val="NormalWeb"/>
        <w:numPr>
          <w:ilvl w:val="0"/>
          <w:numId w:val="33"/>
        </w:numPr>
        <w:spacing w:before="0" w:beforeAutospacing="0" w:after="0" w:afterAutospacing="0"/>
        <w:jc w:val="both"/>
        <w:rPr>
          <w:b/>
          <w:bCs/>
        </w:rPr>
      </w:pPr>
      <w:r w:rsidRPr="009C75DD">
        <w:t>Upside Potential: In a bullish scenario (22% penetration, 2.5% margin), the Green Fund could exceed $100 million annually by Year 5, fully covering the NREV's requirement.</w:t>
      </w:r>
    </w:p>
    <w:p w14:paraId="5952FCE5" w14:textId="77777777" w:rsidR="009C75DD" w:rsidRDefault="009C75DD" w:rsidP="009C75DD">
      <w:pPr>
        <w:pStyle w:val="NormalWeb"/>
        <w:spacing w:before="0" w:beforeAutospacing="0" w:after="0" w:afterAutospacing="0"/>
        <w:jc w:val="both"/>
      </w:pPr>
    </w:p>
    <w:p w14:paraId="56A3554D" w14:textId="53903BEC" w:rsidR="009C75DD" w:rsidRDefault="009C75DD" w:rsidP="009C75DD">
      <w:pPr>
        <w:pStyle w:val="NormalWeb"/>
        <w:spacing w:before="0" w:beforeAutospacing="0" w:after="0" w:afterAutospacing="0"/>
        <w:jc w:val="both"/>
        <w:rPr>
          <w:b/>
          <w:bCs/>
          <w:sz w:val="28"/>
          <w:szCs w:val="28"/>
        </w:rPr>
      </w:pPr>
      <w:r w:rsidRPr="009C75DD">
        <w:rPr>
          <w:b/>
          <w:bCs/>
          <w:sz w:val="28"/>
          <w:szCs w:val="28"/>
        </w:rPr>
        <w:t>Scenario Analysis</w:t>
      </w:r>
    </w:p>
    <w:p w14:paraId="4A5A2838" w14:textId="0E44EA4E" w:rsidR="009C75DD" w:rsidRPr="009C75DD" w:rsidRDefault="009C75DD" w:rsidP="009C75DD">
      <w:pPr>
        <w:pStyle w:val="NormalWeb"/>
        <w:spacing w:before="0" w:beforeAutospacing="0" w:after="0" w:afterAutospacing="0"/>
        <w:jc w:val="both"/>
        <w:rPr>
          <w:b/>
          <w:bCs/>
          <w:sz w:val="28"/>
          <w:szCs w:val="28"/>
        </w:rPr>
      </w:pPr>
      <w:r w:rsidRPr="009C75DD">
        <w:rPr>
          <w:b/>
          <w:bCs/>
        </w:rPr>
        <w:t xml:space="preserve">Scenario </w:t>
      </w:r>
      <w:r w:rsidRPr="009C75DD">
        <w:rPr>
          <w:b/>
          <w:bCs/>
        </w:rPr>
        <w:t xml:space="preserve">                                </w:t>
      </w:r>
      <w:r w:rsidRPr="009C75DD">
        <w:rPr>
          <w:b/>
          <w:bCs/>
        </w:rPr>
        <w:t xml:space="preserve">Assumptions </w:t>
      </w:r>
      <w:r w:rsidRPr="009C75DD">
        <w:rPr>
          <w:b/>
          <w:bCs/>
        </w:rPr>
        <w:t xml:space="preserve">                         </w:t>
      </w:r>
      <w:r w:rsidRPr="009C75DD">
        <w:rPr>
          <w:b/>
          <w:bCs/>
        </w:rPr>
        <w:t>Green Fund (Year 5)</w:t>
      </w:r>
      <w:r w:rsidRPr="009C75DD">
        <w:rPr>
          <w:b/>
          <w:bCs/>
        </w:rPr>
        <w:t xml:space="preserve">            </w:t>
      </w:r>
      <w:r w:rsidRPr="009C75DD">
        <w:rPr>
          <w:b/>
          <w:bCs/>
        </w:rPr>
        <w:t xml:space="preserve"> Implication</w:t>
      </w:r>
    </w:p>
    <w:tbl>
      <w:tblPr>
        <w:tblStyle w:val="TableGrid0"/>
        <w:tblW w:w="0" w:type="auto"/>
        <w:tblLook w:val="04A0" w:firstRow="1" w:lastRow="0" w:firstColumn="1" w:lastColumn="0" w:noHBand="0" w:noVBand="1"/>
      </w:tblPr>
      <w:tblGrid>
        <w:gridCol w:w="2755"/>
        <w:gridCol w:w="2755"/>
        <w:gridCol w:w="2755"/>
        <w:gridCol w:w="2755"/>
      </w:tblGrid>
      <w:tr w:rsidR="000F4E13" w14:paraId="0E5F5F53" w14:textId="77777777" w:rsidTr="003D1DE5">
        <w:tc>
          <w:tcPr>
            <w:tcW w:w="2755" w:type="dxa"/>
            <w:shd w:val="clear" w:color="auto" w:fill="8EAADB" w:themeFill="accent1" w:themeFillTint="99"/>
          </w:tcPr>
          <w:p w14:paraId="369BB1EE" w14:textId="5742FCF4" w:rsidR="000F4E13" w:rsidRDefault="000F4E13" w:rsidP="000F4E13">
            <w:pPr>
              <w:pStyle w:val="NormalWeb"/>
              <w:spacing w:before="0" w:beforeAutospacing="0" w:after="0" w:afterAutospacing="0"/>
              <w:jc w:val="both"/>
              <w:rPr>
                <w:b/>
                <w:bCs/>
              </w:rPr>
            </w:pPr>
            <w:r w:rsidRPr="001834DE">
              <w:t xml:space="preserve">Base Case </w:t>
            </w:r>
          </w:p>
        </w:tc>
        <w:tc>
          <w:tcPr>
            <w:tcW w:w="2755" w:type="dxa"/>
            <w:shd w:val="clear" w:color="auto" w:fill="8EAADB" w:themeFill="accent1" w:themeFillTint="99"/>
          </w:tcPr>
          <w:p w14:paraId="0E05C17E" w14:textId="4DAC1BC5" w:rsidR="000F4E13" w:rsidRDefault="000F4E13" w:rsidP="000F4E13">
            <w:pPr>
              <w:pStyle w:val="NormalWeb"/>
              <w:spacing w:before="0" w:beforeAutospacing="0" w:after="0" w:afterAutospacing="0"/>
              <w:jc w:val="both"/>
              <w:rPr>
                <w:b/>
                <w:bCs/>
              </w:rPr>
            </w:pPr>
            <w:r w:rsidRPr="001834DE">
              <w:t xml:space="preserve">18% Penetration, 2% FX Margin </w:t>
            </w:r>
          </w:p>
        </w:tc>
        <w:tc>
          <w:tcPr>
            <w:tcW w:w="2755" w:type="dxa"/>
            <w:shd w:val="clear" w:color="auto" w:fill="8EAADB" w:themeFill="accent1" w:themeFillTint="99"/>
          </w:tcPr>
          <w:p w14:paraId="0DDCC3F0" w14:textId="73BF680E" w:rsidR="000F4E13" w:rsidRPr="000A2232" w:rsidRDefault="000F4E13" w:rsidP="000F4E13">
            <w:pPr>
              <w:pStyle w:val="NormalWeb"/>
              <w:spacing w:before="0" w:beforeAutospacing="0" w:after="0" w:afterAutospacing="0"/>
              <w:jc w:val="both"/>
              <w:rPr>
                <w:b/>
                <w:bCs/>
              </w:rPr>
            </w:pPr>
            <w:r w:rsidRPr="000A2232">
              <w:rPr>
                <w:b/>
                <w:bCs/>
              </w:rPr>
              <w:t xml:space="preserve">$78.1M </w:t>
            </w:r>
          </w:p>
        </w:tc>
        <w:tc>
          <w:tcPr>
            <w:tcW w:w="2755" w:type="dxa"/>
            <w:shd w:val="clear" w:color="auto" w:fill="8EAADB" w:themeFill="accent1" w:themeFillTint="99"/>
          </w:tcPr>
          <w:p w14:paraId="69557466" w14:textId="1107D980" w:rsidR="000F4E13" w:rsidRDefault="000F4E13" w:rsidP="000F4E13">
            <w:pPr>
              <w:pStyle w:val="NormalWeb"/>
              <w:spacing w:before="0" w:beforeAutospacing="0" w:after="0" w:afterAutospacing="0"/>
              <w:jc w:val="both"/>
              <w:rPr>
                <w:b/>
                <w:bCs/>
              </w:rPr>
            </w:pPr>
            <w:r w:rsidRPr="001834DE">
              <w:t>The model is viable and generates significant capital.</w:t>
            </w:r>
          </w:p>
        </w:tc>
      </w:tr>
      <w:tr w:rsidR="000F4E13" w14:paraId="18C6608D" w14:textId="77777777" w:rsidTr="009C75DD">
        <w:tc>
          <w:tcPr>
            <w:tcW w:w="2755" w:type="dxa"/>
          </w:tcPr>
          <w:p w14:paraId="7BD8A6B3" w14:textId="03C78D61" w:rsidR="000F4E13" w:rsidRDefault="000F4E13" w:rsidP="000F4E13">
            <w:pPr>
              <w:pStyle w:val="NormalWeb"/>
              <w:spacing w:before="0" w:beforeAutospacing="0" w:after="0" w:afterAutospacing="0"/>
              <w:jc w:val="both"/>
              <w:rPr>
                <w:b/>
                <w:bCs/>
              </w:rPr>
            </w:pPr>
            <w:r w:rsidRPr="00B73355">
              <w:t xml:space="preserve">Bull Case </w:t>
            </w:r>
          </w:p>
        </w:tc>
        <w:tc>
          <w:tcPr>
            <w:tcW w:w="2755" w:type="dxa"/>
          </w:tcPr>
          <w:p w14:paraId="41802008" w14:textId="7AF87374" w:rsidR="000F4E13" w:rsidRDefault="000F4E13" w:rsidP="000F4E13">
            <w:pPr>
              <w:pStyle w:val="NormalWeb"/>
              <w:spacing w:before="0" w:beforeAutospacing="0" w:after="0" w:afterAutospacing="0"/>
              <w:jc w:val="both"/>
              <w:rPr>
                <w:b/>
                <w:bCs/>
              </w:rPr>
            </w:pPr>
            <w:r w:rsidRPr="00B73355">
              <w:t xml:space="preserve">22% Penetration, 2.5% FX Margin </w:t>
            </w:r>
          </w:p>
        </w:tc>
        <w:tc>
          <w:tcPr>
            <w:tcW w:w="2755" w:type="dxa"/>
          </w:tcPr>
          <w:p w14:paraId="6B59A83F" w14:textId="3DD15057" w:rsidR="000F4E13" w:rsidRPr="000A2232" w:rsidRDefault="000F4E13" w:rsidP="000F4E13">
            <w:pPr>
              <w:pStyle w:val="NormalWeb"/>
              <w:spacing w:before="0" w:beforeAutospacing="0" w:after="0" w:afterAutospacing="0"/>
              <w:jc w:val="both"/>
              <w:rPr>
                <w:b/>
                <w:bCs/>
              </w:rPr>
            </w:pPr>
            <w:r w:rsidRPr="000A2232">
              <w:rPr>
                <w:b/>
                <w:bCs/>
              </w:rPr>
              <w:t xml:space="preserve">$108.2M </w:t>
            </w:r>
          </w:p>
        </w:tc>
        <w:tc>
          <w:tcPr>
            <w:tcW w:w="2755" w:type="dxa"/>
          </w:tcPr>
          <w:p w14:paraId="699874D1" w14:textId="2203F52C" w:rsidR="000F4E13" w:rsidRDefault="000F4E13" w:rsidP="000F4E13">
            <w:pPr>
              <w:pStyle w:val="NormalWeb"/>
              <w:spacing w:before="0" w:beforeAutospacing="0" w:after="0" w:afterAutospacing="0"/>
              <w:jc w:val="both"/>
              <w:rPr>
                <w:b/>
                <w:bCs/>
              </w:rPr>
            </w:pPr>
            <w:r w:rsidRPr="00B73355">
              <w:t xml:space="preserve">Exceptional adoption allows for funding multiple </w:t>
            </w:r>
            <w:proofErr w:type="spellStart"/>
            <w:r w:rsidRPr="00B73355">
              <w:t>NREVscale</w:t>
            </w:r>
            <w:proofErr w:type="spellEnd"/>
            <w:r w:rsidRPr="00B73355">
              <w:t xml:space="preserve"> projects. </w:t>
            </w:r>
          </w:p>
        </w:tc>
      </w:tr>
      <w:tr w:rsidR="000F4E13" w14:paraId="443A4880" w14:textId="77777777" w:rsidTr="003D1DE5">
        <w:tc>
          <w:tcPr>
            <w:tcW w:w="2755" w:type="dxa"/>
            <w:shd w:val="clear" w:color="auto" w:fill="8EAADB" w:themeFill="accent1" w:themeFillTint="99"/>
          </w:tcPr>
          <w:p w14:paraId="0D72C6E9" w14:textId="5138F229" w:rsidR="000F4E13" w:rsidRDefault="000F4E13" w:rsidP="000F4E13">
            <w:pPr>
              <w:pStyle w:val="NormalWeb"/>
              <w:spacing w:before="0" w:beforeAutospacing="0" w:after="0" w:afterAutospacing="0"/>
              <w:jc w:val="both"/>
              <w:rPr>
                <w:b/>
                <w:bCs/>
              </w:rPr>
            </w:pPr>
            <w:r w:rsidRPr="007E5AA8">
              <w:t>Bear Case</w:t>
            </w:r>
          </w:p>
        </w:tc>
        <w:tc>
          <w:tcPr>
            <w:tcW w:w="2755" w:type="dxa"/>
            <w:shd w:val="clear" w:color="auto" w:fill="8EAADB" w:themeFill="accent1" w:themeFillTint="99"/>
          </w:tcPr>
          <w:p w14:paraId="07458947" w14:textId="24A41D9F" w:rsidR="000F4E13" w:rsidRDefault="000F4E13" w:rsidP="000F4E13">
            <w:pPr>
              <w:pStyle w:val="NormalWeb"/>
              <w:spacing w:before="0" w:beforeAutospacing="0" w:after="0" w:afterAutospacing="0"/>
              <w:jc w:val="both"/>
              <w:rPr>
                <w:b/>
                <w:bCs/>
              </w:rPr>
            </w:pPr>
            <w:r w:rsidRPr="007E5AA8">
              <w:t xml:space="preserve">14% Penetration, 1.5% FX Margin </w:t>
            </w:r>
          </w:p>
        </w:tc>
        <w:tc>
          <w:tcPr>
            <w:tcW w:w="2755" w:type="dxa"/>
            <w:shd w:val="clear" w:color="auto" w:fill="8EAADB" w:themeFill="accent1" w:themeFillTint="99"/>
          </w:tcPr>
          <w:p w14:paraId="11B017DA" w14:textId="77606688" w:rsidR="000F4E13" w:rsidRPr="000A2232" w:rsidRDefault="000F4E13" w:rsidP="000F4E13">
            <w:pPr>
              <w:pStyle w:val="NormalWeb"/>
              <w:spacing w:before="0" w:beforeAutospacing="0" w:after="0" w:afterAutospacing="0"/>
              <w:jc w:val="both"/>
              <w:rPr>
                <w:b/>
                <w:bCs/>
              </w:rPr>
            </w:pPr>
            <w:r w:rsidRPr="000A2232">
              <w:rPr>
                <w:b/>
                <w:bCs/>
              </w:rPr>
              <w:t xml:space="preserve">$53.1M </w:t>
            </w:r>
          </w:p>
        </w:tc>
        <w:tc>
          <w:tcPr>
            <w:tcW w:w="2755" w:type="dxa"/>
            <w:shd w:val="clear" w:color="auto" w:fill="8EAADB" w:themeFill="accent1" w:themeFillTint="99"/>
          </w:tcPr>
          <w:p w14:paraId="2B8FBC5F" w14:textId="484A6F4F" w:rsidR="000F4E13" w:rsidRDefault="000F4E13" w:rsidP="000F4E13">
            <w:pPr>
              <w:pStyle w:val="NormalWeb"/>
              <w:spacing w:before="0" w:beforeAutospacing="0" w:after="0" w:afterAutospacing="0"/>
              <w:jc w:val="both"/>
              <w:rPr>
                <w:b/>
                <w:bCs/>
              </w:rPr>
            </w:pPr>
            <w:r w:rsidRPr="007E5AA8">
              <w:t xml:space="preserve">Model still contributes meaningfully to the green </w:t>
            </w:r>
            <w:r w:rsidRPr="007E5AA8">
              <w:lastRenderedPageBreak/>
              <w:t>transition but at a slower pace. Critical to manage costs.</w:t>
            </w:r>
          </w:p>
        </w:tc>
      </w:tr>
      <w:tr w:rsidR="000F4E13" w14:paraId="08FEEF9B" w14:textId="77777777" w:rsidTr="009C75DD">
        <w:tc>
          <w:tcPr>
            <w:tcW w:w="2755" w:type="dxa"/>
          </w:tcPr>
          <w:p w14:paraId="0AFC34FD" w14:textId="453CDF83" w:rsidR="000F4E13" w:rsidRDefault="000F4E13" w:rsidP="000F4E13">
            <w:pPr>
              <w:pStyle w:val="NormalWeb"/>
              <w:spacing w:before="0" w:beforeAutospacing="0" w:after="0" w:afterAutospacing="0"/>
              <w:jc w:val="both"/>
              <w:rPr>
                <w:b/>
                <w:bCs/>
              </w:rPr>
            </w:pPr>
            <w:r w:rsidRPr="00755ADF">
              <w:lastRenderedPageBreak/>
              <w:t xml:space="preserve">Regulatory Support </w:t>
            </w:r>
          </w:p>
        </w:tc>
        <w:tc>
          <w:tcPr>
            <w:tcW w:w="2755" w:type="dxa"/>
          </w:tcPr>
          <w:p w14:paraId="08898343" w14:textId="3B1DE0D3" w:rsidR="000F4E13" w:rsidRDefault="000F4E13" w:rsidP="000F4E13">
            <w:pPr>
              <w:pStyle w:val="NormalWeb"/>
              <w:spacing w:before="0" w:beforeAutospacing="0" w:after="0" w:afterAutospacing="0"/>
              <w:jc w:val="both"/>
              <w:rPr>
                <w:b/>
                <w:bCs/>
              </w:rPr>
            </w:pPr>
            <w:r w:rsidRPr="00755ADF">
              <w:t xml:space="preserve">Govt. waives transfer fees for </w:t>
            </w:r>
            <w:proofErr w:type="spellStart"/>
            <w:r w:rsidRPr="00755ADF">
              <w:t>greenfocused</w:t>
            </w:r>
            <w:proofErr w:type="spellEnd"/>
            <w:r w:rsidRPr="00755ADF">
              <w:t xml:space="preserve"> transactions. Fee income drops to 0%, but penetration jumps to 25%. </w:t>
            </w:r>
          </w:p>
        </w:tc>
        <w:tc>
          <w:tcPr>
            <w:tcW w:w="2755" w:type="dxa"/>
          </w:tcPr>
          <w:p w14:paraId="1E7D6168" w14:textId="29C74FA8" w:rsidR="000F4E13" w:rsidRDefault="000F4E13" w:rsidP="000F4E13">
            <w:pPr>
              <w:pStyle w:val="NormalWeb"/>
              <w:spacing w:before="0" w:beforeAutospacing="0" w:after="0" w:afterAutospacing="0"/>
              <w:jc w:val="both"/>
              <w:rPr>
                <w:b/>
                <w:bCs/>
              </w:rPr>
            </w:pPr>
            <w:r w:rsidRPr="000A2232">
              <w:rPr>
                <w:b/>
                <w:bCs/>
              </w:rPr>
              <w:t>$96.5M</w:t>
            </w:r>
            <w:r w:rsidRPr="00755ADF">
              <w:t xml:space="preserve"> (Calculated) </w:t>
            </w:r>
          </w:p>
        </w:tc>
        <w:tc>
          <w:tcPr>
            <w:tcW w:w="2755" w:type="dxa"/>
          </w:tcPr>
          <w:p w14:paraId="4B0E91DF" w14:textId="5E47BC6B" w:rsidR="000F4E13" w:rsidRDefault="000F4E13" w:rsidP="000F4E13">
            <w:pPr>
              <w:pStyle w:val="NormalWeb"/>
              <w:spacing w:before="0" w:beforeAutospacing="0" w:after="0" w:afterAutospacing="0"/>
              <w:jc w:val="both"/>
              <w:rPr>
                <w:b/>
                <w:bCs/>
              </w:rPr>
            </w:pPr>
            <w:r w:rsidRPr="000A2232">
              <w:rPr>
                <w:b/>
                <w:bCs/>
              </w:rPr>
              <w:t>Highest Impact.</w:t>
            </w:r>
            <w:r w:rsidRPr="00755ADF">
              <w:t xml:space="preserve"> Demonstrates the power of government partnership to drive adoption by removing cost barriers. </w:t>
            </w:r>
          </w:p>
        </w:tc>
      </w:tr>
    </w:tbl>
    <w:p w14:paraId="437C9CEF" w14:textId="77777777" w:rsidR="009C75DD" w:rsidRDefault="009C75DD" w:rsidP="009C75DD">
      <w:pPr>
        <w:pStyle w:val="NormalWeb"/>
        <w:spacing w:before="0" w:beforeAutospacing="0" w:after="0" w:afterAutospacing="0"/>
        <w:jc w:val="both"/>
        <w:rPr>
          <w:b/>
          <w:bCs/>
        </w:rPr>
      </w:pPr>
    </w:p>
    <w:p w14:paraId="25EE297F" w14:textId="77777777" w:rsidR="000A2232" w:rsidRDefault="000A2232" w:rsidP="009C75DD">
      <w:pPr>
        <w:pStyle w:val="NormalWeb"/>
        <w:spacing w:before="0" w:beforeAutospacing="0" w:after="0" w:afterAutospacing="0"/>
        <w:jc w:val="both"/>
        <w:rPr>
          <w:b/>
          <w:bCs/>
        </w:rPr>
      </w:pPr>
    </w:p>
    <w:p w14:paraId="08494FCA" w14:textId="0CCA0F29" w:rsidR="000A2232" w:rsidRDefault="00A379A0" w:rsidP="009C75DD">
      <w:pPr>
        <w:pStyle w:val="NormalWeb"/>
        <w:spacing w:before="0" w:beforeAutospacing="0" w:after="0" w:afterAutospacing="0"/>
        <w:jc w:val="both"/>
      </w:pPr>
      <w:r w:rsidRPr="000A2232">
        <w:rPr>
          <w:b/>
          <w:bCs/>
          <w:sz w:val="28"/>
          <w:szCs w:val="28"/>
        </w:rPr>
        <w:t>CONCLUSION AND POLICY RECOMMENDATION</w:t>
      </w:r>
      <w:r>
        <w:t xml:space="preserve"> </w:t>
      </w:r>
    </w:p>
    <w:p w14:paraId="6E44F407" w14:textId="77777777" w:rsidR="000A2232" w:rsidRDefault="000A2232" w:rsidP="009C75DD">
      <w:pPr>
        <w:pStyle w:val="NormalWeb"/>
        <w:spacing w:before="0" w:beforeAutospacing="0" w:after="0" w:afterAutospacing="0"/>
        <w:jc w:val="both"/>
      </w:pPr>
      <w:r>
        <w:t xml:space="preserve">The financial model confirms the robust viability of the proposed Diaspora Fintech. Even under conservative assumptions, it can generate over $78 million annually for green projects within five years. </w:t>
      </w:r>
    </w:p>
    <w:p w14:paraId="0CCF2716" w14:textId="77777777" w:rsidR="000A2232" w:rsidRDefault="000A2232" w:rsidP="009C75DD">
      <w:pPr>
        <w:pStyle w:val="NormalWeb"/>
        <w:spacing w:before="0" w:beforeAutospacing="0" w:after="0" w:afterAutospacing="0"/>
        <w:jc w:val="both"/>
      </w:pPr>
      <w:r>
        <w:t xml:space="preserve">The primary driver of success is user acquisition (market penetration). Policy should therefore focus on: </w:t>
      </w:r>
    </w:p>
    <w:p w14:paraId="548E8A65" w14:textId="77777777" w:rsidR="00A379A0" w:rsidRPr="00A379A0" w:rsidRDefault="000A2232" w:rsidP="000A2232">
      <w:pPr>
        <w:pStyle w:val="NormalWeb"/>
        <w:numPr>
          <w:ilvl w:val="0"/>
          <w:numId w:val="34"/>
        </w:numPr>
        <w:spacing w:before="0" w:beforeAutospacing="0" w:after="0" w:afterAutospacing="0"/>
        <w:jc w:val="both"/>
        <w:rPr>
          <w:b/>
          <w:bCs/>
        </w:rPr>
      </w:pPr>
      <w:r>
        <w:t xml:space="preserve">Public-Private Partnership: The CBN and BOI should officially endorse and promote the platform to the diaspora, significantly boosting credibility. </w:t>
      </w:r>
    </w:p>
    <w:p w14:paraId="0FAF4A26" w14:textId="77777777" w:rsidR="00A379A0" w:rsidRPr="00A379A0" w:rsidRDefault="000A2232" w:rsidP="000A2232">
      <w:pPr>
        <w:pStyle w:val="NormalWeb"/>
        <w:numPr>
          <w:ilvl w:val="0"/>
          <w:numId w:val="34"/>
        </w:numPr>
        <w:spacing w:before="0" w:beforeAutospacing="0" w:after="0" w:afterAutospacing="0"/>
        <w:jc w:val="both"/>
        <w:rPr>
          <w:b/>
          <w:bCs/>
        </w:rPr>
      </w:pPr>
      <w:r>
        <w:t xml:space="preserve">Tax Incentives: The government could offer a tax credit to diaspora users equivalent to the transfer fee, effectively making green remittances free for the user while the platform retains its revenue. </w:t>
      </w:r>
    </w:p>
    <w:p w14:paraId="1B2A10CA" w14:textId="77777777" w:rsidR="00A379A0" w:rsidRPr="00CA5A77" w:rsidRDefault="000A2232" w:rsidP="000A2232">
      <w:pPr>
        <w:pStyle w:val="NormalWeb"/>
        <w:numPr>
          <w:ilvl w:val="0"/>
          <w:numId w:val="34"/>
        </w:numPr>
        <w:spacing w:before="0" w:beforeAutospacing="0" w:after="0" w:afterAutospacing="0"/>
        <w:jc w:val="both"/>
        <w:rPr>
          <w:b/>
          <w:bCs/>
        </w:rPr>
      </w:pPr>
      <w:r>
        <w:t xml:space="preserve">Phased Launch: Start with a pilot in a key diaspora country (e.g., the UK or US) to refine the model before a global roll-out. This model provides a concrete, numbers-backed foundation for your research paper, moving the proposal from a conceptual framework to a financially sound policy recommendation. </w:t>
      </w:r>
    </w:p>
    <w:p w14:paraId="4894C377" w14:textId="77777777" w:rsidR="00CA5A77" w:rsidRPr="00A379A0" w:rsidRDefault="00CA5A77" w:rsidP="00CA5A77">
      <w:pPr>
        <w:pStyle w:val="NormalWeb"/>
        <w:spacing w:before="0" w:beforeAutospacing="0" w:after="0" w:afterAutospacing="0"/>
        <w:ind w:left="720"/>
        <w:jc w:val="both"/>
        <w:rPr>
          <w:b/>
          <w:bCs/>
        </w:rPr>
      </w:pPr>
    </w:p>
    <w:p w14:paraId="35BFD545" w14:textId="77777777" w:rsidR="00A379A0" w:rsidRPr="00A379A0" w:rsidRDefault="00A379A0" w:rsidP="00A379A0">
      <w:pPr>
        <w:pStyle w:val="NormalWeb"/>
        <w:spacing w:before="0" w:beforeAutospacing="0" w:after="0" w:afterAutospacing="0"/>
        <w:jc w:val="both"/>
        <w:rPr>
          <w:b/>
          <w:bCs/>
        </w:rPr>
      </w:pPr>
    </w:p>
    <w:p w14:paraId="7FBD9015" w14:textId="0E1B79A3" w:rsidR="00F011E8" w:rsidRDefault="00A379A0" w:rsidP="00A379A0">
      <w:pPr>
        <w:pStyle w:val="NormalWeb"/>
        <w:spacing w:before="0" w:beforeAutospacing="0" w:after="0" w:afterAutospacing="0"/>
        <w:jc w:val="both"/>
        <w:rPr>
          <w:b/>
          <w:bCs/>
          <w:sz w:val="28"/>
          <w:szCs w:val="28"/>
        </w:rPr>
      </w:pPr>
      <w:r w:rsidRPr="00A379A0">
        <w:rPr>
          <w:b/>
          <w:bCs/>
          <w:sz w:val="28"/>
          <w:szCs w:val="28"/>
        </w:rPr>
        <w:t>DISCUSSION AND POLICY IMPLICATIONS</w:t>
      </w:r>
    </w:p>
    <w:p w14:paraId="3F815511" w14:textId="77777777" w:rsidR="00A379A0" w:rsidRPr="00F0535A" w:rsidRDefault="000A2232" w:rsidP="00A379A0">
      <w:pPr>
        <w:pStyle w:val="NormalWeb"/>
        <w:spacing w:before="0" w:beforeAutospacing="0" w:after="0" w:afterAutospacing="0"/>
        <w:jc w:val="both"/>
        <w:rPr>
          <w:sz w:val="28"/>
          <w:szCs w:val="28"/>
        </w:rPr>
      </w:pPr>
      <w:r w:rsidRPr="00F0535A">
        <w:rPr>
          <w:b/>
          <w:bCs/>
          <w:sz w:val="28"/>
          <w:szCs w:val="28"/>
        </w:rPr>
        <w:t>Feasibility of the Proposed Model</w:t>
      </w:r>
      <w:r w:rsidRPr="00F0535A">
        <w:rPr>
          <w:sz w:val="28"/>
          <w:szCs w:val="28"/>
        </w:rPr>
        <w:t xml:space="preserve"> </w:t>
      </w:r>
    </w:p>
    <w:p w14:paraId="7983F3BD" w14:textId="77777777" w:rsidR="00A379A0" w:rsidRDefault="000A2232" w:rsidP="00A379A0">
      <w:pPr>
        <w:pStyle w:val="NormalWeb"/>
        <w:spacing w:before="0" w:beforeAutospacing="0" w:after="0" w:afterAutospacing="0"/>
        <w:jc w:val="both"/>
      </w:pPr>
      <w:r>
        <w:t>The Fintech-Cooperative model is feasible due to its alignment with Nigeria’s $25 billion remittance inflows and the ETP’s de-risking mechanisms. Strengths include low capital mobilization costs, government-backed securities, and scalability via Fintech. Challenges include regulatory hurdles for Fintech operations, diaspora trust in cooperative governance, and adoption rates among remittance senders. Pilot projects, like the NREV, can demonstrate viability and build confidence.</w:t>
      </w:r>
    </w:p>
    <w:p w14:paraId="21F25750" w14:textId="77777777" w:rsidR="00F0535A" w:rsidRDefault="00F0535A" w:rsidP="00A379A0">
      <w:pPr>
        <w:pStyle w:val="NormalWeb"/>
        <w:spacing w:before="0" w:beforeAutospacing="0" w:after="0" w:afterAutospacing="0"/>
        <w:jc w:val="both"/>
      </w:pPr>
    </w:p>
    <w:p w14:paraId="72D0DF87" w14:textId="77777777" w:rsidR="00F0535A" w:rsidRPr="00F0535A" w:rsidRDefault="000A2232" w:rsidP="00F0535A">
      <w:pPr>
        <w:pStyle w:val="NormalWeb"/>
        <w:spacing w:before="0" w:beforeAutospacing="0" w:after="0" w:afterAutospacing="0"/>
        <w:jc w:val="both"/>
        <w:rPr>
          <w:b/>
          <w:bCs/>
          <w:sz w:val="28"/>
          <w:szCs w:val="28"/>
        </w:rPr>
      </w:pPr>
      <w:r>
        <w:t xml:space="preserve"> </w:t>
      </w:r>
      <w:r w:rsidRPr="00F0535A">
        <w:rPr>
          <w:b/>
          <w:bCs/>
          <w:sz w:val="28"/>
          <w:szCs w:val="28"/>
        </w:rPr>
        <w:t>Policy Recommendations</w:t>
      </w:r>
    </w:p>
    <w:p w14:paraId="4C720228" w14:textId="77777777" w:rsidR="00F0535A" w:rsidRPr="00F0535A" w:rsidRDefault="000A2232" w:rsidP="00F0535A">
      <w:pPr>
        <w:pStyle w:val="NormalWeb"/>
        <w:numPr>
          <w:ilvl w:val="0"/>
          <w:numId w:val="38"/>
        </w:numPr>
        <w:spacing w:before="0" w:beforeAutospacing="0" w:after="0" w:afterAutospacing="0"/>
        <w:jc w:val="both"/>
        <w:rPr>
          <w:b/>
          <w:bCs/>
        </w:rPr>
      </w:pPr>
      <w:r>
        <w:t xml:space="preserve">Regulatory Reforms: Streamline Fintech licensing and cooperative governance frameworks to facilitate operations. </w:t>
      </w:r>
    </w:p>
    <w:p w14:paraId="6DA1E56E" w14:textId="77777777" w:rsidR="00F0535A" w:rsidRPr="00F0535A" w:rsidRDefault="000A2232" w:rsidP="00F0535A">
      <w:pPr>
        <w:pStyle w:val="NormalWeb"/>
        <w:numPr>
          <w:ilvl w:val="0"/>
          <w:numId w:val="38"/>
        </w:numPr>
        <w:spacing w:before="0" w:beforeAutospacing="0" w:after="0" w:afterAutospacing="0"/>
        <w:jc w:val="both"/>
        <w:rPr>
          <w:b/>
          <w:bCs/>
        </w:rPr>
      </w:pPr>
      <w:r>
        <w:t xml:space="preserve">Diaspora Incentives: Offer tax benefits on dividends and remittance fee deductions to encourage participation. </w:t>
      </w:r>
    </w:p>
    <w:p w14:paraId="4B3E54E5" w14:textId="77777777" w:rsidR="00F0535A" w:rsidRPr="00F0535A" w:rsidRDefault="000A2232" w:rsidP="00F0535A">
      <w:pPr>
        <w:pStyle w:val="NormalWeb"/>
        <w:numPr>
          <w:ilvl w:val="0"/>
          <w:numId w:val="38"/>
        </w:numPr>
        <w:spacing w:before="0" w:beforeAutospacing="0" w:after="0" w:afterAutospacing="0"/>
        <w:jc w:val="both"/>
        <w:rPr>
          <w:b/>
          <w:bCs/>
        </w:rPr>
      </w:pPr>
      <w:r>
        <w:t xml:space="preserve">Public Awareness: Launch campaigns via diaspora networks and social media to promote the cooperative’s benefits. </w:t>
      </w:r>
    </w:p>
    <w:p w14:paraId="46FDBD02" w14:textId="314BB6F9" w:rsidR="00F0535A" w:rsidRPr="00F0535A" w:rsidRDefault="000A2232" w:rsidP="00F0535A">
      <w:pPr>
        <w:pStyle w:val="NormalWeb"/>
        <w:numPr>
          <w:ilvl w:val="0"/>
          <w:numId w:val="38"/>
        </w:numPr>
        <w:spacing w:before="0" w:beforeAutospacing="0" w:after="0" w:afterAutospacing="0"/>
        <w:jc w:val="both"/>
        <w:rPr>
          <w:b/>
          <w:bCs/>
        </w:rPr>
      </w:pPr>
      <w:r>
        <w:t xml:space="preserve">Partnerships: Collaborate with international Fintech providers and multilateral institutions (e.g., World Bank) to enhance credibility and funding. </w:t>
      </w:r>
    </w:p>
    <w:p w14:paraId="7583D409" w14:textId="77777777" w:rsidR="00F0535A" w:rsidRPr="00F0535A" w:rsidRDefault="00F0535A" w:rsidP="00F0535A">
      <w:pPr>
        <w:pStyle w:val="NormalWeb"/>
        <w:spacing w:before="0" w:beforeAutospacing="0" w:after="0" w:afterAutospacing="0"/>
        <w:ind w:left="420"/>
        <w:jc w:val="both"/>
        <w:rPr>
          <w:b/>
          <w:bCs/>
        </w:rPr>
      </w:pPr>
    </w:p>
    <w:p w14:paraId="3D81D67E" w14:textId="77777777" w:rsidR="00F0535A" w:rsidRDefault="000A2232" w:rsidP="00F0535A">
      <w:pPr>
        <w:pStyle w:val="NormalWeb"/>
        <w:spacing w:before="0" w:beforeAutospacing="0" w:after="0" w:afterAutospacing="0"/>
        <w:jc w:val="both"/>
      </w:pPr>
      <w:r w:rsidRPr="00F0535A">
        <w:rPr>
          <w:b/>
          <w:bCs/>
          <w:sz w:val="28"/>
          <w:szCs w:val="28"/>
        </w:rPr>
        <w:t>Broader Implications</w:t>
      </w:r>
      <w:r>
        <w:t xml:space="preserve"> </w:t>
      </w:r>
    </w:p>
    <w:p w14:paraId="5FB60CF0" w14:textId="0CEEBAD3" w:rsidR="000A2232" w:rsidRDefault="000A2232" w:rsidP="00F0535A">
      <w:pPr>
        <w:pStyle w:val="NormalWeb"/>
        <w:spacing w:before="0" w:beforeAutospacing="0" w:after="0" w:afterAutospacing="0"/>
        <w:jc w:val="both"/>
      </w:pPr>
      <w:r>
        <w:t>The model supports economic diversification by reducing fossil fuel dependency and fostering green industries. It enhances climate resilience by funding adaptation projects, such as NREV’s solar mini-grids. Globally, the approach could inspire diaspora-heavy economies to leverage remittances for sustainable development, aligning with the Paris Agreement and SDGs.</w:t>
      </w:r>
    </w:p>
    <w:p w14:paraId="15C794E3" w14:textId="77777777" w:rsidR="00F0535A" w:rsidRPr="009C75DD" w:rsidRDefault="00F0535A" w:rsidP="00F0535A">
      <w:pPr>
        <w:pStyle w:val="NormalWeb"/>
        <w:spacing w:before="0" w:beforeAutospacing="0" w:after="0" w:afterAutospacing="0"/>
        <w:jc w:val="both"/>
        <w:rPr>
          <w:b/>
          <w:bCs/>
        </w:rPr>
      </w:pPr>
    </w:p>
    <w:p w14:paraId="4C306813" w14:textId="77777777" w:rsidR="00C47D2D" w:rsidRPr="00C47D2D" w:rsidRDefault="00C47D2D" w:rsidP="00C47D2D">
      <w:pPr>
        <w:spacing w:after="0" w:line="240" w:lineRule="auto"/>
        <w:rPr>
          <w:rFonts w:ascii="Times New Roman" w:eastAsia="Times New Roman" w:hAnsi="Times New Roman" w:cs="Times New Roman"/>
          <w:color w:val="auto"/>
          <w:sz w:val="24"/>
          <w:szCs w:val="24"/>
          <w:lang w:val="en-NG" w:eastAsia="zh-CN"/>
        </w:rPr>
      </w:pPr>
    </w:p>
    <w:p w14:paraId="319E23F2" w14:textId="77777777" w:rsidR="00C47D2D" w:rsidRPr="00C47D2D" w:rsidRDefault="00C47D2D" w:rsidP="00C47D2D">
      <w:pPr>
        <w:spacing w:after="0" w:line="240" w:lineRule="auto"/>
        <w:rPr>
          <w:rFonts w:ascii="Times New Roman" w:eastAsia="Times New Roman" w:hAnsi="Times New Roman" w:cs="Times New Roman"/>
          <w:b/>
          <w:bCs/>
          <w:color w:val="auto"/>
          <w:sz w:val="28"/>
          <w:szCs w:val="28"/>
          <w:lang w:val="en-NG" w:eastAsia="zh-CN"/>
        </w:rPr>
      </w:pPr>
    </w:p>
    <w:p w14:paraId="77A5F944" w14:textId="77777777" w:rsidR="002A4954" w:rsidRDefault="002A4954" w:rsidP="00592D55">
      <w:pPr>
        <w:spacing w:after="0" w:line="240" w:lineRule="auto"/>
        <w:rPr>
          <w:rFonts w:ascii="Times New Roman" w:eastAsia="Times New Roman" w:hAnsi="Times New Roman" w:cs="Times New Roman"/>
          <w:b/>
          <w:color w:val="auto"/>
          <w:sz w:val="28"/>
          <w:szCs w:val="28"/>
        </w:rPr>
      </w:pPr>
    </w:p>
    <w:p w14:paraId="7FB03D5F" w14:textId="70DA095C" w:rsidR="009802A0" w:rsidRPr="00CA5A77" w:rsidRDefault="00054ACA" w:rsidP="00592D55">
      <w:pPr>
        <w:spacing w:after="0" w:line="240" w:lineRule="auto"/>
        <w:rPr>
          <w:rFonts w:ascii="Times New Roman" w:eastAsia="Times New Roman" w:hAnsi="Times New Roman" w:cs="Times New Roman"/>
          <w:b/>
          <w:color w:val="000000" w:themeColor="text1"/>
          <w:sz w:val="28"/>
          <w:szCs w:val="28"/>
        </w:rPr>
      </w:pPr>
      <w:r w:rsidRPr="00CA5A77">
        <w:rPr>
          <w:rFonts w:ascii="Times New Roman" w:eastAsia="Times New Roman" w:hAnsi="Times New Roman" w:cs="Times New Roman"/>
          <w:b/>
          <w:color w:val="000000" w:themeColor="text1"/>
          <w:sz w:val="28"/>
          <w:szCs w:val="28"/>
        </w:rPr>
        <w:t>EXPECTED R</w:t>
      </w:r>
      <w:r w:rsidR="009802A0" w:rsidRPr="00CA5A77">
        <w:rPr>
          <w:rFonts w:ascii="Times New Roman" w:eastAsia="Times New Roman" w:hAnsi="Times New Roman" w:cs="Times New Roman"/>
          <w:b/>
          <w:color w:val="000000" w:themeColor="text1"/>
          <w:sz w:val="28"/>
          <w:szCs w:val="28"/>
        </w:rPr>
        <w:t>ESULTS</w:t>
      </w:r>
      <w:r w:rsidRPr="00CA5A77">
        <w:rPr>
          <w:rFonts w:ascii="Times New Roman" w:eastAsia="Times New Roman" w:hAnsi="Times New Roman" w:cs="Times New Roman"/>
          <w:b/>
          <w:color w:val="000000" w:themeColor="text1"/>
          <w:sz w:val="28"/>
          <w:szCs w:val="28"/>
        </w:rPr>
        <w:t xml:space="preserve"> / OUTPUT</w:t>
      </w:r>
    </w:p>
    <w:p w14:paraId="2711859D" w14:textId="77777777" w:rsidR="008078F6" w:rsidRPr="00CA5A77" w:rsidRDefault="008078F6" w:rsidP="00081015">
      <w:pPr>
        <w:spacing w:after="0" w:line="240" w:lineRule="auto"/>
        <w:ind w:left="74"/>
        <w:rPr>
          <w:rFonts w:ascii="Times New Roman" w:eastAsia="Times New Roman" w:hAnsi="Times New Roman" w:cs="Times New Roman"/>
          <w:b/>
          <w:color w:val="000000" w:themeColor="text1"/>
          <w:sz w:val="28"/>
          <w:szCs w:val="28"/>
        </w:rPr>
      </w:pPr>
    </w:p>
    <w:p w14:paraId="3F54C606" w14:textId="4C6B4B8D" w:rsidR="002E3F17" w:rsidRPr="00CA5A77" w:rsidRDefault="006633AF" w:rsidP="003803F4">
      <w:pPr>
        <w:pStyle w:val="NormalWeb"/>
        <w:numPr>
          <w:ilvl w:val="0"/>
          <w:numId w:val="21"/>
        </w:numPr>
        <w:spacing w:before="0" w:beforeAutospacing="0" w:after="0" w:afterAutospacing="0"/>
        <w:jc w:val="both"/>
        <w:rPr>
          <w:color w:val="000000" w:themeColor="text1"/>
        </w:rPr>
      </w:pPr>
      <w:r w:rsidRPr="00CA5A77">
        <w:rPr>
          <w:rStyle w:val="Strong"/>
          <w:rFonts w:eastAsia="Century Gothic"/>
          <w:b w:val="0"/>
          <w:bCs w:val="0"/>
          <w:color w:val="000000" w:themeColor="text1"/>
        </w:rPr>
        <w:t>Scalable Green Finance Generation:</w:t>
      </w:r>
      <w:r w:rsidRPr="00CA5A77">
        <w:rPr>
          <w:color w:val="000000" w:themeColor="text1"/>
        </w:rPr>
        <w:t xml:space="preserve"> </w:t>
      </w:r>
      <w:r w:rsidRPr="00CA5A77">
        <w:rPr>
          <w:rFonts w:ascii="Century Gothic" w:hAnsi="Century Gothic"/>
          <w:color w:val="000000" w:themeColor="text1"/>
          <w:lang w:val="en-NG"/>
        </w:rPr>
        <w:t xml:space="preserve"> </w:t>
      </w:r>
      <w:r w:rsidRPr="00CA5A77">
        <w:rPr>
          <w:color w:val="000000" w:themeColor="text1"/>
          <w:lang w:val="en-NG"/>
        </w:rPr>
        <w:t xml:space="preserve">The Fintech–Diaspora Cooperative model is projected to capture </w:t>
      </w:r>
      <w:r w:rsidRPr="00CA5A77">
        <w:rPr>
          <w:rFonts w:eastAsia="Century Gothic"/>
          <w:color w:val="000000" w:themeColor="text1"/>
          <w:lang w:val="en-NG"/>
        </w:rPr>
        <w:t>10 % of Nigeria’s annual remittance inflows (US $2.5 billion)</w:t>
      </w:r>
      <w:r w:rsidRPr="00CA5A77">
        <w:rPr>
          <w:color w:val="000000" w:themeColor="text1"/>
          <w:lang w:val="en-NG"/>
        </w:rPr>
        <w:t xml:space="preserve">. With a combined </w:t>
      </w:r>
      <w:r w:rsidRPr="00CA5A77">
        <w:rPr>
          <w:rFonts w:eastAsia="Century Gothic"/>
          <w:color w:val="000000" w:themeColor="text1"/>
          <w:lang w:val="en-NG"/>
        </w:rPr>
        <w:t>2 % transfer fee and 2 % exchange-rate margin</w:t>
      </w:r>
      <w:r w:rsidRPr="00CA5A77">
        <w:rPr>
          <w:color w:val="000000" w:themeColor="text1"/>
          <w:lang w:val="en-NG"/>
        </w:rPr>
        <w:t xml:space="preserve">, it can generate about </w:t>
      </w:r>
      <w:r w:rsidRPr="00CA5A77">
        <w:rPr>
          <w:rFonts w:eastAsia="Century Gothic"/>
          <w:color w:val="000000" w:themeColor="text1"/>
          <w:lang w:val="en-NG"/>
        </w:rPr>
        <w:t>US $100 million in annual revenue</w:t>
      </w:r>
      <w:r w:rsidRPr="00CA5A77">
        <w:rPr>
          <w:color w:val="000000" w:themeColor="text1"/>
          <w:lang w:val="en-NG"/>
        </w:rPr>
        <w:t xml:space="preserve"> within the first five years</w:t>
      </w:r>
      <w:r w:rsidRPr="00CA5A77">
        <w:rPr>
          <w:color w:val="000000" w:themeColor="text1"/>
        </w:rPr>
        <w:t>.</w:t>
      </w:r>
      <w:bookmarkStart w:id="2" w:name="_Hlk219177828"/>
    </w:p>
    <w:p w14:paraId="3CE696F1" w14:textId="0584BE52" w:rsidR="00133A9C" w:rsidRPr="00CA5A77" w:rsidRDefault="00283A45" w:rsidP="003803F4">
      <w:pPr>
        <w:pStyle w:val="NormalWeb"/>
        <w:numPr>
          <w:ilvl w:val="0"/>
          <w:numId w:val="21"/>
        </w:numPr>
        <w:spacing w:before="0" w:beforeAutospacing="0" w:after="0" w:afterAutospacing="0"/>
        <w:jc w:val="both"/>
        <w:rPr>
          <w:rFonts w:eastAsia="Century Gothic"/>
          <w:color w:val="000000" w:themeColor="text1"/>
          <w:lang w:val="en-NG"/>
        </w:rPr>
      </w:pPr>
      <w:r w:rsidRPr="00CA5A77">
        <w:rPr>
          <w:color w:val="000000" w:themeColor="text1"/>
        </w:rPr>
        <w:t>Investment Allocation to Renewable Energy</w:t>
      </w:r>
      <w:r w:rsidRPr="00CA5A77">
        <w:rPr>
          <w:rStyle w:val="Strong"/>
          <w:rFonts w:eastAsia="Century Gothic"/>
          <w:color w:val="000000" w:themeColor="text1"/>
        </w:rPr>
        <w:t>:</w:t>
      </w:r>
      <w:r w:rsidRPr="00CA5A77">
        <w:rPr>
          <w:color w:val="000000" w:themeColor="text1"/>
        </w:rPr>
        <w:t xml:space="preserve"> </w:t>
      </w:r>
      <w:r w:rsidRPr="00CA5A77">
        <w:rPr>
          <w:color w:val="000000" w:themeColor="text1"/>
          <w:lang w:val="en-NG"/>
        </w:rPr>
        <w:t xml:space="preserve"> After operating costs and tax, around </w:t>
      </w:r>
      <w:r w:rsidRPr="00CA5A77">
        <w:rPr>
          <w:rFonts w:eastAsia="Century Gothic"/>
          <w:color w:val="000000" w:themeColor="text1"/>
          <w:lang w:val="en-NG"/>
        </w:rPr>
        <w:t>70 % of net profit</w:t>
      </w:r>
      <w:r w:rsidRPr="00CA5A77">
        <w:rPr>
          <w:color w:val="000000" w:themeColor="text1"/>
          <w:lang w:val="en-NG"/>
        </w:rPr>
        <w:t xml:space="preserve"> which is </w:t>
      </w:r>
      <w:r w:rsidRPr="00CA5A77">
        <w:rPr>
          <w:rFonts w:eastAsia="Century Gothic"/>
          <w:color w:val="000000" w:themeColor="text1"/>
          <w:lang w:val="en-NG"/>
        </w:rPr>
        <w:t>about US $78 million annually by Year 5</w:t>
      </w:r>
      <w:r w:rsidRPr="00CA5A77">
        <w:rPr>
          <w:color w:val="000000" w:themeColor="text1"/>
          <w:lang w:val="en-NG"/>
        </w:rPr>
        <w:t xml:space="preserve"> </w:t>
      </w:r>
      <w:r w:rsidRPr="00CA5A77">
        <w:rPr>
          <w:rFonts w:eastAsia="Century Gothic"/>
          <w:color w:val="000000" w:themeColor="text1"/>
          <w:lang w:val="en-NG"/>
        </w:rPr>
        <w:t>will be available for direct investment in renewable energy projects.</w:t>
      </w:r>
      <w:bookmarkStart w:id="3" w:name="_Hlk219178426"/>
      <w:bookmarkEnd w:id="2"/>
      <w:r w:rsidR="002E3F17" w:rsidRPr="00CA5A77">
        <w:rPr>
          <w:b/>
          <w:bCs/>
          <w:color w:val="000000" w:themeColor="text1"/>
          <w:lang w:val="en-NG"/>
        </w:rPr>
        <w:t xml:space="preserve"> </w:t>
      </w:r>
    </w:p>
    <w:p w14:paraId="76B3A5B8" w14:textId="39C65E94" w:rsidR="00133A9C" w:rsidRPr="00CA5A77" w:rsidRDefault="00133A9C" w:rsidP="003803F4">
      <w:pPr>
        <w:pStyle w:val="NormalWeb"/>
        <w:numPr>
          <w:ilvl w:val="0"/>
          <w:numId w:val="21"/>
        </w:numPr>
        <w:spacing w:before="0" w:beforeAutospacing="0" w:after="0" w:afterAutospacing="0"/>
        <w:jc w:val="both"/>
        <w:rPr>
          <w:rFonts w:eastAsia="Century Gothic"/>
          <w:color w:val="000000" w:themeColor="text1"/>
          <w:lang w:val="en-NG"/>
        </w:rPr>
      </w:pPr>
      <w:r w:rsidRPr="00CA5A77">
        <w:rPr>
          <w:rFonts w:eastAsia="Century Gothic"/>
          <w:color w:val="000000" w:themeColor="text1"/>
          <w:lang w:val="en-NG"/>
        </w:rPr>
        <w:t>C</w:t>
      </w:r>
      <w:r w:rsidR="002E3F17" w:rsidRPr="00CA5A77">
        <w:rPr>
          <w:rFonts w:eastAsia="Century Gothic"/>
          <w:color w:val="000000" w:themeColor="text1"/>
          <w:lang w:val="en-NG"/>
        </w:rPr>
        <w:t>ase-Study Implementation (NREV):</w:t>
      </w:r>
      <w:r w:rsidR="002E3F17" w:rsidRPr="00CA5A77">
        <w:rPr>
          <w:rFonts w:eastAsia="Century Gothic"/>
          <w:b/>
          <w:bCs/>
          <w:color w:val="000000" w:themeColor="text1"/>
          <w:lang w:val="en-NG"/>
        </w:rPr>
        <w:t xml:space="preserve"> </w:t>
      </w:r>
      <w:r w:rsidR="002E3F17" w:rsidRPr="00CA5A77">
        <w:rPr>
          <w:rFonts w:eastAsia="Century Gothic"/>
          <w:color w:val="000000" w:themeColor="text1"/>
          <w:lang w:val="en-NG"/>
        </w:rPr>
        <w:t xml:space="preserve"> These funds can fully finance the US $120 million solar mini-grid and EV infrastructure within two years, enabling:</w:t>
      </w:r>
    </w:p>
    <w:p w14:paraId="3CBFFB04" w14:textId="2B40C6BF" w:rsidR="002E3F17" w:rsidRPr="00CA5A77" w:rsidRDefault="00133A9C" w:rsidP="003803F4">
      <w:pPr>
        <w:pStyle w:val="NormalWeb"/>
        <w:spacing w:before="0" w:beforeAutospacing="0" w:after="0" w:afterAutospacing="0"/>
        <w:ind w:left="720"/>
        <w:jc w:val="both"/>
        <w:rPr>
          <w:rFonts w:eastAsia="Century Gothic"/>
          <w:color w:val="000000" w:themeColor="text1"/>
          <w:lang w:val="en-NG"/>
        </w:rPr>
      </w:pPr>
      <w:r w:rsidRPr="00CA5A77">
        <w:rPr>
          <w:rFonts w:eastAsia="Century Gothic"/>
          <w:color w:val="000000" w:themeColor="text1"/>
          <w:lang w:val="en-NG"/>
        </w:rPr>
        <w:t xml:space="preserve">a. </w:t>
      </w:r>
      <w:r w:rsidR="002E3F17" w:rsidRPr="00CA5A77">
        <w:rPr>
          <w:rFonts w:eastAsia="Century Gothic"/>
          <w:color w:val="000000" w:themeColor="text1"/>
          <w:lang w:val="en-NG"/>
        </w:rPr>
        <w:t>20 MW of solar capacity across 40 underserved towns, and</w:t>
      </w:r>
    </w:p>
    <w:p w14:paraId="2C0DAB23" w14:textId="080518D8" w:rsidR="002E3F17" w:rsidRPr="00CA5A77" w:rsidRDefault="00133A9C" w:rsidP="003803F4">
      <w:pPr>
        <w:pStyle w:val="NormalWeb"/>
        <w:spacing w:before="0" w:beforeAutospacing="0" w:after="0" w:afterAutospacing="0"/>
        <w:ind w:left="360"/>
        <w:jc w:val="both"/>
        <w:rPr>
          <w:rFonts w:eastAsia="Century Gothic"/>
          <w:color w:val="000000" w:themeColor="text1"/>
          <w:lang w:val="en-NG"/>
        </w:rPr>
      </w:pPr>
      <w:r w:rsidRPr="00CA5A77">
        <w:rPr>
          <w:rFonts w:eastAsia="Century Gothic"/>
          <w:color w:val="000000" w:themeColor="text1"/>
          <w:lang w:val="en-NG"/>
        </w:rPr>
        <w:t xml:space="preserve">      b. </w:t>
      </w:r>
      <w:r w:rsidR="002E3F17" w:rsidRPr="00CA5A77">
        <w:rPr>
          <w:rFonts w:eastAsia="Century Gothic"/>
          <w:color w:val="000000" w:themeColor="text1"/>
          <w:lang w:val="en-NG"/>
        </w:rPr>
        <w:t>An EV hub with over 50 charging stations in Abuja.</w:t>
      </w:r>
    </w:p>
    <w:bookmarkEnd w:id="3"/>
    <w:p w14:paraId="16E5F363" w14:textId="77777777" w:rsidR="00133A9C" w:rsidRPr="00CA5A77" w:rsidRDefault="00133A9C" w:rsidP="003803F4">
      <w:pPr>
        <w:pStyle w:val="ListParagraph"/>
        <w:numPr>
          <w:ilvl w:val="0"/>
          <w:numId w:val="21"/>
        </w:numPr>
        <w:spacing w:after="0" w:line="240" w:lineRule="auto"/>
        <w:jc w:val="both"/>
        <w:rPr>
          <w:rFonts w:ascii="Times New Roman" w:eastAsiaTheme="minorHAnsi" w:hAnsi="Times New Roman" w:cs="Times New Roman"/>
          <w:color w:val="000000" w:themeColor="text1"/>
          <w:sz w:val="24"/>
          <w:szCs w:val="24"/>
          <w:lang w:val="en-NG"/>
        </w:rPr>
      </w:pPr>
      <w:r w:rsidRPr="00CA5A77">
        <w:rPr>
          <w:rFonts w:ascii="Times New Roman" w:eastAsiaTheme="minorHAnsi" w:hAnsi="Times New Roman" w:cs="Times New Roman"/>
          <w:color w:val="000000" w:themeColor="text1"/>
          <w:sz w:val="24"/>
          <w:szCs w:val="24"/>
          <w:lang w:val="en-NG"/>
        </w:rPr>
        <w:t>Socio-Economic and Environmental Impact:</w:t>
      </w:r>
    </w:p>
    <w:p w14:paraId="0EB6D5C4" w14:textId="77777777" w:rsidR="00133A9C" w:rsidRPr="00CA5A77" w:rsidRDefault="00133A9C" w:rsidP="003803F4">
      <w:pPr>
        <w:numPr>
          <w:ilvl w:val="1"/>
          <w:numId w:val="21"/>
        </w:numPr>
        <w:spacing w:after="0" w:line="240" w:lineRule="auto"/>
        <w:jc w:val="both"/>
        <w:rPr>
          <w:rFonts w:ascii="Times New Roman" w:eastAsiaTheme="minorHAnsi" w:hAnsi="Times New Roman" w:cs="Times New Roman"/>
          <w:color w:val="000000" w:themeColor="text1"/>
          <w:sz w:val="24"/>
          <w:szCs w:val="24"/>
          <w:lang w:val="en-NG"/>
        </w:rPr>
      </w:pPr>
      <w:r w:rsidRPr="00CA5A77">
        <w:rPr>
          <w:rFonts w:ascii="Times New Roman" w:eastAsiaTheme="minorHAnsi" w:hAnsi="Times New Roman" w:cs="Times New Roman"/>
          <w:color w:val="000000" w:themeColor="text1"/>
          <w:sz w:val="24"/>
          <w:szCs w:val="24"/>
          <w:lang w:val="en-NG"/>
        </w:rPr>
        <w:t>Electrification of more than 100,000 people,</w:t>
      </w:r>
    </w:p>
    <w:p w14:paraId="1733678B" w14:textId="77777777" w:rsidR="00133A9C" w:rsidRPr="00CA5A77" w:rsidRDefault="00133A9C" w:rsidP="003803F4">
      <w:pPr>
        <w:numPr>
          <w:ilvl w:val="1"/>
          <w:numId w:val="21"/>
        </w:numPr>
        <w:spacing w:after="0" w:line="240" w:lineRule="auto"/>
        <w:jc w:val="both"/>
        <w:rPr>
          <w:rFonts w:ascii="Times New Roman" w:eastAsiaTheme="minorHAnsi" w:hAnsi="Times New Roman" w:cs="Times New Roman"/>
          <w:color w:val="000000" w:themeColor="text1"/>
          <w:sz w:val="24"/>
          <w:szCs w:val="24"/>
          <w:lang w:val="en-NG"/>
        </w:rPr>
      </w:pPr>
      <w:r w:rsidRPr="00CA5A77">
        <w:rPr>
          <w:rFonts w:ascii="Times New Roman" w:eastAsiaTheme="minorHAnsi" w:hAnsi="Times New Roman" w:cs="Times New Roman"/>
          <w:color w:val="000000" w:themeColor="text1"/>
          <w:sz w:val="24"/>
          <w:szCs w:val="24"/>
          <w:lang w:val="en-NG"/>
        </w:rPr>
        <w:t>Creation of over 700 new jobs, and</w:t>
      </w:r>
    </w:p>
    <w:p w14:paraId="2A1800D6" w14:textId="77777777" w:rsidR="00133A9C" w:rsidRPr="00CA5A77" w:rsidRDefault="00133A9C" w:rsidP="003803F4">
      <w:pPr>
        <w:numPr>
          <w:ilvl w:val="1"/>
          <w:numId w:val="21"/>
        </w:numPr>
        <w:spacing w:after="0" w:line="240" w:lineRule="auto"/>
        <w:jc w:val="both"/>
        <w:rPr>
          <w:rFonts w:ascii="Times New Roman" w:eastAsiaTheme="minorHAnsi" w:hAnsi="Times New Roman" w:cs="Times New Roman"/>
          <w:color w:val="000000" w:themeColor="text1"/>
          <w:sz w:val="24"/>
          <w:szCs w:val="24"/>
          <w:lang w:val="en-NG"/>
        </w:rPr>
      </w:pPr>
      <w:r w:rsidRPr="00CA5A77">
        <w:rPr>
          <w:rFonts w:ascii="Times New Roman" w:eastAsiaTheme="minorHAnsi" w:hAnsi="Times New Roman" w:cs="Times New Roman"/>
          <w:color w:val="000000" w:themeColor="text1"/>
          <w:sz w:val="24"/>
          <w:szCs w:val="24"/>
          <w:lang w:val="en-NG"/>
        </w:rPr>
        <w:t>Significant reduction in carbon emissions through the displacement of diesel-based generation.</w:t>
      </w:r>
    </w:p>
    <w:p w14:paraId="123C5731" w14:textId="77777777" w:rsidR="00133A9C" w:rsidRPr="00CA5A77" w:rsidRDefault="00133A9C" w:rsidP="003803F4">
      <w:pPr>
        <w:numPr>
          <w:ilvl w:val="0"/>
          <w:numId w:val="21"/>
        </w:numPr>
        <w:spacing w:after="0" w:line="240" w:lineRule="auto"/>
        <w:jc w:val="both"/>
        <w:rPr>
          <w:rFonts w:ascii="Times New Roman" w:eastAsiaTheme="minorHAnsi" w:hAnsi="Times New Roman" w:cs="Times New Roman"/>
          <w:color w:val="000000" w:themeColor="text1"/>
          <w:sz w:val="24"/>
          <w:szCs w:val="24"/>
          <w:lang w:val="en-NG"/>
        </w:rPr>
      </w:pPr>
      <w:r w:rsidRPr="00CA5A77">
        <w:rPr>
          <w:rFonts w:ascii="Times New Roman" w:hAnsi="Times New Roman" w:cs="Times New Roman"/>
          <w:color w:val="000000" w:themeColor="text1"/>
          <w:sz w:val="24"/>
          <w:szCs w:val="24"/>
          <w:lang w:val="en-NG"/>
        </w:rPr>
        <w:t>Financial Viability: Financial analysis shows an internal rate of return (IRR) of 13.6–14 %, a net present value (NPV) of about US $87–91 million, and a 4-years payback period, confirming the commercial viability of the model.</w:t>
      </w:r>
    </w:p>
    <w:p w14:paraId="1F4A378F" w14:textId="77777777" w:rsidR="00133A9C" w:rsidRPr="00CA5A77" w:rsidRDefault="00133A9C" w:rsidP="003803F4">
      <w:pPr>
        <w:numPr>
          <w:ilvl w:val="0"/>
          <w:numId w:val="21"/>
        </w:numPr>
        <w:spacing w:after="0" w:line="240" w:lineRule="auto"/>
        <w:jc w:val="both"/>
        <w:rPr>
          <w:rFonts w:ascii="Times New Roman" w:eastAsiaTheme="minorHAnsi" w:hAnsi="Times New Roman" w:cs="Times New Roman"/>
          <w:color w:val="000000" w:themeColor="text1"/>
          <w:sz w:val="24"/>
          <w:szCs w:val="24"/>
          <w:lang w:val="en-NG"/>
        </w:rPr>
      </w:pPr>
      <w:r w:rsidRPr="00CA5A77">
        <w:rPr>
          <w:rFonts w:ascii="Times New Roman" w:eastAsiaTheme="minorHAnsi" w:hAnsi="Times New Roman" w:cs="Times New Roman"/>
          <w:color w:val="000000" w:themeColor="text1"/>
          <w:sz w:val="24"/>
          <w:szCs w:val="24"/>
          <w:lang w:val="en-NG"/>
        </w:rPr>
        <w:t>Sensitivity and Robustness</w:t>
      </w:r>
      <w:r w:rsidRPr="00CA5A77">
        <w:rPr>
          <w:rFonts w:ascii="Times New Roman" w:eastAsiaTheme="minorHAnsi" w:hAnsi="Times New Roman" w:cs="Times New Roman"/>
          <w:b/>
          <w:bCs/>
          <w:color w:val="000000" w:themeColor="text1"/>
          <w:sz w:val="24"/>
          <w:szCs w:val="24"/>
          <w:lang w:val="en-NG"/>
        </w:rPr>
        <w:t>:</w:t>
      </w:r>
      <w:r w:rsidRPr="00CA5A77">
        <w:rPr>
          <w:rFonts w:ascii="Times New Roman" w:eastAsiaTheme="minorHAnsi" w:hAnsi="Times New Roman" w:cs="Times New Roman"/>
          <w:color w:val="000000" w:themeColor="text1"/>
          <w:sz w:val="24"/>
          <w:szCs w:val="24"/>
          <w:lang w:val="en-NG"/>
        </w:rPr>
        <w:t xml:space="preserve"> </w:t>
      </w:r>
      <w:r w:rsidRPr="00CA5A77">
        <w:rPr>
          <w:rFonts w:ascii="Times New Roman" w:hAnsi="Times New Roman" w:cs="Times New Roman"/>
          <w:color w:val="000000" w:themeColor="text1"/>
          <w:sz w:val="24"/>
          <w:szCs w:val="24"/>
          <w:lang w:val="en-NG"/>
        </w:rPr>
        <w:t>Even under conservative scenarios (e.g., lower market penetration or reduced FX margin), the mechanism would still channel over US $50 million annually into green projects, while higher adoption rates could yield over US $100 million.</w:t>
      </w:r>
    </w:p>
    <w:p w14:paraId="02294654" w14:textId="54E02ED1" w:rsidR="00283A45" w:rsidRPr="00CA5A77" w:rsidRDefault="00133A9C" w:rsidP="003803F4">
      <w:pPr>
        <w:numPr>
          <w:ilvl w:val="0"/>
          <w:numId w:val="21"/>
        </w:numPr>
        <w:spacing w:after="0" w:line="240" w:lineRule="auto"/>
        <w:jc w:val="both"/>
        <w:rPr>
          <w:rFonts w:ascii="Times New Roman" w:eastAsiaTheme="minorHAnsi" w:hAnsi="Times New Roman" w:cs="Times New Roman"/>
          <w:color w:val="000000" w:themeColor="text1"/>
          <w:sz w:val="24"/>
          <w:szCs w:val="24"/>
          <w:lang w:val="en-NG"/>
        </w:rPr>
      </w:pPr>
      <w:r w:rsidRPr="00CA5A77">
        <w:rPr>
          <w:rFonts w:ascii="Times New Roman" w:eastAsiaTheme="minorHAnsi" w:hAnsi="Times New Roman" w:cs="Times New Roman"/>
          <w:color w:val="000000" w:themeColor="text1"/>
          <w:sz w:val="24"/>
          <w:szCs w:val="24"/>
          <w:lang w:val="en-NG"/>
        </w:rPr>
        <w:t>Strategic Contribution to Energy Transition:</w:t>
      </w:r>
      <w:r w:rsidRPr="00CA5A77">
        <w:rPr>
          <w:rFonts w:ascii="Times New Roman" w:hAnsi="Times New Roman" w:cs="Times New Roman"/>
          <w:color w:val="000000" w:themeColor="text1"/>
          <w:sz w:val="24"/>
          <w:szCs w:val="24"/>
          <w:lang w:val="en-NG"/>
        </w:rPr>
        <w:t xml:space="preserve"> The study demonstrates that diaspora remittances, when leveraged through a dedicated</w:t>
      </w:r>
      <w:r w:rsidRPr="00CA5A77">
        <w:rPr>
          <w:rFonts w:ascii="Times New Roman" w:hAnsi="Times New Roman" w:cs="Times New Roman"/>
          <w:b/>
          <w:bCs/>
          <w:color w:val="000000" w:themeColor="text1"/>
          <w:sz w:val="24"/>
          <w:szCs w:val="24"/>
          <w:lang w:val="en-NG"/>
        </w:rPr>
        <w:t xml:space="preserve"> </w:t>
      </w:r>
      <w:r w:rsidRPr="00CA5A77">
        <w:rPr>
          <w:rFonts w:ascii="Times New Roman" w:hAnsi="Times New Roman" w:cs="Times New Roman"/>
          <w:color w:val="000000" w:themeColor="text1"/>
          <w:sz w:val="24"/>
          <w:szCs w:val="24"/>
          <w:lang w:val="en-NG"/>
        </w:rPr>
        <w:t>Fintech-Cooperative platform,</w:t>
      </w:r>
      <w:r w:rsidRPr="00CA5A77">
        <w:rPr>
          <w:rFonts w:ascii="Times New Roman" w:hAnsi="Times New Roman" w:cs="Times New Roman"/>
          <w:b/>
          <w:bCs/>
          <w:color w:val="000000" w:themeColor="text1"/>
          <w:sz w:val="24"/>
          <w:szCs w:val="24"/>
          <w:lang w:val="en-NG"/>
        </w:rPr>
        <w:t xml:space="preserve"> </w:t>
      </w:r>
      <w:r w:rsidRPr="00CA5A77">
        <w:rPr>
          <w:rFonts w:ascii="Times New Roman" w:hAnsi="Times New Roman" w:cs="Times New Roman"/>
          <w:color w:val="000000" w:themeColor="text1"/>
          <w:sz w:val="24"/>
          <w:szCs w:val="24"/>
          <w:lang w:val="en-NG"/>
        </w:rPr>
        <w:t>can bridge Nigeria’s US $10 billion annual energy-transition funding gap and provide a replicable model for other Sub-Saharan African economies.</w:t>
      </w:r>
    </w:p>
    <w:p w14:paraId="0451715F" w14:textId="77777777" w:rsidR="00283A45" w:rsidRDefault="00283A45" w:rsidP="002E3F17">
      <w:pPr>
        <w:pStyle w:val="NormalWeb"/>
        <w:spacing w:before="0" w:beforeAutospacing="0" w:after="0" w:afterAutospacing="0"/>
        <w:jc w:val="both"/>
      </w:pPr>
    </w:p>
    <w:p w14:paraId="5DCB2391" w14:textId="77777777" w:rsidR="00473A20" w:rsidRDefault="00473A20" w:rsidP="00A256DD">
      <w:pPr>
        <w:spacing w:after="0" w:line="240" w:lineRule="auto"/>
        <w:ind w:left="567" w:hanging="567"/>
        <w:jc w:val="both"/>
        <w:rPr>
          <w:rFonts w:ascii="Times New Roman" w:hAnsi="Times New Roman" w:cs="Times New Roman"/>
          <w:b/>
          <w:bCs/>
          <w:sz w:val="28"/>
          <w:szCs w:val="28"/>
        </w:rPr>
      </w:pPr>
      <w:r w:rsidRPr="00473A20">
        <w:rPr>
          <w:rFonts w:ascii="Times New Roman" w:hAnsi="Times New Roman" w:cs="Times New Roman"/>
          <w:b/>
          <w:bCs/>
          <w:sz w:val="28"/>
          <w:szCs w:val="28"/>
        </w:rPr>
        <w:t xml:space="preserve">CONCLUSION </w:t>
      </w:r>
    </w:p>
    <w:p w14:paraId="52BBBB99" w14:textId="77777777" w:rsidR="00473A20" w:rsidRDefault="00473A20" w:rsidP="00A256DD">
      <w:pPr>
        <w:spacing w:after="0" w:line="240" w:lineRule="auto"/>
        <w:ind w:left="567" w:hanging="567"/>
        <w:jc w:val="both"/>
        <w:rPr>
          <w:rFonts w:ascii="Times New Roman" w:hAnsi="Times New Roman" w:cs="Times New Roman"/>
          <w:b/>
          <w:bCs/>
          <w:sz w:val="28"/>
          <w:szCs w:val="28"/>
        </w:rPr>
      </w:pPr>
    </w:p>
    <w:p w14:paraId="117D757E" w14:textId="1053114B" w:rsidR="00081015" w:rsidRDefault="00473A20" w:rsidP="00473A20">
      <w:pPr>
        <w:spacing w:after="0" w:line="240" w:lineRule="auto"/>
        <w:jc w:val="both"/>
      </w:pPr>
      <w:r>
        <w:t>This paper proposes a transformative financing mechanism for Nigeria’s green transition, leveraging the $25 billion in diaspora remittances through a Green Transition Fintech and Diaspora Cooperative. By capturing 10% of inflows (~$2.5 billion/year), the model can fund critical projects like the NREV, delivering electrification, jobs, and carbon reduction. Backed by government guarantees and scalable via Fintech, the approach addresses Nigeria’s $10 billion annual funding gap while offering diaspora members financial and social returns. Policymakers, investors, and diaspora communities must collaborate to operationalize this model, ensuring Nigeria’s leadership in Africa’s renewable energy revolution. Future research should assess the model’s long-term impact and scalability in other African contexts.</w:t>
      </w:r>
    </w:p>
    <w:p w14:paraId="5CBEA083" w14:textId="77777777" w:rsidR="00473A20" w:rsidRPr="006633AF" w:rsidRDefault="00473A20" w:rsidP="00A256DD">
      <w:pPr>
        <w:spacing w:after="0" w:line="240" w:lineRule="auto"/>
        <w:ind w:left="567" w:hanging="567"/>
        <w:jc w:val="both"/>
        <w:rPr>
          <w:rFonts w:ascii="Times New Roman" w:eastAsia="Times New Roman" w:hAnsi="Times New Roman" w:cs="Times New Roman"/>
          <w:b/>
          <w:color w:val="auto"/>
          <w:sz w:val="28"/>
          <w:szCs w:val="28"/>
          <w:lang w:val="en-NG"/>
        </w:rPr>
      </w:pPr>
    </w:p>
    <w:p w14:paraId="22FC1040" w14:textId="4BEF8762" w:rsidR="00A256DD" w:rsidRPr="00191F11" w:rsidRDefault="009802A0" w:rsidP="008078F6">
      <w:pPr>
        <w:spacing w:after="0" w:line="240" w:lineRule="auto"/>
        <w:ind w:left="567" w:hanging="567"/>
        <w:jc w:val="both"/>
        <w:rPr>
          <w:rFonts w:ascii="Times New Roman" w:hAnsi="Times New Roman" w:cs="Times New Roman"/>
          <w:color w:val="C00000"/>
          <w:sz w:val="24"/>
          <w:szCs w:val="24"/>
        </w:rPr>
      </w:pPr>
      <w:r>
        <w:rPr>
          <w:rFonts w:ascii="Times New Roman" w:eastAsia="Times New Roman" w:hAnsi="Times New Roman" w:cs="Times New Roman"/>
          <w:b/>
          <w:color w:val="auto"/>
          <w:sz w:val="28"/>
          <w:szCs w:val="28"/>
        </w:rPr>
        <w:t>REFERENCES</w:t>
      </w:r>
      <w:r w:rsidRPr="000163C9">
        <w:rPr>
          <w:rFonts w:ascii="Times New Roman" w:hAnsi="Times New Roman" w:cs="Times New Roman"/>
          <w:b/>
          <w:color w:val="FFFFFF"/>
          <w:sz w:val="24"/>
          <w:szCs w:val="24"/>
        </w:rPr>
        <w:t xml:space="preserve"> </w:t>
      </w:r>
      <w:r w:rsidR="000163C9" w:rsidRPr="000163C9">
        <w:rPr>
          <w:rFonts w:ascii="Times New Roman" w:hAnsi="Times New Roman" w:cs="Times New Roman"/>
          <w:b/>
          <w:color w:val="FFFFFF"/>
          <w:sz w:val="24"/>
          <w:szCs w:val="24"/>
        </w:rPr>
        <w:t>There is a pressing need to examine the prevailing material m</w:t>
      </w:r>
      <w:r>
        <w:rPr>
          <w:rFonts w:ascii="Times New Roman" w:hAnsi="Times New Roman" w:cs="Times New Roman"/>
          <w:b/>
          <w:color w:val="FFFFFF"/>
          <w:sz w:val="24"/>
          <w:szCs w:val="24"/>
        </w:rPr>
        <w:t xml:space="preserve">anagement approaches </w:t>
      </w:r>
    </w:p>
    <w:p w14:paraId="3B081F5F" w14:textId="77777777" w:rsidR="00A256DD" w:rsidRPr="00A256DD" w:rsidRDefault="00A256DD" w:rsidP="00A256DD">
      <w:pPr>
        <w:spacing w:after="0" w:line="240" w:lineRule="auto"/>
        <w:ind w:left="567" w:hanging="567"/>
        <w:jc w:val="both"/>
        <w:rPr>
          <w:rFonts w:ascii="Times New Roman" w:hAnsi="Times New Roman" w:cs="Times New Roman"/>
          <w:color w:val="auto"/>
          <w:sz w:val="24"/>
          <w:szCs w:val="24"/>
        </w:rPr>
      </w:pPr>
    </w:p>
    <w:p w14:paraId="48BCE8EC" w14:textId="6FFECFF2"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African Development Bank. (2023). Country focus report 2023 </w:t>
      </w:r>
      <w:proofErr w:type="spellStart"/>
      <w:r w:rsidRPr="008078F6">
        <w:rPr>
          <w:rFonts w:ascii="Times New Roman" w:hAnsi="Times New Roman" w:cs="Times New Roman"/>
          <w:sz w:val="24"/>
          <w:szCs w:val="24"/>
        </w:rPr>
        <w:t>Nigeriа</w:t>
      </w:r>
      <w:proofErr w:type="spellEnd"/>
      <w:r w:rsidRPr="008078F6">
        <w:rPr>
          <w:rFonts w:ascii="Times New Roman" w:hAnsi="Times New Roman" w:cs="Times New Roman"/>
          <w:sz w:val="24"/>
          <w:szCs w:val="24"/>
        </w:rPr>
        <w:t xml:space="preserve"> mobilizing private sector financing for climate and green growth. </w:t>
      </w:r>
      <w:hyperlink r:id="rId7" w:history="1">
        <w:r w:rsidRPr="008078F6">
          <w:rPr>
            <w:rStyle w:val="Hyperlink"/>
            <w:rFonts w:ascii="Times New Roman" w:hAnsi="Times New Roman" w:cs="Times New Roman"/>
            <w:sz w:val="24"/>
            <w:szCs w:val="24"/>
          </w:rPr>
          <w:t>https://www.afdb.org/sites/default/files/documents/publications/nigeri a_cfr_2023_0.pdf</w:t>
        </w:r>
      </w:hyperlink>
    </w:p>
    <w:p w14:paraId="560E7FDF" w14:textId="29912F4D"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Africa Leadership Magazine. (2025). Diaspora bonds: Africa’s new economic lifeline. https://www.africanleadershipmagazine.co.uk/diaspora-bonds-africasnew-economic-lifeline/?q=afreximbank-announces-2025- africaribbean-trade-and-investment-forum-to-accelerate-tradeinvestment-and-economic-growth&amp;pr=342332&amp;lang=ar </w:t>
      </w:r>
    </w:p>
    <w:p w14:paraId="2C587F6C" w14:textId="77777777" w:rsidR="0069217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Agusto &amp; Co. (2025). The price of sustainability: </w:t>
      </w:r>
      <w:proofErr w:type="spellStart"/>
      <w:r w:rsidRPr="008078F6">
        <w:rPr>
          <w:rFonts w:ascii="Times New Roman" w:hAnsi="Times New Roman" w:cs="Times New Roman"/>
          <w:sz w:val="24"/>
          <w:szCs w:val="24"/>
        </w:rPr>
        <w:t>Mobilising</w:t>
      </w:r>
      <w:proofErr w:type="spellEnd"/>
      <w:r w:rsidRPr="008078F6">
        <w:rPr>
          <w:rFonts w:ascii="Times New Roman" w:hAnsi="Times New Roman" w:cs="Times New Roman"/>
          <w:sz w:val="24"/>
          <w:szCs w:val="24"/>
        </w:rPr>
        <w:t xml:space="preserve"> climate finance for a more resilient future. </w:t>
      </w:r>
      <w:hyperlink r:id="rId8" w:history="1">
        <w:r w:rsidRPr="008078F6">
          <w:rPr>
            <w:rStyle w:val="Hyperlink"/>
            <w:rFonts w:ascii="Times New Roman" w:hAnsi="Times New Roman" w:cs="Times New Roman"/>
            <w:sz w:val="24"/>
            <w:szCs w:val="24"/>
          </w:rPr>
          <w:t>https://www.agusto.com</w:t>
        </w:r>
      </w:hyperlink>
      <w:r w:rsidRPr="008078F6">
        <w:rPr>
          <w:rFonts w:ascii="Times New Roman" w:hAnsi="Times New Roman" w:cs="Times New Roman"/>
          <w:sz w:val="24"/>
          <w:szCs w:val="24"/>
        </w:rPr>
        <w:t xml:space="preserve"> </w:t>
      </w:r>
    </w:p>
    <w:p w14:paraId="462FAAC5" w14:textId="121E3809"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lastRenderedPageBreak/>
        <w:t xml:space="preserve">Akinyemi, O., &amp; </w:t>
      </w:r>
      <w:proofErr w:type="spellStart"/>
      <w:r w:rsidRPr="008078F6">
        <w:rPr>
          <w:rFonts w:ascii="Times New Roman" w:hAnsi="Times New Roman" w:cs="Times New Roman"/>
          <w:sz w:val="24"/>
          <w:szCs w:val="24"/>
        </w:rPr>
        <w:t>Alege</w:t>
      </w:r>
      <w:proofErr w:type="spellEnd"/>
      <w:r w:rsidRPr="008078F6">
        <w:rPr>
          <w:rFonts w:ascii="Times New Roman" w:hAnsi="Times New Roman" w:cs="Times New Roman"/>
          <w:sz w:val="24"/>
          <w:szCs w:val="24"/>
        </w:rPr>
        <w:t xml:space="preserve">, P. (2023). Green finance and sustainable development in Africa: The role of innovative financing mechanisms. Journal of African Economies, 32(3), 245–260. </w:t>
      </w:r>
      <w:hyperlink r:id="rId9" w:history="1">
        <w:r w:rsidRPr="008078F6">
          <w:rPr>
            <w:rStyle w:val="Hyperlink"/>
            <w:rFonts w:ascii="Times New Roman" w:hAnsi="Times New Roman" w:cs="Times New Roman"/>
            <w:sz w:val="24"/>
            <w:szCs w:val="24"/>
          </w:rPr>
          <w:t>https://doi.org/10.1093/jae/ejac012</w:t>
        </w:r>
      </w:hyperlink>
      <w:r w:rsidRPr="008078F6">
        <w:rPr>
          <w:rFonts w:ascii="Times New Roman" w:hAnsi="Times New Roman" w:cs="Times New Roman"/>
          <w:sz w:val="24"/>
          <w:szCs w:val="24"/>
        </w:rPr>
        <w:t xml:space="preserve"> </w:t>
      </w:r>
    </w:p>
    <w:p w14:paraId="5D3F33EA" w14:textId="028572F1"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Brookings Institute. (2022). Diaspora bonds: An innovative source of financing? </w:t>
      </w:r>
      <w:hyperlink r:id="rId10" w:history="1">
        <w:r w:rsidRPr="008078F6">
          <w:rPr>
            <w:rStyle w:val="Hyperlink"/>
            <w:rFonts w:ascii="Times New Roman" w:hAnsi="Times New Roman" w:cs="Times New Roman"/>
            <w:sz w:val="24"/>
            <w:szCs w:val="24"/>
          </w:rPr>
          <w:t>https://www.brookings.edu/articles/diaspora-bonds-an-innovativesource-of-financing/</w:t>
        </w:r>
      </w:hyperlink>
      <w:r w:rsidRPr="008078F6">
        <w:rPr>
          <w:rFonts w:ascii="Times New Roman" w:hAnsi="Times New Roman" w:cs="Times New Roman"/>
          <w:sz w:val="24"/>
          <w:szCs w:val="24"/>
        </w:rPr>
        <w:t xml:space="preserve"> </w:t>
      </w:r>
    </w:p>
    <w:p w14:paraId="23290A62" w14:textId="5B876ECC"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Central Bank of Nigeria. (2024). Annual report on remittance inflows to Nigeria: 2023. </w:t>
      </w:r>
      <w:hyperlink r:id="rId11" w:history="1">
        <w:r w:rsidRPr="008078F6">
          <w:rPr>
            <w:rStyle w:val="Hyperlink"/>
            <w:rFonts w:ascii="Times New Roman" w:hAnsi="Times New Roman" w:cs="Times New Roman"/>
            <w:sz w:val="24"/>
            <w:szCs w:val="24"/>
          </w:rPr>
          <w:t>https://www.cbn.gov.ng/documents/2023remittances.pdf</w:t>
        </w:r>
      </w:hyperlink>
      <w:r w:rsidRPr="008078F6">
        <w:rPr>
          <w:rFonts w:ascii="Times New Roman" w:hAnsi="Times New Roman" w:cs="Times New Roman"/>
          <w:sz w:val="24"/>
          <w:szCs w:val="24"/>
        </w:rPr>
        <w:t xml:space="preserve"> </w:t>
      </w:r>
    </w:p>
    <w:p w14:paraId="27125519" w14:textId="539DC971"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Charlotte Remteng, et al. (2021). Policy and regulatory framework for energy in Nigeria. </w:t>
      </w:r>
      <w:hyperlink r:id="rId12" w:history="1">
        <w:r w:rsidRPr="008078F6">
          <w:rPr>
            <w:rStyle w:val="Hyperlink"/>
            <w:rFonts w:ascii="Times New Roman" w:hAnsi="Times New Roman" w:cs="Times New Roman"/>
            <w:sz w:val="24"/>
            <w:szCs w:val="24"/>
          </w:rPr>
          <w:t>https://energypedia.info/wiki/Nigeria_Electricity_Sector</w:t>
        </w:r>
      </w:hyperlink>
    </w:p>
    <w:p w14:paraId="32064904" w14:textId="3C4466EC"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Climate Policy Initiative. (2024). Landscape of climate finance in Nigeria 2024. </w:t>
      </w:r>
      <w:hyperlink r:id="rId13" w:history="1">
        <w:r w:rsidRPr="008078F6">
          <w:rPr>
            <w:rStyle w:val="Hyperlink"/>
            <w:rFonts w:ascii="Times New Roman" w:hAnsi="Times New Roman" w:cs="Times New Roman"/>
            <w:sz w:val="24"/>
            <w:szCs w:val="24"/>
          </w:rPr>
          <w:t>https://www.climatepolicyinitiative.org/wpcontent/uploads/2024/10/Landscape-of-Climate-Finance-in-Nigeria2024.pdf</w:t>
        </w:r>
      </w:hyperlink>
    </w:p>
    <w:p w14:paraId="23071B39" w14:textId="1AAA7776"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Energy Commission of Nigeria. (2023). Nigeria’s renewable energy roadmap: Towards net-zero by 2060. </w:t>
      </w:r>
      <w:hyperlink r:id="rId14" w:history="1">
        <w:r w:rsidRPr="008078F6">
          <w:rPr>
            <w:rStyle w:val="Hyperlink"/>
            <w:rFonts w:ascii="Times New Roman" w:hAnsi="Times New Roman" w:cs="Times New Roman"/>
            <w:sz w:val="24"/>
            <w:szCs w:val="24"/>
          </w:rPr>
          <w:t>https://www.energycommission.gov.ng/publications</w:t>
        </w:r>
      </w:hyperlink>
      <w:r w:rsidRPr="008078F6">
        <w:rPr>
          <w:rFonts w:ascii="Times New Roman" w:hAnsi="Times New Roman" w:cs="Times New Roman"/>
          <w:sz w:val="24"/>
          <w:szCs w:val="24"/>
        </w:rPr>
        <w:t xml:space="preserve"> </w:t>
      </w:r>
    </w:p>
    <w:p w14:paraId="4FDF4301" w14:textId="5BE5DB0F"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Energy Transition Office. (n.d.). Finance and investment – Nigeria Energy Transition Plan. </w:t>
      </w:r>
      <w:hyperlink r:id="rId15" w:history="1">
        <w:r w:rsidRPr="008078F6">
          <w:rPr>
            <w:rStyle w:val="Hyperlink"/>
            <w:rFonts w:ascii="Times New Roman" w:hAnsi="Times New Roman" w:cs="Times New Roman"/>
            <w:sz w:val="24"/>
            <w:szCs w:val="24"/>
          </w:rPr>
          <w:t>https://www.energytransition.gov.ng/finance</w:t>
        </w:r>
      </w:hyperlink>
      <w:r w:rsidRPr="008078F6">
        <w:rPr>
          <w:rFonts w:ascii="Times New Roman" w:hAnsi="Times New Roman" w:cs="Times New Roman"/>
          <w:sz w:val="24"/>
          <w:szCs w:val="24"/>
        </w:rPr>
        <w:t xml:space="preserve"> </w:t>
      </w:r>
    </w:p>
    <w:p w14:paraId="7BA26B9C" w14:textId="2EDE0D42"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Heinrich Böll Foundation. (2022). Nigeria's Green Bond </w:t>
      </w:r>
      <w:proofErr w:type="spellStart"/>
      <w:r w:rsidRPr="008078F6">
        <w:rPr>
          <w:rFonts w:ascii="Times New Roman" w:hAnsi="Times New Roman" w:cs="Times New Roman"/>
          <w:sz w:val="24"/>
          <w:szCs w:val="24"/>
        </w:rPr>
        <w:t>programme</w:t>
      </w:r>
      <w:proofErr w:type="spellEnd"/>
      <w:r w:rsidRPr="008078F6">
        <w:rPr>
          <w:rFonts w:ascii="Times New Roman" w:hAnsi="Times New Roman" w:cs="Times New Roman"/>
          <w:sz w:val="24"/>
          <w:szCs w:val="24"/>
        </w:rPr>
        <w:t xml:space="preserve">: Aspirations, realities and solutions. </w:t>
      </w:r>
      <w:hyperlink r:id="rId16" w:history="1">
        <w:r w:rsidRPr="008078F6">
          <w:rPr>
            <w:rStyle w:val="Hyperlink"/>
            <w:rFonts w:ascii="Times New Roman" w:hAnsi="Times New Roman" w:cs="Times New Roman"/>
            <w:sz w:val="24"/>
            <w:szCs w:val="24"/>
          </w:rPr>
          <w:t>https://share.google/zVXZu2RsESrGHbXZY</w:t>
        </w:r>
      </w:hyperlink>
      <w:r w:rsidRPr="008078F6">
        <w:rPr>
          <w:rFonts w:ascii="Times New Roman" w:hAnsi="Times New Roman" w:cs="Times New Roman"/>
          <w:sz w:val="24"/>
          <w:szCs w:val="24"/>
        </w:rPr>
        <w:t xml:space="preserve"> </w:t>
      </w:r>
    </w:p>
    <w:p w14:paraId="3632097A" w14:textId="772099B4"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International Renewable Energy Agency. (2023). Renewable energy statistics 2023: Nigeria country profile. </w:t>
      </w:r>
      <w:hyperlink r:id="rId17" w:history="1">
        <w:r w:rsidRPr="008078F6">
          <w:rPr>
            <w:rStyle w:val="Hyperlink"/>
            <w:rFonts w:ascii="Times New Roman" w:hAnsi="Times New Roman" w:cs="Times New Roman"/>
            <w:sz w:val="24"/>
            <w:szCs w:val="24"/>
          </w:rPr>
          <w:t>https://www.irena.org/Publications/2023/Jul/Renewable-energystatistics-2023</w:t>
        </w:r>
      </w:hyperlink>
      <w:r w:rsidRPr="008078F6">
        <w:rPr>
          <w:rFonts w:ascii="Times New Roman" w:hAnsi="Times New Roman" w:cs="Times New Roman"/>
          <w:sz w:val="24"/>
          <w:szCs w:val="24"/>
        </w:rPr>
        <w:t xml:space="preserve"> </w:t>
      </w:r>
    </w:p>
    <w:p w14:paraId="284CCA0F" w14:textId="05F1CD0C"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proofErr w:type="spellStart"/>
      <w:r w:rsidRPr="008078F6">
        <w:rPr>
          <w:rFonts w:ascii="Times New Roman" w:hAnsi="Times New Roman" w:cs="Times New Roman"/>
          <w:sz w:val="24"/>
          <w:szCs w:val="24"/>
        </w:rPr>
        <w:t>KamorYusuf</w:t>
      </w:r>
      <w:proofErr w:type="spellEnd"/>
      <w:r w:rsidRPr="008078F6">
        <w:rPr>
          <w:rFonts w:ascii="Times New Roman" w:hAnsi="Times New Roman" w:cs="Times New Roman"/>
          <w:sz w:val="24"/>
          <w:szCs w:val="24"/>
        </w:rPr>
        <w:t xml:space="preserve">. (2025, August 9). FG launches ₦100bn solar initiative to power public institutions [Post on X]. </w:t>
      </w:r>
      <w:hyperlink r:id="rId18" w:history="1">
        <w:r w:rsidRPr="008078F6">
          <w:rPr>
            <w:rStyle w:val="Hyperlink"/>
            <w:rFonts w:ascii="Times New Roman" w:hAnsi="Times New Roman" w:cs="Times New Roman"/>
            <w:sz w:val="24"/>
            <w:szCs w:val="24"/>
          </w:rPr>
          <w:t>https://t.co/yExeTEm6jc</w:t>
        </w:r>
      </w:hyperlink>
      <w:r w:rsidRPr="008078F6">
        <w:rPr>
          <w:rFonts w:ascii="Times New Roman" w:hAnsi="Times New Roman" w:cs="Times New Roman"/>
          <w:sz w:val="24"/>
          <w:szCs w:val="24"/>
        </w:rPr>
        <w:t xml:space="preserve"> </w:t>
      </w:r>
    </w:p>
    <w:p w14:paraId="702204F4" w14:textId="72804648"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Musa, A., &amp; Ibrahim, S. (2022). Diaspora remittances and economic development: Opportunities and challenges in Nigeria. African Development Review, 34(4), 512–527. </w:t>
      </w:r>
      <w:hyperlink r:id="rId19" w:history="1">
        <w:r w:rsidRPr="008078F6">
          <w:rPr>
            <w:rStyle w:val="Hyperlink"/>
            <w:rFonts w:ascii="Times New Roman" w:hAnsi="Times New Roman" w:cs="Times New Roman"/>
            <w:sz w:val="24"/>
            <w:szCs w:val="24"/>
          </w:rPr>
          <w:t>https://doi.org/10.1111/1467- 8268.12645</w:t>
        </w:r>
      </w:hyperlink>
    </w:p>
    <w:p w14:paraId="6242A6F9" w14:textId="262AA45F"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National Bureau of Statistics. (2023). Nigeria economic update: Energy consumption and electrification trends. </w:t>
      </w:r>
      <w:hyperlink r:id="rId20" w:history="1">
        <w:r w:rsidRPr="008078F6">
          <w:rPr>
            <w:rStyle w:val="Hyperlink"/>
            <w:rFonts w:ascii="Times New Roman" w:hAnsi="Times New Roman" w:cs="Times New Roman"/>
            <w:sz w:val="24"/>
            <w:szCs w:val="24"/>
          </w:rPr>
          <w:t>https://www.nigerianstat.gov.ng/reports/2023</w:t>
        </w:r>
      </w:hyperlink>
      <w:r w:rsidRPr="008078F6">
        <w:rPr>
          <w:rFonts w:ascii="Times New Roman" w:hAnsi="Times New Roman" w:cs="Times New Roman"/>
          <w:sz w:val="24"/>
          <w:szCs w:val="24"/>
        </w:rPr>
        <w:t xml:space="preserve"> </w:t>
      </w:r>
    </w:p>
    <w:p w14:paraId="39104717" w14:textId="0B993A2F"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Nigerian Electricity Regulatory Commission. (2023). Annual report on electricity generation and distribution. </w:t>
      </w:r>
      <w:hyperlink r:id="rId21" w:history="1">
        <w:r w:rsidRPr="008078F6">
          <w:rPr>
            <w:rStyle w:val="Hyperlink"/>
            <w:rFonts w:ascii="Times New Roman" w:hAnsi="Times New Roman" w:cs="Times New Roman"/>
            <w:sz w:val="24"/>
            <w:szCs w:val="24"/>
          </w:rPr>
          <w:t>https://www.nerc.gov.ng/publications/2023</w:t>
        </w:r>
      </w:hyperlink>
      <w:r w:rsidRPr="008078F6">
        <w:rPr>
          <w:rFonts w:ascii="Times New Roman" w:hAnsi="Times New Roman" w:cs="Times New Roman"/>
          <w:sz w:val="24"/>
          <w:szCs w:val="24"/>
        </w:rPr>
        <w:t xml:space="preserve"> </w:t>
      </w:r>
    </w:p>
    <w:p w14:paraId="325499F3" w14:textId="6606D7C6"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Nigerian Debt Management Office. (2025). Green bond issuance impact report, May, 2025. </w:t>
      </w:r>
      <w:hyperlink r:id="rId22" w:history="1">
        <w:r w:rsidRPr="008078F6">
          <w:rPr>
            <w:rStyle w:val="Hyperlink"/>
            <w:rFonts w:ascii="Times New Roman" w:hAnsi="Times New Roman" w:cs="Times New Roman"/>
            <w:sz w:val="24"/>
            <w:szCs w:val="24"/>
          </w:rPr>
          <w:t>https://www.dmo.gov.ng/fgn-bonds/green-bond/5337-green-bondissuance-impact-report-may-2025</w:t>
        </w:r>
      </w:hyperlink>
      <w:r w:rsidRPr="008078F6">
        <w:rPr>
          <w:rFonts w:ascii="Times New Roman" w:hAnsi="Times New Roman" w:cs="Times New Roman"/>
          <w:sz w:val="24"/>
          <w:szCs w:val="24"/>
        </w:rPr>
        <w:t xml:space="preserve"> </w:t>
      </w:r>
    </w:p>
    <w:p w14:paraId="5E862AC8" w14:textId="7C884E8A"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Nigerian Debt Management Office. (2022). Debt management and debt instruments: Diaspora and Green Bonds. </w:t>
      </w:r>
      <w:hyperlink r:id="rId23" w:history="1">
        <w:r w:rsidR="00632303" w:rsidRPr="000B20A5">
          <w:rPr>
            <w:rStyle w:val="Hyperlink"/>
            <w:rFonts w:ascii="Times New Roman" w:hAnsi="Times New Roman" w:cs="Times New Roman"/>
            <w:sz w:val="24"/>
            <w:szCs w:val="24"/>
          </w:rPr>
          <w:t>https://www.uneca.org/sites/default/files/MGD/INFFSept2022/NigeriaMonday%20Usiade%20_%20Sam%20Okpo%20En.pdf</w:t>
        </w:r>
      </w:hyperlink>
    </w:p>
    <w:p w14:paraId="541EAA71" w14:textId="4D37FD4A"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Okafor, C., &amp; Adeola, O. (2024). Fintech innovations for financial inclusion in Sub-Saharan Africa. Journal of Financial Technology, 6(2), 89–104. </w:t>
      </w:r>
      <w:hyperlink r:id="rId24" w:history="1">
        <w:r w:rsidRPr="008078F6">
          <w:rPr>
            <w:rStyle w:val="Hyperlink"/>
            <w:rFonts w:ascii="Times New Roman" w:hAnsi="Times New Roman" w:cs="Times New Roman"/>
            <w:sz w:val="24"/>
            <w:szCs w:val="24"/>
          </w:rPr>
          <w:t>https://doi.org/10.1007/s42044-024-00123-7</w:t>
        </w:r>
      </w:hyperlink>
    </w:p>
    <w:p w14:paraId="394B2E9B" w14:textId="555256F5"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PricewaterhouseCoopers. (2023). Nigeria’s power sector: Challenges and opportunities for private investment. </w:t>
      </w:r>
      <w:hyperlink r:id="rId25" w:history="1">
        <w:r w:rsidRPr="008078F6">
          <w:rPr>
            <w:rStyle w:val="Hyperlink"/>
            <w:rFonts w:ascii="Times New Roman" w:hAnsi="Times New Roman" w:cs="Times New Roman"/>
            <w:sz w:val="24"/>
            <w:szCs w:val="24"/>
          </w:rPr>
          <w:t>https://www.pwc.com/ng/en/publications/power-sector-2023.html</w:t>
        </w:r>
      </w:hyperlink>
      <w:r w:rsidRPr="008078F6">
        <w:rPr>
          <w:rFonts w:ascii="Times New Roman" w:hAnsi="Times New Roman" w:cs="Times New Roman"/>
          <w:sz w:val="24"/>
          <w:szCs w:val="24"/>
        </w:rPr>
        <w:t xml:space="preserve"> </w:t>
      </w:r>
    </w:p>
    <w:p w14:paraId="62C4700F" w14:textId="02490272"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Quartz Online Newsletter. (2022). Nigeria’s first ever diaspora bond has raised $300 million. </w:t>
      </w:r>
      <w:hyperlink r:id="rId26" w:history="1">
        <w:r w:rsidRPr="008078F6">
          <w:rPr>
            <w:rStyle w:val="Hyperlink"/>
            <w:rFonts w:ascii="Times New Roman" w:hAnsi="Times New Roman" w:cs="Times New Roman"/>
            <w:sz w:val="24"/>
            <w:szCs w:val="24"/>
          </w:rPr>
          <w:t>https://qz.com/africa/1014533/nigeria-has-raised-300-million-from-itsfirst-ever-diaspora-bond</w:t>
        </w:r>
      </w:hyperlink>
      <w:r w:rsidRPr="008078F6">
        <w:rPr>
          <w:rFonts w:ascii="Times New Roman" w:hAnsi="Times New Roman" w:cs="Times New Roman"/>
          <w:sz w:val="24"/>
          <w:szCs w:val="24"/>
        </w:rPr>
        <w:t xml:space="preserve"> </w:t>
      </w:r>
    </w:p>
    <w:p w14:paraId="3B59F7FF" w14:textId="33206F66"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R&amp;S Consulting </w:t>
      </w:r>
      <w:proofErr w:type="spellStart"/>
      <w:r w:rsidRPr="008078F6">
        <w:rPr>
          <w:rFonts w:ascii="Times New Roman" w:hAnsi="Times New Roman" w:cs="Times New Roman"/>
          <w:sz w:val="24"/>
          <w:szCs w:val="24"/>
        </w:rPr>
        <w:t>GbR</w:t>
      </w:r>
      <w:proofErr w:type="spellEnd"/>
      <w:r w:rsidRPr="008078F6">
        <w:rPr>
          <w:rFonts w:ascii="Times New Roman" w:hAnsi="Times New Roman" w:cs="Times New Roman"/>
          <w:sz w:val="24"/>
          <w:szCs w:val="24"/>
        </w:rPr>
        <w:t xml:space="preserve">, Germany. (2025). The Nigerian renewable energy village (NREV) – Powering a sustainable future through diaspora innovation and blended finance. </w:t>
      </w:r>
      <w:proofErr w:type="spellStart"/>
      <w:r w:rsidRPr="008078F6">
        <w:rPr>
          <w:rFonts w:ascii="Times New Roman" w:hAnsi="Times New Roman" w:cs="Times New Roman"/>
          <w:sz w:val="24"/>
          <w:szCs w:val="24"/>
        </w:rPr>
        <w:t>Zenodo</w:t>
      </w:r>
      <w:proofErr w:type="spellEnd"/>
      <w:r w:rsidRPr="008078F6">
        <w:rPr>
          <w:rFonts w:ascii="Times New Roman" w:hAnsi="Times New Roman" w:cs="Times New Roman"/>
          <w:sz w:val="24"/>
          <w:szCs w:val="24"/>
        </w:rPr>
        <w:t xml:space="preserve">. </w:t>
      </w:r>
      <w:hyperlink r:id="rId27" w:history="1">
        <w:r w:rsidRPr="008078F6">
          <w:rPr>
            <w:rStyle w:val="Hyperlink"/>
            <w:rFonts w:ascii="Times New Roman" w:hAnsi="Times New Roman" w:cs="Times New Roman"/>
            <w:sz w:val="24"/>
            <w:szCs w:val="24"/>
          </w:rPr>
          <w:t>https://doi.org/10.5281/zenodo.16985800</w:t>
        </w:r>
      </w:hyperlink>
      <w:r w:rsidRPr="008078F6">
        <w:rPr>
          <w:rFonts w:ascii="Times New Roman" w:hAnsi="Times New Roman" w:cs="Times New Roman"/>
          <w:sz w:val="24"/>
          <w:szCs w:val="24"/>
        </w:rPr>
        <w:t xml:space="preserve"> </w:t>
      </w:r>
    </w:p>
    <w:p w14:paraId="6402D2B2" w14:textId="38B5D373"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Sustainable Energy for All. (2022). Scaling up mini-grids in Africa: Lessons from Nigeria. </w:t>
      </w:r>
      <w:hyperlink r:id="rId28" w:history="1">
        <w:r w:rsidRPr="008078F6">
          <w:rPr>
            <w:rStyle w:val="Hyperlink"/>
            <w:rFonts w:ascii="Times New Roman" w:hAnsi="Times New Roman" w:cs="Times New Roman"/>
            <w:sz w:val="24"/>
            <w:szCs w:val="24"/>
          </w:rPr>
          <w:t>https://www.seforall.org/publications/mini-grids-nigeria2022</w:t>
        </w:r>
      </w:hyperlink>
    </w:p>
    <w:p w14:paraId="1B50245B" w14:textId="70C3EA9E"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Trade.gov. (2023). Nigeria energy sector overview: Market trends and opportunities. </w:t>
      </w:r>
      <w:hyperlink r:id="rId29" w:history="1">
        <w:r w:rsidRPr="008078F6">
          <w:rPr>
            <w:rStyle w:val="Hyperlink"/>
            <w:rFonts w:ascii="Times New Roman" w:hAnsi="Times New Roman" w:cs="Times New Roman"/>
            <w:sz w:val="24"/>
            <w:szCs w:val="24"/>
          </w:rPr>
          <w:t>https://www.trade.gov/country-commercialguides/nigeria-energy</w:t>
        </w:r>
      </w:hyperlink>
    </w:p>
    <w:p w14:paraId="61F4FA64" w14:textId="1DBD2644"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Transmission Company of Nigeria. (2023). Annual report on grid performance and expansion plans. </w:t>
      </w:r>
      <w:hyperlink r:id="rId30" w:history="1">
        <w:r w:rsidRPr="008078F6">
          <w:rPr>
            <w:rStyle w:val="Hyperlink"/>
            <w:rFonts w:ascii="Times New Roman" w:hAnsi="Times New Roman" w:cs="Times New Roman"/>
            <w:sz w:val="24"/>
            <w:szCs w:val="24"/>
          </w:rPr>
          <w:t>https://www.tcn.org.ng/reports/2023</w:t>
        </w:r>
      </w:hyperlink>
    </w:p>
    <w:p w14:paraId="14732853" w14:textId="7273C92A"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lastRenderedPageBreak/>
        <w:t xml:space="preserve">United Nations Development </w:t>
      </w:r>
      <w:proofErr w:type="spellStart"/>
      <w:r w:rsidRPr="008078F6">
        <w:rPr>
          <w:rFonts w:ascii="Times New Roman" w:hAnsi="Times New Roman" w:cs="Times New Roman"/>
          <w:sz w:val="24"/>
          <w:szCs w:val="24"/>
        </w:rPr>
        <w:t>Programme</w:t>
      </w:r>
      <w:proofErr w:type="spellEnd"/>
      <w:r w:rsidRPr="008078F6">
        <w:rPr>
          <w:rFonts w:ascii="Times New Roman" w:hAnsi="Times New Roman" w:cs="Times New Roman"/>
          <w:sz w:val="24"/>
          <w:szCs w:val="24"/>
        </w:rPr>
        <w:t xml:space="preserve">. (2021). Nigeria’s Nationally Determined Contributions (NDCs) under the Paris Agreement. </w:t>
      </w:r>
      <w:hyperlink r:id="rId31" w:history="1">
        <w:r w:rsidRPr="008078F6">
          <w:rPr>
            <w:rStyle w:val="Hyperlink"/>
            <w:rFonts w:ascii="Times New Roman" w:hAnsi="Times New Roman" w:cs="Times New Roman"/>
            <w:sz w:val="24"/>
            <w:szCs w:val="24"/>
          </w:rPr>
          <w:t>https://www.undp.org/nigeria/publications/ndc-2021</w:t>
        </w:r>
      </w:hyperlink>
      <w:r w:rsidRPr="008078F6">
        <w:rPr>
          <w:rFonts w:ascii="Times New Roman" w:hAnsi="Times New Roman" w:cs="Times New Roman"/>
          <w:sz w:val="24"/>
          <w:szCs w:val="24"/>
        </w:rPr>
        <w:t xml:space="preserve"> </w:t>
      </w:r>
    </w:p>
    <w:p w14:paraId="41FB73C0" w14:textId="35037F94"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World Bank. (2023). Nigeria electrification project: Progress and challenges. </w:t>
      </w:r>
      <w:hyperlink r:id="rId32" w:history="1">
        <w:r w:rsidRPr="008078F6">
          <w:rPr>
            <w:rStyle w:val="Hyperlink"/>
            <w:rFonts w:ascii="Times New Roman" w:hAnsi="Times New Roman" w:cs="Times New Roman"/>
            <w:sz w:val="24"/>
            <w:szCs w:val="24"/>
          </w:rPr>
          <w:t>https://www.worldbank.org/en/country/nigeria/publication/electrificat ion-2023</w:t>
        </w:r>
      </w:hyperlink>
      <w:r w:rsidRPr="008078F6">
        <w:rPr>
          <w:rFonts w:ascii="Times New Roman" w:hAnsi="Times New Roman" w:cs="Times New Roman"/>
          <w:sz w:val="24"/>
          <w:szCs w:val="24"/>
        </w:rPr>
        <w:t xml:space="preserve"> </w:t>
      </w:r>
    </w:p>
    <w:p w14:paraId="053AEE12" w14:textId="4F44F59F"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World Bank. (2024). Financing Nigeria’s energy transition: Opportunities for private sector investment. </w:t>
      </w:r>
      <w:hyperlink r:id="rId33" w:history="1">
        <w:r w:rsidRPr="008078F6">
          <w:rPr>
            <w:rStyle w:val="Hyperlink"/>
            <w:rFonts w:ascii="Times New Roman" w:hAnsi="Times New Roman" w:cs="Times New Roman"/>
            <w:sz w:val="24"/>
            <w:szCs w:val="24"/>
          </w:rPr>
          <w:t>https://www.worldbank.org/en/country/nigeria/publication/energytransition-2024</w:t>
        </w:r>
      </w:hyperlink>
      <w:r w:rsidRPr="008078F6">
        <w:rPr>
          <w:rFonts w:ascii="Times New Roman" w:hAnsi="Times New Roman" w:cs="Times New Roman"/>
          <w:sz w:val="24"/>
          <w:szCs w:val="24"/>
        </w:rPr>
        <w:t xml:space="preserve"> </w:t>
      </w:r>
    </w:p>
    <w:p w14:paraId="5C5996B9" w14:textId="77777777" w:rsidR="006B3522" w:rsidRPr="008078F6" w:rsidRDefault="006B3522" w:rsidP="006B3522">
      <w:pPr>
        <w:spacing w:after="0" w:line="240" w:lineRule="auto"/>
        <w:ind w:left="567" w:hanging="567"/>
        <w:jc w:val="both"/>
        <w:rPr>
          <w:rFonts w:ascii="Times New Roman" w:hAnsi="Times New Roman" w:cs="Times New Roman"/>
          <w:sz w:val="24"/>
          <w:szCs w:val="24"/>
        </w:rPr>
      </w:pPr>
    </w:p>
    <w:p w14:paraId="11FD0524" w14:textId="106BC48F" w:rsidR="006B3522" w:rsidRPr="008078F6" w:rsidRDefault="006B3522" w:rsidP="00692172">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Yusuf, H., &amp; Okonkwo, C. (2023). The role of carbon markets in Nigeria’s climate strategy: Opportunities under the 2021 Climate Act. Environmental Policy and Law, 53(5), 321–335. </w:t>
      </w:r>
      <w:hyperlink r:id="rId34" w:history="1">
        <w:r w:rsidRPr="008078F6">
          <w:rPr>
            <w:rStyle w:val="Hyperlink"/>
            <w:rFonts w:ascii="Times New Roman" w:hAnsi="Times New Roman" w:cs="Times New Roman"/>
            <w:sz w:val="24"/>
            <w:szCs w:val="24"/>
          </w:rPr>
          <w:t>https://doi.org/10.3233/EPL-230012</w:t>
        </w:r>
      </w:hyperlink>
      <w:r w:rsidRPr="008078F6">
        <w:rPr>
          <w:rFonts w:ascii="Times New Roman" w:hAnsi="Times New Roman" w:cs="Times New Roman"/>
          <w:sz w:val="24"/>
          <w:szCs w:val="24"/>
        </w:rPr>
        <w:t xml:space="preserve"> </w:t>
      </w:r>
    </w:p>
    <w:p w14:paraId="1CA39F61" w14:textId="77777777" w:rsidR="00644947" w:rsidRPr="008078F6" w:rsidRDefault="006B3522" w:rsidP="00644947">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 xml:space="preserve">Rural Electrification Agency Nigeria (2017): The off-grid opportunity in Nigeria: Upscaling </w:t>
      </w:r>
      <w:proofErr w:type="spellStart"/>
      <w:r w:rsidRPr="008078F6">
        <w:rPr>
          <w:rFonts w:ascii="Times New Roman" w:hAnsi="Times New Roman" w:cs="Times New Roman"/>
          <w:sz w:val="24"/>
          <w:szCs w:val="24"/>
        </w:rPr>
        <w:t>minigrids</w:t>
      </w:r>
      <w:proofErr w:type="spellEnd"/>
      <w:r w:rsidRPr="008078F6">
        <w:rPr>
          <w:rFonts w:ascii="Times New Roman" w:hAnsi="Times New Roman" w:cs="Times New Roman"/>
          <w:sz w:val="24"/>
          <w:szCs w:val="24"/>
        </w:rPr>
        <w:t xml:space="preserve"> for least cost and timely access to electricity. </w:t>
      </w:r>
      <w:hyperlink r:id="rId35" w:history="1">
        <w:r w:rsidRPr="008078F6">
          <w:rPr>
            <w:rStyle w:val="Hyperlink"/>
            <w:rFonts w:ascii="Times New Roman" w:hAnsi="Times New Roman" w:cs="Times New Roman"/>
            <w:sz w:val="24"/>
            <w:szCs w:val="24"/>
          </w:rPr>
          <w:t>https://www.esmap.org/sites/default/files/Presentations/REA_DamilolaOff-Grid%20Opportunity_03122017_web.pdf</w:t>
        </w:r>
      </w:hyperlink>
    </w:p>
    <w:p w14:paraId="64E912D8" w14:textId="5BD5301D" w:rsidR="000700B0" w:rsidRPr="008078F6" w:rsidRDefault="006B3522" w:rsidP="00644947">
      <w:pPr>
        <w:pStyle w:val="ListParagraph"/>
        <w:numPr>
          <w:ilvl w:val="1"/>
          <w:numId w:val="29"/>
        </w:numPr>
        <w:spacing w:after="0" w:line="240" w:lineRule="auto"/>
        <w:jc w:val="both"/>
        <w:rPr>
          <w:rFonts w:ascii="Times New Roman" w:hAnsi="Times New Roman" w:cs="Times New Roman"/>
          <w:sz w:val="24"/>
          <w:szCs w:val="24"/>
        </w:rPr>
      </w:pPr>
      <w:r w:rsidRPr="008078F6">
        <w:rPr>
          <w:rFonts w:ascii="Times New Roman" w:hAnsi="Times New Roman" w:cs="Times New Roman"/>
          <w:sz w:val="24"/>
          <w:szCs w:val="24"/>
        </w:rPr>
        <w:t>UN Climate Technology Centre &amp; Network (2016): Captive power in Nigeria, a comprehensive guide to project development. https://www.ctc-n.org/resources/captive-power-nigeriacomprehensive-guide-project-development</w:t>
      </w:r>
    </w:p>
    <w:sectPr w:rsidR="000700B0" w:rsidRPr="008078F6" w:rsidSect="00446AAD">
      <w:footerReference w:type="even" r:id="rId36"/>
      <w:footerReference w:type="default" r:id="rId37"/>
      <w:footerReference w:type="first" r:id="rId38"/>
      <w:pgSz w:w="12240" w:h="15840"/>
      <w:pgMar w:top="1094" w:right="605" w:bottom="605" w:left="605" w:header="346" w:footer="403"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B7711" w14:textId="77777777" w:rsidR="009D092B" w:rsidRDefault="009D092B">
      <w:pPr>
        <w:spacing w:after="0" w:line="240" w:lineRule="auto"/>
      </w:pPr>
      <w:r>
        <w:separator/>
      </w:r>
    </w:p>
  </w:endnote>
  <w:endnote w:type="continuationSeparator" w:id="0">
    <w:p w14:paraId="341CFCB5" w14:textId="77777777" w:rsidR="009D092B" w:rsidRDefault="009D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1693" w14:textId="77777777" w:rsidR="00A256DD" w:rsidRDefault="00A256DD">
    <w:pPr>
      <w:spacing w:after="0"/>
      <w:jc w:val="right"/>
    </w:pPr>
    <w:r>
      <w:rPr>
        <w:rFonts w:ascii="Cambria" w:eastAsia="Cambria" w:hAnsi="Cambria" w:cs="Cambria"/>
      </w:rPr>
      <w:fldChar w:fldCharType="begin"/>
    </w:r>
    <w:r>
      <w:rPr>
        <w:rFonts w:ascii="Cambria" w:eastAsia="Cambria" w:hAnsi="Cambria" w:cs="Cambria"/>
      </w:rPr>
      <w:instrText xml:space="preserve"> PAGE   \* MERGEFORMAT </w:instrText>
    </w:r>
    <w:r>
      <w:rPr>
        <w:rFonts w:ascii="Cambria" w:eastAsia="Cambria" w:hAnsi="Cambria" w:cs="Cambria"/>
      </w:rPr>
      <w:fldChar w:fldCharType="separate"/>
    </w:r>
    <w:r>
      <w:rPr>
        <w:rFonts w:ascii="Cambria" w:eastAsia="Cambria" w:hAnsi="Cambria" w:cs="Cambria"/>
      </w:rPr>
      <w:t>0</w:t>
    </w:r>
    <w:r>
      <w:rPr>
        <w:rFonts w:ascii="Cambria" w:eastAsia="Cambria" w:hAnsi="Cambria" w:cs="Cambria"/>
      </w:rPr>
      <w:fldChar w:fldCharType="end"/>
    </w:r>
    <w:r>
      <w:rPr>
        <w:rFonts w:ascii="Cambria" w:eastAsia="Cambria" w:hAnsi="Cambria" w:cs="Cambria"/>
      </w:rPr>
      <w:t xml:space="preserve"> </w:t>
    </w:r>
  </w:p>
  <w:p w14:paraId="0998D581" w14:textId="77777777" w:rsidR="00A256DD" w:rsidRDefault="00A256DD">
    <w:pPr>
      <w:spacing w:after="0"/>
      <w:ind w:left="77"/>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D4C5" w14:textId="77777777" w:rsidR="00A256DD" w:rsidRDefault="00A256DD">
    <w:pPr>
      <w:spacing w:after="0"/>
      <w:ind w:left="77"/>
    </w:pP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2458" w14:textId="77777777" w:rsidR="00A256DD" w:rsidRDefault="00A256DD">
    <w:pPr>
      <w:spacing w:after="0"/>
      <w:jc w:val="right"/>
    </w:pPr>
    <w:r>
      <w:rPr>
        <w:rFonts w:ascii="Cambria" w:eastAsia="Cambria" w:hAnsi="Cambria" w:cs="Cambria"/>
      </w:rPr>
      <w:fldChar w:fldCharType="begin"/>
    </w:r>
    <w:r>
      <w:rPr>
        <w:rFonts w:ascii="Cambria" w:eastAsia="Cambria" w:hAnsi="Cambria" w:cs="Cambria"/>
      </w:rPr>
      <w:instrText xml:space="preserve"> PAGE   \* MERGEFORMAT </w:instrText>
    </w:r>
    <w:r>
      <w:rPr>
        <w:rFonts w:ascii="Cambria" w:eastAsia="Cambria" w:hAnsi="Cambria" w:cs="Cambria"/>
      </w:rPr>
      <w:fldChar w:fldCharType="separate"/>
    </w:r>
    <w:r>
      <w:rPr>
        <w:rFonts w:ascii="Cambria" w:eastAsia="Cambria" w:hAnsi="Cambria" w:cs="Cambria"/>
      </w:rPr>
      <w:t>0</w:t>
    </w:r>
    <w:r>
      <w:rPr>
        <w:rFonts w:ascii="Cambria" w:eastAsia="Cambria" w:hAnsi="Cambria" w:cs="Cambria"/>
      </w:rPr>
      <w:fldChar w:fldCharType="end"/>
    </w:r>
    <w:r>
      <w:rPr>
        <w:rFonts w:ascii="Cambria" w:eastAsia="Cambria" w:hAnsi="Cambria" w:cs="Cambria"/>
      </w:rPr>
      <w:t xml:space="preserve"> </w:t>
    </w:r>
  </w:p>
  <w:p w14:paraId="3A0A3B11" w14:textId="77777777" w:rsidR="00A256DD" w:rsidRDefault="00A256DD">
    <w:pPr>
      <w:spacing w:after="0"/>
      <w:ind w:left="77"/>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EE1E" w14:textId="77777777" w:rsidR="009D092B" w:rsidRDefault="009D092B">
      <w:pPr>
        <w:spacing w:after="0" w:line="240" w:lineRule="auto"/>
      </w:pPr>
      <w:r>
        <w:separator/>
      </w:r>
    </w:p>
  </w:footnote>
  <w:footnote w:type="continuationSeparator" w:id="0">
    <w:p w14:paraId="4A971FB1" w14:textId="77777777" w:rsidR="009D092B" w:rsidRDefault="009D0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B49"/>
    <w:multiLevelType w:val="hybridMultilevel"/>
    <w:tmpl w:val="94700204"/>
    <w:lvl w:ilvl="0" w:tplc="AFE2EBE6">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A8972">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607A6A">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894FC">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A2942">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AEE22">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89CCC">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2ADCA">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474B4">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E0590E"/>
    <w:multiLevelType w:val="hybridMultilevel"/>
    <w:tmpl w:val="847051A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134322"/>
    <w:multiLevelType w:val="hybridMultilevel"/>
    <w:tmpl w:val="409637AC"/>
    <w:lvl w:ilvl="0" w:tplc="2000000F">
      <w:start w:val="1"/>
      <w:numFmt w:val="decimal"/>
      <w:lvlText w:val="%1."/>
      <w:lvlJc w:val="lef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3" w15:restartNumberingAfterBreak="0">
    <w:nsid w:val="11C55C0F"/>
    <w:multiLevelType w:val="hybridMultilevel"/>
    <w:tmpl w:val="8E12CBA0"/>
    <w:lvl w:ilvl="0" w:tplc="6F6AB0D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83322E5"/>
    <w:multiLevelType w:val="multilevel"/>
    <w:tmpl w:val="D20E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4C79"/>
    <w:multiLevelType w:val="hybridMultilevel"/>
    <w:tmpl w:val="11C89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56E9C"/>
    <w:multiLevelType w:val="hybridMultilevel"/>
    <w:tmpl w:val="86D403C6"/>
    <w:lvl w:ilvl="0" w:tplc="5D3412A4">
      <w:start w:val="1"/>
      <w:numFmt w:val="lowerRoman"/>
      <w:lvlText w:val="%1."/>
      <w:lvlJc w:val="left"/>
      <w:pPr>
        <w:ind w:left="1080" w:hanging="72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A122019"/>
    <w:multiLevelType w:val="hybridMultilevel"/>
    <w:tmpl w:val="5106A3BE"/>
    <w:lvl w:ilvl="0" w:tplc="47F298B8">
      <w:start w:val="1"/>
      <w:numFmt w:val="decimal"/>
      <w:lvlText w:val="%1."/>
      <w:lvlJc w:val="left"/>
      <w:pPr>
        <w:ind w:left="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1A9190">
      <w:start w:val="1"/>
      <w:numFmt w:val="decimal"/>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48DE2A">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EE8F0">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2105C">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E90B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E568">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1E91F2">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A2C36">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286900"/>
    <w:multiLevelType w:val="hybridMultilevel"/>
    <w:tmpl w:val="0548D6DA"/>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B396641"/>
    <w:multiLevelType w:val="hybridMultilevel"/>
    <w:tmpl w:val="2176202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F951415"/>
    <w:multiLevelType w:val="hybridMultilevel"/>
    <w:tmpl w:val="1DA472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1E9076A"/>
    <w:multiLevelType w:val="hybridMultilevel"/>
    <w:tmpl w:val="1E2007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5F0C63"/>
    <w:multiLevelType w:val="hybridMultilevel"/>
    <w:tmpl w:val="BE5C4A26"/>
    <w:lvl w:ilvl="0" w:tplc="F5508060">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E7B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ECA9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BCA0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4072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A6DE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C2F7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BEE2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4819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D5044E"/>
    <w:multiLevelType w:val="hybridMultilevel"/>
    <w:tmpl w:val="B7DA9C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C51BC"/>
    <w:multiLevelType w:val="hybridMultilevel"/>
    <w:tmpl w:val="AFE67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42104"/>
    <w:multiLevelType w:val="hybridMultilevel"/>
    <w:tmpl w:val="99C211BA"/>
    <w:lvl w:ilvl="0" w:tplc="7F3CC890">
      <w:start w:val="1"/>
      <w:numFmt w:val="decimal"/>
      <w:lvlText w:val="%1."/>
      <w:lvlJc w:val="left"/>
      <w:pPr>
        <w:ind w:left="7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04A74F0">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BA8E0F8">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15C4E9A">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4D8EE5C">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4A804B0">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05EA12C">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6BC53EC">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A5C929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EF2E0F"/>
    <w:multiLevelType w:val="multilevel"/>
    <w:tmpl w:val="9DB81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0B6821"/>
    <w:multiLevelType w:val="hybridMultilevel"/>
    <w:tmpl w:val="EB6052A6"/>
    <w:lvl w:ilvl="0" w:tplc="3334A2C2">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0FE14">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093C6">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482DE">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47BC2">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D800EC">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E02FE">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22000">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EAD638">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AE4E89"/>
    <w:multiLevelType w:val="hybridMultilevel"/>
    <w:tmpl w:val="3388713E"/>
    <w:lvl w:ilvl="0" w:tplc="2000000F">
      <w:start w:val="1"/>
      <w:numFmt w:val="decimal"/>
      <w:lvlText w:val="%1."/>
      <w:lvlJc w:val="lef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9" w15:restartNumberingAfterBreak="0">
    <w:nsid w:val="42BB5377"/>
    <w:multiLevelType w:val="hybridMultilevel"/>
    <w:tmpl w:val="A5FC4B50"/>
    <w:lvl w:ilvl="0" w:tplc="BECAECCE">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E46228">
      <w:start w:val="1"/>
      <w:numFmt w:val="lowerLetter"/>
      <w:lvlText w:val="%2"/>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BAA79C">
      <w:start w:val="1"/>
      <w:numFmt w:val="lowerRoman"/>
      <w:lvlText w:val="%3"/>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6CBED4">
      <w:start w:val="1"/>
      <w:numFmt w:val="decimal"/>
      <w:lvlText w:val="%4"/>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0CAB64">
      <w:start w:val="1"/>
      <w:numFmt w:val="lowerLetter"/>
      <w:lvlText w:val="%5"/>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D4CCAC">
      <w:start w:val="1"/>
      <w:numFmt w:val="lowerRoman"/>
      <w:lvlText w:val="%6"/>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A829D6">
      <w:start w:val="1"/>
      <w:numFmt w:val="decimal"/>
      <w:lvlText w:val="%7"/>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6899A0">
      <w:start w:val="1"/>
      <w:numFmt w:val="lowerLetter"/>
      <w:lvlText w:val="%8"/>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A8AE34">
      <w:start w:val="1"/>
      <w:numFmt w:val="lowerRoman"/>
      <w:lvlText w:val="%9"/>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E34FA7"/>
    <w:multiLevelType w:val="hybridMultilevel"/>
    <w:tmpl w:val="FFEA5DDA"/>
    <w:lvl w:ilvl="0" w:tplc="114007E6">
      <w:start w:val="1"/>
      <w:numFmt w:val="decimal"/>
      <w:lvlText w:val="%1."/>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884438">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982078">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F0DB34">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669BAC">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C48184">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CCFD00">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12CC8A">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CA969C">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9061E1F"/>
    <w:multiLevelType w:val="hybridMultilevel"/>
    <w:tmpl w:val="90AE04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E1EFD"/>
    <w:multiLevelType w:val="hybridMultilevel"/>
    <w:tmpl w:val="28E2AFAA"/>
    <w:lvl w:ilvl="0" w:tplc="983CD474">
      <w:start w:val="4"/>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A71B99"/>
    <w:multiLevelType w:val="hybridMultilevel"/>
    <w:tmpl w:val="EAB01C46"/>
    <w:lvl w:ilvl="0" w:tplc="2000000F">
      <w:start w:val="1"/>
      <w:numFmt w:val="decimal"/>
      <w:lvlText w:val="%1."/>
      <w:lvlJc w:val="left"/>
      <w:pPr>
        <w:ind w:left="1140" w:hanging="360"/>
      </w:pPr>
    </w:lvl>
    <w:lvl w:ilvl="1" w:tplc="20000019" w:tentative="1">
      <w:start w:val="1"/>
      <w:numFmt w:val="lowerLetter"/>
      <w:lvlText w:val="%2."/>
      <w:lvlJc w:val="left"/>
      <w:pPr>
        <w:ind w:left="1860" w:hanging="360"/>
      </w:pPr>
    </w:lvl>
    <w:lvl w:ilvl="2" w:tplc="2000001B" w:tentative="1">
      <w:start w:val="1"/>
      <w:numFmt w:val="lowerRoman"/>
      <w:lvlText w:val="%3."/>
      <w:lvlJc w:val="right"/>
      <w:pPr>
        <w:ind w:left="2580" w:hanging="180"/>
      </w:pPr>
    </w:lvl>
    <w:lvl w:ilvl="3" w:tplc="2000000F" w:tentative="1">
      <w:start w:val="1"/>
      <w:numFmt w:val="decimal"/>
      <w:lvlText w:val="%4."/>
      <w:lvlJc w:val="left"/>
      <w:pPr>
        <w:ind w:left="3300" w:hanging="360"/>
      </w:pPr>
    </w:lvl>
    <w:lvl w:ilvl="4" w:tplc="20000019" w:tentative="1">
      <w:start w:val="1"/>
      <w:numFmt w:val="lowerLetter"/>
      <w:lvlText w:val="%5."/>
      <w:lvlJc w:val="left"/>
      <w:pPr>
        <w:ind w:left="4020" w:hanging="360"/>
      </w:pPr>
    </w:lvl>
    <w:lvl w:ilvl="5" w:tplc="2000001B" w:tentative="1">
      <w:start w:val="1"/>
      <w:numFmt w:val="lowerRoman"/>
      <w:lvlText w:val="%6."/>
      <w:lvlJc w:val="right"/>
      <w:pPr>
        <w:ind w:left="4740" w:hanging="180"/>
      </w:pPr>
    </w:lvl>
    <w:lvl w:ilvl="6" w:tplc="2000000F" w:tentative="1">
      <w:start w:val="1"/>
      <w:numFmt w:val="decimal"/>
      <w:lvlText w:val="%7."/>
      <w:lvlJc w:val="left"/>
      <w:pPr>
        <w:ind w:left="5460" w:hanging="360"/>
      </w:pPr>
    </w:lvl>
    <w:lvl w:ilvl="7" w:tplc="20000019" w:tentative="1">
      <w:start w:val="1"/>
      <w:numFmt w:val="lowerLetter"/>
      <w:lvlText w:val="%8."/>
      <w:lvlJc w:val="left"/>
      <w:pPr>
        <w:ind w:left="6180" w:hanging="360"/>
      </w:pPr>
    </w:lvl>
    <w:lvl w:ilvl="8" w:tplc="2000001B" w:tentative="1">
      <w:start w:val="1"/>
      <w:numFmt w:val="lowerRoman"/>
      <w:lvlText w:val="%9."/>
      <w:lvlJc w:val="right"/>
      <w:pPr>
        <w:ind w:left="6900" w:hanging="180"/>
      </w:pPr>
    </w:lvl>
  </w:abstractNum>
  <w:abstractNum w:abstractNumId="24" w15:restartNumberingAfterBreak="0">
    <w:nsid w:val="4F5D60F8"/>
    <w:multiLevelType w:val="hybridMultilevel"/>
    <w:tmpl w:val="9ED6EFBC"/>
    <w:lvl w:ilvl="0" w:tplc="BE46056C">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8ED0A">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8F522">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E67722">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88F72A">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942E80">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62564">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869BAC">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A34B2">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266028"/>
    <w:multiLevelType w:val="hybridMultilevel"/>
    <w:tmpl w:val="581A52E0"/>
    <w:lvl w:ilvl="0" w:tplc="BDDE9C48">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528198">
      <w:start w:val="1"/>
      <w:numFmt w:val="lowerLetter"/>
      <w:lvlText w:val="%2"/>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36CC60">
      <w:start w:val="1"/>
      <w:numFmt w:val="lowerRoman"/>
      <w:lvlText w:val="%3"/>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66D432">
      <w:start w:val="1"/>
      <w:numFmt w:val="decimal"/>
      <w:lvlText w:val="%4"/>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F40006">
      <w:start w:val="1"/>
      <w:numFmt w:val="lowerLetter"/>
      <w:lvlText w:val="%5"/>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C490DC">
      <w:start w:val="1"/>
      <w:numFmt w:val="lowerRoman"/>
      <w:lvlText w:val="%6"/>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CCE34A">
      <w:start w:val="1"/>
      <w:numFmt w:val="decimal"/>
      <w:lvlText w:val="%7"/>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BE08F0">
      <w:start w:val="1"/>
      <w:numFmt w:val="lowerLetter"/>
      <w:lvlText w:val="%8"/>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285C54">
      <w:start w:val="1"/>
      <w:numFmt w:val="lowerRoman"/>
      <w:lvlText w:val="%9"/>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5BC5C02"/>
    <w:multiLevelType w:val="hybridMultilevel"/>
    <w:tmpl w:val="E4E00A5A"/>
    <w:lvl w:ilvl="0" w:tplc="9A54094C">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A82C0">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D042D2">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467BD2">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66D4E">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0F80A">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C730E">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857F2">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E096E6">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8F645C"/>
    <w:multiLevelType w:val="hybridMultilevel"/>
    <w:tmpl w:val="D4C29158"/>
    <w:lvl w:ilvl="0" w:tplc="861EBE36">
      <w:start w:val="1"/>
      <w:numFmt w:val="decimal"/>
      <w:lvlText w:val="%1."/>
      <w:lvlJc w:val="left"/>
      <w:pPr>
        <w:ind w:left="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92F1FE">
      <w:start w:val="1"/>
      <w:numFmt w:val="lowerLetter"/>
      <w:lvlText w:val="%2"/>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760004">
      <w:start w:val="1"/>
      <w:numFmt w:val="lowerRoman"/>
      <w:lvlText w:val="%3"/>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C200C2">
      <w:start w:val="1"/>
      <w:numFmt w:val="decimal"/>
      <w:lvlText w:val="%4"/>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04A8E8">
      <w:start w:val="1"/>
      <w:numFmt w:val="lowerLetter"/>
      <w:lvlText w:val="%5"/>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FE17EA">
      <w:start w:val="1"/>
      <w:numFmt w:val="lowerRoman"/>
      <w:lvlText w:val="%6"/>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884900">
      <w:start w:val="1"/>
      <w:numFmt w:val="decimal"/>
      <w:lvlText w:val="%7"/>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768322">
      <w:start w:val="1"/>
      <w:numFmt w:val="lowerLetter"/>
      <w:lvlText w:val="%8"/>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CE495A">
      <w:start w:val="1"/>
      <w:numFmt w:val="lowerRoman"/>
      <w:lvlText w:val="%9"/>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F6B6977"/>
    <w:multiLevelType w:val="hybridMultilevel"/>
    <w:tmpl w:val="10E23342"/>
    <w:lvl w:ilvl="0" w:tplc="2000000F">
      <w:start w:val="1"/>
      <w:numFmt w:val="decimal"/>
      <w:lvlText w:val="%1."/>
      <w:lvlJc w:val="left"/>
      <w:pPr>
        <w:ind w:left="720" w:hanging="360"/>
      </w:pPr>
    </w:lvl>
    <w:lvl w:ilvl="1" w:tplc="2000000F">
      <w:start w:val="1"/>
      <w:numFmt w:val="decimal"/>
      <w:lvlText w:val="%2."/>
      <w:lvlJc w:val="left"/>
      <w:pPr>
        <w:ind w:left="1353"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F8A014F"/>
    <w:multiLevelType w:val="hybridMultilevel"/>
    <w:tmpl w:val="457E4636"/>
    <w:lvl w:ilvl="0" w:tplc="BA328C18">
      <w:start w:val="1"/>
      <w:numFmt w:val="lowerRoman"/>
      <w:lvlText w:val="%1."/>
      <w:lvlJc w:val="left"/>
      <w:pPr>
        <w:ind w:left="780" w:hanging="720"/>
      </w:pPr>
      <w:rPr>
        <w:rFonts w:hint="default"/>
      </w:rPr>
    </w:lvl>
    <w:lvl w:ilvl="1" w:tplc="E5602524">
      <w:numFmt w:val="bullet"/>
      <w:lvlText w:val="•"/>
      <w:lvlJc w:val="left"/>
      <w:pPr>
        <w:ind w:left="1140" w:hanging="360"/>
      </w:pPr>
      <w:rPr>
        <w:rFonts w:ascii="Times New Roman" w:eastAsia="Calibri" w:hAnsi="Times New Roman" w:cs="Times New Roman" w:hint="default"/>
      </w:r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0" w15:restartNumberingAfterBreak="0">
    <w:nsid w:val="602E09D4"/>
    <w:multiLevelType w:val="multilevel"/>
    <w:tmpl w:val="78B67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322730"/>
    <w:multiLevelType w:val="hybridMultilevel"/>
    <w:tmpl w:val="47FAC5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CBB06A6"/>
    <w:multiLevelType w:val="multilevel"/>
    <w:tmpl w:val="9DB81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C56BE0"/>
    <w:multiLevelType w:val="hybridMultilevel"/>
    <w:tmpl w:val="9EE0A2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F56D48"/>
    <w:multiLevelType w:val="hybridMultilevel"/>
    <w:tmpl w:val="4F0E59F2"/>
    <w:lvl w:ilvl="0" w:tplc="20604692">
      <w:start w:val="1"/>
      <w:numFmt w:val="decimal"/>
      <w:lvlText w:val="%1."/>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78412A">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E842FA">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98734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38AD88">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D0E43E">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62ABC8">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8AAEC">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58">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11E6488"/>
    <w:multiLevelType w:val="hybridMultilevel"/>
    <w:tmpl w:val="F056CA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3560340"/>
    <w:multiLevelType w:val="hybridMultilevel"/>
    <w:tmpl w:val="DCAE8E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3DE6D85"/>
    <w:multiLevelType w:val="hybridMultilevel"/>
    <w:tmpl w:val="9B54718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14831603">
    <w:abstractNumId w:val="34"/>
  </w:num>
  <w:num w:numId="2" w16cid:durableId="1136988436">
    <w:abstractNumId w:val="20"/>
  </w:num>
  <w:num w:numId="3" w16cid:durableId="2133396085">
    <w:abstractNumId w:val="15"/>
  </w:num>
  <w:num w:numId="4" w16cid:durableId="327563174">
    <w:abstractNumId w:val="27"/>
  </w:num>
  <w:num w:numId="5" w16cid:durableId="451050158">
    <w:abstractNumId w:val="7"/>
  </w:num>
  <w:num w:numId="6" w16cid:durableId="1561090128">
    <w:abstractNumId w:val="24"/>
  </w:num>
  <w:num w:numId="7" w16cid:durableId="661812575">
    <w:abstractNumId w:val="0"/>
  </w:num>
  <w:num w:numId="8" w16cid:durableId="1339229741">
    <w:abstractNumId w:val="25"/>
  </w:num>
  <w:num w:numId="9" w16cid:durableId="1539315311">
    <w:abstractNumId w:val="19"/>
  </w:num>
  <w:num w:numId="10" w16cid:durableId="374155701">
    <w:abstractNumId w:val="26"/>
  </w:num>
  <w:num w:numId="11" w16cid:durableId="1518883964">
    <w:abstractNumId w:val="12"/>
  </w:num>
  <w:num w:numId="12" w16cid:durableId="159196646">
    <w:abstractNumId w:val="17"/>
  </w:num>
  <w:num w:numId="13" w16cid:durableId="1416786111">
    <w:abstractNumId w:val="5"/>
  </w:num>
  <w:num w:numId="14" w16cid:durableId="917134082">
    <w:abstractNumId w:val="32"/>
  </w:num>
  <w:num w:numId="15" w16cid:durableId="218828687">
    <w:abstractNumId w:val="16"/>
  </w:num>
  <w:num w:numId="16" w16cid:durableId="225340317">
    <w:abstractNumId w:val="13"/>
  </w:num>
  <w:num w:numId="17" w16cid:durableId="388575548">
    <w:abstractNumId w:val="21"/>
  </w:num>
  <w:num w:numId="18" w16cid:durableId="2026010413">
    <w:abstractNumId w:val="14"/>
  </w:num>
  <w:num w:numId="19" w16cid:durableId="1850561003">
    <w:abstractNumId w:val="36"/>
  </w:num>
  <w:num w:numId="20" w16cid:durableId="101606469">
    <w:abstractNumId w:val="33"/>
  </w:num>
  <w:num w:numId="21" w16cid:durableId="1473987312">
    <w:abstractNumId w:val="8"/>
  </w:num>
  <w:num w:numId="22" w16cid:durableId="531849341">
    <w:abstractNumId w:val="30"/>
  </w:num>
  <w:num w:numId="23" w16cid:durableId="1730498223">
    <w:abstractNumId w:val="22"/>
  </w:num>
  <w:num w:numId="24" w16cid:durableId="1795632487">
    <w:abstractNumId w:val="4"/>
  </w:num>
  <w:num w:numId="25" w16cid:durableId="981082115">
    <w:abstractNumId w:val="29"/>
  </w:num>
  <w:num w:numId="26" w16cid:durableId="599417434">
    <w:abstractNumId w:val="37"/>
  </w:num>
  <w:num w:numId="27" w16cid:durableId="905531774">
    <w:abstractNumId w:val="1"/>
  </w:num>
  <w:num w:numId="28" w16cid:durableId="1415855912">
    <w:abstractNumId w:val="9"/>
  </w:num>
  <w:num w:numId="29" w16cid:durableId="1034648206">
    <w:abstractNumId w:val="28"/>
  </w:num>
  <w:num w:numId="30" w16cid:durableId="1574195396">
    <w:abstractNumId w:val="3"/>
  </w:num>
  <w:num w:numId="31" w16cid:durableId="718478348">
    <w:abstractNumId w:val="11"/>
  </w:num>
  <w:num w:numId="32" w16cid:durableId="1827477543">
    <w:abstractNumId w:val="23"/>
  </w:num>
  <w:num w:numId="33" w16cid:durableId="1996685647">
    <w:abstractNumId w:val="35"/>
  </w:num>
  <w:num w:numId="34" w16cid:durableId="774324542">
    <w:abstractNumId w:val="10"/>
  </w:num>
  <w:num w:numId="35" w16cid:durableId="1010373827">
    <w:abstractNumId w:val="6"/>
  </w:num>
  <w:num w:numId="36" w16cid:durableId="1829861367">
    <w:abstractNumId w:val="2"/>
  </w:num>
  <w:num w:numId="37" w16cid:durableId="984116730">
    <w:abstractNumId w:val="31"/>
  </w:num>
  <w:num w:numId="38" w16cid:durableId="1467046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B0"/>
    <w:rsid w:val="00011DE2"/>
    <w:rsid w:val="000163C9"/>
    <w:rsid w:val="00030887"/>
    <w:rsid w:val="00054ACA"/>
    <w:rsid w:val="000700B0"/>
    <w:rsid w:val="00081015"/>
    <w:rsid w:val="000A2232"/>
    <w:rsid w:val="000F4E13"/>
    <w:rsid w:val="00123E08"/>
    <w:rsid w:val="00133A9C"/>
    <w:rsid w:val="00143A29"/>
    <w:rsid w:val="0016655F"/>
    <w:rsid w:val="00185171"/>
    <w:rsid w:val="00191F11"/>
    <w:rsid w:val="001D76B9"/>
    <w:rsid w:val="001E7B53"/>
    <w:rsid w:val="0020186F"/>
    <w:rsid w:val="002076F4"/>
    <w:rsid w:val="00211942"/>
    <w:rsid w:val="002168D2"/>
    <w:rsid w:val="0022564B"/>
    <w:rsid w:val="00240542"/>
    <w:rsid w:val="00283A45"/>
    <w:rsid w:val="00283AA5"/>
    <w:rsid w:val="002A4954"/>
    <w:rsid w:val="002B3619"/>
    <w:rsid w:val="002E318F"/>
    <w:rsid w:val="002E3F17"/>
    <w:rsid w:val="002F63AF"/>
    <w:rsid w:val="00333072"/>
    <w:rsid w:val="003803F4"/>
    <w:rsid w:val="003D1605"/>
    <w:rsid w:val="003D1DE5"/>
    <w:rsid w:val="003F6659"/>
    <w:rsid w:val="00446AAD"/>
    <w:rsid w:val="00473A20"/>
    <w:rsid w:val="00484630"/>
    <w:rsid w:val="00491F54"/>
    <w:rsid w:val="004E075A"/>
    <w:rsid w:val="004E60BD"/>
    <w:rsid w:val="004F5C63"/>
    <w:rsid w:val="0054166B"/>
    <w:rsid w:val="005470FD"/>
    <w:rsid w:val="0056120D"/>
    <w:rsid w:val="00591C30"/>
    <w:rsid w:val="00592D55"/>
    <w:rsid w:val="005B1AAD"/>
    <w:rsid w:val="005D61F2"/>
    <w:rsid w:val="005E2BC3"/>
    <w:rsid w:val="00632303"/>
    <w:rsid w:val="00644947"/>
    <w:rsid w:val="006633AF"/>
    <w:rsid w:val="00692172"/>
    <w:rsid w:val="00692483"/>
    <w:rsid w:val="006B3522"/>
    <w:rsid w:val="006B6E47"/>
    <w:rsid w:val="00721E45"/>
    <w:rsid w:val="00781EA2"/>
    <w:rsid w:val="00785252"/>
    <w:rsid w:val="007A518B"/>
    <w:rsid w:val="007B7C99"/>
    <w:rsid w:val="007F209D"/>
    <w:rsid w:val="008078F6"/>
    <w:rsid w:val="00844E58"/>
    <w:rsid w:val="008858D3"/>
    <w:rsid w:val="008D157B"/>
    <w:rsid w:val="008D1B46"/>
    <w:rsid w:val="008D5DE9"/>
    <w:rsid w:val="008E25E4"/>
    <w:rsid w:val="008F568F"/>
    <w:rsid w:val="008F5D4E"/>
    <w:rsid w:val="00947B95"/>
    <w:rsid w:val="00970C9C"/>
    <w:rsid w:val="00974098"/>
    <w:rsid w:val="009802A0"/>
    <w:rsid w:val="0098294F"/>
    <w:rsid w:val="009A0F60"/>
    <w:rsid w:val="009A1361"/>
    <w:rsid w:val="009A5E03"/>
    <w:rsid w:val="009C75DD"/>
    <w:rsid w:val="009D092B"/>
    <w:rsid w:val="009E189D"/>
    <w:rsid w:val="009E53BF"/>
    <w:rsid w:val="009F5F3F"/>
    <w:rsid w:val="00A256DD"/>
    <w:rsid w:val="00A379A0"/>
    <w:rsid w:val="00A72559"/>
    <w:rsid w:val="00A97531"/>
    <w:rsid w:val="00AB1288"/>
    <w:rsid w:val="00B1069D"/>
    <w:rsid w:val="00B204B8"/>
    <w:rsid w:val="00B52024"/>
    <w:rsid w:val="00B92062"/>
    <w:rsid w:val="00BA0E9A"/>
    <w:rsid w:val="00BC7CDA"/>
    <w:rsid w:val="00C03943"/>
    <w:rsid w:val="00C25549"/>
    <w:rsid w:val="00C31A2A"/>
    <w:rsid w:val="00C4453A"/>
    <w:rsid w:val="00C47D2D"/>
    <w:rsid w:val="00C5736B"/>
    <w:rsid w:val="00CA153D"/>
    <w:rsid w:val="00CA4D1F"/>
    <w:rsid w:val="00CA5A77"/>
    <w:rsid w:val="00CA7D48"/>
    <w:rsid w:val="00CD07FE"/>
    <w:rsid w:val="00CD2E75"/>
    <w:rsid w:val="00CD3DBE"/>
    <w:rsid w:val="00CE4F99"/>
    <w:rsid w:val="00CE51E5"/>
    <w:rsid w:val="00D4679E"/>
    <w:rsid w:val="00D56645"/>
    <w:rsid w:val="00D708AF"/>
    <w:rsid w:val="00E02942"/>
    <w:rsid w:val="00E11B70"/>
    <w:rsid w:val="00E11E43"/>
    <w:rsid w:val="00E1202D"/>
    <w:rsid w:val="00E224D5"/>
    <w:rsid w:val="00E6236C"/>
    <w:rsid w:val="00E76893"/>
    <w:rsid w:val="00E94BE7"/>
    <w:rsid w:val="00E97528"/>
    <w:rsid w:val="00EB676E"/>
    <w:rsid w:val="00EE4587"/>
    <w:rsid w:val="00EF0460"/>
    <w:rsid w:val="00F011E8"/>
    <w:rsid w:val="00F0535A"/>
    <w:rsid w:val="00F65F92"/>
    <w:rsid w:val="00FE516A"/>
    <w:rsid w:val="00FF37AD"/>
    <w:rsid w:val="00FF58B7"/>
    <w:rsid w:val="00FF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39B63"/>
  <w15:docId w15:val="{1A7DAD19-FCEA-4E79-810B-B845BEC1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83" w:hanging="10"/>
      <w:outlineLvl w:val="0"/>
    </w:pPr>
    <w:rPr>
      <w:rFonts w:ascii="Times New Roman" w:eastAsia="Times New Roman" w:hAnsi="Times New Roman" w:cs="Times New Roman"/>
      <w:b/>
      <w:color w:val="4F81BD"/>
      <w:sz w:val="36"/>
    </w:rPr>
  </w:style>
  <w:style w:type="paragraph" w:styleId="Heading2">
    <w:name w:val="heading 2"/>
    <w:next w:val="Normal"/>
    <w:link w:val="Heading2Char"/>
    <w:uiPriority w:val="9"/>
    <w:unhideWhenUsed/>
    <w:qFormat/>
    <w:pPr>
      <w:keepNext/>
      <w:keepLines/>
      <w:spacing w:after="62"/>
      <w:ind w:left="1489"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87"/>
      <w:ind w:left="10" w:hanging="10"/>
      <w:outlineLvl w:val="2"/>
    </w:pPr>
    <w:rPr>
      <w:rFonts w:ascii="Times New Roman" w:eastAsia="Times New Roman" w:hAnsi="Times New Roman" w:cs="Times New Roman"/>
      <w:b/>
      <w:color w:val="4F81BD"/>
      <w:sz w:val="32"/>
    </w:rPr>
  </w:style>
  <w:style w:type="paragraph" w:styleId="Heading4">
    <w:name w:val="heading 4"/>
    <w:next w:val="Normal"/>
    <w:link w:val="Heading4Char"/>
    <w:uiPriority w:val="9"/>
    <w:unhideWhenUsed/>
    <w:qFormat/>
    <w:pPr>
      <w:keepNext/>
      <w:keepLines/>
      <w:spacing w:after="62"/>
      <w:ind w:left="1489" w:hanging="10"/>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pPr>
      <w:keepNext/>
      <w:keepLines/>
      <w:spacing w:after="234"/>
      <w:ind w:left="87" w:hanging="10"/>
      <w:outlineLvl w:val="4"/>
    </w:pPr>
    <w:rPr>
      <w:rFonts w:ascii="Times New Roman" w:eastAsia="Times New Roman" w:hAnsi="Times New Roman" w:cs="Times New Roman"/>
      <w:b/>
      <w:color w:val="000000"/>
      <w:sz w:val="26"/>
    </w:rPr>
  </w:style>
  <w:style w:type="paragraph" w:styleId="Heading6">
    <w:name w:val="heading 6"/>
    <w:next w:val="Normal"/>
    <w:link w:val="Heading6Char"/>
    <w:uiPriority w:val="9"/>
    <w:unhideWhenUsed/>
    <w:qFormat/>
    <w:pPr>
      <w:keepNext/>
      <w:keepLines/>
      <w:spacing w:after="277"/>
      <w:ind w:left="87" w:hanging="10"/>
      <w:outlineLvl w:val="5"/>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4F81BD"/>
      <w:sz w:val="32"/>
    </w:rPr>
  </w:style>
  <w:style w:type="character" w:customStyle="1" w:styleId="Heading6Char">
    <w:name w:val="Heading 6 Char"/>
    <w:link w:val="Heading6"/>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4F81BD"/>
      <w:sz w:val="36"/>
    </w:rPr>
  </w:style>
  <w:style w:type="character" w:customStyle="1" w:styleId="Heading4Char">
    <w:name w:val="Heading 4 Char"/>
    <w:link w:val="Heading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E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5E4"/>
    <w:rPr>
      <w:rFonts w:ascii="Calibri" w:eastAsia="Calibri" w:hAnsi="Calibri" w:cs="Calibri"/>
      <w:color w:val="000000"/>
    </w:rPr>
  </w:style>
  <w:style w:type="character" w:styleId="PlaceholderText">
    <w:name w:val="Placeholder Text"/>
    <w:basedOn w:val="DefaultParagraphFont"/>
    <w:uiPriority w:val="99"/>
    <w:semiHidden/>
    <w:rsid w:val="00446AAD"/>
    <w:rPr>
      <w:color w:val="808080"/>
    </w:rPr>
  </w:style>
  <w:style w:type="paragraph" w:styleId="ListParagraph">
    <w:name w:val="List Paragraph"/>
    <w:basedOn w:val="Normal"/>
    <w:uiPriority w:val="34"/>
    <w:qFormat/>
    <w:rsid w:val="00333072"/>
    <w:pPr>
      <w:ind w:left="720"/>
      <w:contextualSpacing/>
    </w:pPr>
  </w:style>
  <w:style w:type="paragraph" w:styleId="NormalWeb">
    <w:name w:val="Normal (Web)"/>
    <w:basedOn w:val="Normal"/>
    <w:uiPriority w:val="99"/>
    <w:unhideWhenUsed/>
    <w:rsid w:val="00CD07F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A256DD"/>
    <w:rPr>
      <w:color w:val="0563C1" w:themeColor="hyperlink"/>
      <w:u w:val="single"/>
    </w:rPr>
  </w:style>
  <w:style w:type="character" w:styleId="UnresolvedMention">
    <w:name w:val="Unresolved Mention"/>
    <w:basedOn w:val="DefaultParagraphFont"/>
    <w:uiPriority w:val="99"/>
    <w:semiHidden/>
    <w:unhideWhenUsed/>
    <w:rsid w:val="00081015"/>
    <w:rPr>
      <w:color w:val="605E5C"/>
      <w:shd w:val="clear" w:color="auto" w:fill="E1DFDD"/>
    </w:rPr>
  </w:style>
  <w:style w:type="character" w:styleId="Strong">
    <w:name w:val="Strong"/>
    <w:basedOn w:val="DefaultParagraphFont"/>
    <w:uiPriority w:val="22"/>
    <w:qFormat/>
    <w:rsid w:val="006633AF"/>
    <w:rPr>
      <w:b/>
      <w:bCs/>
    </w:rPr>
  </w:style>
  <w:style w:type="table" w:styleId="TableGrid0">
    <w:name w:val="Table Grid"/>
    <w:basedOn w:val="TableNormal"/>
    <w:uiPriority w:val="39"/>
    <w:rsid w:val="00491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limatepolicyinitiative.org/wpcontent/uploads/2024/10/Landscape-of-Climate-Finance-in-Nigeria2024.pdf" TargetMode="External"/><Relationship Id="rId18" Type="http://schemas.openxmlformats.org/officeDocument/2006/relationships/hyperlink" Target="https://t.co/yExeTEm6jc" TargetMode="External"/><Relationship Id="rId26" Type="http://schemas.openxmlformats.org/officeDocument/2006/relationships/hyperlink" Target="https://qz.com/africa/1014533/nigeria-has-raised-300-million-from-itsfirst-ever-diaspora-bond" TargetMode="External"/><Relationship Id="rId39" Type="http://schemas.openxmlformats.org/officeDocument/2006/relationships/fontTable" Target="fontTable.xml"/><Relationship Id="rId21" Type="http://schemas.openxmlformats.org/officeDocument/2006/relationships/hyperlink" Target="https://www.nerc.gov.ng/publications/2023" TargetMode="External"/><Relationship Id="rId34" Type="http://schemas.openxmlformats.org/officeDocument/2006/relationships/hyperlink" Target="https://doi.org/10.3233/EPL-230012" TargetMode="External"/><Relationship Id="rId7" Type="http://schemas.openxmlformats.org/officeDocument/2006/relationships/hyperlink" Target="https://www.afdb.org/sites/default/files/documents/publications/nigeri%20a_cfr_2023_0.pdf" TargetMode="External"/><Relationship Id="rId12" Type="http://schemas.openxmlformats.org/officeDocument/2006/relationships/hyperlink" Target="https://energypedia.info/wiki/Nigeria_Electricity_Sector" TargetMode="External"/><Relationship Id="rId17" Type="http://schemas.openxmlformats.org/officeDocument/2006/relationships/hyperlink" Target="https://www.irena.org/Publications/2023/Jul/Renewable-energystatistics-2023" TargetMode="External"/><Relationship Id="rId25" Type="http://schemas.openxmlformats.org/officeDocument/2006/relationships/hyperlink" Target="https://www.pwc.com/ng/en/publications/power-sector-2023.html" TargetMode="External"/><Relationship Id="rId33" Type="http://schemas.openxmlformats.org/officeDocument/2006/relationships/hyperlink" Target="https://www.worldbank.org/en/country/nigeria/publication/energytransition-2024"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hare.google/zVXZu2RsESrGHbXZY" TargetMode="External"/><Relationship Id="rId20" Type="http://schemas.openxmlformats.org/officeDocument/2006/relationships/hyperlink" Target="https://www.nigerianstat.gov.ng/reports/2023" TargetMode="External"/><Relationship Id="rId29" Type="http://schemas.openxmlformats.org/officeDocument/2006/relationships/hyperlink" Target="https://www.trade.gov/country-commercialguides/nigeria-ener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n.gov.ng/documents/2023remittances.pdf" TargetMode="External"/><Relationship Id="rId24" Type="http://schemas.openxmlformats.org/officeDocument/2006/relationships/hyperlink" Target="https://doi.org/10.1007/s42044-024-00123-7" TargetMode="External"/><Relationship Id="rId32" Type="http://schemas.openxmlformats.org/officeDocument/2006/relationships/hyperlink" Target="https://www.worldbank.org/en/country/nigeria/publication/electrificat%20ion-2023"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nergytransition.gov.ng/finance" TargetMode="External"/><Relationship Id="rId23" Type="http://schemas.openxmlformats.org/officeDocument/2006/relationships/hyperlink" Target="https://www.uneca.org/sites/default/files/MGD/INFFSept2022/NigeriaMonday%20Usiade%20_%20Sam%20Okpo%20En.pdf" TargetMode="External"/><Relationship Id="rId28" Type="http://schemas.openxmlformats.org/officeDocument/2006/relationships/hyperlink" Target="https://www.seforall.org/publications/mini-grids-nigeria2022" TargetMode="External"/><Relationship Id="rId36" Type="http://schemas.openxmlformats.org/officeDocument/2006/relationships/footer" Target="footer1.xml"/><Relationship Id="rId10" Type="http://schemas.openxmlformats.org/officeDocument/2006/relationships/hyperlink" Target="https://www.brookings.edu/articles/diaspora-bonds-an-innovativesource-of-financing/" TargetMode="External"/><Relationship Id="rId19" Type="http://schemas.openxmlformats.org/officeDocument/2006/relationships/hyperlink" Target="https://doi.org/10.1111/1467-%208268.12645" TargetMode="External"/><Relationship Id="rId31" Type="http://schemas.openxmlformats.org/officeDocument/2006/relationships/hyperlink" Target="https://www.undp.org/nigeria/publications/ndc-2021" TargetMode="External"/><Relationship Id="rId4" Type="http://schemas.openxmlformats.org/officeDocument/2006/relationships/webSettings" Target="webSettings.xml"/><Relationship Id="rId9" Type="http://schemas.openxmlformats.org/officeDocument/2006/relationships/hyperlink" Target="https://doi.org/10.1093/jae/ejac012" TargetMode="External"/><Relationship Id="rId14" Type="http://schemas.openxmlformats.org/officeDocument/2006/relationships/hyperlink" Target="https://www.energycommission.gov.ng/publications" TargetMode="External"/><Relationship Id="rId22" Type="http://schemas.openxmlformats.org/officeDocument/2006/relationships/hyperlink" Target="https://www.dmo.gov.ng/fgn-bonds/green-bond/5337-green-bondissuance-impact-report-may-2025" TargetMode="External"/><Relationship Id="rId27" Type="http://schemas.openxmlformats.org/officeDocument/2006/relationships/hyperlink" Target="https://doi.org/10.5281/zenodo.16985800" TargetMode="External"/><Relationship Id="rId30" Type="http://schemas.openxmlformats.org/officeDocument/2006/relationships/hyperlink" Target="https://www.tcn.org.ng/reports/2023" TargetMode="External"/><Relationship Id="rId35" Type="http://schemas.openxmlformats.org/officeDocument/2006/relationships/hyperlink" Target="https://www.esmap.org/sites/default/files/Presentations/REA_DamilolaOff-Grid%20Opportunity_03122017_web.pdf" TargetMode="External"/><Relationship Id="rId8" Type="http://schemas.openxmlformats.org/officeDocument/2006/relationships/hyperlink" Target="https://www.agusto.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2328</TotalTime>
  <Pages>13</Pages>
  <Words>6839</Words>
  <Characters>38987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USER</cp:lastModifiedBy>
  <cp:revision>24</cp:revision>
  <dcterms:created xsi:type="dcterms:W3CDTF">2026-01-12T22:43:00Z</dcterms:created>
  <dcterms:modified xsi:type="dcterms:W3CDTF">2026-01-14T15:43:00Z</dcterms:modified>
</cp:coreProperties>
</file>