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53D8A" w14:textId="77777777" w:rsidR="004E771D" w:rsidRDefault="004E771D">
      <w:pPr>
        <w:rPr>
          <w:b/>
          <w:bCs/>
        </w:rPr>
      </w:pPr>
    </w:p>
    <w:p w14:paraId="20D6C43B" w14:textId="77777777" w:rsidR="004E771D" w:rsidRDefault="00000000">
      <w:pPr>
        <w:spacing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rPr>
        <w:t>“</w:t>
      </w:r>
      <w:r>
        <w:rPr>
          <w:rFonts w:ascii="Times New Roman" w:eastAsia="Times New Roman" w:hAnsi="Times New Roman" w:cs="Times New Roman"/>
          <w:b/>
          <w:bCs/>
          <w:sz w:val="28"/>
          <w:szCs w:val="28"/>
        </w:rPr>
        <w:t>Innovative Approaches to Sustainability in Human Resource Management: A Review of Strategies, Challenges, and Future Directions”</w:t>
      </w:r>
    </w:p>
    <w:p w14:paraId="6A32D0E4" w14:textId="77777777" w:rsidR="004E771D" w:rsidRDefault="00000000">
      <w:pPr>
        <w:spacing w:before="240" w:after="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Tanuja Tomer, Assistant Professor, School of Business Studies, Jigyasa University, Dehradun</w:t>
      </w:r>
    </w:p>
    <w:p w14:paraId="3A84A347" w14:textId="77777777" w:rsidR="004E771D" w:rsidRDefault="00000000">
      <w:pPr>
        <w:spacing w:before="240" w:after="24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rPr>
        <w:t>Pulkit Tyagi, Assistant Professor, School of Business Studies, Jigyasa University, Dehradun</w:t>
      </w:r>
    </w:p>
    <w:p w14:paraId="0D78BC94" w14:textId="77777777" w:rsidR="004E771D" w:rsidRDefault="00000000">
      <w:p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3DDA4BF5" w14:textId="3EB0DE2E" w:rsidR="00A71B81" w:rsidRPr="00A71B81" w:rsidRDefault="00A71B81" w:rsidP="00A71B81">
      <w:pPr>
        <w:jc w:val="both"/>
        <w:rPr>
          <w:rFonts w:ascii="Times New Roman" w:eastAsia="Times New Roman" w:hAnsi="Times New Roman" w:cs="Times New Roman"/>
          <w:sz w:val="24"/>
          <w:szCs w:val="24"/>
        </w:rPr>
      </w:pPr>
      <w:r w:rsidRPr="00A71B81">
        <w:rPr>
          <w:rFonts w:ascii="Times New Roman" w:eastAsia="Times New Roman" w:hAnsi="Times New Roman" w:cs="Times New Roman"/>
          <w:sz w:val="24"/>
          <w:szCs w:val="24"/>
        </w:rPr>
        <w:t>One of the most important factors influencing organizational sustainability in the rapidly changing field of sustainable business practices is human resource management, or HRM. Although previous studies have looked at specific facets of Sustainable HRM (S-HRM), there is still a lack of a thorough mapping of its conceptual framework. Using Multidimensional Scaling (MDS) and Latent Dirichlet Allocation (LDA) topic modelling, this study examines 784 academic publications to identify recurring themes and their structural connections. Green HR &amp; Sustainability, Strategic HR Frameworks, Employee Behavior, Innovation &amp; Manufacturing, and Leadership &amp; Engagement are the five main pillars identified by the study.</w:t>
      </w:r>
      <w:r w:rsidR="00D761F2">
        <w:rPr>
          <w:rFonts w:ascii="Times New Roman" w:eastAsia="Times New Roman" w:hAnsi="Times New Roman" w:cs="Times New Roman"/>
          <w:sz w:val="24"/>
          <w:szCs w:val="24"/>
        </w:rPr>
        <w:t xml:space="preserve"> </w:t>
      </w:r>
      <w:r w:rsidRPr="00A71B81">
        <w:rPr>
          <w:rFonts w:ascii="Times New Roman" w:eastAsia="Times New Roman" w:hAnsi="Times New Roman" w:cs="Times New Roman"/>
          <w:sz w:val="24"/>
          <w:szCs w:val="24"/>
        </w:rPr>
        <w:t>Green practices and leadership frameworks show a considerable convergence, according to the clustering analysis, while technology innovation and behavioural sustainability research are still rather different. The study offers an integrated multi-layered framework based on these discoveries, with leadership and engagement serving as behavioural catalysts, environmental and innovation results as strategic extensions, and strategic alignment as the foundation. This study promotes theoretical integration and identifies important interdisciplinary gaps for further research, especially in relation to digital transformation and global sustainability goals, by providing a methodical, data-driven roadmap of S-HRM scholarship.</w:t>
      </w:r>
    </w:p>
    <w:p w14:paraId="7AA0C892" w14:textId="77777777" w:rsidR="00A71B81" w:rsidRPr="00A71B81" w:rsidRDefault="00A71B81" w:rsidP="00A71B81">
      <w:pPr>
        <w:jc w:val="both"/>
        <w:rPr>
          <w:rFonts w:ascii="Times New Roman" w:eastAsia="Times New Roman" w:hAnsi="Times New Roman" w:cs="Times New Roman"/>
          <w:sz w:val="24"/>
          <w:szCs w:val="24"/>
        </w:rPr>
      </w:pPr>
      <w:r w:rsidRPr="00A71B81">
        <w:rPr>
          <w:rFonts w:ascii="Times New Roman" w:eastAsia="Times New Roman" w:hAnsi="Times New Roman" w:cs="Times New Roman"/>
          <w:b/>
          <w:bCs/>
          <w:sz w:val="24"/>
          <w:szCs w:val="24"/>
        </w:rPr>
        <w:t>Keywords:</w:t>
      </w:r>
      <w:r w:rsidRPr="00A71B81">
        <w:rPr>
          <w:rFonts w:ascii="Times New Roman" w:eastAsia="Times New Roman" w:hAnsi="Times New Roman" w:cs="Times New Roman"/>
          <w:sz w:val="24"/>
          <w:szCs w:val="24"/>
        </w:rPr>
        <w:t xml:space="preserve"> Sustainable Human Resource Management, Green HRM, Leadership, Topic Modelling, LDA, Multidimensional Scaling, Sustainability, Innovation, SDGs.</w:t>
      </w:r>
    </w:p>
    <w:p w14:paraId="3DC68855" w14:textId="77777777" w:rsidR="004E771D" w:rsidRDefault="00000000">
      <w:pPr>
        <w:numPr>
          <w:ilvl w:val="0"/>
          <w:numId w:val="1"/>
        </w:numPr>
        <w:pBdr>
          <w:top w:val="nil"/>
          <w:left w:val="nil"/>
          <w:bottom w:val="nil"/>
          <w:right w:val="nil"/>
          <w:between w:val="nil"/>
        </w:pBdr>
        <w:spacing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Introduction</w:t>
      </w:r>
    </w:p>
    <w:p w14:paraId="046901F2" w14:textId="77777777" w:rsidR="004E771D" w:rsidRDefault="00000000" w:rsidP="00AD591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Sustainability has been a major concern for businesses all around the world in recent years. Businesses are realizing more and more how crucial it is to implement sustainable practices in order to solve environmental issues, satisfy stakeholders, and guarantee long-term profitability. Although environmental and operations management have historically been in charge of sustainability programs, human resource management (HRM) is increasingly being acknowledged as being essential to promoting sustainability in businesses. An organization's sustainability performance can be greatly impacted by HRM strategies, including hiring, training, performance management, and employee engagement (Abu-Mahfouz et al., 2023). Furthermore, HRM can stimulate innovation, ethical conduct, and cultural change—all of which are critical for creating long-lasting firms (Shahzad et al., 2023a).</w:t>
      </w:r>
    </w:p>
    <w:p w14:paraId="4B7C44F4" w14:textId="77777777" w:rsidR="004E771D" w:rsidRDefault="004E771D" w:rsidP="00AD5918">
      <w:pPr>
        <w:spacing w:after="0" w:line="240" w:lineRule="auto"/>
        <w:jc w:val="both"/>
        <w:rPr>
          <w:rFonts w:ascii="Times New Roman" w:eastAsia="Times New Roman" w:hAnsi="Times New Roman" w:cs="Times New Roman"/>
          <w:sz w:val="24"/>
          <w:szCs w:val="24"/>
        </w:rPr>
      </w:pPr>
    </w:p>
    <w:p w14:paraId="796E2CA3" w14:textId="77777777" w:rsidR="004E771D" w:rsidRDefault="00000000" w:rsidP="00AD591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that looks at creative ways to incorporate sustainability into HRM practices is still needed, even if the role of HRM in sustainability is becoming more widely acknowledged (Ullah, 2017a). By offering an extensive analysis of tactics, difficulties, and potential paths forward in sustainable HRM, this study aims to close this gap. The definition of sustainability in relation to HRM and the justification for implementing sustainable practices are presented at the beginning of the paper. After that, it looks at a number of methods for incorporating sustainability into HRM, including diversity and inclusion programs, ethical leadership, green HRM, and employee engagement.</w:t>
      </w:r>
    </w:p>
    <w:p w14:paraId="12B36DEA" w14:textId="77777777" w:rsidR="004E771D" w:rsidRDefault="004E771D" w:rsidP="00AD5918">
      <w:pPr>
        <w:spacing w:line="240" w:lineRule="auto"/>
        <w:jc w:val="both"/>
        <w:rPr>
          <w:rFonts w:ascii="Times New Roman" w:eastAsia="Times New Roman" w:hAnsi="Times New Roman" w:cs="Times New Roman"/>
          <w:sz w:val="24"/>
          <w:szCs w:val="24"/>
        </w:rPr>
      </w:pPr>
    </w:p>
    <w:p w14:paraId="088C77DD" w14:textId="77777777" w:rsidR="004E771D" w:rsidRDefault="00000000" w:rsidP="00AD591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then looks at the obstacles that organizations encounter when putting sustainable HRM strategies into practice, including cultural hurdles, resource limitations, and change aversion. The use of technology, data analytics, and the Sustainable Development Goals (SDGs) of the UN as frameworks for HRM practices are among the new trends and future directions in sustainable HRM that are covered in the paper's conclusion.</w:t>
      </w:r>
    </w:p>
    <w:p w14:paraId="309BF60A" w14:textId="77777777" w:rsidR="00AD5918" w:rsidRDefault="00AD5918" w:rsidP="00AD5918">
      <w:pPr>
        <w:spacing w:line="240" w:lineRule="auto"/>
        <w:jc w:val="both"/>
        <w:rPr>
          <w:rFonts w:ascii="Times New Roman" w:eastAsia="Times New Roman" w:hAnsi="Times New Roman" w:cs="Times New Roman"/>
          <w:sz w:val="24"/>
          <w:szCs w:val="24"/>
        </w:rPr>
      </w:pPr>
    </w:p>
    <w:p w14:paraId="69838FCA" w14:textId="77777777" w:rsidR="00AD5918" w:rsidRDefault="00AD5918" w:rsidP="00AD5918">
      <w:pPr>
        <w:spacing w:line="240" w:lineRule="auto"/>
        <w:jc w:val="both"/>
        <w:rPr>
          <w:rFonts w:ascii="Times New Roman" w:eastAsia="Times New Roman" w:hAnsi="Times New Roman" w:cs="Times New Roman"/>
          <w:sz w:val="24"/>
          <w:szCs w:val="24"/>
        </w:rPr>
      </w:pPr>
    </w:p>
    <w:p w14:paraId="0FDF0233" w14:textId="77777777" w:rsidR="004E771D" w:rsidRDefault="00000000">
      <w:pPr>
        <w:pBdr>
          <w:top w:val="nil"/>
          <w:left w:val="nil"/>
          <w:bottom w:val="nil"/>
          <w:right w:val="nil"/>
          <w:between w:val="nil"/>
        </w:pBdr>
        <w:spacing w:line="276" w:lineRule="auto"/>
        <w:ind w:left="3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1.1Defining Sustainability in Human Resource Management</w:t>
      </w:r>
    </w:p>
    <w:p w14:paraId="796418BE" w14:textId="77777777" w:rsidR="004E771D" w:rsidRDefault="00000000" w:rsidP="00AD591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"Meeting the needs of the present without compromising the ability of future generations to meet their own needs" is the definition of sustainability (Ten Have &amp; Gordijn, 2020). Sustainability in HRM refers to making sure that organizational procedures and activities are socially conscious, economically feasible, and environmentally sustainable (Herrera &amp; de las Heras-Rosas, 2020). This covers a broad range of initiatives, including cutting carbon emissions, encouraging diversity in the workplace, bolstering employee wellbeing, and encouraging moral conduct. Sustainable human resource management acknowledges that businesses are linked to the environment and society, and that their decisions can have a significant impact on stakeholders and the earth (Mariappanadar, 2024).</w:t>
      </w:r>
    </w:p>
    <w:p w14:paraId="10163666" w14:textId="77777777" w:rsidR="004E771D" w:rsidRDefault="00000000" w:rsidP="00AD591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Adopting sustainable HRM methods has several justifications. From a business standpoint, sustainability can result in lower expenses, a better reputation, and more staff satisfaction and output (Dangelico, 2015). Additionally, sustainable businesses are better able to draw in and keep top personnel, reduce risks, and take advantage of new market opportunities. Sustainable HRM supports environmental stewardship, social justice, and community well-being from a societal standpoint. Organizations can advance their long-term objectives and create shared value for stakeholders by coordinating HRM practices with sustainability goals (Karman, 2020).</w:t>
      </w:r>
    </w:p>
    <w:p w14:paraId="3F31A6D2" w14:textId="77777777" w:rsidR="004E771D" w:rsidRDefault="00000000">
      <w:pPr>
        <w:numPr>
          <w:ilvl w:val="0"/>
          <w:numId w:val="1"/>
        </w:numPr>
        <w:pBdr>
          <w:top w:val="nil"/>
          <w:left w:val="nil"/>
          <w:bottom w:val="nil"/>
          <w:right w:val="nil"/>
          <w:between w:val="nil"/>
        </w:pBdr>
        <w:spacing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Discussion of Key Themes</w:t>
      </w:r>
    </w:p>
    <w:p w14:paraId="6ED98FDE" w14:textId="77777777" w:rsidR="004E771D" w:rsidRDefault="00000000" w:rsidP="00AD5918">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To include sustainability into HRM procedures, a range of tactics can be used (Ullah, 2017b). These tactics can be modified to meet the particular requirements and conditions of every organization and are not exclusive of one another. Among the crucial tactics are:</w:t>
      </w:r>
    </w:p>
    <w:p w14:paraId="2B711FBA" w14:textId="77777777" w:rsidR="004E771D" w:rsidRDefault="00000000" w:rsidP="00AD5918">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Green HRM</w:t>
      </w:r>
      <w:r>
        <w:rPr>
          <w:rFonts w:ascii="Times New Roman" w:eastAsia="Times New Roman" w:hAnsi="Times New Roman" w:cs="Times New Roman"/>
          <w:color w:val="000000"/>
          <w:sz w:val="24"/>
          <w:szCs w:val="24"/>
        </w:rPr>
        <w:t>: According to Veerasamy et al. (2024), green HRM entails incorporating environmental factors into HRM procedures like hiring, training, performance reviews, and employee involvement. Initiatives to lower energy use, cut waste, and encourage environmentally friendly behavior among staff members may fall under this category. Green HRM seeks to match HR procedures with environmental goals and establish a sustainable culture inside the company (Shahzad et al., 2023b).</w:t>
      </w:r>
    </w:p>
    <w:p w14:paraId="2DDAE196" w14:textId="6717EAA6" w:rsidR="004E771D" w:rsidRDefault="00000000" w:rsidP="00AD5918">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Ethical Leadership</w:t>
      </w:r>
      <w:r>
        <w:rPr>
          <w:rFonts w:ascii="Times New Roman" w:eastAsia="Times New Roman" w:hAnsi="Times New Roman" w:cs="Times New Roman"/>
          <w:color w:val="000000"/>
          <w:sz w:val="24"/>
          <w:szCs w:val="24"/>
        </w:rPr>
        <w:t xml:space="preserve">: Encouraging sustainability in enterprises requires ethical leadership. In their </w:t>
      </w:r>
      <w:r w:rsidR="0014473A">
        <w:rPr>
          <w:rFonts w:ascii="Times New Roman" w:eastAsia="Times New Roman" w:hAnsi="Times New Roman" w:cs="Times New Roman"/>
          <w:color w:val="000000"/>
          <w:sz w:val="24"/>
          <w:szCs w:val="24"/>
        </w:rPr>
        <w:t>Behavior</w:t>
      </w:r>
      <w:r>
        <w:rPr>
          <w:rFonts w:ascii="Times New Roman" w:eastAsia="Times New Roman" w:hAnsi="Times New Roman" w:cs="Times New Roman"/>
          <w:color w:val="000000"/>
          <w:sz w:val="24"/>
          <w:szCs w:val="24"/>
        </w:rPr>
        <w:t xml:space="preserve"> and decision-making, ethical leaders provide a good example for their staff by acting with honesty, openness, and responsibility (Dahiya et al., 2025). The interests of stakeholders are also given top priority by ethical leaders, who also take into account the moral ramifications of corporate actions on the environment and society.</w:t>
      </w:r>
    </w:p>
    <w:p w14:paraId="410D081E" w14:textId="77777777" w:rsidR="004E771D" w:rsidRDefault="00000000" w:rsidP="00AD5918">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Employee Engagement</w:t>
      </w:r>
      <w:r>
        <w:rPr>
          <w:rFonts w:ascii="Times New Roman" w:eastAsia="Times New Roman" w:hAnsi="Times New Roman" w:cs="Times New Roman"/>
          <w:color w:val="000000"/>
          <w:sz w:val="24"/>
          <w:szCs w:val="24"/>
        </w:rPr>
        <w:t>: In order to bring about significant change inside firms, it is imperative that employees be involved in sustainability projects. According to Yulianah et al. (2025), employee engagement entails giving workers the freedom to take part in decision-making, offering chances for learning and growth, and praising and rewarding sustainable conduct. Employee engagement increases the likelihood that they will adopt sustainability as one of their core principles and help the company reach its sustainability objectives.</w:t>
      </w:r>
    </w:p>
    <w:p w14:paraId="2BFD2B76" w14:textId="77777777" w:rsidR="004E771D" w:rsidRDefault="00000000" w:rsidP="00AD5918">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Diversity and Inclusion</w:t>
      </w:r>
      <w:r>
        <w:rPr>
          <w:rFonts w:ascii="Times New Roman" w:eastAsia="Times New Roman" w:hAnsi="Times New Roman" w:cs="Times New Roman"/>
          <w:color w:val="000000"/>
          <w:sz w:val="24"/>
          <w:szCs w:val="24"/>
        </w:rPr>
        <w:t>: Encouraging diversity and inclusion is crucial to creating long-lasting companies that represent the interests and viewpoints of a varied workforce and community. Initiatives for diversity and inclusion seek to establish an inclusive, egalitarian, and respectful workplace where all staff members are encouraged to share their special skills and viewpoints (Tchamgop, 2025). Organizations may improve innovation, creativity, and decision-making while simultaneously advancing social justice and equality by cultivating diversity and inclusion.</w:t>
      </w:r>
    </w:p>
    <w:p w14:paraId="2A790910" w14:textId="5CC94DE3" w:rsidR="004E771D" w:rsidRPr="00AD5918" w:rsidRDefault="00000000" w:rsidP="00AD5918">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Corporate Social Responsibility (CSR)</w:t>
      </w:r>
      <w:r>
        <w:rPr>
          <w:rFonts w:ascii="Times New Roman" w:eastAsia="Times New Roman" w:hAnsi="Times New Roman" w:cs="Times New Roman"/>
          <w:color w:val="000000"/>
          <w:sz w:val="24"/>
          <w:szCs w:val="24"/>
        </w:rPr>
        <w:t xml:space="preserve">: According to Ardian Syah and Alnoor (2024), CSR is incorporating social and environmental factors into company operations and decision-making. By coordinating HR strategies with more general sustainability objectives, such lowering carbon emissions, fostering community development, and encouraging moral </w:t>
      </w:r>
      <w:r w:rsidR="005E0631">
        <w:rPr>
          <w:rFonts w:ascii="Times New Roman" w:eastAsia="Times New Roman" w:hAnsi="Times New Roman" w:cs="Times New Roman"/>
          <w:color w:val="000000"/>
          <w:sz w:val="24"/>
          <w:szCs w:val="24"/>
        </w:rPr>
        <w:t>labour</w:t>
      </w:r>
      <w:r>
        <w:rPr>
          <w:rFonts w:ascii="Times New Roman" w:eastAsia="Times New Roman" w:hAnsi="Times New Roman" w:cs="Times New Roman"/>
          <w:color w:val="000000"/>
          <w:sz w:val="24"/>
          <w:szCs w:val="24"/>
        </w:rPr>
        <w:t xml:space="preserve"> practices, sustainable HRM practices can assist CSR projects. CSR programs can improve an organization's standing with stakeholders, foster trust, and generate benefits for the environment and society as a whole (Yan et al., 2022).</w:t>
      </w:r>
    </w:p>
    <w:p w14:paraId="2371B6AC" w14:textId="77777777" w:rsidR="00AD5918" w:rsidRDefault="00AD5918" w:rsidP="00AD5918">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402C2583" w14:textId="77777777" w:rsidR="00AD5918" w:rsidRDefault="00AD5918" w:rsidP="00AD5918">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5E765A80" w14:textId="77777777" w:rsidR="00AD5918" w:rsidRDefault="00AD5918" w:rsidP="00AD5918">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005D7153" w14:textId="77777777" w:rsidR="004E771D" w:rsidRDefault="00000000">
      <w:pPr>
        <w:numPr>
          <w:ilvl w:val="0"/>
          <w:numId w:val="1"/>
        </w:numPr>
        <w:pBdr>
          <w:top w:val="nil"/>
          <w:left w:val="nil"/>
          <w:bottom w:val="nil"/>
          <w:right w:val="nil"/>
          <w:between w:val="nil"/>
        </w:pBdr>
        <w:spacing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Challenges in Implementing Sustainable Human Resource Management Practices</w:t>
      </w:r>
    </w:p>
    <w:p w14:paraId="1BD12DB5" w14:textId="77777777" w:rsidR="004E771D" w:rsidRDefault="00000000" w:rsidP="00AD59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Adopting sustainable HRM practices has numerous potential advantages, but there may be a number of obstacles that firms must overcome to put them into effect. Among the main difficulties are:</w:t>
      </w:r>
    </w:p>
    <w:p w14:paraId="42D34735" w14:textId="77777777" w:rsidR="004E771D" w:rsidRDefault="004E771D" w:rsidP="00AD5918">
      <w:pPr>
        <w:spacing w:after="0" w:line="240" w:lineRule="auto"/>
        <w:rPr>
          <w:rFonts w:ascii="Times New Roman" w:eastAsia="Times New Roman" w:hAnsi="Times New Roman" w:cs="Times New Roman"/>
          <w:sz w:val="24"/>
          <w:szCs w:val="24"/>
        </w:rPr>
      </w:pPr>
    </w:p>
    <w:p w14:paraId="3E5F84EF" w14:textId="77777777" w:rsidR="004E771D" w:rsidRDefault="00000000" w:rsidP="00AD5918">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Resistance to Change</w:t>
      </w:r>
      <w:r>
        <w:rPr>
          <w:rFonts w:ascii="Times New Roman" w:eastAsia="Times New Roman" w:hAnsi="Times New Roman" w:cs="Times New Roman"/>
          <w:color w:val="000000"/>
          <w:sz w:val="24"/>
          <w:szCs w:val="24"/>
        </w:rPr>
        <w:t>: According to Ramadhani et al. (2024), resistance to change is a frequent obstacle to putting sustainable HRM strategies into reality. Workers may be hesitant to embrace new habits or routines, particularly if they believe that sustainability measures jeopardize their independence or job stability. Effective communication, stakeholder participation, and leadership support are necessary to overcome resistance to change (Lim et al., 2025).</w:t>
      </w:r>
    </w:p>
    <w:p w14:paraId="717BA601" w14:textId="77777777" w:rsidR="004E771D" w:rsidRDefault="004E771D" w:rsidP="00AD5918">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F9C64C2" w14:textId="77777777" w:rsidR="004E771D" w:rsidRDefault="00000000" w:rsidP="00AD5918">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Resource Constraints</w:t>
      </w:r>
      <w:r>
        <w:rPr>
          <w:rFonts w:ascii="Times New Roman" w:eastAsia="Times New Roman" w:hAnsi="Times New Roman" w:cs="Times New Roman"/>
          <w:color w:val="000000"/>
          <w:sz w:val="24"/>
          <w:szCs w:val="24"/>
        </w:rPr>
        <w:t>: Businesses may find it difficult to invest in sustainable HRM practices due to resource limitations, including a lack of funds, time, and experience. Due to their potential lack of resources and competence to carry out comprehensive sustainability measures, small and medium-sized firms (SMEs) may have particularly serious difficulties in this area (Martins et al., 2022). Prioritizing sustainability investments, utilizing outside alliances, and incorporating sustainability into essential business operations may be necessary to overcome resource limitations.</w:t>
      </w:r>
    </w:p>
    <w:p w14:paraId="1DD22BA3" w14:textId="77777777" w:rsidR="004E771D" w:rsidRDefault="004E771D" w:rsidP="00AD5918">
      <w:pPr>
        <w:spacing w:after="0" w:line="240" w:lineRule="auto"/>
        <w:jc w:val="both"/>
        <w:rPr>
          <w:rFonts w:ascii="Times New Roman" w:eastAsia="Times New Roman" w:hAnsi="Times New Roman" w:cs="Times New Roman"/>
          <w:sz w:val="24"/>
          <w:szCs w:val="24"/>
        </w:rPr>
      </w:pPr>
    </w:p>
    <w:p w14:paraId="22E0D8CB" w14:textId="77777777" w:rsidR="004E771D" w:rsidRDefault="00000000" w:rsidP="00AD5918">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Cultural hurdles</w:t>
      </w:r>
      <w:r>
        <w:rPr>
          <w:rFonts w:ascii="Times New Roman" w:eastAsia="Times New Roman" w:hAnsi="Times New Roman" w:cs="Times New Roman"/>
          <w:color w:val="000000"/>
          <w:sz w:val="24"/>
          <w:szCs w:val="24"/>
        </w:rPr>
        <w:t>: Adoption of sustainable HRM methods may be hampered by cultural hurdles such opposing values, ignorance, and aversion to change. Efforts to encourage moral behavior and environmental stewardship may be hampered by organizational cultures that put short-term profits ahead of long-term sustainability (Alemu, 2025). It needs a supportive corporate culture that prioritizes sustainability, employee involvement, and leadership commitment to overcome cultural hurdles.</w:t>
      </w:r>
    </w:p>
    <w:p w14:paraId="26E9AFA6" w14:textId="77777777" w:rsidR="004E771D" w:rsidRDefault="004E771D">
      <w:pPr>
        <w:spacing w:after="0" w:line="240" w:lineRule="auto"/>
        <w:jc w:val="both"/>
        <w:rPr>
          <w:rFonts w:ascii="Times New Roman" w:eastAsia="Times New Roman" w:hAnsi="Times New Roman" w:cs="Times New Roman"/>
          <w:sz w:val="24"/>
          <w:szCs w:val="24"/>
        </w:rPr>
      </w:pPr>
    </w:p>
    <w:p w14:paraId="6E044D37" w14:textId="77777777" w:rsidR="004E771D" w:rsidRDefault="00000000">
      <w:pPr>
        <w:numPr>
          <w:ilvl w:val="0"/>
          <w:numId w:val="1"/>
        </w:numPr>
        <w:pBdr>
          <w:top w:val="nil"/>
          <w:left w:val="nil"/>
          <w:bottom w:val="nil"/>
          <w:right w:val="nil"/>
          <w:between w:val="nil"/>
        </w:pBdr>
        <w:spacing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Future Directions in Sustainable Human Resource Management</w:t>
      </w:r>
    </w:p>
    <w:p w14:paraId="361335FC" w14:textId="77777777" w:rsidR="004E771D"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Notwithstanding the difficulties, there are a number of new developments and paths for sustainable HRM that present chances for businesses to improve their sustainability performance. Among the major trends are:</w:t>
      </w:r>
    </w:p>
    <w:p w14:paraId="1A0AD9E5" w14:textId="77777777" w:rsidR="004E771D" w:rsidRDefault="004E771D">
      <w:pPr>
        <w:spacing w:after="0" w:line="240" w:lineRule="auto"/>
        <w:rPr>
          <w:rFonts w:ascii="Times New Roman" w:eastAsia="Times New Roman" w:hAnsi="Times New Roman" w:cs="Times New Roman"/>
          <w:sz w:val="24"/>
          <w:szCs w:val="24"/>
        </w:rPr>
      </w:pPr>
    </w:p>
    <w:p w14:paraId="2D55D566" w14:textId="77777777" w:rsidR="004E771D" w:rsidRDefault="00000000" w:rsidP="00D22DD5">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Technology Integration</w:t>
      </w:r>
      <w:r>
        <w:rPr>
          <w:rFonts w:ascii="Times New Roman" w:eastAsia="Times New Roman" w:hAnsi="Times New Roman" w:cs="Times New Roman"/>
          <w:color w:val="000000"/>
          <w:sz w:val="24"/>
          <w:szCs w:val="24"/>
        </w:rPr>
        <w:t xml:space="preserve">: According to Menon et al. (2024), integrating technology, such as artificial intelligence (AI), data analytics, and HR software, can improve the efficacy and efficiency of sustainable HRM. Technology can help with decision-making, virtual collaboration and communication, and the tracking and reporting of sustainability metrics. </w:t>
      </w:r>
    </w:p>
    <w:p w14:paraId="50E86E2A" w14:textId="66C4228D" w:rsidR="004E771D" w:rsidRDefault="00000000" w:rsidP="00D22DD5">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Data Analytics</w:t>
      </w:r>
      <w:r>
        <w:rPr>
          <w:rFonts w:ascii="Times New Roman" w:eastAsia="Times New Roman" w:hAnsi="Times New Roman" w:cs="Times New Roman"/>
          <w:color w:val="000000"/>
          <w:sz w:val="24"/>
          <w:szCs w:val="24"/>
        </w:rPr>
        <w:t xml:space="preserve">: By offering insightful information about staff performance, preferences, and </w:t>
      </w:r>
      <w:r w:rsidR="0014473A">
        <w:rPr>
          <w:rFonts w:ascii="Times New Roman" w:eastAsia="Times New Roman" w:hAnsi="Times New Roman" w:cs="Times New Roman"/>
          <w:color w:val="000000"/>
          <w:sz w:val="24"/>
          <w:szCs w:val="24"/>
        </w:rPr>
        <w:t>behaviour</w:t>
      </w:r>
      <w:r>
        <w:rPr>
          <w:rFonts w:ascii="Times New Roman" w:eastAsia="Times New Roman" w:hAnsi="Times New Roman" w:cs="Times New Roman"/>
          <w:color w:val="000000"/>
          <w:sz w:val="24"/>
          <w:szCs w:val="24"/>
        </w:rPr>
        <w:t>, data analytics can help businesses find ways to enhance their sustainability procedures (Bag et al., 2024). Organizations can create focused actions to lessen environmental effects and improve sustainability performance by examining data on energy use, trash production, and staff engagement.</w:t>
      </w:r>
    </w:p>
    <w:p w14:paraId="33F5D705" w14:textId="6DA1594B" w:rsidR="000D672C" w:rsidRDefault="00000000" w:rsidP="00D22DD5">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United Nations Sustainable Development Goals (SDGs):</w:t>
      </w:r>
      <w:r>
        <w:rPr>
          <w:rFonts w:ascii="Times New Roman" w:eastAsia="Times New Roman" w:hAnsi="Times New Roman" w:cs="Times New Roman"/>
          <w:color w:val="000000"/>
          <w:sz w:val="24"/>
          <w:szCs w:val="24"/>
        </w:rPr>
        <w:t xml:space="preserve"> According to Krannich and Reiser (2023), the SDGs offer a worldwide framework for tackling urgent social, economic, and environmental issues. By coordinating HR strategies with particular objectives, such as gender equality, decent work and economic growth, and climate action, sustainable HRM practices can help accomplish the SDGs (Vincent, 2025). Organizations can show their dedication to sustainability and support international initiatives to build a more equitable and sustainable society by incorporating the SDGs into HRM procedures</w:t>
      </w:r>
      <w:r w:rsidR="00D22DD5">
        <w:rPr>
          <w:rFonts w:ascii="Times New Roman" w:eastAsia="Times New Roman" w:hAnsi="Times New Roman" w:cs="Times New Roman"/>
          <w:color w:val="000000"/>
          <w:sz w:val="24"/>
          <w:szCs w:val="24"/>
        </w:rPr>
        <w:t>.</w:t>
      </w:r>
    </w:p>
    <w:p w14:paraId="382AE7A5" w14:textId="77777777" w:rsidR="00D22DD5" w:rsidRPr="00D22DD5" w:rsidRDefault="00D22DD5" w:rsidP="00D22DD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ADB3861" w14:textId="77777777" w:rsidR="004E771D" w:rsidRDefault="00000000">
      <w:pPr>
        <w:numPr>
          <w:ilvl w:val="0"/>
          <w:numId w:val="1"/>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Methodology</w:t>
      </w:r>
    </w:p>
    <w:p w14:paraId="470EDC58" w14:textId="77777777" w:rsidR="004E771D" w:rsidRDefault="00000000" w:rsidP="00D22DD5">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used a bibliometric and text-mining approach to comprehend the state of Sustainable HRM research. A collection of 784 scholarly articles that concentrated on the relationship between innovation, sustainability, and human resource management was assembled.</w:t>
      </w:r>
    </w:p>
    <w:p w14:paraId="20280698" w14:textId="77777777" w:rsidR="004E771D" w:rsidRDefault="00000000" w:rsidP="00D22DD5">
      <w:pPr>
        <w:numPr>
          <w:ilvl w:val="1"/>
          <w:numId w:val="1"/>
        </w:numPr>
        <w:pBdr>
          <w:top w:val="nil"/>
          <w:left w:val="nil"/>
          <w:bottom w:val="nil"/>
          <w:right w:val="nil"/>
          <w:between w:val="nil"/>
        </w:pBdr>
        <w:spacing w:before="240" w:after="24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Data Analysis Tool: </w:t>
      </w:r>
      <w:r>
        <w:rPr>
          <w:rFonts w:ascii="Times New Roman" w:eastAsia="Times New Roman" w:hAnsi="Times New Roman" w:cs="Times New Roman"/>
          <w:color w:val="000000"/>
          <w:sz w:val="24"/>
          <w:szCs w:val="24"/>
        </w:rPr>
        <w:t xml:space="preserve">Orange Data Mining, a visual programming tool for machine learning and data visualization, was used to perform the analysis. To assure data quality, the unstructured text data (titles </w:t>
      </w:r>
      <w:r>
        <w:rPr>
          <w:rFonts w:ascii="Times New Roman" w:eastAsia="Times New Roman" w:hAnsi="Times New Roman" w:cs="Times New Roman"/>
          <w:color w:val="000000"/>
          <w:sz w:val="24"/>
          <w:szCs w:val="24"/>
        </w:rPr>
        <w:lastRenderedPageBreak/>
        <w:t>and abstracts) was put through a preparation pipeline that includes lemmatization, tokenization, stop-word removal, and translation to lowercase.</w:t>
      </w:r>
    </w:p>
    <w:p w14:paraId="3A91BAE7" w14:textId="77777777" w:rsidR="004E771D" w:rsidRDefault="00000000">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D065EC5" wp14:editId="386E7838">
            <wp:extent cx="6645600" cy="35179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6645600" cy="3517900"/>
                    </a:xfrm>
                    <a:prstGeom prst="rect">
                      <a:avLst/>
                    </a:prstGeom>
                    <a:ln/>
                  </pic:spPr>
                </pic:pic>
              </a:graphicData>
            </a:graphic>
          </wp:inline>
        </w:drawing>
      </w:r>
    </w:p>
    <w:p w14:paraId="03BC06EA" w14:textId="04AF80A4" w:rsidR="004E771D" w:rsidRDefault="00000000">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Figure </w:t>
      </w:r>
      <w:r w:rsidR="005E0631">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 xml:space="preserve"> Orange Data Mining Process</w:t>
      </w:r>
    </w:p>
    <w:p w14:paraId="5F61EE10" w14:textId="77777777" w:rsidR="004E771D" w:rsidRDefault="00000000" w:rsidP="00D22DD5">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Topic Modelling (LDA): </w:t>
      </w:r>
      <w:r>
        <w:rPr>
          <w:rFonts w:ascii="Times New Roman" w:eastAsia="Times New Roman" w:hAnsi="Times New Roman" w:cs="Times New Roman"/>
          <w:color w:val="000000"/>
          <w:sz w:val="24"/>
          <w:szCs w:val="24"/>
        </w:rPr>
        <w:t>To find underlying thematic structures in the corpus, we applied a generative statistical model called Latent Dirichlet Allocation (LDA). The model was set up to use keyword co-occurrence probabilities to detect five different subjects.</w:t>
      </w:r>
      <w:r>
        <w:rPr>
          <w:rFonts w:ascii="Times New Roman" w:eastAsia="Times New Roman" w:hAnsi="Times New Roman" w:cs="Times New Roman"/>
          <w:b/>
          <w:bCs/>
          <w:color w:val="000000"/>
          <w:sz w:val="24"/>
          <w:szCs w:val="24"/>
        </w:rPr>
        <w:t xml:space="preserve"> </w:t>
      </w:r>
    </w:p>
    <w:p w14:paraId="4AF6B859" w14:textId="77777777" w:rsidR="004E771D" w:rsidRDefault="00000000" w:rsidP="00D22DD5">
      <w:pPr>
        <w:numPr>
          <w:ilvl w:val="1"/>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Visualization (MDS): </w:t>
      </w:r>
      <w:r>
        <w:rPr>
          <w:rFonts w:ascii="Times New Roman" w:eastAsia="Times New Roman" w:hAnsi="Times New Roman" w:cs="Times New Roman"/>
          <w:color w:val="000000"/>
          <w:sz w:val="24"/>
          <w:szCs w:val="24"/>
        </w:rPr>
        <w:t>Multidimensional Scaling (MDS) was used to show how these subjects relate to one another. This method made it possible to identify semantic clusters and "islands" of research concentration by projecting the high-dimensional topic data into a two-dimensional scatter plot.</w:t>
      </w:r>
    </w:p>
    <w:p w14:paraId="22255C10" w14:textId="30851D47" w:rsidR="004E771D" w:rsidRDefault="00000000" w:rsidP="00D22DD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6. Findings and Analysis: </w:t>
      </w:r>
      <w:r>
        <w:rPr>
          <w:rFonts w:ascii="Times New Roman" w:eastAsia="Times New Roman" w:hAnsi="Times New Roman" w:cs="Times New Roman"/>
          <w:sz w:val="24"/>
          <w:szCs w:val="24"/>
        </w:rPr>
        <w:t>The 784 publications were effectively categorized into five different subject clusters using the LDA topic modelling process. Each topic was given the following label thanks to the examination of keyword probability scores:</w:t>
      </w:r>
    </w:p>
    <w:tbl>
      <w:tblPr>
        <w:tblStyle w:val="a0"/>
        <w:tblW w:w="10409" w:type="dxa"/>
        <w:tblBorders>
          <w:top w:val="nil"/>
          <w:left w:val="nil"/>
          <w:bottom w:val="nil"/>
          <w:right w:val="nil"/>
          <w:insideH w:val="nil"/>
          <w:insideV w:val="nil"/>
        </w:tblBorders>
        <w:tblLayout w:type="fixed"/>
        <w:tblLook w:val="0600" w:firstRow="0" w:lastRow="0" w:firstColumn="0" w:lastColumn="0" w:noHBand="1" w:noVBand="1"/>
      </w:tblPr>
      <w:tblGrid>
        <w:gridCol w:w="1439"/>
        <w:gridCol w:w="3518"/>
        <w:gridCol w:w="5452"/>
      </w:tblGrid>
      <w:tr w:rsidR="004E771D" w14:paraId="377CCB51" w14:textId="77777777" w:rsidTr="00C91CD7">
        <w:trPr>
          <w:trHeight w:val="220"/>
        </w:trPr>
        <w:tc>
          <w:tcPr>
            <w:tcW w:w="1439" w:type="dxa"/>
            <w:tcBorders>
              <w:top w:val="single" w:sz="4" w:space="0" w:color="284E3F"/>
              <w:left w:val="single" w:sz="4" w:space="0" w:color="284E3F"/>
              <w:bottom w:val="single" w:sz="4" w:space="0" w:color="284E3F"/>
              <w:right w:val="single" w:sz="4" w:space="0" w:color="356854"/>
            </w:tcBorders>
            <w:shd w:val="clear" w:color="auto" w:fill="356854"/>
            <w:tcMar>
              <w:top w:w="0" w:type="dxa"/>
              <w:left w:w="120" w:type="dxa"/>
              <w:bottom w:w="0" w:type="dxa"/>
              <w:right w:w="120" w:type="dxa"/>
            </w:tcMar>
            <w:vAlign w:val="center"/>
          </w:tcPr>
          <w:p w14:paraId="0E49873D"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FFFFFF"/>
                <w:sz w:val="24"/>
                <w:szCs w:val="24"/>
              </w:rPr>
              <w:t>Topic</w:t>
            </w:r>
          </w:p>
        </w:tc>
        <w:tc>
          <w:tcPr>
            <w:tcW w:w="3518" w:type="dxa"/>
            <w:tcBorders>
              <w:top w:val="single" w:sz="4" w:space="0" w:color="284E3F"/>
              <w:left w:val="single" w:sz="4" w:space="0" w:color="CCCCCC"/>
              <w:bottom w:val="single" w:sz="4" w:space="0" w:color="284E3F"/>
              <w:right w:val="single" w:sz="4" w:space="0" w:color="356854"/>
            </w:tcBorders>
            <w:shd w:val="clear" w:color="auto" w:fill="356854"/>
            <w:tcMar>
              <w:top w:w="0" w:type="dxa"/>
              <w:left w:w="120" w:type="dxa"/>
              <w:bottom w:w="0" w:type="dxa"/>
              <w:right w:w="120" w:type="dxa"/>
            </w:tcMar>
            <w:vAlign w:val="center"/>
          </w:tcPr>
          <w:p w14:paraId="35D5F631"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FFFFFF"/>
                <w:sz w:val="24"/>
                <w:szCs w:val="24"/>
              </w:rPr>
              <w:t>Label</w:t>
            </w:r>
          </w:p>
        </w:tc>
        <w:tc>
          <w:tcPr>
            <w:tcW w:w="5452" w:type="dxa"/>
            <w:tcBorders>
              <w:top w:val="single" w:sz="4" w:space="0" w:color="284E3F"/>
              <w:left w:val="single" w:sz="4" w:space="0" w:color="CCCCCC"/>
              <w:bottom w:val="single" w:sz="4" w:space="0" w:color="284E3F"/>
              <w:right w:val="single" w:sz="4" w:space="0" w:color="284E3F"/>
            </w:tcBorders>
            <w:shd w:val="clear" w:color="auto" w:fill="356854"/>
            <w:tcMar>
              <w:top w:w="0" w:type="dxa"/>
              <w:left w:w="120" w:type="dxa"/>
              <w:bottom w:w="0" w:type="dxa"/>
              <w:right w:w="120" w:type="dxa"/>
            </w:tcMar>
            <w:vAlign w:val="center"/>
          </w:tcPr>
          <w:p w14:paraId="6C529721"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FFFFFF"/>
                <w:sz w:val="24"/>
                <w:szCs w:val="24"/>
              </w:rPr>
              <w:t>Key Term</w:t>
            </w:r>
          </w:p>
        </w:tc>
      </w:tr>
      <w:tr w:rsidR="004E771D" w14:paraId="5B4A22E2" w14:textId="77777777" w:rsidTr="00C91CD7">
        <w:trPr>
          <w:trHeight w:val="220"/>
        </w:trPr>
        <w:tc>
          <w:tcPr>
            <w:tcW w:w="1439" w:type="dxa"/>
            <w:tcBorders>
              <w:top w:val="single" w:sz="4" w:space="0" w:color="CCCCCC"/>
              <w:left w:val="single" w:sz="4" w:space="0" w:color="284E3F"/>
              <w:bottom w:val="single" w:sz="4" w:space="0" w:color="F6F8F9"/>
              <w:right w:val="single" w:sz="4" w:space="0" w:color="FFFFFF"/>
            </w:tcBorders>
            <w:shd w:val="clear" w:color="auto" w:fill="FFFFFF"/>
            <w:tcMar>
              <w:top w:w="0" w:type="dxa"/>
              <w:left w:w="120" w:type="dxa"/>
              <w:bottom w:w="0" w:type="dxa"/>
              <w:right w:w="120" w:type="dxa"/>
            </w:tcMar>
            <w:vAlign w:val="center"/>
          </w:tcPr>
          <w:p w14:paraId="4990C5DB"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1F1F1F"/>
                <w:sz w:val="24"/>
                <w:szCs w:val="24"/>
              </w:rPr>
              <w:t>Topic 1</w:t>
            </w:r>
          </w:p>
        </w:tc>
        <w:tc>
          <w:tcPr>
            <w:tcW w:w="3518" w:type="dxa"/>
            <w:tcBorders>
              <w:top w:val="single" w:sz="4" w:space="0" w:color="CCCCCC"/>
              <w:left w:val="single" w:sz="4" w:space="0" w:color="CCCCCC"/>
              <w:bottom w:val="single" w:sz="4" w:space="0" w:color="F6F8F9"/>
              <w:right w:val="single" w:sz="4" w:space="0" w:color="FFFFFF"/>
            </w:tcBorders>
            <w:shd w:val="clear" w:color="auto" w:fill="FFFFFF"/>
            <w:tcMar>
              <w:top w:w="0" w:type="dxa"/>
              <w:left w:w="120" w:type="dxa"/>
              <w:bottom w:w="0" w:type="dxa"/>
              <w:right w:w="120" w:type="dxa"/>
            </w:tcMar>
            <w:vAlign w:val="center"/>
          </w:tcPr>
          <w:p w14:paraId="52033DD2"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Green HR &amp; Sustainability</w:t>
            </w:r>
          </w:p>
        </w:tc>
        <w:tc>
          <w:tcPr>
            <w:tcW w:w="5452" w:type="dxa"/>
            <w:tcBorders>
              <w:top w:val="single" w:sz="4" w:space="0" w:color="CCCCCC"/>
              <w:left w:val="single" w:sz="4" w:space="0" w:color="CCCCCC"/>
              <w:bottom w:val="single" w:sz="4" w:space="0" w:color="F6F8F9"/>
              <w:right w:val="single" w:sz="4" w:space="0" w:color="284E3F"/>
            </w:tcBorders>
            <w:shd w:val="clear" w:color="auto" w:fill="FFFFFF"/>
            <w:tcMar>
              <w:top w:w="0" w:type="dxa"/>
              <w:left w:w="120" w:type="dxa"/>
              <w:bottom w:w="0" w:type="dxa"/>
              <w:right w:w="120" w:type="dxa"/>
            </w:tcMar>
            <w:vAlign w:val="center"/>
          </w:tcPr>
          <w:p w14:paraId="61678445"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Environmental initiatives, CSR</w:t>
            </w:r>
          </w:p>
        </w:tc>
      </w:tr>
      <w:tr w:rsidR="004E771D" w14:paraId="1ABF1125" w14:textId="77777777" w:rsidTr="00C91CD7">
        <w:trPr>
          <w:trHeight w:val="220"/>
        </w:trPr>
        <w:tc>
          <w:tcPr>
            <w:tcW w:w="1439" w:type="dxa"/>
            <w:tcBorders>
              <w:top w:val="single" w:sz="4" w:space="0" w:color="CCCCCC"/>
              <w:left w:val="single" w:sz="4" w:space="0" w:color="284E3F"/>
              <w:bottom w:val="single" w:sz="4" w:space="0" w:color="F6F8F9"/>
              <w:right w:val="single" w:sz="4" w:space="0" w:color="F6F8F9"/>
            </w:tcBorders>
            <w:shd w:val="clear" w:color="auto" w:fill="F6F8F9"/>
            <w:tcMar>
              <w:top w:w="0" w:type="dxa"/>
              <w:left w:w="120" w:type="dxa"/>
              <w:bottom w:w="0" w:type="dxa"/>
              <w:right w:w="120" w:type="dxa"/>
            </w:tcMar>
            <w:vAlign w:val="center"/>
          </w:tcPr>
          <w:p w14:paraId="46290D72"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1F1F1F"/>
                <w:sz w:val="24"/>
                <w:szCs w:val="24"/>
              </w:rPr>
              <w:t>Topic 2</w:t>
            </w:r>
          </w:p>
        </w:tc>
        <w:tc>
          <w:tcPr>
            <w:tcW w:w="3518" w:type="dxa"/>
            <w:tcBorders>
              <w:top w:val="single" w:sz="4" w:space="0" w:color="CCCCCC"/>
              <w:left w:val="single" w:sz="4" w:space="0" w:color="CCCCCC"/>
              <w:bottom w:val="single" w:sz="4" w:space="0" w:color="F6F8F9"/>
              <w:right w:val="single" w:sz="4" w:space="0" w:color="F6F8F9"/>
            </w:tcBorders>
            <w:shd w:val="clear" w:color="auto" w:fill="F6F8F9"/>
            <w:tcMar>
              <w:top w:w="0" w:type="dxa"/>
              <w:left w:w="120" w:type="dxa"/>
              <w:bottom w:w="0" w:type="dxa"/>
              <w:right w:w="120" w:type="dxa"/>
            </w:tcMar>
            <w:vAlign w:val="center"/>
          </w:tcPr>
          <w:p w14:paraId="2FF5A3FC"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Strategic HR Frameworks</w:t>
            </w:r>
          </w:p>
        </w:tc>
        <w:tc>
          <w:tcPr>
            <w:tcW w:w="5452" w:type="dxa"/>
            <w:tcBorders>
              <w:top w:val="single" w:sz="4" w:space="0" w:color="CCCCCC"/>
              <w:left w:val="single" w:sz="4" w:space="0" w:color="CCCCCC"/>
              <w:bottom w:val="single" w:sz="4" w:space="0" w:color="F6F8F9"/>
              <w:right w:val="single" w:sz="4" w:space="0" w:color="284E3F"/>
            </w:tcBorders>
            <w:shd w:val="clear" w:color="auto" w:fill="F6F8F9"/>
            <w:tcMar>
              <w:top w:w="0" w:type="dxa"/>
              <w:left w:w="120" w:type="dxa"/>
              <w:bottom w:w="0" w:type="dxa"/>
              <w:right w:w="120" w:type="dxa"/>
            </w:tcMar>
            <w:vAlign w:val="center"/>
          </w:tcPr>
          <w:p w14:paraId="7DA0BEA7"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Policy, strategy, goals</w:t>
            </w:r>
          </w:p>
        </w:tc>
      </w:tr>
      <w:tr w:rsidR="004E771D" w14:paraId="41AB7DCA" w14:textId="77777777" w:rsidTr="00C91CD7">
        <w:trPr>
          <w:trHeight w:val="220"/>
        </w:trPr>
        <w:tc>
          <w:tcPr>
            <w:tcW w:w="1439" w:type="dxa"/>
            <w:tcBorders>
              <w:top w:val="single" w:sz="4" w:space="0" w:color="CCCCCC"/>
              <w:left w:val="single" w:sz="4" w:space="0" w:color="284E3F"/>
              <w:bottom w:val="single" w:sz="4" w:space="0" w:color="F6F8F9"/>
              <w:right w:val="single" w:sz="4" w:space="0" w:color="FFFFFF"/>
            </w:tcBorders>
            <w:shd w:val="clear" w:color="auto" w:fill="FFFFFF"/>
            <w:tcMar>
              <w:top w:w="0" w:type="dxa"/>
              <w:left w:w="120" w:type="dxa"/>
              <w:bottom w:w="0" w:type="dxa"/>
              <w:right w:w="120" w:type="dxa"/>
            </w:tcMar>
            <w:vAlign w:val="center"/>
          </w:tcPr>
          <w:p w14:paraId="2F017150"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1F1F1F"/>
                <w:sz w:val="24"/>
                <w:szCs w:val="24"/>
              </w:rPr>
              <w:t>Topic 3</w:t>
            </w:r>
          </w:p>
        </w:tc>
        <w:tc>
          <w:tcPr>
            <w:tcW w:w="3518" w:type="dxa"/>
            <w:tcBorders>
              <w:top w:val="single" w:sz="4" w:space="0" w:color="CCCCCC"/>
              <w:left w:val="single" w:sz="4" w:space="0" w:color="CCCCCC"/>
              <w:bottom w:val="single" w:sz="4" w:space="0" w:color="F6F8F9"/>
              <w:right w:val="single" w:sz="4" w:space="0" w:color="FFFFFF"/>
            </w:tcBorders>
            <w:shd w:val="clear" w:color="auto" w:fill="FFFFFF"/>
            <w:tcMar>
              <w:top w:w="0" w:type="dxa"/>
              <w:left w:w="120" w:type="dxa"/>
              <w:bottom w:w="0" w:type="dxa"/>
              <w:right w:w="120" w:type="dxa"/>
            </w:tcMar>
            <w:vAlign w:val="center"/>
          </w:tcPr>
          <w:p w14:paraId="6564DEBB"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Employee Behavior</w:t>
            </w:r>
          </w:p>
        </w:tc>
        <w:tc>
          <w:tcPr>
            <w:tcW w:w="5452" w:type="dxa"/>
            <w:tcBorders>
              <w:top w:val="single" w:sz="4" w:space="0" w:color="CCCCCC"/>
              <w:left w:val="single" w:sz="4" w:space="0" w:color="CCCCCC"/>
              <w:bottom w:val="single" w:sz="4" w:space="0" w:color="F6F8F9"/>
              <w:right w:val="single" w:sz="4" w:space="0" w:color="284E3F"/>
            </w:tcBorders>
            <w:shd w:val="clear" w:color="auto" w:fill="FFFFFF"/>
            <w:tcMar>
              <w:top w:w="0" w:type="dxa"/>
              <w:left w:w="120" w:type="dxa"/>
              <w:bottom w:w="0" w:type="dxa"/>
              <w:right w:w="120" w:type="dxa"/>
            </w:tcMar>
            <w:vAlign w:val="center"/>
          </w:tcPr>
          <w:p w14:paraId="69C18F83"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Knowledge sharing, job satisfaction</w:t>
            </w:r>
          </w:p>
        </w:tc>
      </w:tr>
      <w:tr w:rsidR="004E771D" w14:paraId="5A49EEE3" w14:textId="77777777" w:rsidTr="00C91CD7">
        <w:trPr>
          <w:trHeight w:val="220"/>
        </w:trPr>
        <w:tc>
          <w:tcPr>
            <w:tcW w:w="1439" w:type="dxa"/>
            <w:tcBorders>
              <w:top w:val="single" w:sz="4" w:space="0" w:color="CCCCCC"/>
              <w:left w:val="single" w:sz="4" w:space="0" w:color="284E3F"/>
              <w:bottom w:val="single" w:sz="4" w:space="0" w:color="F6F8F9"/>
              <w:right w:val="single" w:sz="4" w:space="0" w:color="F6F8F9"/>
            </w:tcBorders>
            <w:shd w:val="clear" w:color="auto" w:fill="F6F8F9"/>
            <w:tcMar>
              <w:top w:w="0" w:type="dxa"/>
              <w:left w:w="120" w:type="dxa"/>
              <w:bottom w:w="0" w:type="dxa"/>
              <w:right w:w="120" w:type="dxa"/>
            </w:tcMar>
            <w:vAlign w:val="center"/>
          </w:tcPr>
          <w:p w14:paraId="6B05891E"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1F1F1F"/>
                <w:sz w:val="24"/>
                <w:szCs w:val="24"/>
              </w:rPr>
              <w:t>Topic 4</w:t>
            </w:r>
          </w:p>
        </w:tc>
        <w:tc>
          <w:tcPr>
            <w:tcW w:w="3518" w:type="dxa"/>
            <w:tcBorders>
              <w:top w:val="single" w:sz="4" w:space="0" w:color="CCCCCC"/>
              <w:left w:val="single" w:sz="4" w:space="0" w:color="CCCCCC"/>
              <w:bottom w:val="single" w:sz="4" w:space="0" w:color="F6F8F9"/>
              <w:right w:val="single" w:sz="4" w:space="0" w:color="F6F8F9"/>
            </w:tcBorders>
            <w:shd w:val="clear" w:color="auto" w:fill="F6F8F9"/>
            <w:tcMar>
              <w:top w:w="0" w:type="dxa"/>
              <w:left w:w="120" w:type="dxa"/>
              <w:bottom w:w="0" w:type="dxa"/>
              <w:right w:w="120" w:type="dxa"/>
            </w:tcMar>
            <w:vAlign w:val="center"/>
          </w:tcPr>
          <w:p w14:paraId="4E6A42D4"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Innovation &amp; Culture</w:t>
            </w:r>
          </w:p>
        </w:tc>
        <w:tc>
          <w:tcPr>
            <w:tcW w:w="5452" w:type="dxa"/>
            <w:tcBorders>
              <w:top w:val="single" w:sz="4" w:space="0" w:color="CCCCCC"/>
              <w:left w:val="single" w:sz="4" w:space="0" w:color="CCCCCC"/>
              <w:bottom w:val="single" w:sz="4" w:space="0" w:color="F6F8F9"/>
              <w:right w:val="single" w:sz="4" w:space="0" w:color="284E3F"/>
            </w:tcBorders>
            <w:shd w:val="clear" w:color="auto" w:fill="F6F8F9"/>
            <w:tcMar>
              <w:top w:w="0" w:type="dxa"/>
              <w:left w:w="120" w:type="dxa"/>
              <w:bottom w:w="0" w:type="dxa"/>
              <w:right w:w="120" w:type="dxa"/>
            </w:tcMar>
            <w:vAlign w:val="center"/>
          </w:tcPr>
          <w:p w14:paraId="5D928D77"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Manufacturing, tech adoption</w:t>
            </w:r>
          </w:p>
        </w:tc>
      </w:tr>
      <w:tr w:rsidR="004E771D" w14:paraId="2976920C" w14:textId="77777777" w:rsidTr="00C91CD7">
        <w:trPr>
          <w:trHeight w:val="220"/>
        </w:trPr>
        <w:tc>
          <w:tcPr>
            <w:tcW w:w="1439" w:type="dxa"/>
            <w:tcBorders>
              <w:top w:val="single" w:sz="4" w:space="0" w:color="CCCCCC"/>
              <w:left w:val="single" w:sz="4" w:space="0" w:color="284E3F"/>
              <w:bottom w:val="single" w:sz="4" w:space="0" w:color="284E3F"/>
              <w:right w:val="single" w:sz="4" w:space="0" w:color="FFFFFF"/>
            </w:tcBorders>
            <w:shd w:val="clear" w:color="auto" w:fill="FFFFFF"/>
            <w:tcMar>
              <w:top w:w="0" w:type="dxa"/>
              <w:left w:w="120" w:type="dxa"/>
              <w:bottom w:w="0" w:type="dxa"/>
              <w:right w:w="120" w:type="dxa"/>
            </w:tcMar>
            <w:vAlign w:val="center"/>
          </w:tcPr>
          <w:p w14:paraId="615E6071"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1F1F1F"/>
                <w:sz w:val="24"/>
                <w:szCs w:val="24"/>
              </w:rPr>
              <w:t>Topic 5</w:t>
            </w:r>
          </w:p>
        </w:tc>
        <w:tc>
          <w:tcPr>
            <w:tcW w:w="3518" w:type="dxa"/>
            <w:tcBorders>
              <w:top w:val="single" w:sz="4" w:space="0" w:color="CCCCCC"/>
              <w:left w:val="single" w:sz="4" w:space="0" w:color="CCCCCC"/>
              <w:bottom w:val="single" w:sz="4" w:space="0" w:color="284E3F"/>
              <w:right w:val="single" w:sz="4" w:space="0" w:color="FFFFFF"/>
            </w:tcBorders>
            <w:shd w:val="clear" w:color="auto" w:fill="FFFFFF"/>
            <w:tcMar>
              <w:top w:w="0" w:type="dxa"/>
              <w:left w:w="120" w:type="dxa"/>
              <w:bottom w:w="0" w:type="dxa"/>
              <w:right w:w="120" w:type="dxa"/>
            </w:tcMar>
            <w:vAlign w:val="center"/>
          </w:tcPr>
          <w:p w14:paraId="7CA6B10E"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Leadership &amp; Engagement</w:t>
            </w:r>
          </w:p>
        </w:tc>
        <w:tc>
          <w:tcPr>
            <w:tcW w:w="5452" w:type="dxa"/>
            <w:tcBorders>
              <w:top w:val="single" w:sz="4" w:space="0" w:color="CCCCCC"/>
              <w:left w:val="single" w:sz="4" w:space="0" w:color="CCCCCC"/>
              <w:bottom w:val="single" w:sz="4" w:space="0" w:color="284E3F"/>
              <w:right w:val="single" w:sz="4" w:space="0" w:color="284E3F"/>
            </w:tcBorders>
            <w:shd w:val="clear" w:color="auto" w:fill="FFFFFF"/>
            <w:tcMar>
              <w:top w:w="0" w:type="dxa"/>
              <w:left w:w="120" w:type="dxa"/>
              <w:bottom w:w="0" w:type="dxa"/>
              <w:right w:w="120" w:type="dxa"/>
            </w:tcMar>
            <w:vAlign w:val="center"/>
          </w:tcPr>
          <w:p w14:paraId="21E35668" w14:textId="77777777" w:rsidR="004E771D" w:rsidRDefault="00000000">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Management style, employee engagement</w:t>
            </w:r>
          </w:p>
        </w:tc>
      </w:tr>
    </w:tbl>
    <w:p w14:paraId="5773DDD2" w14:textId="77777777" w:rsidR="008E6F8E" w:rsidRDefault="008E6F8E" w:rsidP="008E6F8E">
      <w:pPr>
        <w:spacing w:line="276" w:lineRule="auto"/>
        <w:rPr>
          <w:rFonts w:ascii="Times New Roman" w:eastAsia="Times New Roman" w:hAnsi="Times New Roman" w:cs="Times New Roman"/>
          <w:b/>
          <w:bCs/>
          <w:sz w:val="24"/>
          <w:szCs w:val="24"/>
        </w:rPr>
      </w:pPr>
    </w:p>
    <w:p w14:paraId="219A09F4" w14:textId="5B75F639" w:rsidR="004E771D" w:rsidRDefault="00000000" w:rsidP="008E6F8E">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Identified Research Themes</w:t>
      </w:r>
    </w:p>
    <w:p w14:paraId="2D7C8D17" w14:textId="77777777" w:rsidR="004E771D"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106CF38" wp14:editId="7D4846C5">
            <wp:extent cx="6645600" cy="44577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6645600" cy="4457700"/>
                    </a:xfrm>
                    <a:prstGeom prst="rect">
                      <a:avLst/>
                    </a:prstGeom>
                    <a:ln/>
                  </pic:spPr>
                </pic:pic>
              </a:graphicData>
            </a:graphic>
          </wp:inline>
        </w:drawing>
      </w:r>
    </w:p>
    <w:p w14:paraId="1E3D6EB8" w14:textId="77777777" w:rsidR="004E771D" w:rsidRDefault="00000000">
      <w:p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Figure 2: Word Cloud</w:t>
      </w:r>
    </w:p>
    <w:p w14:paraId="35CD47A2" w14:textId="77777777" w:rsidR="004E771D" w:rsidRDefault="00000000" w:rsidP="00D22DD5">
      <w:pPr>
        <w:pBdr>
          <w:top w:val="nil"/>
          <w:left w:val="nil"/>
          <w:bottom w:val="nil"/>
          <w:right w:val="nil"/>
          <w:between w:val="nil"/>
        </w:pBdr>
        <w:spacing w:before="240" w:after="0" w:line="240" w:lineRule="auto"/>
        <w:ind w:left="79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6.1 Dominant Research Theme: </w:t>
      </w:r>
      <w:r>
        <w:rPr>
          <w:rFonts w:ascii="Times New Roman" w:eastAsia="Times New Roman" w:hAnsi="Times New Roman" w:cs="Times New Roman"/>
          <w:color w:val="000000"/>
          <w:sz w:val="24"/>
          <w:szCs w:val="24"/>
        </w:rPr>
        <w:t>Topic 1 (Green HR &amp; Sustainability) is the most common theme in the present literature, according to a quantitative analysis of the "Dominant Topic" for each study. This demonstrates that environmental sustainability and "Green" practices are currently the main forces behind HR innovation.</w:t>
      </w:r>
    </w:p>
    <w:p w14:paraId="1F41F3EF" w14:textId="77777777" w:rsidR="004E771D" w:rsidRDefault="00000000">
      <w:pPr>
        <w:pBdr>
          <w:top w:val="nil"/>
          <w:left w:val="nil"/>
          <w:bottom w:val="nil"/>
          <w:right w:val="nil"/>
          <w:between w:val="nil"/>
        </w:pBdr>
        <w:spacing w:after="240" w:line="276"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114300" distB="114300" distL="114300" distR="114300" wp14:anchorId="58CFF2F2" wp14:editId="79D9DD41">
            <wp:extent cx="6315075" cy="3308350"/>
            <wp:effectExtent l="0" t="0" r="9525" b="6350"/>
            <wp:docPr id="10"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9"/>
                    <a:srcRect/>
                    <a:stretch>
                      <a:fillRect/>
                    </a:stretch>
                  </pic:blipFill>
                  <pic:spPr>
                    <a:xfrm>
                      <a:off x="0" y="0"/>
                      <a:ext cx="6315587" cy="3308618"/>
                    </a:xfrm>
                    <a:prstGeom prst="rect">
                      <a:avLst/>
                    </a:prstGeom>
                    <a:ln/>
                  </pic:spPr>
                </pic:pic>
              </a:graphicData>
            </a:graphic>
          </wp:inline>
        </w:drawing>
      </w:r>
    </w:p>
    <w:p w14:paraId="4037E8BF" w14:textId="24167D72" w:rsidR="004E771D" w:rsidRDefault="00000000">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Figure </w:t>
      </w:r>
      <w:r w:rsidR="004B2E06">
        <w:rPr>
          <w:rFonts w:ascii="Times New Roman" w:eastAsia="Times New Roman" w:hAnsi="Times New Roman" w:cs="Times New Roman"/>
          <w:b/>
          <w:bCs/>
          <w:sz w:val="24"/>
          <w:szCs w:val="24"/>
        </w:rPr>
        <w:t>3</w:t>
      </w:r>
      <w:r w:rsidR="005E0631">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Commonality of Topics Across the </w:t>
      </w:r>
      <w:r w:rsidR="005E0631">
        <w:rPr>
          <w:rFonts w:ascii="Times New Roman" w:eastAsia="Times New Roman" w:hAnsi="Times New Roman" w:cs="Times New Roman"/>
          <w:b/>
          <w:bCs/>
          <w:sz w:val="24"/>
          <w:szCs w:val="24"/>
        </w:rPr>
        <w:t>analysed</w:t>
      </w:r>
      <w:r>
        <w:rPr>
          <w:rFonts w:ascii="Times New Roman" w:eastAsia="Times New Roman" w:hAnsi="Times New Roman" w:cs="Times New Roman"/>
          <w:b/>
          <w:bCs/>
          <w:sz w:val="24"/>
          <w:szCs w:val="24"/>
        </w:rPr>
        <w:t xml:space="preserve"> papers</w:t>
      </w:r>
    </w:p>
    <w:p w14:paraId="49585625" w14:textId="77777777" w:rsidR="0014473A" w:rsidRPr="0014473A" w:rsidRDefault="00000000" w:rsidP="0014473A">
      <w:pPr>
        <w:spacing w:line="24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lastRenderedPageBreak/>
        <w:t xml:space="preserve">6.2 </w:t>
      </w:r>
      <w:r w:rsidR="0014473A" w:rsidRPr="00A81721">
        <w:rPr>
          <w:rFonts w:ascii="Times New Roman" w:hAnsi="Times New Roman" w:cs="Times New Roman"/>
          <w:b/>
          <w:bCs/>
          <w:sz w:val="24"/>
          <w:szCs w:val="24"/>
        </w:rPr>
        <w:t>Thematic Clustering through Multidimensional Scaling (MDS)</w:t>
      </w:r>
      <w:r w:rsidR="0014473A" w:rsidRPr="0014473A">
        <w:rPr>
          <w:rFonts w:ascii="Times New Roman" w:hAnsi="Times New Roman" w:cs="Times New Roman"/>
          <w:b/>
          <w:bCs/>
          <w:sz w:val="24"/>
          <w:szCs w:val="24"/>
        </w:rPr>
        <w:t>:</w:t>
      </w:r>
      <w:r w:rsidR="0014473A">
        <w:rPr>
          <w:b/>
          <w:bCs/>
        </w:rPr>
        <w:t xml:space="preserve"> </w:t>
      </w:r>
      <w:r w:rsidR="0014473A" w:rsidRPr="00420EAC">
        <w:rPr>
          <w:rFonts w:ascii="Times New Roman" w:hAnsi="Times New Roman" w:cs="Times New Roman"/>
          <w:sz w:val="24"/>
          <w:szCs w:val="24"/>
        </w:rPr>
        <w:t>Topic closeness based on probability distributions was visualized using Multidimensional Scaling (MDS) in order to investigate the structural linkages among the five themes that were found. Meaningful intellectual clustering within the field of Sustainable Human Resource Management (S-HRM) research is revealed by the resulting configuration.</w:t>
      </w:r>
    </w:p>
    <w:p w14:paraId="2410CDA8" w14:textId="524DF8DB" w:rsidR="0014473A" w:rsidRPr="0014473A" w:rsidRDefault="0014473A" w:rsidP="0014473A">
      <w:pPr>
        <w:spacing w:line="240" w:lineRule="auto"/>
        <w:jc w:val="both"/>
        <w:rPr>
          <w:rFonts w:ascii="Times New Roman" w:hAnsi="Times New Roman" w:cs="Times New Roman"/>
          <w:sz w:val="24"/>
          <w:szCs w:val="24"/>
        </w:rPr>
      </w:pPr>
      <w:r w:rsidRPr="00420EAC">
        <w:rPr>
          <w:rFonts w:ascii="Times New Roman" w:hAnsi="Times New Roman" w:cs="Times New Roman"/>
          <w:sz w:val="24"/>
          <w:szCs w:val="24"/>
        </w:rPr>
        <w:t xml:space="preserve">The MDS map shows a substantial convergence between Leadership &amp; Engagement (Topic 5) and Green HR &amp; Sustainability (Topic 1), indicating that leadership-driven and engagement-oriented frameworks are increasingly being used to </w:t>
      </w:r>
      <w:r w:rsidRPr="0014473A">
        <w:rPr>
          <w:rFonts w:ascii="Times New Roman" w:hAnsi="Times New Roman" w:cs="Times New Roman"/>
          <w:sz w:val="24"/>
          <w:szCs w:val="24"/>
        </w:rPr>
        <w:t>analyse</w:t>
      </w:r>
      <w:r w:rsidRPr="00420EAC">
        <w:rPr>
          <w:rFonts w:ascii="Times New Roman" w:hAnsi="Times New Roman" w:cs="Times New Roman"/>
          <w:sz w:val="24"/>
          <w:szCs w:val="24"/>
        </w:rPr>
        <w:t xml:space="preserve"> environmental HR practices. Innovation &amp; Manufacturing (Topic 4), on the other hand, seems to be more discrete, suggesting that research on technological sustainability is still somewhat isolated from </w:t>
      </w:r>
      <w:r w:rsidRPr="0014473A">
        <w:rPr>
          <w:rFonts w:ascii="Times New Roman" w:hAnsi="Times New Roman" w:cs="Times New Roman"/>
          <w:sz w:val="24"/>
          <w:szCs w:val="24"/>
        </w:rPr>
        <w:t>behavioural</w:t>
      </w:r>
      <w:r w:rsidRPr="00420EAC">
        <w:rPr>
          <w:rFonts w:ascii="Times New Roman" w:hAnsi="Times New Roman" w:cs="Times New Roman"/>
          <w:sz w:val="24"/>
          <w:szCs w:val="24"/>
        </w:rPr>
        <w:t xml:space="preserve"> HR discourse.</w:t>
      </w:r>
      <w:r>
        <w:rPr>
          <w:rFonts w:ascii="Times New Roman" w:hAnsi="Times New Roman" w:cs="Times New Roman"/>
          <w:sz w:val="24"/>
          <w:szCs w:val="24"/>
        </w:rPr>
        <w:t xml:space="preserve"> </w:t>
      </w:r>
      <w:r w:rsidRPr="00420EAC">
        <w:rPr>
          <w:rFonts w:ascii="Times New Roman" w:hAnsi="Times New Roman" w:cs="Times New Roman"/>
          <w:sz w:val="24"/>
          <w:szCs w:val="24"/>
        </w:rPr>
        <w:t xml:space="preserve">Because it serves as a </w:t>
      </w:r>
      <w:r w:rsidRPr="0014473A">
        <w:rPr>
          <w:rFonts w:ascii="Times New Roman" w:hAnsi="Times New Roman" w:cs="Times New Roman"/>
          <w:sz w:val="24"/>
          <w:szCs w:val="24"/>
        </w:rPr>
        <w:t>behavioural</w:t>
      </w:r>
      <w:r w:rsidRPr="00420EAC">
        <w:rPr>
          <w:rFonts w:ascii="Times New Roman" w:hAnsi="Times New Roman" w:cs="Times New Roman"/>
          <w:sz w:val="24"/>
          <w:szCs w:val="24"/>
        </w:rPr>
        <w:t xml:space="preserve"> link between leadership initiatives and sustainability outcomes, employee </w:t>
      </w:r>
      <w:r w:rsidRPr="0014473A">
        <w:rPr>
          <w:rFonts w:ascii="Times New Roman" w:hAnsi="Times New Roman" w:cs="Times New Roman"/>
          <w:sz w:val="24"/>
          <w:szCs w:val="24"/>
        </w:rPr>
        <w:t>behaviour</w:t>
      </w:r>
      <w:r w:rsidRPr="00420EAC">
        <w:rPr>
          <w:rFonts w:ascii="Times New Roman" w:hAnsi="Times New Roman" w:cs="Times New Roman"/>
          <w:sz w:val="24"/>
          <w:szCs w:val="24"/>
        </w:rPr>
        <w:t xml:space="preserve"> (Topic 3) holds an intermediate position. In the meantime, Strategic HR Frameworks (Topic 2) serve as a structural anchor that connects operational sustainability practices with policy-level alignment</w:t>
      </w:r>
      <w:r w:rsidRPr="0014473A">
        <w:rPr>
          <w:rFonts w:ascii="Times New Roman" w:hAnsi="Times New Roman" w:cs="Times New Roman"/>
          <w:sz w:val="24"/>
          <w:szCs w:val="24"/>
        </w:rPr>
        <w:t>.</w:t>
      </w:r>
    </w:p>
    <w:p w14:paraId="6C46945C" w14:textId="5F952AEF" w:rsidR="004E771D" w:rsidRDefault="0014473A" w:rsidP="004B2E06">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8"/>
          <w:szCs w:val="28"/>
        </w:rPr>
      </w:pPr>
      <w:r w:rsidRPr="00420EAC">
        <w:rPr>
          <w:rFonts w:ascii="Times New Roman" w:hAnsi="Times New Roman" w:cs="Times New Roman"/>
          <w:sz w:val="24"/>
          <w:szCs w:val="24"/>
        </w:rPr>
        <w:t xml:space="preserve">All things considered, the clustering indicates that research on sustainable HRM is moving toward an integrated model where leadership-driven involvement is made possible by strategic alignment, which in turn promotes green initiatives and innovative results. Nonetheless, there are chances for more thorough multidisciplinary integration given the relative distance between </w:t>
      </w:r>
      <w:r w:rsidRPr="0014473A">
        <w:rPr>
          <w:rFonts w:ascii="Times New Roman" w:hAnsi="Times New Roman" w:cs="Times New Roman"/>
          <w:sz w:val="24"/>
          <w:szCs w:val="24"/>
        </w:rPr>
        <w:t>behavioural</w:t>
      </w:r>
      <w:r w:rsidRPr="00420EAC">
        <w:rPr>
          <w:rFonts w:ascii="Times New Roman" w:hAnsi="Times New Roman" w:cs="Times New Roman"/>
          <w:sz w:val="24"/>
          <w:szCs w:val="24"/>
        </w:rPr>
        <w:t xml:space="preserve"> sustainability and technology innovation.</w:t>
      </w:r>
    </w:p>
    <w:p w14:paraId="377F13E9" w14:textId="77777777" w:rsidR="004B2E06" w:rsidRPr="004B2E06" w:rsidRDefault="004B2E06" w:rsidP="004B2E06">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8"/>
          <w:szCs w:val="28"/>
        </w:rPr>
      </w:pPr>
    </w:p>
    <w:p w14:paraId="6AB67BCA" w14:textId="77777777" w:rsidR="004E771D"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5C282D7" wp14:editId="62222761">
            <wp:extent cx="6645600" cy="35306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645600" cy="3530600"/>
                    </a:xfrm>
                    <a:prstGeom prst="rect">
                      <a:avLst/>
                    </a:prstGeom>
                    <a:ln/>
                  </pic:spPr>
                </pic:pic>
              </a:graphicData>
            </a:graphic>
          </wp:inline>
        </w:drawing>
      </w:r>
    </w:p>
    <w:p w14:paraId="79FD4F1D" w14:textId="77777777" w:rsidR="006302DE" w:rsidRPr="006302DE" w:rsidRDefault="006302DE" w:rsidP="006302DE">
      <w:pPr>
        <w:spacing w:line="240" w:lineRule="auto"/>
        <w:jc w:val="both"/>
        <w:rPr>
          <w:rFonts w:ascii="Times New Roman" w:hAnsi="Times New Roman" w:cs="Times New Roman"/>
          <w:b/>
          <w:bCs/>
          <w:sz w:val="24"/>
          <w:szCs w:val="24"/>
        </w:rPr>
      </w:pPr>
      <w:r w:rsidRPr="00071A0F">
        <w:rPr>
          <w:rFonts w:ascii="Times New Roman" w:hAnsi="Times New Roman" w:cs="Times New Roman"/>
          <w:b/>
          <w:bCs/>
          <w:sz w:val="24"/>
          <w:szCs w:val="24"/>
        </w:rPr>
        <w:t>Topic</w:t>
      </w:r>
      <w:r w:rsidRPr="006302DE">
        <w:rPr>
          <w:rFonts w:ascii="Times New Roman" w:hAnsi="Times New Roman" w:cs="Times New Roman"/>
          <w:b/>
          <w:bCs/>
          <w:sz w:val="24"/>
          <w:szCs w:val="24"/>
        </w:rPr>
        <w:t xml:space="preserve"> 1</w:t>
      </w:r>
      <w:r w:rsidRPr="00071A0F">
        <w:rPr>
          <w:rFonts w:ascii="Times New Roman" w:hAnsi="Times New Roman" w:cs="Times New Roman"/>
          <w:b/>
          <w:bCs/>
          <w:sz w:val="24"/>
          <w:szCs w:val="24"/>
        </w:rPr>
        <w:t xml:space="preserve">: Sustainability &amp; Green HR </w:t>
      </w:r>
    </w:p>
    <w:p w14:paraId="3DBC7A6D" w14:textId="77777777" w:rsidR="006302DE" w:rsidRPr="006302DE" w:rsidRDefault="006302DE" w:rsidP="006302DE">
      <w:pPr>
        <w:spacing w:line="240" w:lineRule="auto"/>
        <w:jc w:val="both"/>
        <w:rPr>
          <w:rFonts w:ascii="Times New Roman" w:hAnsi="Times New Roman" w:cs="Times New Roman"/>
          <w:sz w:val="24"/>
          <w:szCs w:val="24"/>
        </w:rPr>
      </w:pPr>
      <w:r w:rsidRPr="006302DE">
        <w:rPr>
          <w:rFonts w:ascii="Times New Roman" w:hAnsi="Times New Roman" w:cs="Times New Roman"/>
          <w:sz w:val="24"/>
          <w:szCs w:val="24"/>
        </w:rPr>
        <w:t>F</w:t>
      </w:r>
      <w:r w:rsidRPr="00071A0F">
        <w:rPr>
          <w:rFonts w:ascii="Times New Roman" w:hAnsi="Times New Roman" w:cs="Times New Roman"/>
          <w:sz w:val="24"/>
          <w:szCs w:val="24"/>
        </w:rPr>
        <w:t>ocuses on environmental activities that are included into HR procedures, including as eco-friendly hiring, training, CSR alignment, and employee conduct. In HR literature, it embodies the prevailing sustainability discourse.</w:t>
      </w:r>
    </w:p>
    <w:p w14:paraId="0EF6DB0C" w14:textId="05D0FE67" w:rsidR="006302DE" w:rsidRPr="006302DE" w:rsidRDefault="006302DE">
      <w:pPr>
        <w:spacing w:line="276" w:lineRule="auto"/>
        <w:jc w:val="both"/>
        <w:rPr>
          <w:b/>
          <w:bCs/>
        </w:rPr>
      </w:pPr>
      <w:r w:rsidRPr="00071A0F">
        <w:br/>
      </w:r>
    </w:p>
    <w:p w14:paraId="75B7E3A6" w14:textId="77777777" w:rsidR="004E771D"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34D93B2" wp14:editId="6227FD3C">
            <wp:extent cx="6645600" cy="35179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645600" cy="3517900"/>
                    </a:xfrm>
                    <a:prstGeom prst="rect">
                      <a:avLst/>
                    </a:prstGeom>
                    <a:ln/>
                  </pic:spPr>
                </pic:pic>
              </a:graphicData>
            </a:graphic>
          </wp:inline>
        </w:drawing>
      </w:r>
    </w:p>
    <w:p w14:paraId="472306A5" w14:textId="77777777" w:rsidR="006302DE" w:rsidRPr="006302DE" w:rsidRDefault="006302DE" w:rsidP="006302DE">
      <w:pPr>
        <w:spacing w:line="240" w:lineRule="auto"/>
        <w:jc w:val="both"/>
        <w:rPr>
          <w:rFonts w:ascii="Times New Roman" w:hAnsi="Times New Roman" w:cs="Times New Roman"/>
          <w:b/>
          <w:bCs/>
          <w:sz w:val="24"/>
          <w:szCs w:val="24"/>
        </w:rPr>
      </w:pPr>
      <w:r w:rsidRPr="00071A0F">
        <w:rPr>
          <w:rFonts w:ascii="Times New Roman" w:hAnsi="Times New Roman" w:cs="Times New Roman"/>
          <w:b/>
          <w:bCs/>
          <w:sz w:val="24"/>
          <w:szCs w:val="24"/>
        </w:rPr>
        <w:t xml:space="preserve">Topic 2: Strategic HR Frameworks </w:t>
      </w:r>
    </w:p>
    <w:p w14:paraId="3A61550C" w14:textId="30DDC6DE" w:rsidR="006302DE" w:rsidRPr="006302DE" w:rsidRDefault="006302DE" w:rsidP="006302DE">
      <w:pPr>
        <w:spacing w:line="240" w:lineRule="auto"/>
        <w:jc w:val="both"/>
        <w:rPr>
          <w:rFonts w:ascii="Times New Roman" w:hAnsi="Times New Roman" w:cs="Times New Roman"/>
          <w:b/>
          <w:bCs/>
          <w:sz w:val="24"/>
          <w:szCs w:val="24"/>
        </w:rPr>
      </w:pPr>
      <w:r w:rsidRPr="006302DE">
        <w:rPr>
          <w:rFonts w:ascii="Times New Roman" w:hAnsi="Times New Roman" w:cs="Times New Roman"/>
          <w:sz w:val="24"/>
          <w:szCs w:val="24"/>
        </w:rPr>
        <w:t>F</w:t>
      </w:r>
      <w:r w:rsidRPr="00071A0F">
        <w:rPr>
          <w:rFonts w:ascii="Times New Roman" w:hAnsi="Times New Roman" w:cs="Times New Roman"/>
          <w:sz w:val="24"/>
          <w:szCs w:val="24"/>
        </w:rPr>
        <w:t>ocuses on long-term sustainability strategy, goal alignment, and policy integration in HR systems. It acts as the foundational layer enabling structured implementation of sustainable practices.</w:t>
      </w:r>
    </w:p>
    <w:p w14:paraId="2AA54D65" w14:textId="77777777" w:rsidR="004E771D"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32AE461" wp14:editId="0F882134">
            <wp:extent cx="6645600" cy="356870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6645600" cy="3568700"/>
                    </a:xfrm>
                    <a:prstGeom prst="rect">
                      <a:avLst/>
                    </a:prstGeom>
                    <a:ln/>
                  </pic:spPr>
                </pic:pic>
              </a:graphicData>
            </a:graphic>
          </wp:inline>
        </w:drawing>
      </w:r>
    </w:p>
    <w:p w14:paraId="64715F99" w14:textId="77777777" w:rsidR="006302DE" w:rsidRDefault="006302DE" w:rsidP="006302DE">
      <w:pPr>
        <w:jc w:val="both"/>
        <w:rPr>
          <w:rFonts w:ascii="Times New Roman" w:hAnsi="Times New Roman" w:cs="Times New Roman"/>
          <w:b/>
          <w:bCs/>
          <w:sz w:val="24"/>
          <w:szCs w:val="24"/>
        </w:rPr>
      </w:pPr>
      <w:r w:rsidRPr="00071A0F">
        <w:rPr>
          <w:rFonts w:ascii="Times New Roman" w:hAnsi="Times New Roman" w:cs="Times New Roman"/>
          <w:b/>
          <w:bCs/>
          <w:sz w:val="24"/>
          <w:szCs w:val="24"/>
        </w:rPr>
        <w:t xml:space="preserve">Topic 3: Knowledge Sharing &amp; Employee Behavior </w:t>
      </w:r>
    </w:p>
    <w:p w14:paraId="1F0D4EC1" w14:textId="6CC31837" w:rsidR="006302DE" w:rsidRPr="00071A0F" w:rsidRDefault="006302DE" w:rsidP="006302DE">
      <w:pPr>
        <w:spacing w:line="240" w:lineRule="auto"/>
        <w:jc w:val="both"/>
        <w:rPr>
          <w:rFonts w:ascii="Times New Roman" w:hAnsi="Times New Roman" w:cs="Times New Roman"/>
          <w:b/>
          <w:bCs/>
          <w:sz w:val="24"/>
          <w:szCs w:val="24"/>
        </w:rPr>
      </w:pPr>
      <w:r w:rsidRPr="006302DE">
        <w:rPr>
          <w:rFonts w:ascii="Times New Roman" w:hAnsi="Times New Roman" w:cs="Times New Roman"/>
          <w:sz w:val="24"/>
          <w:szCs w:val="24"/>
        </w:rPr>
        <w:t>F</w:t>
      </w:r>
      <w:r w:rsidRPr="00071A0F">
        <w:rPr>
          <w:rFonts w:ascii="Times New Roman" w:hAnsi="Times New Roman" w:cs="Times New Roman"/>
          <w:sz w:val="24"/>
          <w:szCs w:val="24"/>
        </w:rPr>
        <w:t xml:space="preserve">ocuses on pro-environmental </w:t>
      </w:r>
      <w:r w:rsidRPr="00071A0F">
        <w:rPr>
          <w:rFonts w:ascii="Times New Roman" w:hAnsi="Times New Roman" w:cs="Times New Roman"/>
          <w:sz w:val="24"/>
          <w:szCs w:val="24"/>
        </w:rPr>
        <w:t>behaviour</w:t>
      </w:r>
      <w:r w:rsidRPr="00071A0F">
        <w:rPr>
          <w:rFonts w:ascii="Times New Roman" w:hAnsi="Times New Roman" w:cs="Times New Roman"/>
          <w:sz w:val="24"/>
          <w:szCs w:val="24"/>
        </w:rPr>
        <w:t>, knowledge sharing, job happiness, and staff engagement. The human and psychological aspects of sustainability are emphasized in this theme.</w:t>
      </w:r>
    </w:p>
    <w:p w14:paraId="2270F2A1" w14:textId="77777777" w:rsidR="006302DE" w:rsidRDefault="006302DE">
      <w:pPr>
        <w:spacing w:line="276" w:lineRule="auto"/>
        <w:jc w:val="both"/>
        <w:rPr>
          <w:rFonts w:ascii="Times New Roman" w:eastAsia="Times New Roman" w:hAnsi="Times New Roman" w:cs="Times New Roman"/>
          <w:sz w:val="24"/>
          <w:szCs w:val="24"/>
        </w:rPr>
      </w:pPr>
    </w:p>
    <w:p w14:paraId="2296D95C" w14:textId="77777777" w:rsidR="004E771D"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46E71B3" wp14:editId="4C0CC781">
            <wp:extent cx="6645600" cy="35433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6645600" cy="3543300"/>
                    </a:xfrm>
                    <a:prstGeom prst="rect">
                      <a:avLst/>
                    </a:prstGeom>
                    <a:ln/>
                  </pic:spPr>
                </pic:pic>
              </a:graphicData>
            </a:graphic>
          </wp:inline>
        </w:drawing>
      </w:r>
    </w:p>
    <w:p w14:paraId="1C90BB94" w14:textId="77777777" w:rsidR="00D36752" w:rsidRPr="00D36752" w:rsidRDefault="00D36752" w:rsidP="00D36752">
      <w:pPr>
        <w:spacing w:line="240" w:lineRule="auto"/>
        <w:jc w:val="both"/>
        <w:rPr>
          <w:rFonts w:ascii="Times New Roman" w:hAnsi="Times New Roman" w:cs="Times New Roman"/>
          <w:b/>
          <w:bCs/>
          <w:sz w:val="24"/>
          <w:szCs w:val="24"/>
        </w:rPr>
      </w:pPr>
      <w:r w:rsidRPr="00071A0F">
        <w:rPr>
          <w:rFonts w:ascii="Times New Roman" w:hAnsi="Times New Roman" w:cs="Times New Roman"/>
          <w:b/>
          <w:bCs/>
          <w:sz w:val="24"/>
          <w:szCs w:val="24"/>
        </w:rPr>
        <w:t xml:space="preserve">Topic 4: Manufacturing &amp; Innovation </w:t>
      </w:r>
    </w:p>
    <w:p w14:paraId="0F4F846D" w14:textId="70F4EF1B" w:rsidR="00D36752" w:rsidRPr="00D36752" w:rsidRDefault="00D36752" w:rsidP="00D36752">
      <w:pPr>
        <w:spacing w:line="240" w:lineRule="auto"/>
        <w:jc w:val="both"/>
        <w:rPr>
          <w:rFonts w:ascii="Times New Roman" w:hAnsi="Times New Roman" w:cs="Times New Roman"/>
          <w:sz w:val="24"/>
          <w:szCs w:val="24"/>
        </w:rPr>
      </w:pPr>
      <w:r w:rsidRPr="00D36752">
        <w:rPr>
          <w:rFonts w:ascii="Times New Roman" w:hAnsi="Times New Roman" w:cs="Times New Roman"/>
          <w:sz w:val="24"/>
          <w:szCs w:val="24"/>
        </w:rPr>
        <w:t>F</w:t>
      </w:r>
      <w:r w:rsidRPr="00071A0F">
        <w:rPr>
          <w:rFonts w:ascii="Times New Roman" w:hAnsi="Times New Roman" w:cs="Times New Roman"/>
          <w:sz w:val="24"/>
          <w:szCs w:val="24"/>
        </w:rPr>
        <w:t>ocuses on Industry 4.0, technology adoption, and innovation driven by sustainability, especially in operational and production environments. The technology aspect of sustainable transformation is reflected in it</w:t>
      </w:r>
      <w:r w:rsidRPr="00D36752">
        <w:rPr>
          <w:rFonts w:ascii="Times New Roman" w:hAnsi="Times New Roman" w:cs="Times New Roman"/>
          <w:sz w:val="24"/>
          <w:szCs w:val="24"/>
        </w:rPr>
        <w:t>.</w:t>
      </w:r>
    </w:p>
    <w:p w14:paraId="101D64B5" w14:textId="77777777" w:rsidR="004E771D"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14E73DC" wp14:editId="59BF8A26">
            <wp:extent cx="6645600" cy="355600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6645600" cy="3556000"/>
                    </a:xfrm>
                    <a:prstGeom prst="rect">
                      <a:avLst/>
                    </a:prstGeom>
                    <a:ln/>
                  </pic:spPr>
                </pic:pic>
              </a:graphicData>
            </a:graphic>
          </wp:inline>
        </w:drawing>
      </w:r>
    </w:p>
    <w:p w14:paraId="7E197F45" w14:textId="77777777" w:rsidR="00A841B0" w:rsidRPr="00A841B0" w:rsidRDefault="00A841B0" w:rsidP="00A841B0">
      <w:pPr>
        <w:spacing w:line="240" w:lineRule="auto"/>
        <w:jc w:val="both"/>
        <w:rPr>
          <w:rFonts w:ascii="Times New Roman" w:hAnsi="Times New Roman" w:cs="Times New Roman"/>
          <w:b/>
          <w:bCs/>
          <w:sz w:val="24"/>
          <w:szCs w:val="24"/>
        </w:rPr>
      </w:pPr>
      <w:r w:rsidRPr="00071A0F">
        <w:rPr>
          <w:rFonts w:ascii="Times New Roman" w:hAnsi="Times New Roman" w:cs="Times New Roman"/>
          <w:b/>
          <w:bCs/>
          <w:sz w:val="24"/>
          <w:szCs w:val="24"/>
        </w:rPr>
        <w:t xml:space="preserve">Topic 5: Engagement &amp; Leadership </w:t>
      </w:r>
    </w:p>
    <w:p w14:paraId="5A6AD391" w14:textId="3CB00A8C" w:rsidR="00A841B0" w:rsidRDefault="00A841B0" w:rsidP="00A841B0">
      <w:pPr>
        <w:spacing w:line="240" w:lineRule="auto"/>
        <w:jc w:val="both"/>
        <w:rPr>
          <w:rFonts w:ascii="Times New Roman" w:hAnsi="Times New Roman" w:cs="Times New Roman"/>
          <w:sz w:val="24"/>
          <w:szCs w:val="24"/>
        </w:rPr>
      </w:pPr>
      <w:r w:rsidRPr="00A841B0">
        <w:rPr>
          <w:rFonts w:ascii="Times New Roman" w:hAnsi="Times New Roman" w:cs="Times New Roman"/>
          <w:sz w:val="24"/>
          <w:szCs w:val="24"/>
        </w:rPr>
        <w:t>I</w:t>
      </w:r>
      <w:r w:rsidRPr="00071A0F">
        <w:rPr>
          <w:rFonts w:ascii="Times New Roman" w:hAnsi="Times New Roman" w:cs="Times New Roman"/>
          <w:sz w:val="24"/>
          <w:szCs w:val="24"/>
        </w:rPr>
        <w:t xml:space="preserve">nvestigates how employee engagement, transformational leadership, and ethical leadership affect sustainability performance. It links </w:t>
      </w:r>
      <w:r w:rsidR="004B2E06" w:rsidRPr="00071A0F">
        <w:rPr>
          <w:rFonts w:ascii="Times New Roman" w:hAnsi="Times New Roman" w:cs="Times New Roman"/>
          <w:sz w:val="24"/>
          <w:szCs w:val="24"/>
        </w:rPr>
        <w:t>behavioural</w:t>
      </w:r>
      <w:r w:rsidRPr="00071A0F">
        <w:rPr>
          <w:rFonts w:ascii="Times New Roman" w:hAnsi="Times New Roman" w:cs="Times New Roman"/>
          <w:sz w:val="24"/>
          <w:szCs w:val="24"/>
        </w:rPr>
        <w:t xml:space="preserve"> implementation with strategic vision.</w:t>
      </w:r>
    </w:p>
    <w:p w14:paraId="62CB3EC9" w14:textId="77777777" w:rsidR="0099284F" w:rsidRPr="0099284F" w:rsidRDefault="0099284F" w:rsidP="0099284F">
      <w:pPr>
        <w:pStyle w:val="ListParagraph"/>
        <w:spacing w:line="240" w:lineRule="auto"/>
        <w:ind w:left="360"/>
        <w:jc w:val="both"/>
        <w:rPr>
          <w:rFonts w:ascii="Times New Roman" w:hAnsi="Times New Roman" w:cs="Times New Roman"/>
          <w:b/>
          <w:bCs/>
          <w:sz w:val="24"/>
          <w:szCs w:val="24"/>
        </w:rPr>
      </w:pPr>
      <w:r w:rsidRPr="0099284F">
        <w:rPr>
          <w:rFonts w:ascii="Times New Roman" w:hAnsi="Times New Roman" w:cs="Times New Roman"/>
          <w:b/>
          <w:bCs/>
          <w:sz w:val="24"/>
          <w:szCs w:val="24"/>
        </w:rPr>
        <w:t xml:space="preserve">6.3 Integrating Sustainable HRM Themes Conceptually </w:t>
      </w:r>
    </w:p>
    <w:p w14:paraId="62A0150F" w14:textId="4237DE09" w:rsidR="0099284F" w:rsidRDefault="0099284F" w:rsidP="0099284F">
      <w:pPr>
        <w:spacing w:line="240" w:lineRule="auto"/>
        <w:jc w:val="both"/>
        <w:rPr>
          <w:rFonts w:ascii="Times New Roman" w:hAnsi="Times New Roman" w:cs="Times New Roman"/>
          <w:sz w:val="24"/>
          <w:szCs w:val="24"/>
        </w:rPr>
      </w:pPr>
      <w:r w:rsidRPr="0099284F">
        <w:rPr>
          <w:rFonts w:ascii="Times New Roman" w:hAnsi="Times New Roman" w:cs="Times New Roman"/>
          <w:sz w:val="24"/>
          <w:szCs w:val="24"/>
        </w:rPr>
        <w:t xml:space="preserve">An integrated conceptual framework for Sustainable HRM study is shown in Figure 3, which is based on the MDS clustering results. Strategic HR Frameworks are positioned by the model as the fundamental layer that </w:t>
      </w:r>
      <w:r w:rsidRPr="0099284F">
        <w:rPr>
          <w:rFonts w:ascii="Times New Roman" w:hAnsi="Times New Roman" w:cs="Times New Roman"/>
          <w:sz w:val="24"/>
          <w:szCs w:val="24"/>
        </w:rPr>
        <w:lastRenderedPageBreak/>
        <w:t xml:space="preserve">makes leadership-driven sustainability efforts possible. Innovation-oriented results and the adoption of Green HR practices are made possible by the </w:t>
      </w:r>
      <w:r w:rsidRPr="0099284F">
        <w:rPr>
          <w:rFonts w:ascii="Times New Roman" w:hAnsi="Times New Roman" w:cs="Times New Roman"/>
          <w:sz w:val="24"/>
          <w:szCs w:val="24"/>
        </w:rPr>
        <w:t>behavioural</w:t>
      </w:r>
      <w:r w:rsidRPr="0099284F">
        <w:rPr>
          <w:rFonts w:ascii="Times New Roman" w:hAnsi="Times New Roman" w:cs="Times New Roman"/>
          <w:sz w:val="24"/>
          <w:szCs w:val="24"/>
        </w:rPr>
        <w:t xml:space="preserve"> accelerators that leadership and employee engagement provide. The framework shows how strategic aim, </w:t>
      </w:r>
      <w:r w:rsidRPr="0099284F">
        <w:rPr>
          <w:rFonts w:ascii="Times New Roman" w:hAnsi="Times New Roman" w:cs="Times New Roman"/>
          <w:sz w:val="24"/>
          <w:szCs w:val="24"/>
        </w:rPr>
        <w:t>behavioural</w:t>
      </w:r>
      <w:r w:rsidRPr="0099284F">
        <w:rPr>
          <w:rFonts w:ascii="Times New Roman" w:hAnsi="Times New Roman" w:cs="Times New Roman"/>
          <w:sz w:val="24"/>
          <w:szCs w:val="24"/>
        </w:rPr>
        <w:t xml:space="preserve"> execution, and eventually environmental and technical innovation lead to sustainability in HRM. This integrated structure advances prior fragmented discussions by offering a multi-layered perspective of sustainable HRM aligned with global sustainability priorities.</w:t>
      </w:r>
    </w:p>
    <w:p w14:paraId="6ACB0A9E" w14:textId="60107AE3" w:rsidR="0099284F" w:rsidRDefault="0099284F" w:rsidP="0099284F">
      <w:pPr>
        <w:spacing w:line="240" w:lineRule="auto"/>
        <w:jc w:val="both"/>
        <w:rPr>
          <w:rFonts w:ascii="Times New Roman" w:hAnsi="Times New Roman" w:cs="Times New Roman"/>
          <w:sz w:val="24"/>
          <w:szCs w:val="24"/>
        </w:rPr>
      </w:pPr>
      <w:r w:rsidRPr="0099284F">
        <w:rPr>
          <w:rFonts w:ascii="Times New Roman" w:hAnsi="Times New Roman" w:cs="Times New Roman"/>
          <w:sz w:val="24"/>
          <w:szCs w:val="24"/>
        </w:rPr>
        <w:drawing>
          <wp:inline distT="0" distB="0" distL="0" distR="0" wp14:anchorId="734734A6" wp14:editId="67F1DD9A">
            <wp:extent cx="6645910" cy="3590925"/>
            <wp:effectExtent l="0" t="0" r="2540" b="9525"/>
            <wp:docPr id="1072282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82424" name=""/>
                    <pic:cNvPicPr/>
                  </pic:nvPicPr>
                  <pic:blipFill>
                    <a:blip r:embed="rId15"/>
                    <a:stretch>
                      <a:fillRect/>
                    </a:stretch>
                  </pic:blipFill>
                  <pic:spPr>
                    <a:xfrm>
                      <a:off x="0" y="0"/>
                      <a:ext cx="6645910" cy="3590925"/>
                    </a:xfrm>
                    <a:prstGeom prst="rect">
                      <a:avLst/>
                    </a:prstGeom>
                  </pic:spPr>
                </pic:pic>
              </a:graphicData>
            </a:graphic>
          </wp:inline>
        </w:drawing>
      </w:r>
    </w:p>
    <w:p w14:paraId="17F3F733" w14:textId="1CD7FC77" w:rsidR="00A841B0" w:rsidRPr="000C5296" w:rsidRDefault="0099284F" w:rsidP="000C5296">
      <w:pPr>
        <w:spacing w:line="240" w:lineRule="auto"/>
        <w:jc w:val="center"/>
        <w:rPr>
          <w:rFonts w:ascii="Times New Roman" w:hAnsi="Times New Roman" w:cs="Times New Roman"/>
          <w:b/>
          <w:bCs/>
          <w:sz w:val="24"/>
          <w:szCs w:val="24"/>
        </w:rPr>
      </w:pPr>
      <w:r w:rsidRPr="0099284F">
        <w:rPr>
          <w:rFonts w:ascii="Times New Roman" w:hAnsi="Times New Roman" w:cs="Times New Roman"/>
          <w:b/>
          <w:bCs/>
          <w:sz w:val="24"/>
          <w:szCs w:val="24"/>
        </w:rPr>
        <w:t>Figure 4: Integrating Sustainable HRM Theme</w:t>
      </w:r>
    </w:p>
    <w:p w14:paraId="52AD35C4" w14:textId="77777777" w:rsidR="004E771D" w:rsidRDefault="00000000">
      <w:pPr>
        <w:numPr>
          <w:ilvl w:val="0"/>
          <w:numId w:val="2"/>
        </w:numPr>
        <w:pBdr>
          <w:top w:val="nil"/>
          <w:left w:val="nil"/>
          <w:bottom w:val="nil"/>
          <w:right w:val="nil"/>
          <w:between w:val="nil"/>
        </w:pBdr>
        <w:spacing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Conclusion</w:t>
      </w:r>
    </w:p>
    <w:p w14:paraId="32F0FB02" w14:textId="4B55AB23" w:rsidR="00515277" w:rsidRDefault="00CF41C6" w:rsidP="00515277">
      <w:pPr>
        <w:spacing w:after="0" w:line="240" w:lineRule="auto"/>
        <w:jc w:val="both"/>
        <w:rPr>
          <w:rFonts w:ascii="Times New Roman" w:eastAsia="Times New Roman" w:hAnsi="Times New Roman" w:cs="Times New Roman"/>
          <w:sz w:val="24"/>
          <w:szCs w:val="24"/>
        </w:rPr>
      </w:pPr>
      <w:r w:rsidRPr="00CF41C6">
        <w:rPr>
          <w:rFonts w:ascii="Times New Roman" w:eastAsia="Times New Roman" w:hAnsi="Times New Roman" w:cs="Times New Roman"/>
          <w:sz w:val="24"/>
          <w:szCs w:val="24"/>
        </w:rPr>
        <w:t xml:space="preserve">Using LDA topic </w:t>
      </w:r>
      <w:r w:rsidR="000C5296" w:rsidRPr="00CF41C6">
        <w:rPr>
          <w:rFonts w:ascii="Times New Roman" w:eastAsia="Times New Roman" w:hAnsi="Times New Roman" w:cs="Times New Roman"/>
          <w:sz w:val="24"/>
          <w:szCs w:val="24"/>
        </w:rPr>
        <w:t>modelling</w:t>
      </w:r>
      <w:r w:rsidRPr="00CF41C6">
        <w:rPr>
          <w:rFonts w:ascii="Times New Roman" w:eastAsia="Times New Roman" w:hAnsi="Times New Roman" w:cs="Times New Roman"/>
          <w:sz w:val="24"/>
          <w:szCs w:val="24"/>
        </w:rPr>
        <w:t xml:space="preserve"> and MDS visualization, this work </w:t>
      </w:r>
      <w:r w:rsidR="00515277" w:rsidRPr="00CF41C6">
        <w:rPr>
          <w:rFonts w:ascii="Times New Roman" w:eastAsia="Times New Roman" w:hAnsi="Times New Roman" w:cs="Times New Roman"/>
          <w:sz w:val="24"/>
          <w:szCs w:val="24"/>
        </w:rPr>
        <w:t>analyses</w:t>
      </w:r>
      <w:r w:rsidRPr="00CF41C6">
        <w:rPr>
          <w:rFonts w:ascii="Times New Roman" w:eastAsia="Times New Roman" w:hAnsi="Times New Roman" w:cs="Times New Roman"/>
          <w:sz w:val="24"/>
          <w:szCs w:val="24"/>
        </w:rPr>
        <w:t xml:space="preserve"> 784 academic publications to give a data-driven intellectual mapping of Sustainable Human Resource Management (S-HRM) research. Green HR &amp; Sustainability, Strategic HR Frameworks, Employee Behavior, Innovation &amp; Manufacturing, and Leadership &amp; Engagement are the five main research pillars identified by the findings. </w:t>
      </w:r>
    </w:p>
    <w:p w14:paraId="2E2B1F61" w14:textId="77777777" w:rsidR="00515277" w:rsidRDefault="00515277" w:rsidP="00515277">
      <w:pPr>
        <w:spacing w:after="0" w:line="240" w:lineRule="auto"/>
        <w:jc w:val="both"/>
        <w:rPr>
          <w:rFonts w:ascii="Times New Roman" w:eastAsia="Times New Roman" w:hAnsi="Times New Roman" w:cs="Times New Roman"/>
          <w:sz w:val="24"/>
          <w:szCs w:val="24"/>
        </w:rPr>
      </w:pPr>
    </w:p>
    <w:p w14:paraId="525B9661" w14:textId="7EFE18D5" w:rsidR="00CF41C6" w:rsidRDefault="00CF41C6" w:rsidP="00515277">
      <w:pPr>
        <w:spacing w:after="0" w:line="240" w:lineRule="auto"/>
        <w:jc w:val="both"/>
        <w:rPr>
          <w:rFonts w:ascii="Times New Roman" w:eastAsia="Times New Roman" w:hAnsi="Times New Roman" w:cs="Times New Roman"/>
          <w:sz w:val="24"/>
          <w:szCs w:val="24"/>
        </w:rPr>
      </w:pPr>
      <w:r w:rsidRPr="00CF41C6">
        <w:rPr>
          <w:rFonts w:ascii="Times New Roman" w:eastAsia="Times New Roman" w:hAnsi="Times New Roman" w:cs="Times New Roman"/>
          <w:sz w:val="24"/>
          <w:szCs w:val="24"/>
        </w:rPr>
        <w:t xml:space="preserve">With a high convergence between Green HR practices and leadership theories, the clustering results show that current research on sustainable HRM is becoming more leadership-driven and environmentally focused. However, the proportional distance between technological innovation and </w:t>
      </w:r>
      <w:r w:rsidR="00515277" w:rsidRPr="00CF41C6">
        <w:rPr>
          <w:rFonts w:ascii="Times New Roman" w:eastAsia="Times New Roman" w:hAnsi="Times New Roman" w:cs="Times New Roman"/>
          <w:sz w:val="24"/>
          <w:szCs w:val="24"/>
        </w:rPr>
        <w:t>behavioural</w:t>
      </w:r>
      <w:r w:rsidRPr="00CF41C6">
        <w:rPr>
          <w:rFonts w:ascii="Times New Roman" w:eastAsia="Times New Roman" w:hAnsi="Times New Roman" w:cs="Times New Roman"/>
          <w:sz w:val="24"/>
          <w:szCs w:val="24"/>
        </w:rPr>
        <w:t xml:space="preserve"> sustainability indicates that there is still little multidisciplinary integration.</w:t>
      </w:r>
    </w:p>
    <w:p w14:paraId="3B50A07D" w14:textId="77777777" w:rsidR="00515277" w:rsidRPr="00CF41C6" w:rsidRDefault="00515277" w:rsidP="00515277">
      <w:pPr>
        <w:spacing w:after="0" w:line="240" w:lineRule="auto"/>
        <w:jc w:val="both"/>
        <w:rPr>
          <w:rFonts w:ascii="Times New Roman" w:eastAsia="Times New Roman" w:hAnsi="Times New Roman" w:cs="Times New Roman"/>
          <w:sz w:val="24"/>
          <w:szCs w:val="24"/>
        </w:rPr>
      </w:pPr>
    </w:p>
    <w:p w14:paraId="13445B52" w14:textId="77777777" w:rsidR="00515277" w:rsidRDefault="00CF41C6" w:rsidP="00515277">
      <w:pPr>
        <w:spacing w:after="0" w:line="240" w:lineRule="auto"/>
        <w:jc w:val="both"/>
        <w:rPr>
          <w:rFonts w:ascii="Times New Roman" w:eastAsia="Times New Roman" w:hAnsi="Times New Roman" w:cs="Times New Roman"/>
          <w:sz w:val="24"/>
          <w:szCs w:val="24"/>
        </w:rPr>
      </w:pPr>
      <w:r w:rsidRPr="00CF41C6">
        <w:rPr>
          <w:rFonts w:ascii="Times New Roman" w:eastAsia="Times New Roman" w:hAnsi="Times New Roman" w:cs="Times New Roman"/>
          <w:sz w:val="24"/>
          <w:szCs w:val="24"/>
        </w:rPr>
        <w:t xml:space="preserve">By viewing sustainable HRM as a multi-layered system where strategic alignment fosters employee engagement and leadership, which in turn spur environmental and innovative outcomes, the study adds to the body of previous work. This integrated viewpoint provides a formal understanding of how sustainability is incorporated into HRM scholarship, going beyond disjointed ideas. </w:t>
      </w:r>
    </w:p>
    <w:p w14:paraId="1FB3578F" w14:textId="77777777" w:rsidR="00515277" w:rsidRDefault="00515277" w:rsidP="00515277">
      <w:pPr>
        <w:spacing w:after="0" w:line="240" w:lineRule="auto"/>
        <w:jc w:val="both"/>
        <w:rPr>
          <w:rFonts w:ascii="Times New Roman" w:eastAsia="Times New Roman" w:hAnsi="Times New Roman" w:cs="Times New Roman"/>
          <w:sz w:val="24"/>
          <w:szCs w:val="24"/>
        </w:rPr>
      </w:pPr>
    </w:p>
    <w:p w14:paraId="733DBB2D" w14:textId="407020DF" w:rsidR="00CF41C6" w:rsidRPr="00CF41C6" w:rsidRDefault="00CF41C6" w:rsidP="00515277">
      <w:pPr>
        <w:spacing w:after="0" w:line="240" w:lineRule="auto"/>
        <w:jc w:val="both"/>
        <w:rPr>
          <w:rFonts w:ascii="Times New Roman" w:eastAsia="Times New Roman" w:hAnsi="Times New Roman" w:cs="Times New Roman"/>
          <w:sz w:val="24"/>
          <w:szCs w:val="24"/>
        </w:rPr>
      </w:pPr>
      <w:r w:rsidRPr="00CF41C6">
        <w:rPr>
          <w:rFonts w:ascii="Times New Roman" w:eastAsia="Times New Roman" w:hAnsi="Times New Roman" w:cs="Times New Roman"/>
          <w:sz w:val="24"/>
          <w:szCs w:val="24"/>
        </w:rPr>
        <w:t>Practically speaking, the results emphasize how crucial it is to coordinate leadership development, employee engagement programs, and HR strategy in order to attain significant sustainability performance. To improve sustainable results, organizations should prioritize leadership skills and digital transformation in addition to green policies.</w:t>
      </w:r>
    </w:p>
    <w:p w14:paraId="173C2233" w14:textId="0DAC17F9" w:rsidR="00515277" w:rsidRDefault="00CF41C6" w:rsidP="00515277">
      <w:pPr>
        <w:spacing w:after="0" w:line="240" w:lineRule="auto"/>
        <w:jc w:val="both"/>
        <w:rPr>
          <w:rFonts w:ascii="Times New Roman" w:eastAsia="Times New Roman" w:hAnsi="Times New Roman" w:cs="Times New Roman"/>
          <w:sz w:val="24"/>
          <w:szCs w:val="24"/>
        </w:rPr>
      </w:pPr>
      <w:r w:rsidRPr="00CF41C6">
        <w:rPr>
          <w:rFonts w:ascii="Times New Roman" w:eastAsia="Times New Roman" w:hAnsi="Times New Roman" w:cs="Times New Roman"/>
          <w:sz w:val="24"/>
          <w:szCs w:val="24"/>
        </w:rPr>
        <w:t xml:space="preserve">Future studies should examine how digital analytics, </w:t>
      </w:r>
      <w:r w:rsidR="00515277" w:rsidRPr="00CF41C6">
        <w:rPr>
          <w:rFonts w:ascii="Times New Roman" w:eastAsia="Times New Roman" w:hAnsi="Times New Roman" w:cs="Times New Roman"/>
          <w:sz w:val="24"/>
          <w:szCs w:val="24"/>
        </w:rPr>
        <w:t>behavioural</w:t>
      </w:r>
      <w:r w:rsidRPr="00CF41C6">
        <w:rPr>
          <w:rFonts w:ascii="Times New Roman" w:eastAsia="Times New Roman" w:hAnsi="Times New Roman" w:cs="Times New Roman"/>
          <w:sz w:val="24"/>
          <w:szCs w:val="24"/>
        </w:rPr>
        <w:t xml:space="preserve"> sustainability models, and AI-enabled HR systems can be integrated, especially in light of global sustainability frameworks like the Sustainable Development Goals (SDGs) of the UN. It is still possible to advance theory and practice by bridging technology innovation with human-centered sustainability. </w:t>
      </w:r>
    </w:p>
    <w:p w14:paraId="3FAC42A5" w14:textId="77777777" w:rsidR="00515277" w:rsidRDefault="00515277" w:rsidP="00515277">
      <w:pPr>
        <w:spacing w:after="0" w:line="240" w:lineRule="auto"/>
        <w:jc w:val="both"/>
        <w:rPr>
          <w:rFonts w:ascii="Times New Roman" w:eastAsia="Times New Roman" w:hAnsi="Times New Roman" w:cs="Times New Roman"/>
          <w:sz w:val="24"/>
          <w:szCs w:val="24"/>
        </w:rPr>
      </w:pPr>
    </w:p>
    <w:p w14:paraId="50F7B200" w14:textId="78F8C0B0" w:rsidR="00CF41C6" w:rsidRPr="00CF41C6" w:rsidRDefault="00CF41C6" w:rsidP="00515277">
      <w:pPr>
        <w:spacing w:after="0" w:line="240" w:lineRule="auto"/>
        <w:jc w:val="both"/>
        <w:rPr>
          <w:rFonts w:ascii="Times New Roman" w:eastAsia="Times New Roman" w:hAnsi="Times New Roman" w:cs="Times New Roman"/>
          <w:sz w:val="24"/>
          <w:szCs w:val="24"/>
        </w:rPr>
      </w:pPr>
      <w:r w:rsidRPr="00CF41C6">
        <w:rPr>
          <w:rFonts w:ascii="Times New Roman" w:eastAsia="Times New Roman" w:hAnsi="Times New Roman" w:cs="Times New Roman"/>
          <w:sz w:val="24"/>
          <w:szCs w:val="24"/>
        </w:rPr>
        <w:lastRenderedPageBreak/>
        <w:t xml:space="preserve">All things </w:t>
      </w:r>
      <w:r w:rsidR="00515277" w:rsidRPr="00CF41C6">
        <w:rPr>
          <w:rFonts w:ascii="Times New Roman" w:eastAsia="Times New Roman" w:hAnsi="Times New Roman" w:cs="Times New Roman"/>
          <w:sz w:val="24"/>
          <w:szCs w:val="24"/>
        </w:rPr>
        <w:t>considered;</w:t>
      </w:r>
      <w:r w:rsidRPr="00CF41C6">
        <w:rPr>
          <w:rFonts w:ascii="Times New Roman" w:eastAsia="Times New Roman" w:hAnsi="Times New Roman" w:cs="Times New Roman"/>
          <w:sz w:val="24"/>
          <w:szCs w:val="24"/>
        </w:rPr>
        <w:t xml:space="preserve"> by offering a methodical, data-driven path for further research and strategic implementation, this study adds to the expanding corpus of knowledge on sustainable HRM.</w:t>
      </w:r>
    </w:p>
    <w:p w14:paraId="53AADF17" w14:textId="77777777" w:rsidR="004E771D" w:rsidRDefault="004E771D" w:rsidP="00515277">
      <w:pPr>
        <w:spacing w:line="276" w:lineRule="auto"/>
        <w:jc w:val="both"/>
        <w:rPr>
          <w:rFonts w:ascii="Times New Roman" w:eastAsia="Times New Roman" w:hAnsi="Times New Roman" w:cs="Times New Roman"/>
          <w:b/>
          <w:bCs/>
          <w:sz w:val="24"/>
          <w:szCs w:val="24"/>
        </w:rPr>
      </w:pPr>
    </w:p>
    <w:p w14:paraId="5D3D4873" w14:textId="77777777" w:rsidR="004E771D" w:rsidRDefault="00000000">
      <w:p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13114E7A"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Abu-Mahfouz, S., Abd Halim, M. S., Bahkia, A. S., Alias, N., &amp; Tambi, A. M. (2023). Sustainable human resource management practices in organizational performance: The mediating impacts of knowledge management and work engagement. </w:t>
      </w:r>
      <w:r>
        <w:rPr>
          <w:rFonts w:ascii="Times New Roman" w:eastAsia="Times New Roman" w:hAnsi="Times New Roman" w:cs="Times New Roman"/>
          <w:i/>
          <w:iCs/>
          <w:color w:val="000000"/>
          <w:sz w:val="24"/>
          <w:szCs w:val="24"/>
        </w:rPr>
        <w:t>Journal of Entrepreneurship, Management and Innovation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(2), 57–97.</w:t>
      </w:r>
    </w:p>
    <w:p w14:paraId="19FC6AF9"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Alemu, B. A. (2025). Cultivating a culture of sustainability: the role of organizational values and leadership in driving sustainable practices. </w:t>
      </w:r>
      <w:r>
        <w:rPr>
          <w:rFonts w:ascii="Times New Roman" w:eastAsia="Times New Roman" w:hAnsi="Times New Roman" w:cs="Times New Roman"/>
          <w:i/>
          <w:iCs/>
          <w:color w:val="000000"/>
          <w:sz w:val="24"/>
          <w:szCs w:val="24"/>
        </w:rPr>
        <w:t>Business Ethics and Leadership</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9</w:t>
      </w:r>
      <w:r>
        <w:rPr>
          <w:rFonts w:ascii="Times New Roman" w:eastAsia="Times New Roman" w:hAnsi="Times New Roman" w:cs="Times New Roman"/>
          <w:color w:val="000000"/>
          <w:sz w:val="24"/>
          <w:szCs w:val="24"/>
        </w:rPr>
        <w:t>(1), 79–94.</w:t>
      </w:r>
    </w:p>
    <w:p w14:paraId="03A0A555"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Ardiansyah, M., &amp; Alnoor, A. (2024). Integrating corporate social responsibility into business strategy: creating sustainable value. </w:t>
      </w:r>
      <w:r>
        <w:rPr>
          <w:rFonts w:ascii="Times New Roman" w:eastAsia="Times New Roman" w:hAnsi="Times New Roman" w:cs="Times New Roman"/>
          <w:i/>
          <w:iCs/>
          <w:color w:val="000000"/>
          <w:sz w:val="24"/>
          <w:szCs w:val="24"/>
        </w:rPr>
        <w:t>Involvement International Journal of Business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w:t>
      </w:r>
      <w:r>
        <w:rPr>
          <w:rFonts w:ascii="Times New Roman" w:eastAsia="Times New Roman" w:hAnsi="Times New Roman" w:cs="Times New Roman"/>
          <w:color w:val="000000"/>
          <w:sz w:val="24"/>
          <w:szCs w:val="24"/>
        </w:rPr>
        <w:t>(1), 29–42.</w:t>
      </w:r>
    </w:p>
    <w:p w14:paraId="44F35D4F"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Bag, S., Srivastava, G., Cherrafi, A., Ali, A., &amp; Singh, R. K. (2024). Data‐driven insights for circular and sustainable food supply chains: an empirical exploration of big data and predictive analytics in enhancing social sustainability performance. </w:t>
      </w:r>
      <w:r>
        <w:rPr>
          <w:rFonts w:ascii="Times New Roman" w:eastAsia="Times New Roman" w:hAnsi="Times New Roman" w:cs="Times New Roman"/>
          <w:i/>
          <w:iCs/>
          <w:color w:val="000000"/>
          <w:sz w:val="24"/>
          <w:szCs w:val="24"/>
        </w:rPr>
        <w:t>Business Strategy and the Environment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33</w:t>
      </w:r>
      <w:r>
        <w:rPr>
          <w:rFonts w:ascii="Times New Roman" w:eastAsia="Times New Roman" w:hAnsi="Times New Roman" w:cs="Times New Roman"/>
          <w:color w:val="000000"/>
          <w:sz w:val="24"/>
          <w:szCs w:val="24"/>
        </w:rPr>
        <w:t>(2), 1369–1396.</w:t>
      </w:r>
    </w:p>
    <w:p w14:paraId="474F78B7"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Dahiya, R., Selvakumar, P., Ahluwalia, G. K., Manjunath, T. C., &amp; Anute, N. (2025). Ethical Leadership and Decision Making. In </w:t>
      </w:r>
      <w:r>
        <w:rPr>
          <w:rFonts w:ascii="Times New Roman" w:eastAsia="Times New Roman" w:hAnsi="Times New Roman" w:cs="Times New Roman"/>
          <w:i/>
          <w:iCs/>
          <w:color w:val="000000"/>
          <w:sz w:val="24"/>
          <w:szCs w:val="24"/>
        </w:rPr>
        <w:t>Advances in Ethical Work Climate and Employee Well-Being</w:t>
      </w:r>
      <w:r>
        <w:rPr>
          <w:rFonts w:ascii="Times New Roman" w:eastAsia="Times New Roman" w:hAnsi="Times New Roman" w:cs="Times New Roman"/>
          <w:color w:val="000000"/>
          <w:sz w:val="24"/>
          <w:szCs w:val="24"/>
        </w:rPr>
        <w:t xml:space="preserve"> (pp. 45–66). IGI Global Scientific Publishing.</w:t>
      </w:r>
    </w:p>
    <w:p w14:paraId="4ED6D63A"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Dangelico, R. M. (2015). Improving firm environmental performance and reputation: The role of employee green teams. </w:t>
      </w:r>
      <w:r>
        <w:rPr>
          <w:rFonts w:ascii="Times New Roman" w:eastAsia="Times New Roman" w:hAnsi="Times New Roman" w:cs="Times New Roman"/>
          <w:i/>
          <w:iCs/>
          <w:color w:val="000000"/>
          <w:sz w:val="24"/>
          <w:szCs w:val="24"/>
        </w:rPr>
        <w:t>Business Strategy and the Environment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24</w:t>
      </w:r>
      <w:r>
        <w:rPr>
          <w:rFonts w:ascii="Times New Roman" w:eastAsia="Times New Roman" w:hAnsi="Times New Roman" w:cs="Times New Roman"/>
          <w:color w:val="000000"/>
          <w:sz w:val="24"/>
          <w:szCs w:val="24"/>
        </w:rPr>
        <w:t>(8), 735–749.</w:t>
      </w:r>
    </w:p>
    <w:p w14:paraId="22E54F6E"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Herrera, J., &amp; de las Heras-Rosas, C. (2020). Corporate social responsibility and human resource management: Towards sustainable business organizations. </w:t>
      </w:r>
      <w:r>
        <w:rPr>
          <w:rFonts w:ascii="Times New Roman" w:eastAsia="Times New Roman" w:hAnsi="Times New Roman" w:cs="Times New Roman"/>
          <w:i/>
          <w:iCs/>
          <w:color w:val="000000"/>
          <w:sz w:val="24"/>
          <w:szCs w:val="24"/>
        </w:rPr>
        <w:t>Sustainability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12</w:t>
      </w:r>
      <w:r>
        <w:rPr>
          <w:rFonts w:ascii="Times New Roman" w:eastAsia="Times New Roman" w:hAnsi="Times New Roman" w:cs="Times New Roman"/>
          <w:color w:val="000000"/>
          <w:sz w:val="24"/>
          <w:szCs w:val="24"/>
        </w:rPr>
        <w:t>(3), 841.</w:t>
      </w:r>
    </w:p>
    <w:p w14:paraId="5224F910"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Karman, A. (2020). Understanding sustainable human resource management–organizational value linkages: The strength of the SHRM system. </w:t>
      </w:r>
      <w:r>
        <w:rPr>
          <w:rFonts w:ascii="Times New Roman" w:eastAsia="Times New Roman" w:hAnsi="Times New Roman" w:cs="Times New Roman"/>
          <w:i/>
          <w:iCs/>
          <w:color w:val="000000"/>
          <w:sz w:val="24"/>
          <w:szCs w:val="24"/>
        </w:rPr>
        <w:t>Human Systems Management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39</w:t>
      </w:r>
      <w:r>
        <w:rPr>
          <w:rFonts w:ascii="Times New Roman" w:eastAsia="Times New Roman" w:hAnsi="Times New Roman" w:cs="Times New Roman"/>
          <w:color w:val="000000"/>
          <w:sz w:val="24"/>
          <w:szCs w:val="24"/>
        </w:rPr>
        <w:t>(1), 51–68.</w:t>
      </w:r>
    </w:p>
    <w:p w14:paraId="6F73CD4D" w14:textId="06BE9AF3"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Krannich, A.-L., &amp; Reiser, D. (2023). United nations sustainable development goals 2030, the. In </w:t>
      </w:r>
      <w:r w:rsidR="007D7074">
        <w:rPr>
          <w:rFonts w:ascii="Times New Roman" w:eastAsia="Times New Roman" w:hAnsi="Times New Roman" w:cs="Times New Roman"/>
          <w:i/>
          <w:iCs/>
          <w:color w:val="000000"/>
          <w:sz w:val="24"/>
          <w:szCs w:val="24"/>
        </w:rPr>
        <w:t>Encyclopaedia</w:t>
      </w:r>
      <w:r>
        <w:rPr>
          <w:rFonts w:ascii="Times New Roman" w:eastAsia="Times New Roman" w:hAnsi="Times New Roman" w:cs="Times New Roman"/>
          <w:i/>
          <w:iCs/>
          <w:color w:val="000000"/>
          <w:sz w:val="24"/>
          <w:szCs w:val="24"/>
        </w:rPr>
        <w:t xml:space="preserve"> of sustainable management</w:t>
      </w:r>
      <w:r>
        <w:rPr>
          <w:rFonts w:ascii="Times New Roman" w:eastAsia="Times New Roman" w:hAnsi="Times New Roman" w:cs="Times New Roman"/>
          <w:color w:val="000000"/>
          <w:sz w:val="24"/>
          <w:szCs w:val="24"/>
        </w:rPr>
        <w:t xml:space="preserve"> (pp. 3862–3867). Springer.</w:t>
      </w:r>
    </w:p>
    <w:p w14:paraId="4897F1CB"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Lim, K., Bao, C., Li, Y., Wang, R., &amp; Zhou, X. (2025). Managing resistance to change. In </w:t>
      </w:r>
      <w:r>
        <w:rPr>
          <w:rFonts w:ascii="Times New Roman" w:eastAsia="Times New Roman" w:hAnsi="Times New Roman" w:cs="Times New Roman"/>
          <w:i/>
          <w:iCs/>
          <w:color w:val="000000"/>
          <w:sz w:val="24"/>
          <w:szCs w:val="24"/>
        </w:rPr>
        <w:t>Future-proofing emerging technologies for business transformation</w:t>
      </w:r>
      <w:r>
        <w:rPr>
          <w:rFonts w:ascii="Times New Roman" w:eastAsia="Times New Roman" w:hAnsi="Times New Roman" w:cs="Times New Roman"/>
          <w:color w:val="000000"/>
          <w:sz w:val="24"/>
          <w:szCs w:val="24"/>
        </w:rPr>
        <w:t xml:space="preserve"> (pp. 191–224). IGI Global Scientific Publishing.</w:t>
      </w:r>
    </w:p>
    <w:p w14:paraId="0823C51A" w14:textId="75E5C579" w:rsidR="004E771D" w:rsidRDefault="007D7074">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Mariappan Adar, S. (2024). Sustainable Human Resource Management Strategies and Practices. </w:t>
      </w:r>
      <w:r>
        <w:rPr>
          <w:rFonts w:ascii="Times New Roman" w:eastAsia="Times New Roman" w:hAnsi="Times New Roman" w:cs="Times New Roman"/>
          <w:i/>
          <w:iCs/>
          <w:color w:val="000000"/>
          <w:sz w:val="24"/>
          <w:szCs w:val="24"/>
        </w:rPr>
        <w:t>Springer Books</w:t>
      </w:r>
      <w:r>
        <w:rPr>
          <w:rFonts w:ascii="Times New Roman" w:eastAsia="Times New Roman" w:hAnsi="Times New Roman" w:cs="Times New Roman"/>
          <w:color w:val="000000"/>
          <w:sz w:val="24"/>
          <w:szCs w:val="24"/>
        </w:rPr>
        <w:t>.</w:t>
      </w:r>
    </w:p>
    <w:p w14:paraId="5F4D2D71"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Martins, A., Branco, M. C., Melo, P. N., &amp; Machado, C. (2022). Sustainability in small and medium-sized enterprises: A systematic literature review and future research agenda. </w:t>
      </w:r>
      <w:r>
        <w:rPr>
          <w:rFonts w:ascii="Times New Roman" w:eastAsia="Times New Roman" w:hAnsi="Times New Roman" w:cs="Times New Roman"/>
          <w:i/>
          <w:iCs/>
          <w:color w:val="000000"/>
          <w:sz w:val="24"/>
          <w:szCs w:val="24"/>
        </w:rPr>
        <w:t>Sustainability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14</w:t>
      </w:r>
      <w:r>
        <w:rPr>
          <w:rFonts w:ascii="Times New Roman" w:eastAsia="Times New Roman" w:hAnsi="Times New Roman" w:cs="Times New Roman"/>
          <w:color w:val="000000"/>
          <w:sz w:val="24"/>
          <w:szCs w:val="24"/>
        </w:rPr>
        <w:t>(11), 6493.</w:t>
      </w:r>
    </w:p>
    <w:p w14:paraId="2ED52E54" w14:textId="72653A93"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Menon, S., Yadav, J., Chopra, A., &amp; Thomas, J. (2024). Strategic integration of analytics and artificial intelligence in sustainable human resource management: Fostering HR excellence. </w:t>
      </w:r>
      <w:r>
        <w:rPr>
          <w:rFonts w:ascii="Times New Roman" w:eastAsia="Times New Roman" w:hAnsi="Times New Roman" w:cs="Times New Roman"/>
          <w:i/>
          <w:iCs/>
          <w:color w:val="000000"/>
          <w:sz w:val="24"/>
          <w:szCs w:val="24"/>
        </w:rPr>
        <w:t xml:space="preserve">2024 11th International Conference on Reliability, Infocom Technologies and Optimization (Trends and Future </w:t>
      </w:r>
      <w:r w:rsidR="00F822FC">
        <w:rPr>
          <w:rFonts w:ascii="Times New Roman" w:eastAsia="Times New Roman" w:hAnsi="Times New Roman" w:cs="Times New Roman"/>
          <w:i/>
          <w:iCs/>
          <w:color w:val="000000"/>
          <w:sz w:val="24"/>
          <w:szCs w:val="24"/>
        </w:rPr>
        <w:t>Directions) (</w:t>
      </w:r>
      <w:r>
        <w:rPr>
          <w:rFonts w:ascii="Times New Roman" w:eastAsia="Times New Roman" w:hAnsi="Times New Roman" w:cs="Times New Roman"/>
          <w:i/>
          <w:iCs/>
          <w:color w:val="000000"/>
          <w:sz w:val="24"/>
          <w:szCs w:val="24"/>
        </w:rPr>
        <w:t>ICRITO)</w:t>
      </w:r>
      <w:r>
        <w:rPr>
          <w:rFonts w:ascii="Times New Roman" w:eastAsia="Times New Roman" w:hAnsi="Times New Roman" w:cs="Times New Roman"/>
          <w:color w:val="000000"/>
          <w:sz w:val="24"/>
          <w:szCs w:val="24"/>
        </w:rPr>
        <w:t>, 1–5.</w:t>
      </w:r>
    </w:p>
    <w:p w14:paraId="435F2408"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Ramadhani, W., Khuzaini, K., &amp; Shaddiq, S. (2024). Resistance to change: Human resources issues in the implementation of Industry 4.0 technology. </w:t>
      </w:r>
      <w:r>
        <w:rPr>
          <w:rFonts w:ascii="Times New Roman" w:eastAsia="Times New Roman" w:hAnsi="Times New Roman" w:cs="Times New Roman"/>
          <w:i/>
          <w:iCs/>
          <w:color w:val="000000"/>
          <w:sz w:val="24"/>
          <w:szCs w:val="24"/>
        </w:rPr>
        <w:t>Proceeding: Islamic University of Kalimantan</w:t>
      </w:r>
      <w:r>
        <w:rPr>
          <w:rFonts w:ascii="Times New Roman" w:eastAsia="Times New Roman" w:hAnsi="Times New Roman" w:cs="Times New Roman"/>
          <w:color w:val="000000"/>
          <w:sz w:val="24"/>
          <w:szCs w:val="24"/>
        </w:rPr>
        <w:t>.</w:t>
      </w:r>
    </w:p>
    <w:p w14:paraId="33F626BE"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Shahzad, M. A., Jianguo, D., &amp; Junaid, M. (2023a). Impact of green HRM practices on sustainable performance: mediating role of green innovation, green culture, and green employees’ behavior. </w:t>
      </w:r>
      <w:r>
        <w:rPr>
          <w:rFonts w:ascii="Times New Roman" w:eastAsia="Times New Roman" w:hAnsi="Times New Roman" w:cs="Times New Roman"/>
          <w:i/>
          <w:iCs/>
          <w:color w:val="000000"/>
          <w:sz w:val="24"/>
          <w:szCs w:val="24"/>
        </w:rPr>
        <w:t>Environmental Science and Pollution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30</w:t>
      </w:r>
      <w:r>
        <w:rPr>
          <w:rFonts w:ascii="Times New Roman" w:eastAsia="Times New Roman" w:hAnsi="Times New Roman" w:cs="Times New Roman"/>
          <w:color w:val="000000"/>
          <w:sz w:val="24"/>
          <w:szCs w:val="24"/>
        </w:rPr>
        <w:t>(38), 88524–88547.</w:t>
      </w:r>
    </w:p>
    <w:p w14:paraId="053906B7"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Shahzad, M. A., Jianguo, D., &amp; Junaid, M. (2023b). Impact of green HRM practices on sustainable performance: mediating role of green innovation, green culture, and green employees’ behavior. </w:t>
      </w:r>
      <w:r>
        <w:rPr>
          <w:rFonts w:ascii="Times New Roman" w:eastAsia="Times New Roman" w:hAnsi="Times New Roman" w:cs="Times New Roman"/>
          <w:i/>
          <w:iCs/>
          <w:color w:val="000000"/>
          <w:sz w:val="24"/>
          <w:szCs w:val="24"/>
        </w:rPr>
        <w:t>Environmental Science and Pollution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30</w:t>
      </w:r>
      <w:r>
        <w:rPr>
          <w:rFonts w:ascii="Times New Roman" w:eastAsia="Times New Roman" w:hAnsi="Times New Roman" w:cs="Times New Roman"/>
          <w:color w:val="000000"/>
          <w:sz w:val="24"/>
          <w:szCs w:val="24"/>
        </w:rPr>
        <w:t>(38), 88524–88547.</w:t>
      </w:r>
    </w:p>
    <w:p w14:paraId="77C35D17"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Tchamgop, D. (2025). </w:t>
      </w:r>
      <w:r>
        <w:rPr>
          <w:rFonts w:ascii="Times New Roman" w:eastAsia="Times New Roman" w:hAnsi="Times New Roman" w:cs="Times New Roman"/>
          <w:i/>
          <w:iCs/>
          <w:color w:val="000000"/>
          <w:sz w:val="24"/>
          <w:szCs w:val="24"/>
        </w:rPr>
        <w:t>Workplace diversity, inclusion and impact on employee satisfaction: how organizations promote diversity and inclusion in the workplace</w:t>
      </w:r>
      <w:r>
        <w:rPr>
          <w:rFonts w:ascii="Times New Roman" w:eastAsia="Times New Roman" w:hAnsi="Times New Roman" w:cs="Times New Roman"/>
          <w:color w:val="000000"/>
          <w:sz w:val="24"/>
          <w:szCs w:val="24"/>
        </w:rPr>
        <w:t>.</w:t>
      </w:r>
    </w:p>
    <w:p w14:paraId="1CD7278E"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Ten Have, H., &amp; Gordijn, B. (2020). Sustainability. </w:t>
      </w:r>
      <w:r>
        <w:rPr>
          <w:rFonts w:ascii="Times New Roman" w:eastAsia="Times New Roman" w:hAnsi="Times New Roman" w:cs="Times New Roman"/>
          <w:i/>
          <w:iCs/>
          <w:color w:val="000000"/>
          <w:sz w:val="24"/>
          <w:szCs w:val="24"/>
        </w:rPr>
        <w:t>Medicine, Health Care and Philosophy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23</w:t>
      </w:r>
      <w:r>
        <w:rPr>
          <w:rFonts w:ascii="Times New Roman" w:eastAsia="Times New Roman" w:hAnsi="Times New Roman" w:cs="Times New Roman"/>
          <w:color w:val="000000"/>
          <w:sz w:val="24"/>
          <w:szCs w:val="24"/>
        </w:rPr>
        <w:t>(2), 153–154.</w:t>
      </w:r>
    </w:p>
    <w:p w14:paraId="05153128"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Ullah, M. M. (2017a). Integrating environmental sustainability into human resources management: A comprehensive review on green human resources management (Green HRM) Practices. </w:t>
      </w:r>
      <w:r>
        <w:rPr>
          <w:rFonts w:ascii="Times New Roman" w:eastAsia="Times New Roman" w:hAnsi="Times New Roman" w:cs="Times New Roman"/>
          <w:i/>
          <w:iCs/>
          <w:color w:val="000000"/>
          <w:sz w:val="24"/>
          <w:szCs w:val="24"/>
        </w:rPr>
        <w:t>Economics and Management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6</w:t>
      </w:r>
      <w:r>
        <w:rPr>
          <w:rFonts w:ascii="Times New Roman" w:eastAsia="Times New Roman" w:hAnsi="Times New Roman" w:cs="Times New Roman"/>
          <w:color w:val="000000"/>
          <w:sz w:val="24"/>
          <w:szCs w:val="24"/>
        </w:rPr>
        <w:t>(1), 14–19.</w:t>
      </w:r>
    </w:p>
    <w:p w14:paraId="190B7259"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Ullah, M. M. (2017b). Integrating environmental sustainability into human resources management: A comprehensive review on green human resources management (Green HRM) Practices. </w:t>
      </w:r>
      <w:r>
        <w:rPr>
          <w:rFonts w:ascii="Times New Roman" w:eastAsia="Times New Roman" w:hAnsi="Times New Roman" w:cs="Times New Roman"/>
          <w:i/>
          <w:iCs/>
          <w:color w:val="000000"/>
          <w:sz w:val="24"/>
          <w:szCs w:val="24"/>
        </w:rPr>
        <w:t>Economics and Management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6</w:t>
      </w:r>
      <w:r>
        <w:rPr>
          <w:rFonts w:ascii="Times New Roman" w:eastAsia="Times New Roman" w:hAnsi="Times New Roman" w:cs="Times New Roman"/>
          <w:color w:val="000000"/>
          <w:sz w:val="24"/>
          <w:szCs w:val="24"/>
        </w:rPr>
        <w:t>(1), 14–19.</w:t>
      </w:r>
    </w:p>
    <w:p w14:paraId="672E7741"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Veerasamy, U., Joseph, M. S., &amp; Parayitam, S. (2024). Green human resource management and employee green behaviour: participation and involvement, and training and development as moderators. </w:t>
      </w:r>
      <w:r>
        <w:rPr>
          <w:rFonts w:ascii="Times New Roman" w:eastAsia="Times New Roman" w:hAnsi="Times New Roman" w:cs="Times New Roman"/>
          <w:i/>
          <w:iCs/>
          <w:color w:val="000000"/>
          <w:sz w:val="24"/>
          <w:szCs w:val="24"/>
        </w:rPr>
        <w:t>South Asian Journal of Human Resources Management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11</w:t>
      </w:r>
      <w:r>
        <w:rPr>
          <w:rFonts w:ascii="Times New Roman" w:eastAsia="Times New Roman" w:hAnsi="Times New Roman" w:cs="Times New Roman"/>
          <w:color w:val="000000"/>
          <w:sz w:val="24"/>
          <w:szCs w:val="24"/>
        </w:rPr>
        <w:t>(2), 277–309.</w:t>
      </w:r>
    </w:p>
    <w:p w14:paraId="7CA1D7EB"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Vincent, V. G. (2025). </w:t>
      </w:r>
      <w:r>
        <w:rPr>
          <w:rFonts w:ascii="Times New Roman" w:eastAsia="Times New Roman" w:hAnsi="Times New Roman" w:cs="Times New Roman"/>
          <w:i/>
          <w:iCs/>
          <w:color w:val="000000"/>
          <w:sz w:val="24"/>
          <w:szCs w:val="24"/>
        </w:rPr>
        <w:t>Building Inclusive and Sustainable Workplaces: HR Contribution to Gender Equality, Decent Work and Equity, Insights from Five Organizations</w:t>
      </w:r>
      <w:r>
        <w:rPr>
          <w:rFonts w:ascii="Times New Roman" w:eastAsia="Times New Roman" w:hAnsi="Times New Roman" w:cs="Times New Roman"/>
          <w:color w:val="000000"/>
          <w:sz w:val="24"/>
          <w:szCs w:val="24"/>
        </w:rPr>
        <w:t>.</w:t>
      </w:r>
    </w:p>
    <w:p w14:paraId="67E5545F"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Yan, X., Espinosa-Cristia, J. F., Kumari, K., &amp; Cioca, L. I. (2022). Relationship between corporate social responsibility, organizational trust, and corporate reputation for sustainable performance. </w:t>
      </w:r>
      <w:r>
        <w:rPr>
          <w:rFonts w:ascii="Times New Roman" w:eastAsia="Times New Roman" w:hAnsi="Times New Roman" w:cs="Times New Roman"/>
          <w:i/>
          <w:iCs/>
          <w:color w:val="000000"/>
          <w:sz w:val="24"/>
          <w:szCs w:val="24"/>
        </w:rPr>
        <w:t>Sustainability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14</w:t>
      </w:r>
      <w:r>
        <w:rPr>
          <w:rFonts w:ascii="Times New Roman" w:eastAsia="Times New Roman" w:hAnsi="Times New Roman" w:cs="Times New Roman"/>
          <w:color w:val="000000"/>
          <w:sz w:val="24"/>
          <w:szCs w:val="24"/>
        </w:rPr>
        <w:t>(14), 8737.</w:t>
      </w:r>
    </w:p>
    <w:p w14:paraId="63E2A00B" w14:textId="77777777" w:rsidR="004E771D" w:rsidRDefault="00000000">
      <w:pPr>
        <w:ind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Yulianah, Y., Kuswara, G. B., Apriadi, D., Laelawati, K., &amp; Sundari, A. (2025). Strategies to Increase Employee Engagement Through Employee Empowerment and Self-Development Programs. </w:t>
      </w:r>
      <w:r>
        <w:rPr>
          <w:rFonts w:ascii="Times New Roman" w:eastAsia="Times New Roman" w:hAnsi="Times New Roman" w:cs="Times New Roman"/>
          <w:i/>
          <w:iCs/>
          <w:color w:val="000000"/>
          <w:sz w:val="24"/>
          <w:szCs w:val="24"/>
        </w:rPr>
        <w:t>Jurnal Ekonomi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14</w:t>
      </w:r>
      <w:r>
        <w:rPr>
          <w:rFonts w:ascii="Times New Roman" w:eastAsia="Times New Roman" w:hAnsi="Times New Roman" w:cs="Times New Roman"/>
          <w:color w:val="000000"/>
          <w:sz w:val="24"/>
          <w:szCs w:val="24"/>
        </w:rPr>
        <w:t>(04), 246–255.</w:t>
      </w:r>
    </w:p>
    <w:p w14:paraId="0822B68B" w14:textId="77777777" w:rsidR="004E771D"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36C19F3B" w14:textId="77777777" w:rsidR="004E771D" w:rsidRDefault="004E771D">
      <w:pPr>
        <w:spacing w:line="276" w:lineRule="auto"/>
        <w:jc w:val="both"/>
        <w:rPr>
          <w:rFonts w:ascii="Times New Roman" w:eastAsia="Times New Roman" w:hAnsi="Times New Roman" w:cs="Times New Roman"/>
          <w:sz w:val="24"/>
          <w:szCs w:val="24"/>
        </w:rPr>
      </w:pPr>
    </w:p>
    <w:sectPr w:rsidR="004E771D">
      <w:pgSz w:w="11906" w:h="16838"/>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4EA9E3B-F618-4DDC-A04F-FE38236AEE75}"/>
    <w:embedBold r:id="rId2" w:fontKey="{6B25666F-9047-499B-8FC8-4B3280B9C18B}"/>
  </w:font>
  <w:font w:name="Georgia">
    <w:panose1 w:val="02040502050405020303"/>
    <w:charset w:val="00"/>
    <w:family w:val="roman"/>
    <w:pitch w:val="variable"/>
    <w:sig w:usb0="00000287" w:usb1="00000000" w:usb2="00000000" w:usb3="00000000" w:csb0="0000009F" w:csb1="00000000"/>
    <w:embedItalic r:id="rId3" w:fontKey="{B2E8F39E-AEA7-44EB-97AA-A4B0294C68BB}"/>
  </w:font>
  <w:font w:name="Calibri Light">
    <w:panose1 w:val="020F0302020204030204"/>
    <w:charset w:val="00"/>
    <w:family w:val="swiss"/>
    <w:pitch w:val="variable"/>
    <w:sig w:usb0="E4002EFF" w:usb1="C200247B" w:usb2="00000009" w:usb3="00000000" w:csb0="000001FF" w:csb1="00000000"/>
    <w:embedRegular r:id="rId4" w:fontKey="{00C668E1-F070-4B10-9EB5-373436D5539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365741"/>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21053B1"/>
    <w:multiLevelType w:val="multilevel"/>
    <w:tmpl w:val="D85498C0"/>
    <w:lvl w:ilvl="0">
      <w:start w:val="1"/>
      <w:numFmt w:val="decimal"/>
      <w:lvlText w:val="%1."/>
      <w:lvlJc w:val="left"/>
      <w:pPr>
        <w:ind w:left="720" w:hanging="360"/>
      </w:pPr>
    </w:lvl>
    <w:lvl w:ilvl="1">
      <w:start w:val="1"/>
      <w:numFmt w:val="decimal"/>
      <w:lvlText w:val="%1.%2"/>
      <w:lvlJc w:val="left"/>
      <w:pPr>
        <w:ind w:left="720" w:hanging="360"/>
      </w:pPr>
      <w:rPr>
        <w:b/>
        <w:bCs/>
      </w:rPr>
    </w:lvl>
    <w:lvl w:ilvl="2">
      <w:start w:val="1"/>
      <w:numFmt w:val="decimal"/>
      <w:lvlText w:val="%1.%2.%3"/>
      <w:lvlJc w:val="left"/>
      <w:pPr>
        <w:ind w:left="1080" w:hanging="720"/>
      </w:pPr>
      <w:rPr>
        <w:b/>
        <w:bCs/>
      </w:rPr>
    </w:lvl>
    <w:lvl w:ilvl="3">
      <w:start w:val="1"/>
      <w:numFmt w:val="decimal"/>
      <w:lvlText w:val="%1.%2.%3.%4"/>
      <w:lvlJc w:val="left"/>
      <w:pPr>
        <w:ind w:left="1080" w:hanging="720"/>
      </w:pPr>
      <w:rPr>
        <w:b/>
        <w:bCs/>
      </w:rPr>
    </w:lvl>
    <w:lvl w:ilvl="4">
      <w:start w:val="1"/>
      <w:numFmt w:val="decimal"/>
      <w:lvlText w:val="%1.%2.%3.%4.%5"/>
      <w:lvlJc w:val="left"/>
      <w:pPr>
        <w:ind w:left="1440" w:hanging="1080"/>
      </w:pPr>
      <w:rPr>
        <w:b/>
        <w:bCs/>
      </w:rPr>
    </w:lvl>
    <w:lvl w:ilvl="5">
      <w:start w:val="1"/>
      <w:numFmt w:val="decimal"/>
      <w:lvlText w:val="%1.%2.%3.%4.%5.%6"/>
      <w:lvlJc w:val="left"/>
      <w:pPr>
        <w:ind w:left="1440" w:hanging="1080"/>
      </w:pPr>
      <w:rPr>
        <w:b/>
        <w:bCs/>
      </w:rPr>
    </w:lvl>
    <w:lvl w:ilvl="6">
      <w:start w:val="1"/>
      <w:numFmt w:val="decimal"/>
      <w:lvlText w:val="%1.%2.%3.%4.%5.%6.%7"/>
      <w:lvlJc w:val="left"/>
      <w:pPr>
        <w:ind w:left="1800" w:hanging="1440"/>
      </w:pPr>
      <w:rPr>
        <w:b/>
        <w:bCs/>
      </w:rPr>
    </w:lvl>
    <w:lvl w:ilvl="7">
      <w:start w:val="1"/>
      <w:numFmt w:val="decimal"/>
      <w:lvlText w:val="%1.%2.%3.%4.%5.%6.%7.%8"/>
      <w:lvlJc w:val="left"/>
      <w:pPr>
        <w:ind w:left="1800" w:hanging="1440"/>
      </w:pPr>
      <w:rPr>
        <w:b/>
        <w:bCs/>
      </w:rPr>
    </w:lvl>
    <w:lvl w:ilvl="8">
      <w:start w:val="1"/>
      <w:numFmt w:val="decimal"/>
      <w:lvlText w:val="%1.%2.%3.%4.%5.%6.%7.%8.%9"/>
      <w:lvlJc w:val="left"/>
      <w:pPr>
        <w:ind w:left="2160" w:hanging="1800"/>
      </w:pPr>
      <w:rPr>
        <w:b/>
        <w:bCs/>
      </w:rPr>
    </w:lvl>
  </w:abstractNum>
  <w:abstractNum w:abstractNumId="2" w15:restartNumberingAfterBreak="0">
    <w:nsid w:val="6E5D2EBE"/>
    <w:multiLevelType w:val="multilevel"/>
    <w:tmpl w:val="D432107E"/>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47142195">
    <w:abstractNumId w:val="1"/>
  </w:num>
  <w:num w:numId="2" w16cid:durableId="1313683501">
    <w:abstractNumId w:val="2"/>
  </w:num>
  <w:num w:numId="3" w16cid:durableId="575283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71D"/>
    <w:rsid w:val="000C5296"/>
    <w:rsid w:val="000D672C"/>
    <w:rsid w:val="0014473A"/>
    <w:rsid w:val="004B2E06"/>
    <w:rsid w:val="004E771D"/>
    <w:rsid w:val="00515277"/>
    <w:rsid w:val="005E0631"/>
    <w:rsid w:val="00617963"/>
    <w:rsid w:val="006302DE"/>
    <w:rsid w:val="007D7074"/>
    <w:rsid w:val="008E6F8E"/>
    <w:rsid w:val="00904FFE"/>
    <w:rsid w:val="0099284F"/>
    <w:rsid w:val="00A05074"/>
    <w:rsid w:val="00A71B81"/>
    <w:rsid w:val="00A841B0"/>
    <w:rsid w:val="00AD5918"/>
    <w:rsid w:val="00C91CD7"/>
    <w:rsid w:val="00CF41C6"/>
    <w:rsid w:val="00D016DF"/>
    <w:rsid w:val="00D22DD5"/>
    <w:rsid w:val="00D36752"/>
    <w:rsid w:val="00D761F2"/>
    <w:rsid w:val="00F822F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26DF2"/>
  <w15:docId w15:val="{440F659E-158A-42E0-BF19-DE09C220F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914212"/>
    <w:rPr>
      <w:color w:val="0563C1" w:themeColor="hyperlink"/>
      <w:u w:val="single"/>
    </w:rPr>
  </w:style>
  <w:style w:type="character" w:styleId="UnresolvedMention">
    <w:name w:val="Unresolved Mention"/>
    <w:basedOn w:val="DefaultParagraphFont"/>
    <w:uiPriority w:val="99"/>
    <w:semiHidden/>
    <w:unhideWhenUsed/>
    <w:rsid w:val="00914212"/>
    <w:rPr>
      <w:color w:val="605E5C"/>
      <w:shd w:val="clear" w:color="auto" w:fill="E1DFDD"/>
    </w:rPr>
  </w:style>
  <w:style w:type="table" w:customStyle="1" w:styleId="a">
    <w:basedOn w:val="TableNormal"/>
    <w:tblPr>
      <w:tblStyleRowBandSize w:val="1"/>
      <w:tblStyleColBandSize w:val="1"/>
    </w:tblPr>
  </w:style>
  <w:style w:type="paragraph" w:styleId="ListParagraph">
    <w:name w:val="List Paragraph"/>
    <w:basedOn w:val="Normal"/>
    <w:uiPriority w:val="34"/>
    <w:qFormat/>
    <w:rsid w:val="00F205CA"/>
    <w:pPr>
      <w:ind w:left="720"/>
      <w:contextualSpacing/>
    </w:pPr>
  </w:style>
  <w:style w:type="character" w:styleId="PlaceholderText">
    <w:name w:val="Placeholder Text"/>
    <w:basedOn w:val="DefaultParagraphFont"/>
    <w:uiPriority w:val="99"/>
    <w:semiHidden/>
    <w:rsid w:val="007D00BD"/>
    <w:rPr>
      <w:color w:val="66666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HCi90lq5f6uBbP2Zwhxk0r4NOw==">CgMxLjA4AHIhMUdEN24xdWFvNGFidU9kdmUzT2NWVWd2ZzZDMHRWVHJ4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0EA678-4845-4D45-976F-71EA35AD1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11</Pages>
  <Words>3722</Words>
  <Characters>21220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TANUJA TOMER</cp:lastModifiedBy>
  <cp:revision>26</cp:revision>
  <dcterms:created xsi:type="dcterms:W3CDTF">2024-02-19T05:12:00Z</dcterms:created>
  <dcterms:modified xsi:type="dcterms:W3CDTF">2026-02-17T16:13:00Z</dcterms:modified>
</cp:coreProperties>
</file>