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EA" w:rsidRPr="004B7FEA" w:rsidRDefault="004B7FEA" w:rsidP="00560B47">
      <w:pPr>
        <w:spacing w:line="240" w:lineRule="auto"/>
        <w:jc w:val="center"/>
        <w:rPr>
          <w:rFonts w:ascii="Times New Roman" w:hAnsi="Times New Roman" w:cs="Times New Roman"/>
          <w:b/>
          <w:sz w:val="28"/>
        </w:rPr>
      </w:pPr>
      <w:r w:rsidRPr="004B7FEA">
        <w:rPr>
          <w:rFonts w:ascii="Times New Roman" w:hAnsi="Times New Roman" w:cs="Times New Roman"/>
          <w:b/>
          <w:sz w:val="28"/>
        </w:rPr>
        <w:t>Characterization of Glucose Release from Dietary Carbohydrates Using Standard Undergraduate Laboratory Protocols</w:t>
      </w:r>
    </w:p>
    <w:p w:rsidR="00560B47" w:rsidRPr="00D36A8E" w:rsidRDefault="00560B47" w:rsidP="00560B47">
      <w:pPr>
        <w:spacing w:line="240" w:lineRule="auto"/>
        <w:jc w:val="center"/>
        <w:rPr>
          <w:rFonts w:ascii="Times New Roman" w:hAnsi="Times New Roman" w:cs="Times New Roman"/>
          <w:sz w:val="24"/>
          <w:lang w:val="en-IN"/>
        </w:rPr>
      </w:pPr>
      <w:r>
        <w:rPr>
          <w:rFonts w:ascii="Times New Roman" w:hAnsi="Times New Roman" w:cs="Times New Roman"/>
          <w:sz w:val="24"/>
          <w:lang w:val="en-IN"/>
        </w:rPr>
        <w:t>Hirak</w:t>
      </w:r>
      <w:r w:rsidR="00B200CE">
        <w:rPr>
          <w:rFonts w:ascii="Times New Roman" w:hAnsi="Times New Roman" w:cs="Times New Roman"/>
          <w:sz w:val="24"/>
          <w:lang w:val="en-IN"/>
        </w:rPr>
        <w:t xml:space="preserve"> Jyoti</w:t>
      </w:r>
      <w:r>
        <w:rPr>
          <w:rFonts w:ascii="Times New Roman" w:hAnsi="Times New Roman" w:cs="Times New Roman"/>
          <w:sz w:val="24"/>
          <w:lang w:val="en-IN"/>
        </w:rPr>
        <w:t xml:space="preserve"> Kalita,</w:t>
      </w:r>
      <w:r w:rsidR="004C4047">
        <w:rPr>
          <w:rFonts w:ascii="Times New Roman" w:hAnsi="Times New Roman" w:cs="Times New Roman"/>
          <w:sz w:val="24"/>
          <w:lang w:val="en-IN"/>
        </w:rPr>
        <w:t xml:space="preserve"> Rajib Lochan Sarma</w:t>
      </w:r>
      <w:r w:rsidRPr="00D36A8E">
        <w:rPr>
          <w:rFonts w:ascii="Times New Roman" w:hAnsi="Times New Roman" w:cs="Times New Roman"/>
          <w:sz w:val="24"/>
          <w:lang w:val="en-IN"/>
        </w:rPr>
        <w:t xml:space="preserve"> </w:t>
      </w:r>
      <w:r>
        <w:rPr>
          <w:rFonts w:ascii="Times New Roman" w:hAnsi="Times New Roman" w:cs="Times New Roman"/>
          <w:sz w:val="24"/>
          <w:lang w:val="en-IN"/>
        </w:rPr>
        <w:t xml:space="preserve">and </w:t>
      </w:r>
      <w:r w:rsidRPr="00D36A8E">
        <w:rPr>
          <w:rFonts w:ascii="Times New Roman" w:hAnsi="Times New Roman" w:cs="Times New Roman"/>
          <w:sz w:val="24"/>
          <w:lang w:val="en-IN"/>
        </w:rPr>
        <w:t>Dipjyoti Kalita,</w:t>
      </w:r>
      <w:r w:rsidRPr="00C95800">
        <w:t>*</w:t>
      </w:r>
    </w:p>
    <w:p w:rsidR="00560B47" w:rsidRDefault="00560B47" w:rsidP="00560B47">
      <w:pPr>
        <w:spacing w:line="240" w:lineRule="auto"/>
        <w:jc w:val="center"/>
        <w:rPr>
          <w:rFonts w:ascii="Times New Roman" w:hAnsi="Times New Roman" w:cs="Times New Roman"/>
          <w:sz w:val="24"/>
          <w:lang w:val="en-IN"/>
        </w:rPr>
      </w:pPr>
      <w:r>
        <w:rPr>
          <w:rFonts w:ascii="Times New Roman" w:hAnsi="Times New Roman" w:cs="Times New Roman"/>
          <w:sz w:val="24"/>
          <w:lang w:val="en-IN"/>
        </w:rPr>
        <w:t>*</w:t>
      </w:r>
      <w:r w:rsidRPr="00D36A8E">
        <w:rPr>
          <w:rFonts w:ascii="Times New Roman" w:hAnsi="Times New Roman" w:cs="Times New Roman"/>
          <w:sz w:val="24"/>
          <w:lang w:val="en-IN"/>
        </w:rPr>
        <w:t>Department of Chemistry, Bhattadev University, Bajali, Assam, India</w:t>
      </w:r>
    </w:p>
    <w:p w:rsidR="00560B47" w:rsidRPr="00D36A8E" w:rsidRDefault="00560B47" w:rsidP="00560B47">
      <w:pPr>
        <w:spacing w:line="240" w:lineRule="auto"/>
        <w:jc w:val="center"/>
        <w:rPr>
          <w:rFonts w:ascii="Times New Roman" w:hAnsi="Times New Roman" w:cs="Times New Roman"/>
          <w:sz w:val="24"/>
          <w:lang w:val="en-IN"/>
        </w:rPr>
      </w:pPr>
      <w:r>
        <w:rPr>
          <w:rFonts w:ascii="Times New Roman" w:hAnsi="Times New Roman" w:cs="Times New Roman"/>
          <w:sz w:val="24"/>
          <w:lang w:val="en-IN"/>
        </w:rPr>
        <w:t>(*Corresponding Author: Tel: +919864758619, email: che.dipjyoti@bhattadevuniversity.ac.in)</w:t>
      </w:r>
    </w:p>
    <w:p w:rsidR="00560B47" w:rsidRPr="00560B47" w:rsidRDefault="00060559" w:rsidP="00560B47">
      <w:pPr>
        <w:jc w:val="both"/>
      </w:pPr>
      <w:r w:rsidRPr="00060559">
        <w:rPr>
          <w:rFonts w:ascii="Times New Roman" w:hAnsi="Times New Roman" w:cs="Times New Roman"/>
          <w:b/>
          <w:noProof/>
          <w:sz w:val="28"/>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5.3pt;margin-top:10.45pt;width:484.95pt;height:220.55pt;z-index:251660288;mso-width-relative:margin;mso-height-relative:margin">
            <v:textbox>
              <w:txbxContent>
                <w:p w:rsidR="005413A3" w:rsidRPr="005055D1" w:rsidRDefault="005413A3" w:rsidP="00187584">
                  <w:pPr>
                    <w:pStyle w:val="NormalWeb"/>
                    <w:jc w:val="both"/>
                  </w:pPr>
                  <w:r w:rsidRPr="00187584">
                    <w:rPr>
                      <w:b/>
                    </w:rPr>
                    <w:t>Abstract</w:t>
                  </w:r>
                  <w:r w:rsidRPr="005055D1">
                    <w:t xml:space="preserve">: </w:t>
                  </w:r>
                  <w:r w:rsidR="00187584">
                    <w:t>The role of glucose in the human diet is widely recognized due to its essential function as a primary energy source. However, increasing concerns have emerged regarding the negative effects of excessive glucose intake, which has been linked to various health problems such as obesity, diabetes, and metabolic disorders. This growing issue highlights the urgent need for greater awareness and understanding of the glucose content in the foods we consume.</w:t>
                  </w:r>
                  <w:r w:rsidR="003E29E9">
                    <w:t xml:space="preserve"> </w:t>
                  </w:r>
                  <w:r w:rsidR="00187584">
                    <w:t>Moreover, the carbohydrate composition of food items can vary significantly based on their geographical origin and botanical source, making regional studies particularly relevant. This study aims to examine and compare the glucose content of five commonly consumed food items that serve as primary sources of glucose for communities around the world. The selected samples—table sugar, jaggery, sugarcane juice, potato, and honey—were sourced from local markets in Pathsala</w:t>
                  </w:r>
                  <w:r w:rsidR="00081DDC">
                    <w:t xml:space="preserve"> (Assam, India)</w:t>
                  </w:r>
                  <w:r w:rsidR="00187584">
                    <w:t>.</w:t>
                  </w:r>
                  <w:r w:rsidR="003E29E9">
                    <w:t xml:space="preserve"> </w:t>
                  </w:r>
                  <w:r w:rsidR="00187584">
                    <w:t>To determine the glucose concentration in these edibles, a conventional chemical analysis was performed using Fehling’s solution and the titration method. Among the tested items, table sugar exhibited the highest glucose content, while potato showed the lowest. These findings are consistent with previously reported data and help reinforce the understanding of how different foods contribute to glucose intake.</w:t>
                  </w:r>
                </w:p>
              </w:txbxContent>
            </v:textbox>
          </v:shape>
        </w:pict>
      </w:r>
    </w:p>
    <w:p w:rsidR="005413A3" w:rsidRDefault="005413A3" w:rsidP="00B342C3">
      <w:pPr>
        <w:rPr>
          <w:rFonts w:ascii="Times New Roman" w:hAnsi="Times New Roman" w:cs="Times New Roman"/>
          <w:b/>
          <w:sz w:val="28"/>
          <w:szCs w:val="24"/>
        </w:rPr>
      </w:pPr>
    </w:p>
    <w:p w:rsidR="005413A3" w:rsidRDefault="005413A3" w:rsidP="00B342C3">
      <w:pPr>
        <w:rPr>
          <w:rFonts w:ascii="Times New Roman" w:hAnsi="Times New Roman" w:cs="Times New Roman"/>
          <w:b/>
          <w:sz w:val="28"/>
          <w:szCs w:val="24"/>
        </w:rPr>
      </w:pPr>
    </w:p>
    <w:p w:rsidR="005413A3" w:rsidRDefault="005413A3" w:rsidP="00B342C3">
      <w:pPr>
        <w:rPr>
          <w:rFonts w:ascii="Times New Roman" w:hAnsi="Times New Roman" w:cs="Times New Roman"/>
          <w:b/>
          <w:sz w:val="28"/>
          <w:szCs w:val="24"/>
        </w:rPr>
      </w:pPr>
    </w:p>
    <w:p w:rsidR="005413A3" w:rsidRDefault="005413A3" w:rsidP="00B342C3">
      <w:pPr>
        <w:rPr>
          <w:rFonts w:ascii="Times New Roman" w:hAnsi="Times New Roman" w:cs="Times New Roman"/>
          <w:b/>
          <w:sz w:val="28"/>
          <w:szCs w:val="24"/>
        </w:rPr>
      </w:pPr>
    </w:p>
    <w:p w:rsidR="005413A3" w:rsidRDefault="005413A3" w:rsidP="00B342C3">
      <w:pPr>
        <w:rPr>
          <w:rFonts w:ascii="Times New Roman" w:hAnsi="Times New Roman" w:cs="Times New Roman"/>
          <w:b/>
          <w:sz w:val="28"/>
          <w:szCs w:val="24"/>
        </w:rPr>
      </w:pPr>
    </w:p>
    <w:p w:rsidR="005413A3" w:rsidRPr="005055D1" w:rsidRDefault="005413A3" w:rsidP="00B342C3">
      <w:pPr>
        <w:rPr>
          <w:rFonts w:ascii="Times New Roman" w:hAnsi="Times New Roman" w:cs="Times New Roman"/>
          <w:b/>
          <w:sz w:val="24"/>
          <w:szCs w:val="24"/>
        </w:rPr>
      </w:pPr>
    </w:p>
    <w:p w:rsidR="005413A3" w:rsidRPr="005055D1" w:rsidRDefault="005055D1" w:rsidP="00B342C3">
      <w:pPr>
        <w:rPr>
          <w:rFonts w:ascii="Times New Roman" w:hAnsi="Times New Roman" w:cs="Times New Roman"/>
          <w:b/>
          <w:sz w:val="24"/>
          <w:szCs w:val="24"/>
        </w:rPr>
      </w:pPr>
      <w:r w:rsidRPr="005055D1">
        <w:rPr>
          <w:rFonts w:ascii="Times New Roman" w:hAnsi="Times New Roman" w:cs="Times New Roman"/>
          <w:b/>
          <w:sz w:val="24"/>
          <w:szCs w:val="24"/>
        </w:rPr>
        <w:t xml:space="preserve">Key Words: </w:t>
      </w:r>
      <w:r w:rsidRPr="005055D1">
        <w:rPr>
          <w:rFonts w:ascii="Times New Roman" w:hAnsi="Times New Roman" w:cs="Times New Roman"/>
          <w:sz w:val="24"/>
          <w:szCs w:val="24"/>
        </w:rPr>
        <w:t>Glucose</w:t>
      </w:r>
      <w:r>
        <w:rPr>
          <w:rFonts w:ascii="Times New Roman" w:hAnsi="Times New Roman" w:cs="Times New Roman"/>
          <w:sz w:val="24"/>
          <w:szCs w:val="24"/>
        </w:rPr>
        <w:t>, Fehling’s solution, titration, glycolysis, hydrolysis</w:t>
      </w:r>
    </w:p>
    <w:p w:rsidR="005413A3" w:rsidRDefault="005413A3" w:rsidP="00B342C3">
      <w:pPr>
        <w:rPr>
          <w:rFonts w:ascii="Times New Roman" w:hAnsi="Times New Roman" w:cs="Times New Roman"/>
          <w:b/>
          <w:sz w:val="28"/>
          <w:szCs w:val="24"/>
        </w:rPr>
      </w:pPr>
    </w:p>
    <w:p w:rsidR="00BA02CE" w:rsidRPr="00B342C3" w:rsidRDefault="00B342C3" w:rsidP="00B342C3">
      <w:pPr>
        <w:rPr>
          <w:rFonts w:ascii="Times New Roman" w:hAnsi="Times New Roman" w:cs="Times New Roman"/>
          <w:b/>
          <w:sz w:val="28"/>
          <w:szCs w:val="24"/>
        </w:rPr>
      </w:pPr>
      <w:r w:rsidRPr="00B342C3">
        <w:rPr>
          <w:rFonts w:ascii="Times New Roman" w:hAnsi="Times New Roman" w:cs="Times New Roman"/>
          <w:b/>
          <w:sz w:val="28"/>
          <w:szCs w:val="24"/>
        </w:rPr>
        <w:t>1</w:t>
      </w:r>
      <w:r w:rsidR="00330784">
        <w:rPr>
          <w:rFonts w:ascii="Times New Roman" w:hAnsi="Times New Roman" w:cs="Times New Roman"/>
          <w:b/>
          <w:sz w:val="28"/>
          <w:szCs w:val="24"/>
        </w:rPr>
        <w:t>.</w:t>
      </w:r>
      <w:r>
        <w:rPr>
          <w:rFonts w:ascii="Times New Roman" w:hAnsi="Times New Roman" w:cs="Times New Roman"/>
          <w:b/>
          <w:sz w:val="28"/>
          <w:szCs w:val="24"/>
        </w:rPr>
        <w:t xml:space="preserve"> </w:t>
      </w:r>
      <w:r w:rsidR="00330784" w:rsidRPr="00B342C3">
        <w:rPr>
          <w:rFonts w:ascii="Times New Roman" w:hAnsi="Times New Roman" w:cs="Times New Roman"/>
          <w:b/>
          <w:sz w:val="28"/>
          <w:szCs w:val="24"/>
        </w:rPr>
        <w:t>Introduction</w:t>
      </w:r>
      <w:r w:rsidR="00BA02CE" w:rsidRPr="00B342C3">
        <w:rPr>
          <w:rFonts w:ascii="Times New Roman" w:hAnsi="Times New Roman" w:cs="Times New Roman"/>
          <w:b/>
          <w:sz w:val="28"/>
          <w:szCs w:val="24"/>
        </w:rPr>
        <w:t>:</w:t>
      </w:r>
    </w:p>
    <w:p w:rsidR="00D164AD" w:rsidRDefault="00BA02CE" w:rsidP="00C647A5">
      <w:pPr>
        <w:spacing w:line="360" w:lineRule="auto"/>
        <w:ind w:firstLine="720"/>
        <w:jc w:val="both"/>
        <w:rPr>
          <w:rFonts w:ascii="Times New Roman" w:hAnsi="Times New Roman" w:cs="Times New Roman"/>
          <w:sz w:val="24"/>
          <w:szCs w:val="24"/>
        </w:rPr>
      </w:pPr>
      <w:r w:rsidRPr="004E52DF">
        <w:rPr>
          <w:rFonts w:ascii="Times New Roman" w:hAnsi="Times New Roman" w:cs="Times New Roman"/>
          <w:sz w:val="24"/>
          <w:szCs w:val="24"/>
        </w:rPr>
        <w:t>Among the many biological compounds foun</w:t>
      </w:r>
      <w:r w:rsidR="008F2CA0">
        <w:rPr>
          <w:rFonts w:ascii="Times New Roman" w:hAnsi="Times New Roman" w:cs="Times New Roman"/>
          <w:sz w:val="24"/>
          <w:szCs w:val="24"/>
        </w:rPr>
        <w:t xml:space="preserve">d in nature, glucose is one of the most important </w:t>
      </w:r>
      <w:r w:rsidR="00EF57EB">
        <w:rPr>
          <w:rFonts w:ascii="Times New Roman" w:hAnsi="Times New Roman" w:cs="Times New Roman"/>
          <w:sz w:val="24"/>
          <w:szCs w:val="24"/>
        </w:rPr>
        <w:t>bi</w:t>
      </w:r>
      <w:r w:rsidR="00D164AD">
        <w:rPr>
          <w:rFonts w:ascii="Times New Roman" w:hAnsi="Times New Roman" w:cs="Times New Roman"/>
          <w:sz w:val="24"/>
          <w:szCs w:val="24"/>
        </w:rPr>
        <w:t>o</w:t>
      </w:r>
      <w:r w:rsidR="00EF57EB">
        <w:rPr>
          <w:rFonts w:ascii="Times New Roman" w:hAnsi="Times New Roman" w:cs="Times New Roman"/>
          <w:sz w:val="24"/>
          <w:szCs w:val="24"/>
        </w:rPr>
        <w:t>molecules</w:t>
      </w:r>
      <w:r w:rsidRPr="004E52DF">
        <w:rPr>
          <w:rFonts w:ascii="Times New Roman" w:hAnsi="Times New Roman" w:cs="Times New Roman"/>
          <w:sz w:val="24"/>
          <w:szCs w:val="24"/>
        </w:rPr>
        <w:t xml:space="preserve"> for life.</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{"citationID":"WOEo35sj","properties":{"formattedCitation":"\\super 1\\uc0\\u8211{}5\\nosupersub{}","plainCitation":"1–5","noteIndex":0},"citationItems":[{"id":166,"uris":["http://zotero.org/users/local/iZlFYfLa/items/4XWMYDUE"],"itemData":{"id":166,"type":"article-journal","abstract":"The brain requires a constant and substantial energy supply to maintain its main functions. For decades, it was assumed that glucose was the major if not the only significant source of energy for neurons. This view was supported by the expression of specific facilitative glucose transporters on cerebral blood vessels, as well as neurons. Despite the fact that glucose remains a key energetic substrate for the brain, growing evidence suggests a different scenario. Thus astrocytes, a major type of glial cells that express their own glucose transporter, play a critical role in coupling synaptic activity with glucose utilization. It was shown that glutamatergic activity triggers an enhancement of aerobic glycolysis in this cell type. As a result, lactate is provided to neurons as an additional energy substrate. Indeed, lactate has proven to be a preferential energy substrate for neurons under various conditions. A family of proton-linked carriers known as monocarboxylate transporters has been described and specific members have been found to be expressed by endothelial cells, astrocytes and neurons. Moreover, these transporters are subject to fine regulation of their expression levels and localization, notably in neurons, which suggests that lactate supply could be adjusted as a function of their level of activity. Considering the importance of energetics in the aetiology of several neurodegenerative diseases, a better understanding of its cellular and molecular underpinnings might have important implications for the future development of neuroprotective strategies.\nRésumé\nLe cerveau demande un apport énergétique constant et soutenu pour subvenir à ses besoins. Depuis plusieurs décennies, le glucose a été considéré comme la principale, voire la seule source d’énergie pour les neurones. Cette idée est renforcée par la présence de transporteurs du glucose spécifiques exprimés par les vaisseaux cérébraux ainsi que par les neurones. Malgré le fait que le glucose demeure un substrat énergétique-clé pour le cerveau, de nombreuses données suggèrent une vision différente. En effet les astrocytes, type important de cellules gliales qui expriment leur propre transporteur du glucose, ont un rôle prépondérant dans le couplage entre activité synaptique et utilisation de glucose. Il a été montré que l’activité glutamatergique stimulait la glycolyse aérobique dans ces cellules. Ce processus permet de fournir du lactate aux neurones en guise de substrat énergétique supplémentaire. En fait, il avait déjà été démontré que le lactate pouvait devenir un substrat énergétique préférentiel pour les neurones dans certaines conditions. Une famille de transporteurs connue sous le nom de transporteurs des monocarboxylates a été décrite et certains de ses membres sont exprimés de manière spécifique sur les cellules endothéliales, les astrocytes et les neurones. De plus, ces transporteurs semblent régulés de manière fine, que se soit leur niveau d’expression ou leur localisation, ce qui suggère que l’approvisionnement en lactate pourrait être ajusté en fonction du niveau d’activité neuronale. Etant donné l’importance de la neuroénergétique dans l’étiologie des maladies neurodégénératives, une meilleure compréhension de ces mécanismes moléculaires et cellulaires pourrait avoir des implications importantes pour le développement de stratégies visant une neuroprotection.","collection-title":"Brain and diabetes","container-title":"Diabetes &amp; Metabolism","DOI":"10.1016/S1262-3636(10)70469-9","ISSN":"1262-3636","journalAbbreviation":"Diabetes &amp; Metabolism","page":"S59-S63","source":"ScienceDirect","title":"Food for thought: the importance of glucose and other energy substrates for sustaining brain function under varying levels of activity","title-short":"Food for thought","URL":"https://www.sciencedirect.com/science/article/pii/S1262363610704699","volume":"36","author":[{"family":"Pellerin","given":"L."}],"accessed":{"date-parts":[["2025",8,20]]},"issued":{"date-parts":[["2010",10,1]]}}},{"id":168,"uris":["http://zotero.org/users/local/iZlFYfLa/items/923AGTXT"],"itemData":{"id":168,"type":"webpage","abstract":"Explore millions of resources from scholarly journals, books, newspapers, videos and more, on the ProQuest Platform.","language":"en","title":"Overview of Glucose Regulation - ProQuest","URL":"https://www.proquest.com/openview/5560cd0a592f45c737f613ea96488d9a/1?pq-origsite=gscholar&amp;cbl=47185","accessed":{"date-parts":[["2025",8,20]]}}},{"id":169,"uris":["http://zotero.org/users/local/iZlFYfLa/items/ICVUSPQE"],"itemData":{"id":169,"type":"article-journal","abstract":"Humans have developed effective survival mechanisms under conditions of nutrient (and energy) scarcity. Nevertheless, today, most humans face a quite different situation: excess of nutrients, especially those high in amino-nitrogen and energy (largely fat). The lack of mechanisms to prevent energy overload and the effective persistence of the mechanisms hoarding key nutrients such as amino acids has resulted in deep disorders of substrate handling. There is too often a massive untreatable accumulation of body fat in the presence of severe metabolic disorders of energy utilization and disposal, which become chronic and go much beyond the most obvious problems: diabetes, circulatory, renal and nervous disorders included loosely within the metabolic syndrome. We lack basic knowledge on diet nutrient dynamics at the tissue-cell metabolism level, and this adds to widely used medical procedures lacking sufficient scientific support, with limited or nil success. In the present longitudinal analysis of the fate of dietary nutrients, we have focused on glucose as an example of a largely unknown entity. Even most studies on hyper-energetic diets or their later consequences tend to ignore the critical role of carbohydrate (and nitrogen disposal) as (probably) the two main factors affecting the substrate partition and metabolism.","container-title":"International Journal of Molecular Sciences","DOI":"10.3390/ijms21207729","ISSN":"1422-0067","issue":"20","language":"en","license":"http://creativecommons.org/licenses/by/3.0/","note":"number: 20\npublisher: Multidisciplinary Digital Publishing Institute","page":"7729","source":"www.mdpi.com","title":"Dietary Energy Partition: The Central Role of Glucose","title-short":"Dietary Energy Partition","URL":"https://www.mdpi.com/1422-0067/21/20/7729","volume":"21","author":[{"family":"Remesar","given":"Xavier"},{"family":"Alemany","given":"Marià"}],"accessed":{"date-parts":[["2025",8,20]]},"issued":{"date-parts":[["2020",1]]}}},{"id":171,"uris":["http://zotero.org/users/local/iZlFYfLa/items/5AN7L6EM"],"itemData":{"id":171,"type":"webpage","title":"Comments on metabolic needs for glucose and the role of gluconeogenesis | European Journal of Clinical Nutrition","URL":"https://www.nature.com/articles/1600748","accessed":{"date-parts":[["2025",8,20]]}}},{"id":173,"uris":["http://zotero.org/users/local/iZlFYfLa/items/2Y5KJQAI"],"itemData":{"id":173,"type":"article-journal","abstract":"purpose. To determine the metabolic conditions that provide maintenance of viability for cultured rat RPE cells and to determine whether monocarboxylates such as lactate or pyruvate, which are known to exist at high concentrations in the subretinal space, can provide an alternative energy source to maintain cells when other nutritive supplies are limited.  methods. Cultured rat RPE cells (passage 2–4), in the absence of serum, were subjected to different metabolic challenges relating to glucose, amino acid, or oxygen deprivation. Lactate or pyruvate was added to some cells in each instance to determine whether cells could be maintained by using these substances as fuel sources for metabolic reactions. Cell viability was assessed after treatments, and in some cases proliferation rates and appearance of apoptosis-like DNA cleavage were also investigated by terminal deoxynucleotidyl-transferase UTP-linked nick-end labeling (TUNEL). Western blot analysis was used to determine the expression of transporters for glucose and monocarboxylates in these cells.  results. RPE cell viability was partially reduced in the absence of glucose or with glycolytic inhibition. Lactate or pyruvate did not prevent these reductions. Inhibition of transaminase reactions with aminooxyacetic acid (AOAA) in the absence of glucose caused a complete loss of viability that was reversed by pyruvate or lactate. MCT inhibition was detrimental to RPE cell viability only at high concentrations (500 μM) in the presence of glucose but blocked the protective effect of pyruvate-lactate in the presence of AOAA at 1 μM.  conclusions. Rat RPE cells require glucose as their primary metabolic substrate in culture, but can metabolize glutamine in its absence. When glucose and glutamine are limiting, RPE cells can metabolize monocarboxylates such as lactate or pyruvate. These data provide evidence that such cells are able to withstand various types of insult brought about by nutrient deprivation, by altering their pathways of energy production.","container-title":"Investigative Ophthalmology &amp; Visual Science","DOI":"10.1167/iovs.03-0693","ISSN":"1552-5783","issue":"4","journalAbbreviation":"Investigative Ophthalmology &amp; Visual Science","page":"1272-1280","source":"Silverchair","title":"Energy Substrate Requirements of Rat Retinal Pigmented Epithelial Cells in Culture: Relative Importance of Glucose, Amino Acids, and Monocarboxylates","title-short":"Energy Substrate Requirements of Rat Retinal Pigmented Epithelial Cells in Culture","URL":"https://doi.org/10.1167/iovs.03-0693","volume":"45","author":[{"family":"Wood","given":"John P. M."},{"family":"Chidlow","given":"Glyn"},{"family":"Graham","given":"Mark"},{"family":"Osborne","given":"Neville N."}],"accessed":{"date-parts":[["2025",8,20]]},"issued":{"date-parts":[["2004",4,1]]}}}],"schema":"https://github.com/citation-style-language/schema/raw/master/csl-citation.json"}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1–5</w:t>
      </w:r>
      <w:r w:rsidR="00060559">
        <w:rPr>
          <w:rFonts w:ascii="Times New Roman" w:hAnsi="Times New Roman" w:cs="Times New Roman"/>
          <w:sz w:val="24"/>
          <w:szCs w:val="24"/>
        </w:rPr>
        <w:fldChar w:fldCharType="end"/>
      </w:r>
      <w:r w:rsidRPr="004E52DF">
        <w:rPr>
          <w:rFonts w:ascii="Times New Roman" w:hAnsi="Times New Roman" w:cs="Times New Roman"/>
          <w:sz w:val="24"/>
          <w:szCs w:val="24"/>
        </w:rPr>
        <w:t xml:space="preserve"> As the primary fuel for glycolysis and the downstream pathways of aerobic and anaerobic respiration, glucose is responsible for generating much of the energy required for successful growth and reproduction. In plants and </w:t>
      </w:r>
      <w:r w:rsidR="008F2CA0">
        <w:rPr>
          <w:rFonts w:ascii="Times New Roman" w:hAnsi="Times New Roman" w:cs="Times New Roman"/>
          <w:sz w:val="24"/>
          <w:szCs w:val="24"/>
        </w:rPr>
        <w:t>cyan</w:t>
      </w:r>
      <w:r w:rsidR="008F2CA0" w:rsidRPr="004E52DF">
        <w:rPr>
          <w:rFonts w:ascii="Times New Roman" w:hAnsi="Times New Roman" w:cs="Times New Roman"/>
          <w:sz w:val="24"/>
          <w:szCs w:val="24"/>
        </w:rPr>
        <w:t xml:space="preserve"> bacteria</w:t>
      </w:r>
      <w:r w:rsidRPr="004E52DF">
        <w:rPr>
          <w:rFonts w:ascii="Times New Roman" w:hAnsi="Times New Roman" w:cs="Times New Roman"/>
          <w:sz w:val="24"/>
          <w:szCs w:val="24"/>
        </w:rPr>
        <w:t>, glucose is produced from water and carbon dioxide via photosynthesis and condensed to form starch. The starch may be stored as an energy reserve, or broken down and used as a substrate for the synthesis of a wide variety of saccharine - including sucrose and cellulose. In foods, particularly those that are plant-derived, these diverse carbohydrates contribute greatly to texture and flavor, while serving as a secondary source of energy post</w:t>
      </w:r>
      <w:r w:rsidR="008F2CA0">
        <w:rPr>
          <w:rFonts w:ascii="Times New Roman" w:hAnsi="Times New Roman" w:cs="Times New Roman"/>
          <w:sz w:val="24"/>
          <w:szCs w:val="24"/>
        </w:rPr>
        <w:t>-consumption.</w:t>
      </w:r>
      <w:r w:rsidR="00060559" w:rsidRPr="00D37585">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{"citationID":"wJLx133d","properties":{"formattedCitation":"\\super 6\\uc0\\u8211{}10\\nosupersub{}","plainCitation":"6–10","noteIndex":0},"citationItems":[{"id":149,"uris":["http://zotero.org/users/local/iZlFYfLa/items/LJQ5PUIA"],"itemData":{"id":149,"type":"article-journal","container-title":"The Chemical Educator","DOI":"10.1007/s00897000455a","ISSN":"1430-4171","issue":"1","journalAbbreviation":"Chem. Educator","language":"en","page":"69-70","source":"Springer Link","title":"Lehninger Principles of Biochemistry, 3rd edition; By David L. Nelson and Michael M. Cox","URL":"https://doi.org/10.1007/s00897000455a","volume":"6","author":[{"family":"Fisher","given":"Matthew"}],"accessed":{"date-parts":[["2025",8,19]]},"issued":{"date-parts":[["2001",2,1]]}}},{"id":145,"uris":["http://zotero.org/users/local/iZlFYfLa/items/NMVPYWJC"],"itemData":{"id":145,"type":"article-journal","abstract":"The importance of glucose control in patients with type 1 diabetes mellitus is no longer a controversial issue as it was in the past before the publication of the Diabetes Control and Complications Trial (DCCT) in 1993.48 The DCCT study was one of the longest, most extensive, and most expensive studies ever to be completed in the history of medicine. The DCCT conclusively demonstrated the importance of glucose control in preventing the onset and delaying the progression of the classic microvascular complications of diabetes (retinopathy, nephropathy, and neuropathy) in patients with type 1 diabetes. The DCCT was not the first study to demonstrate the importance of glucose control, although it has set the standard of care for glycemic control in the United States and around the world. The importance of glucose control in patients with type 2 diabetes mellitus is not as widely accepted as it is with type 1 diabetes.8, 12, 31, 37 Numerous publications document similar benefits as those seen in the DCCT study, although these studies were not as well done or as powerful as the DCCT study.6, 25, 26, 27, 41 The majority of diabetes specialists and other caregivers who are interested in diabetes believe that the duration and severity of hyperglycemia dictate the rate and extent of microvascular complications in all patients with diabetes no matter what the cause is for the glucose intolerance. The main controversy that exists is the relationship between hyperinsulinemia and coronary artery disease (CAD).4, 7, 8, 22, 34, 43, 44, 45, 52 Although there has never been a definitive study demonstrating a direct cause- and-effect relationship between hyperinsulinemia and CAD in humans, animal and in vitro studies have demonstrated such findings.16 This controversy relates to this article in that many type 2 diabetes patients require large doses of exogenous insulin to normalize or near-normalize glycemic control.24 This article reviews the most pertinent data reported on the importance of glycemic control in type 1 and type 2 diabetes, as it relates to both microvascular and macrovascular complications.","container-title":"Medical Clinics of North America","DOI":"10.1016/S0025-7125(05)70019-5","ISSN":"0025-7125","issue":"4","journalAbbreviation":"Medical Clinics of North America","page":"665-687","source":"ScienceDirect","title":"IMPORTANCE OF GLUCOSE CONTROL","URL":"https://www.sciencedirect.com/science/article/pii/S0025712505700195","volume":"82","author":[{"family":"Edelman","given":"Steven V."}],"accessed":{"date-parts":[["2025",8,19]]},"issued":{"date-parts":[["1998",7,1]]}}},{"id":175,"uris":["http://zotero.org/users/local/iZlFYfLa/items/P8599FTC"],"itemData":{"id":175,"type":"article-journal","abstract":"Sugar has been valued as a commodity for thousands of years. Despite its long history in commerce, the biological mechanisms accounting for the production of sugar are rather recent discoveries. The reactions are remarkable. Sugar is produced by all green plants and photosynthetic bacteria in a reaction sequence capable of forming carbon-carbon bonds. The very first steps occur independently of solar energy input, but to sustain the reaction, the products of initial fixation are phosphorylated and undergo a reduction in oxidation state. These steps responsible for phosphorylation and reduction are driven by products generated in the chloroplast upon the absorption of light. At this point, after just a few reactions, the products of photosynthesis have already acquired the attributes characteristic of sugars. Once carbon is stabilized as simple sugars in the chloroplast, the products undergo a sequence of rearrangements to sustain a cycle leading to new carbon dioxide acceptor molecules, and with each turn of the cycle a new carbon atom is introduced into the pool. As the process continues some of the carbon is diverted to synthesize starch within the chloroplast. Sucrose is synthesized in the cytoplasm adjacent to the chloroplast from exported carbohydrate as a diversion from the formation of starch. Sucrose represents the principal transport substance in most plants. Storage starch, cellulose, and other complex cell wall polysaccharides are typically derived from the sugar monomers found in sucrose. Sugars supply all the fixed carbon for synthesis of biological compounds and are fundamental for sustaining the energy flow to all food systems.","container-title":"The American Journal of Clinical Nutrition","DOI":"10.1093/ajcn/61.4.915S","ISSN":"0002-9165","issue":"4","journalAbbreviation":"The American Journal of Clinical Nutrition","page":"915S-921S","source":"ScienceDirect","title":"Sugars: their origin in photosynthesis and subsequent biological interconversions","title-short":"Sugars","URL":"https://www.sciencedirect.com/science/article/pii/S000291652318751X","volume":"61","author":[{"family":"Nevins","given":"DJ"}],"accessed":{"date-parts":[["2025",8,20]]},"issued":{"date-parts":[["1995",4,1]]}}},{"id":177,"uris":["http://zotero.org/users/local/iZlFYfLa/items/GDYZ2J7Q"],"itemData":{"id":177,"type":"article-journal","abstract":"Sugar‐mediated regulation of gene expression is a mechanism controlling the expression of many different plant genes. In this review, a compilation of the genes encoding photosynthetic proteins, subject to this mode of regulation, is presented. Several groups have devised different screening strategies to obtain Arabidopsis mutants in sugar sensing and signalling. An overview of these strategies has been included. Sugar‐mediated regulation of gene expression is thought to require the hexokinase (HXK) protein. It has previously been shown that one such sugar, mannose, is capable of blocking germination in Arabidopsis. This inhibition is also mediated by HXK and occurs in the low millimolar concentration range. Here, the use of germination on mannose as an effective screening strategy for putative sugar sensing and signalling mutants is reported. T‐DNA‐ and EMS‐mutagenized collections were used to isolate 31 mannose‐insensitive germination (mig) mutants. With the use of these mutants, a comparison between this screen and other existing sugar‐sensing screens is presented.","container-title":"Journal of Experimental Botany","DOI":"10.1093/jexbot/51.suppl_1.407","ISSN":"0022-0957","issue":"suppl_1","journalAbbreviation":"Journal of Experimental Botany","page":"407-416","source":"Silverchair","title":"Photosynthesis, sugars and the regulation of gene expression","URL":"https://doi.org/10.1093/jexbot/51.suppl_1.407","volume":"51","author":[{"family":"Pego","given":"Jónatas V."},{"family":"Kortstee","given":"Anne J."},{"family":"Huijser","given":"Casper"},{"family":"Smeekens","given":"Sjef C.M."}],"accessed":{"date-parts":[["2025",8,20]]},"issued":{"date-parts":[["2000",2,1]]}}},{"id":179,"uris":["http://zotero.org/users/local/iZlFYfLa/items/EGV5YUZY"],"itemData":{"id":179,"type":"chapter","abstract":"In this chapter, we explore the origins and evolutionary history of sucrose synthesis in plants. Our journey begins with the photosynthetic proteobacteria and cyanobacteria, which were probably the first organisms to synthesize this disaccharide sugar. Sucrose remained an obscure metabolite, used mainly for osmoregulation, until the endosymbiosis of a sucrose-synthesizing cyanobacterium gave rise to the chloroplasts of green plants. This unique event opened up new opportunities for sucrose, and ultimately led to its achieving global importance as one of the principal products of photosynthesis in plants. The rise of sucrose parallels the evolution of plants themselves, with the appearance of long distance vascular transport systems and the adoption of sucrose as a major transport sugar being key developments. During this process the two enzymes in the committed pathway of sucrose synthesis – sucrose-phosphate synthase (SPS) and sucrose-phosphatase (SPP) – evolved new structural and regulatory features, such as the phosphorylation sites involved in light-dark modulation and osmotic stress activation of SPS. We describe how these and other regulatory mechanisms act to coordinate the rate of sucrose synthesis in leaves with photosynthetic CO2 fixation, sucrose export and storage. As our evolutionary journey nears its end, we discover how gene duplications and divergence gave rise to the four SPS gene families – A, B, C and D – that we see in angiosperms today, and how plants have recruited each of the SPS isoforms for different purposes, although these may vary from species to species. Having charted the meteoric rise of sucrose, we finish with some speculation on why this sugar of humble origin came to achieve such prominence in the life of plants, concluding that the secrets of its success remain largely a mystery.","container-title":"Photosynthesis: Plastid Biology, Energy Conversion and Carbon Assimilation","event-place":"Dordrecht","ISBN":"978-94-007-1579-0","language":"en","note":"DOI: 10.1007/978-94-007-1579-0_27","page":"675-702","publisher":"Springer Netherlands","publisher-place":"Dordrecht","source":"Springer Link","title":"Photosynthetic Sucrose Biosynthesis: An Evolutionary Perspective","title-short":"Photosynthetic Sucrose Biosynthesis","URL":"https://doi.org/10.1007/978-94-007-1579-0_27","author":[{"family":"MacRae","given":"Elspeth"},{"family":"Lunn","given":"John E."}],"editor":[{"family":"Eaton-Rye","given":"Julian J."},{"family":"Tripathy","given":"Baishnab C."},{"family":"Sharkey","given":"Thomas D."}],"accessed":{"date-parts":[["2025",8,20]]},"issued":{"date-parts":[["2012"]]}}}],"schema":"https://github.com/citation-style-language/schema/raw/master/csl-citation.json"} </w:instrText>
      </w:r>
      <w:r w:rsidR="00060559" w:rsidRPr="00D37585">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6–10</w:t>
      </w:r>
      <w:r w:rsidR="00060559" w:rsidRPr="00D37585">
        <w:rPr>
          <w:rFonts w:ascii="Times New Roman" w:hAnsi="Times New Roman" w:cs="Times New Roman"/>
          <w:sz w:val="24"/>
          <w:szCs w:val="24"/>
        </w:rPr>
        <w:fldChar w:fldCharType="end"/>
      </w:r>
    </w:p>
    <w:p w:rsidR="00906D58" w:rsidRDefault="00906D58" w:rsidP="00C647A5">
      <w:pPr>
        <w:spacing w:line="360" w:lineRule="auto"/>
        <w:ind w:firstLine="720"/>
        <w:jc w:val="both"/>
        <w:rPr>
          <w:rFonts w:ascii="Times New Roman" w:hAnsi="Times New Roman" w:cs="Times New Roman"/>
          <w:sz w:val="24"/>
          <w:szCs w:val="24"/>
        </w:rPr>
      </w:pPr>
      <w:r w:rsidRPr="00906D58">
        <w:rPr>
          <w:rFonts w:ascii="Times New Roman" w:hAnsi="Times New Roman" w:cs="Times New Roman"/>
          <w:sz w:val="24"/>
          <w:szCs w:val="24"/>
        </w:rPr>
        <w:t>Numerous analytical methods have been developed to detect glucose in food products and their raw ingredients.</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{"citationID":"c3hNz7fw","properties":{"formattedCitation":"\\super 11\\uc0\\u8211{}13\\nosupersub{}","plainCitation":"11–13","noteIndex":0},"citationItems":[{"id":180,"uris":["http://zotero.org/users/local/iZlFYfLa/items/MYXZDVQ5"],"itemData":{"id":180,"type":"article-journal","abstract":"Glucose is an aldosic monosaccharide that is centrally entrenched in the processes of photosynthesis and respiration, serving as an energy reserve and metabolic fuel in most organisms. As both a monomer and as part of more complex structures such as polysaccharides and glucosides, glucose also plays a major role in modern food products, particularly where flavor and or structure are concerned. Over the years, many diverse methods for detecting and quantifying glucose have been developed; this review presents an overview of the most widely employed and historically significant, including copper iodometry, HPLC, GC, CZE, and enzyme based systems such as glucose meters. The relative strengths and limitations of each method are evaluated, and examples of their recent application in the realm of food chemistry are discussed.","container-title":"Food Chemistry","DOI":"10.1016/j.foodchem.2015.04.071","ISSN":"0308-8146","journalAbbreviation":"Food Chemistry","page":"149-160","source":"ScienceDirect","title":"Glucose: Detection and analysis","title-short":"Glucose","URL":"https://www.sciencedirect.com/science/article/pii/S0308814615006172","volume":"188","author":[{"family":"Galant","given":"A. L."},{"family":"Kaufman","given":"R. C."},{"family":"Wilson","given":"J. D."}],"accessed":{"date-parts":[["2025",8,20]]},"issued":{"date-parts":[["2015",12,1]]}}},{"id":182,"uris":["http://zotero.org/users/local/iZlFYfLa/items/NQJBSAW3"],"itemData":{"id":182,"type":"article-journal","abstract":"The spectrophotometer is the most used analysis equipment in traditional colorimetric methods. However, the operation of using a spectrophotometer is time-consuming and labor-intensive, which presents practical difficulties in rapid detection. To this end, we present a digital color analysis method, using the typical 3,5-dinitrosalicylic acid (DNS) method for glucose detection as an example. The primary colors from 3 color spaces (Red-Green-Blue, Hue-Saturation-Value, Hue-Saturation-Intensity) were studied as quantitative analytical parameters for the glucose concentration and the red color (from the Red-Green-Blue colorspace) of the assay image provides superior prediction precision (&gt;99.8%). Combined with the color analysis, two calculation algorithms, nonlinear regression and artificial neural networks, were compared for the detection of a high concentration of glucose. Then a microtiter plate (48-well plate) platform, based on the color analysis, was set up. Compared to existing methods using a spectrophotometer, the digital color analysis method has a large detection range (0–10 g L−1), high accuracy (0.07 g L−1) and fast detection rate (150 samples detected within about 15 min). It also shows great promise for use in a variety of reducing sugar measurements such as xylose, fructose and maltose. These aforementioned features render this newly developed method highly suitable for quick detection applications.","container-title":"Analytical Methods","DOI":"10.1039/C5AY01233C","ISSN":"1759-9679","issue":"16","journalAbbreviation":"Anal. Methods","language":"en","note":"publisher: The Royal Society of Chemistry","page":"6654-6663","source":"pubs.rsc.org","title":"A novel digital color analysis method for rapid glucose detection","URL":"https://pubs.rsc.org/en/content/articlelanding/2015/ay/c5ay01233c","volume":"7","author":[{"family":"Xia","given":"Meng-lei"},{"family":"Wang","given":"Lan"},{"family":"Yang","given":"Zhi-xia"},{"family":"Chen","given":"Hong-zhang"}],"accessed":{"date-parts":[["2025",8,20]]},"issued":{"date-parts":[["2015",8,6]]}}},{"id":184,"uris":["http://zotero.org/users/local/iZlFYfLa/items/SFEQBG26"],"itemData":{"id":184,"type":"webpage","title":"Methods for the determination of glucose in blood. Part 1 | Reviews and Advances in Chemistry","URL":"https://link.springer.com/article/10.1134/S207997801501001X","accessed":{"date-parts":[["2025",8,20]]}}}],"schema":"https://github.com/citation-style-language/schema/raw/master/csl-citation.json"}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11–13</w:t>
      </w:r>
      <w:r w:rsidR="00060559">
        <w:rPr>
          <w:rFonts w:ascii="Times New Roman" w:hAnsi="Times New Roman" w:cs="Times New Roman"/>
          <w:sz w:val="24"/>
          <w:szCs w:val="24"/>
        </w:rPr>
        <w:fldChar w:fldCharType="end"/>
      </w:r>
      <w:r w:rsidRPr="00906D58">
        <w:rPr>
          <w:rFonts w:ascii="Times New Roman" w:hAnsi="Times New Roman" w:cs="Times New Roman"/>
          <w:sz w:val="24"/>
          <w:szCs w:val="24"/>
        </w:rPr>
        <w:t xml:space="preserve"> However, the sheer number of these methods poses a challenge: how can glucose be accurately identified and measured amidst many similar biochemical compounds? As early as the mid-18th century, basic colorimetric tests were created to nonspecifically detect reducing sugars in bodily fluids like blood and urine. With </w:t>
      </w:r>
      <w:r w:rsidRPr="00906D58">
        <w:rPr>
          <w:rFonts w:ascii="Times New Roman" w:hAnsi="Times New Roman" w:cs="Times New Roman"/>
          <w:sz w:val="24"/>
          <w:szCs w:val="24"/>
        </w:rPr>
        <w:lastRenderedPageBreak/>
        <w:t>advancements in technology and a deeper understanding of carbohydrate chemistry, more precise techniques emerged—some targeting specific monosaccharide combinations, while others focused solely on glucose. Although these methods were initially designed for diagnosing and monitoring diabetes, they proved just as effective for measuring glucose levels in plant extracts and food items such as fruit juices and honey. Today, a wide range of reliable and specific techniques are available for detecting and quantifying glucose in various food matrices.</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{"citationID":"u1a9NAAC","properties":{"formattedCitation":"\\super 14\\nosupersub{}","plainCitation":"14","noteIndex":0},"citationItems":[{"id":150,"uris":["http://zotero.org/users/local/iZlFYfLa/items/V8DBYNNX"],"itemData":{"id":150,"type":"article-journal","abstract":"Glucose is an aldosic monosaccharide that is centrally entrenched in the processes of photosynthesis and respiration, serving as an energy reserve and metabolic fuel in most organisms. As both a monomer and as part of more complex structures such as polysaccharides and glucosides, glucose also plays a major role in modern food products, particularly where flavor and or structure are concerned. Over the years, many diverse methods for detecting and quantifying glucose have been developed; this review presents an overview of the most widely employed and historically significant, including copper iodometry, HPLC, GC, CZE, and enzyme based systems such as glucose meters. The relative strengths and limitations of each method are evaluated, and examples of their recent application in the realm of food chemistry are discussed.","container-title":"Food Chemistry","DOI":"10.1016/j.foodchem.2015.04.071","ISSN":"0308-8146","journalAbbreviation":"Food Chemistry","page":"149-160","source":"ScienceDirect","title":"Glucose: Detection and analysis","title-short":"Glucose","URL":"https://www.sciencedirect.com/science/article/pii/S0308814615006172","volume":"188","author":[{"family":"Galant","given":"A. L."},{"family":"Kaufman","given":"R. C."},{"family":"Wilson","given":"J. D."}],"accessed":{"date-parts":[["2025",8,19]]},"issued":{"date-parts":[["2015",12,1]]}}}],"schema":"https://github.com/citation-style-language/schema/raw/master/csl-citation.json"}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14</w:t>
      </w:r>
      <w:r w:rsidR="00060559">
        <w:rPr>
          <w:rFonts w:ascii="Times New Roman" w:hAnsi="Times New Roman" w:cs="Times New Roman"/>
          <w:sz w:val="24"/>
          <w:szCs w:val="24"/>
        </w:rPr>
        <w:fldChar w:fldCharType="end"/>
      </w:r>
    </w:p>
    <w:p w:rsidR="00CC4705" w:rsidRPr="00CC4705" w:rsidRDefault="004B7FEA" w:rsidP="00CC4705">
      <w:pPr>
        <w:spacing w:line="360" w:lineRule="auto"/>
        <w:jc w:val="both"/>
      </w:pPr>
      <w:r>
        <w:rPr>
          <w:rFonts w:ascii="Times New Roman" w:hAnsi="Times New Roman" w:cs="Times New Roman"/>
          <w:sz w:val="24"/>
          <w:szCs w:val="24"/>
        </w:rPr>
        <w:tab/>
      </w:r>
      <w:r w:rsidR="00906D58" w:rsidRPr="00906D58">
        <w:rPr>
          <w:rFonts w:ascii="Times New Roman" w:hAnsi="Times New Roman" w:cs="Times New Roman"/>
          <w:sz w:val="24"/>
          <w:szCs w:val="24"/>
        </w:rPr>
        <w:t>In 1993, the publication of the Diabetes Control and Complications Trial (DCCT) ended the controversy surrounding the importance of glucose control in patients with diabetes mellitus, establishing it as a critical aspect of diabetes management.</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{"citationID":"po2HSxvX","properties":{"formattedCitation":"\\super 15\\nosupersub{}","plainCitation":"15","noteIndex":0},"citationItems":[{"id":154,"uris":["http://zotero.org/users/local/iZlFYfLa/items/NKPISUQW"],"itemData":{"id":154,"type":"article-journal","abstract":"Insulin-dependent diabetes mellitus (IDDM) is accompanied by long-term microvascular, neurologic, and macrovascular complications. Although the daily management of IDDM is burdensome and the specter of metabolic decompensation ever-present, long-term complications, including retinopathy, nephropathy, neuropathy, and cardiovascular disease, have caused the most morbidity and mortality since the introduction of insulin therapy1,2. The prevention and amelioration of these complications have been major goals of recent research. Although studies in animal models of diabetes3–5 and epidemiologic studies6–8 implicate hyperglycemia in the pathogenesis of long-term complications, previous clinical trials have not demonstrated a consistent or convincing beneficial effect of intensive . . .","container-title":"New England Journal of Medicine","DOI":"10.1056/NEJM199309303291401","ISSN":"0028-4793","issue":"14","note":"publisher: Massachusetts Medical Society\n_eprint: https://www.nejm.org/doi/pdf/10.1056/NEJM199309303291401","page":"977-986","source":"Taylor and Francis+NEJM","title":"The Effect of Intensive Treatment of Diabetes on the Development and Progression of Long-Term Complications in Insulin-Dependent Diabetes Mellitus","URL":"https://www.nejm.org/doi/full/10.1056/NEJM199309303291401","volume":"329","author":[{"family":"null","given":"null"}],"accessed":{"date-parts":[["2025",8,19]]},"issued":{"date-parts":[["1993",9,30]]}}}],"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15</w:t>
      </w:r>
      <w:r w:rsidR="00060559">
        <w:rPr>
          <w:rFonts w:ascii="Times New Roman" w:hAnsi="Times New Roman" w:cs="Times New Roman"/>
          <w:sz w:val="24"/>
          <w:szCs w:val="24"/>
        </w:rPr>
        <w:fldChar w:fldCharType="end"/>
      </w:r>
      <w:r w:rsidR="00174D4F" w:rsidRPr="00174D4F">
        <w:t xml:space="preserve"> </w:t>
      </w:r>
      <w:r w:rsidR="00174D4F" w:rsidRPr="00174D4F">
        <w:rPr>
          <w:rFonts w:ascii="Times New Roman" w:hAnsi="Times New Roman" w:cs="Times New Roman"/>
          <w:sz w:val="24"/>
          <w:szCs w:val="24"/>
        </w:rPr>
        <w:t>Dietary carbohydrate digestion and absorption vary by food source and form. Diets high in rapidly digested carbs, which spike blood glucose and insulin, may harm health</w:t>
      </w:r>
      <w:r w:rsidR="00174D4F">
        <w:rPr>
          <w:rFonts w:ascii="Times New Roman" w:hAnsi="Times New Roman" w:cs="Times New Roman"/>
          <w:sz w:val="24"/>
          <w:szCs w:val="24"/>
        </w:rPr>
        <w:t>.</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{"citationID":"q0JNv5pf","properties":{"formattedCitation":"\\super 16,17\\nosupersub{}","plainCitation":"16,17","noteIndex":0},"citationItems":[{"id":158,"uris":["http://zotero.org/users/local/iZlFYfLa/items/Z32DMV7L"],"itemData":{"id":158,"type":"article-journal","abstract":"The determination and quantification of sugars is important for quality control and assurance of horticultural produce. This review discusses analytical methods for determination of sugars and sweetness of fresh and processed fruit and vegetables, including the use of destructive and non-destructive instrumental techniques to evaluate sugar composition and characterize taste profile or sweetness. From the standard hand-held refractometer to the hydrometer, electronic tongue and high pressure liquid chromatography (HPLC) equipped with different detectors, a wide range of devices have been used to determine sugar composition and sweetness of many fruit and vegetable products. Although chromatographic techniques are very accurate and useful, they require extensive sample preparation based on solvent extraction and hence are generally time-consuming and expensive. Visible to near infrared spectroscopy (vis/NIRS) has been proposed as an interesting alternative to traditional methods due to its rapidity, simplicity, cost effectiveness and potential for routine analysis if proper calibration and validation steps were developed. Current trends favour analytical methods that are simple to use, quick and non-destructive. The prospects for using emerging technologies such as hyperspectral imaging and nuclear magnetic resonance for non-destructive assessment of sugar content and sweetness of fresh and processed horticultural food products are also discussed.","container-title":"Scientia Horticulturae","DOI":"10.1016/j.scienta.2015.01.001","ISSN":"0304-4238","journalAbbreviation":"Scientia Horticulturae","page":"179-192","source":"ScienceDirect","title":"Analytical methods for determination of sugars and sweetness of horticultural products—A review","URL":"https://www.sciencedirect.com/science/article/pii/S0304423815000114","volume":"184","author":[{"family":"Magwaza","given":"Lembe Samukelo"},{"family":"Opara","given":"Umezuruike Linus"}],"accessed":{"date-parts":[["2025",8,20]]},"issued":{"date-parts":[["2015",3,5]]}}},{"id":156,"uris":["http://zotero.org/users/local/iZlFYfLa/items/VHZ36QSZ"],"itemData":{"id":156,"type":"webpage","title":"Improving measurement of reducing sugar content  in carbonated beverages using Fehling’s reagent","URL":"https://pdfs.semanticscholar.org/29a0/4c6da031c77a8c61eb13bbe3cc1f1368b3cb.pdf","author":[{"family":"Yun Zhang","given":"Qiming Chen"}],"accessed":{"date-parts":[["2025",8,20]]}}}],"schema":"https://github.com/citation-style-language/schema/raw/master/csl-citation.json"}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16,17</w:t>
      </w:r>
      <w:r w:rsidR="00060559">
        <w:rPr>
          <w:rFonts w:ascii="Times New Roman" w:hAnsi="Times New Roman" w:cs="Times New Roman"/>
          <w:sz w:val="24"/>
          <w:szCs w:val="24"/>
        </w:rPr>
        <w:fldChar w:fldCharType="end"/>
      </w:r>
      <w:r w:rsidR="00CC4705" w:rsidRPr="00CC4705">
        <w:t xml:space="preserve"> </w:t>
      </w:r>
      <w:r w:rsidR="00CC4705" w:rsidRPr="00CC4705">
        <w:rPr>
          <w:rFonts w:ascii="Times New Roman" w:hAnsi="Times New Roman" w:cs="Times New Roman"/>
          <w:sz w:val="24"/>
          <w:szCs w:val="24"/>
        </w:rPr>
        <w:t>Diets rich in slowly digested carbohydrates may help protect against chronic disease. In people with diabetes, they have been linked to improved glycemic control.</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{"citationID":"tpifhQ5a","properties":{"formattedCitation":"\\super 18,19\\nosupersub{}","plainCitation":"18,19","noteIndex":0},"citationItems":[{"id":160,"uris":["http://zotero.org/users/local/iZlFYfLa/items/PEBH3GLT"],"itemData":{"id":160,"type":"webpage","title":"Glucose – a Reducing Sugar? Reducing Properties of Sugars in Beverages and Food | BrewingScience","URL":"https://brewingscience.de/index.php/brewingscience/article/view/410","accessed":{"date-parts":[["2025",8,20]]}}},{"id":162,"uris":["http://zotero.org/users/local/iZlFYfLa/items/F3YT9KQZ"],"itemData":{"id":162,"type":"webpage","title":"Glucose utilization dynamics and food intake | British Journal of Nutrition | Cambridge Core","URL":"https://www.cambridge.org/core/journals/british-journal-of-nutrition/article/glucose-utilization-dynamics-and-food-intake/B68956A0F99790678EA39A4488487B7E","accessed":{"date-parts":[["2025",8,20]]}}}],"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18,19</w:t>
      </w:r>
      <w:r w:rsidR="00060559">
        <w:rPr>
          <w:rFonts w:ascii="Times New Roman" w:hAnsi="Times New Roman" w:cs="Times New Roman"/>
          <w:sz w:val="24"/>
          <w:szCs w:val="24"/>
        </w:rPr>
        <w:fldChar w:fldCharType="end"/>
      </w:r>
      <w:r w:rsidR="00CC4705" w:rsidRPr="00CC4705">
        <w:rPr>
          <w:rFonts w:ascii="Times New Roman" w:eastAsia="Times New Roman" w:hAnsi="Times New Roman" w:cs="Times New Roman"/>
          <w:sz w:val="24"/>
          <w:szCs w:val="24"/>
        </w:rPr>
        <w:t xml:space="preserve"> </w:t>
      </w:r>
      <w:r w:rsidR="00CC4705" w:rsidRPr="00CC4705">
        <w:rPr>
          <w:rFonts w:ascii="Times New Roman" w:hAnsi="Times New Roman" w:cs="Times New Roman"/>
          <w:sz w:val="24"/>
          <w:szCs w:val="24"/>
        </w:rPr>
        <w:t>The health effects of carbohydrate quality underscore the need for a classification system that reflects this aspect.</w:t>
      </w:r>
      <w:r w:rsidR="00060559">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{"citationID":"CodUDX22","properties":{"formattedCitation":"\\super 20\\nosupersub{}","plainCitation":"20","noteIndex":0},"citationItems":[{"id":164,"uris":["http://zotero.org/users/local/iZlFYfLa/items/Q6MTWV89"],"itemData":{"id":164,"type":"article-journal","abstract":"This paper reports a simple, rapid, and sugar-selective method to induce gelation from glucose-containing samples. This method employs glucose oxidase (GOx) to selectively “recognize” and oxidize glucose to generate gluconic acid, which acts to solubilize calcium carbonate and release calcium ions. The release of calcium ions triggers gelation of the calcium-responsive polysaccharide alginate to form a calcium-alginate hydrogel. Rheological measurements confirm that gel formation is triggered by glucose but not fructose or sucrose (consistent with GOx’s selectivity). Vial inversion tests demonstrate that gel formation can be readily observed without the need for instrumentation. Proof-of-concept studies demonstrate that this gel-forming method can detect glucose in food/beverage products sweetened with glucose or high-fructose corn syrups. These results indicate that the enzyme-induced gelation of alginate may provide a simple means to test for sweeteners using components that are safe for use on-site or in the home.","container-title":"Journal of Agricultural and Food Chemistry","DOI":"10.1021/jf301376b","ISSN":"0021-8561","issue":"36","journalAbbreviation":"J. Agric. Food Chem.","note":"publisher: American Chemical Society","page":"8963-8967","source":"ACS Publications","title":"Glucose Oxidase-Mediated Gelation: A Simple Test To Detect Glucose in Food Products","title-short":"Glucose Oxidase-Mediated Gelation","URL":"https://doi.org/10.1021/jf301376b","volume":"60","author":[{"family":"Liu","given":"Yi"},{"family":"Javvaji","given":"Vishal"},{"family":"Raghavan","given":"Srinivasa R."},{"family":"Bentley","given":"William E."},{"family":"Payne","given":"Gregory F."}],"accessed":{"date-parts":[["2025",8,20]]},"issued":{"date-parts":[["2012",9,12]]}}}],"schema":"https://github.com/citation-style-language/schema/raw/master/csl-citation.json"} </w:instrText>
      </w:r>
      <w:r w:rsidR="00060559">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20</w:t>
      </w:r>
      <w:r w:rsidR="00060559">
        <w:rPr>
          <w:rFonts w:ascii="Times New Roman" w:hAnsi="Times New Roman" w:cs="Times New Roman"/>
          <w:sz w:val="24"/>
          <w:szCs w:val="24"/>
        </w:rPr>
        <w:fldChar w:fldCharType="end"/>
      </w:r>
    </w:p>
    <w:p w:rsidR="004D1779" w:rsidRPr="00906D58" w:rsidRDefault="00733AD1" w:rsidP="00733A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D1779" w:rsidRPr="00906D58">
        <w:rPr>
          <w:rFonts w:ascii="Times New Roman" w:hAnsi="Times New Roman" w:cs="Times New Roman"/>
          <w:sz w:val="24"/>
          <w:szCs w:val="24"/>
        </w:rPr>
        <w:t xml:space="preserve">Although many advanced methods for estimating glucose have been developed, they often face limitations when applied in conventional laboratory settings. Techniques such as HPLC, GC, CZE, and enzyme-based assays provide high accuracy, sensitivity, and specificity, but they also have drawbacks. Equipment like HPLC and GC is expensive, and the enzymatic reagents and columns used in these advanced methods typically have limited shelf lives, requiring careful storage and frequent replacement—factors that raise operational costs. </w:t>
      </w:r>
      <w:r w:rsidRPr="00733AD1">
        <w:rPr>
          <w:rFonts w:ascii="Times New Roman" w:hAnsi="Times New Roman" w:cs="Times New Roman"/>
          <w:sz w:val="24"/>
          <w:szCs w:val="24"/>
        </w:rPr>
        <w:t xml:space="preserve">This study aims to profile the glucose impact of select edible carbohydrate sources available in the local markets of </w:t>
      </w:r>
      <w:r w:rsidR="00081DDC" w:rsidRPr="00081DDC">
        <w:rPr>
          <w:rFonts w:ascii="Times New Roman" w:hAnsi="Times New Roman" w:cs="Times New Roman"/>
          <w:sz w:val="24"/>
          <w:szCs w:val="24"/>
        </w:rPr>
        <w:t>Pathsala (Assam, India)</w:t>
      </w:r>
      <w:r w:rsidRPr="00733AD1">
        <w:rPr>
          <w:rFonts w:ascii="Times New Roman" w:hAnsi="Times New Roman" w:cs="Times New Roman"/>
          <w:sz w:val="24"/>
          <w:szCs w:val="24"/>
        </w:rPr>
        <w:t>. By evaluating their</w:t>
      </w:r>
      <w:r>
        <w:rPr>
          <w:rFonts w:ascii="Times New Roman" w:hAnsi="Times New Roman" w:cs="Times New Roman"/>
          <w:sz w:val="24"/>
          <w:szCs w:val="24"/>
        </w:rPr>
        <w:t xml:space="preserve"> </w:t>
      </w:r>
      <w:r w:rsidRPr="00733AD1">
        <w:rPr>
          <w:rFonts w:ascii="Times New Roman" w:hAnsi="Times New Roman" w:cs="Times New Roman"/>
          <w:sz w:val="24"/>
          <w:szCs w:val="24"/>
        </w:rPr>
        <w:t xml:space="preserve">glucose concentration using a traditional method involving Fehling’s solution, the </w:t>
      </w:r>
      <w:r>
        <w:rPr>
          <w:rFonts w:ascii="Times New Roman" w:hAnsi="Times New Roman" w:cs="Times New Roman"/>
          <w:sz w:val="24"/>
          <w:szCs w:val="24"/>
        </w:rPr>
        <w:t>study</w:t>
      </w:r>
      <w:r w:rsidRPr="00733AD1">
        <w:rPr>
          <w:rFonts w:ascii="Times New Roman" w:hAnsi="Times New Roman" w:cs="Times New Roman"/>
          <w:sz w:val="24"/>
          <w:szCs w:val="24"/>
        </w:rPr>
        <w:t xml:space="preserve"> seeks to inform nutritional recommendations and contribute to better management and prevention of diet-related health issues in the community.</w:t>
      </w:r>
    </w:p>
    <w:p w:rsidR="009F21FE" w:rsidRPr="00BB611C" w:rsidRDefault="00BB611C" w:rsidP="00BB611C">
      <w:pPr>
        <w:spacing w:line="360" w:lineRule="auto"/>
        <w:jc w:val="both"/>
        <w:rPr>
          <w:rFonts w:ascii="Times New Roman" w:hAnsi="Times New Roman" w:cs="Times New Roman"/>
          <w:b/>
          <w:sz w:val="32"/>
        </w:rPr>
      </w:pPr>
      <w:r w:rsidRPr="00BB611C">
        <w:rPr>
          <w:rFonts w:ascii="Times New Roman" w:hAnsi="Times New Roman" w:cs="Times New Roman"/>
          <w:b/>
          <w:sz w:val="32"/>
        </w:rPr>
        <w:t>2. Results and discussion</w:t>
      </w:r>
      <w:r w:rsidR="00004DD9" w:rsidRPr="00BB611C">
        <w:rPr>
          <w:rFonts w:ascii="Times New Roman" w:hAnsi="Times New Roman" w:cs="Times New Roman"/>
          <w:b/>
          <w:sz w:val="32"/>
        </w:rPr>
        <w:t>:</w:t>
      </w:r>
    </w:p>
    <w:p w:rsidR="00BB611C" w:rsidRPr="00BB611C" w:rsidRDefault="00BB611C" w:rsidP="00BB611C">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Estimation of glucose is done by several methods such as </w:t>
      </w:r>
      <w:r w:rsidRPr="004039AA">
        <w:rPr>
          <w:rFonts w:ascii="Times New Roman" w:hAnsi="Times New Roman" w:cs="Times New Roman"/>
          <w:sz w:val="24"/>
          <w:szCs w:val="24"/>
        </w:rPr>
        <w:t>Copper-Iodometric  Methods</w:t>
      </w:r>
      <w:r w:rsidRPr="004039AA">
        <w:rPr>
          <w:sz w:val="24"/>
          <w:szCs w:val="24"/>
        </w:rPr>
        <w:t xml:space="preserve">, </w:t>
      </w:r>
      <w:r w:rsidRPr="004039AA">
        <w:rPr>
          <w:rFonts w:ascii="Times New Roman" w:hAnsi="Times New Roman" w:cs="Times New Roman"/>
          <w:sz w:val="24"/>
          <w:szCs w:val="24"/>
        </w:rPr>
        <w:t>Estimation by Fehling’s solution, Enzymatic Methods, Glucose oxidase (GOx): Hexokinase, Glucose 1-dehydrogenase, Glucose meters, Capillary zone electrophoresis, Gas chromatography etc.</w:t>
      </w:r>
      <w:r w:rsidR="00060559" w:rsidRPr="004039AA">
        <w:rPr>
          <w:rFonts w:ascii="Times New Roman" w:hAnsi="Times New Roman" w:cs="Times New Roman"/>
          <w:sz w:val="24"/>
          <w:szCs w:val="24"/>
        </w:rPr>
        <w:fldChar w:fldCharType="begin"/>
      </w:r>
      <w:r w:rsidR="00EA540D">
        <w:rPr>
          <w:rFonts w:ascii="Times New Roman" w:hAnsi="Times New Roman" w:cs="Times New Roman"/>
          <w:sz w:val="24"/>
          <w:szCs w:val="24"/>
        </w:rPr>
        <w:instrText xml:space="preserve"> ADDIN ZOTERO_ITEM CSL_CITATION {"citationID":"X9LH7PyS","properties":{"formattedCitation":"\\super 21\\nosupersub{}","plainCitation":"21","noteIndex":0},"citationItems":[{"id":152,"uris":["http://zotero.org/users/local/iZlFYfLa/items/QNL8HGXL"],"itemData":{"id":152,"type":"article-journal","abstract":"The aim of this study is to develop and optimise a method of sugar content determination in food products. Date juice (syrup) was used as a sample natural food resource for the analysis because of its potential usage as an alternative substrate for a variety of fermentation processes. Hence, qualifying and quantifying its sugar content is a crucial step. Therefore, gas chromatography mass spectrometry (GCMS) was used as a pre-qualitative method to identify the types of sugar in the date sample. The results demonstrate that the analysed date juice contains glucose, fructose and sucrose. This analysis was obtained by measuring the retention time of individual standard sugar samples such as glucose, fructose, mannose and sucrose. In addition, the mass spectra of the standard and date juice samples contained characteristic fragments of glucose, fructose and sucrose. Thus, GCMS results determined the appropriate enzymatic assays for quantifying the sugars in date juice. These results were similar to those of the two enzymatic methods (standard enzymatic assay and measuring the change in pH by CL10 analyser). Therefore, they confirmed the identified sugars and provided the sugar contents of the sample. Consequently, sugar quantification results indicate that 1 g of date juice sample contains a total of 0.5275–0.5507 g of six-carbon sugars (glucose + fructose) and 0.064–0.068 g of sucrose. As a consequence, the total sugar content in 1 g of date juice is 0.600–0.615 g. These results are comparable to the sample analysis that is provided by the date juice production company.","container-title":"Foods","DOI":"10.3390/foods7110185","ISSN":"2304-8158","issue":"11","language":"en","license":"http://creativecommons.org/licenses/by/3.0/","note":"number: 11\npublisher: Multidisciplinary Digital Publishing Institute","page":"185","source":"www.mdpi.com","title":"Analysis of the Sugar Content in Food Products by Using Gas Chromatography Mass Spectrometry and Enzymatic Methods","URL":"https://www.mdpi.com/2304-8158/7/11/185","volume":"7","author":[{"family":"Al-Mhanna","given":"Najah M."},{"family":"Huebner","given":"Holger"},{"family":"Buchholz","given":"Rainer"}],"accessed":{"date-parts":[["2025",8,19]]},"issued":{"date-parts":[["2018",11]]}}}],"schema":"https://github.com/citation-style-language/schema/raw/master/csl-citation.json"} </w:instrText>
      </w:r>
      <w:r w:rsidR="00060559" w:rsidRPr="004039AA">
        <w:rPr>
          <w:rFonts w:ascii="Times New Roman" w:hAnsi="Times New Roman" w:cs="Times New Roman"/>
          <w:sz w:val="24"/>
          <w:szCs w:val="24"/>
        </w:rPr>
        <w:fldChar w:fldCharType="separate"/>
      </w:r>
      <w:r w:rsidR="00163F26" w:rsidRPr="00163F26">
        <w:rPr>
          <w:rFonts w:ascii="Times New Roman" w:hAnsi="Times New Roman" w:cs="Times New Roman"/>
          <w:sz w:val="24"/>
          <w:szCs w:val="24"/>
          <w:vertAlign w:val="superscript"/>
        </w:rPr>
        <w:t>21</w:t>
      </w:r>
      <w:r w:rsidR="00060559" w:rsidRPr="004039AA">
        <w:rPr>
          <w:rFonts w:ascii="Times New Roman" w:hAnsi="Times New Roman" w:cs="Times New Roman"/>
          <w:sz w:val="24"/>
          <w:szCs w:val="24"/>
        </w:rPr>
        <w:fldChar w:fldCharType="end"/>
      </w:r>
    </w:p>
    <w:p w:rsidR="00350FCD" w:rsidRPr="00350FCD" w:rsidRDefault="00350FCD" w:rsidP="00350FCD">
      <w:pPr>
        <w:spacing w:line="360" w:lineRule="auto"/>
        <w:jc w:val="both"/>
        <w:rPr>
          <w:rFonts w:ascii="Times New Roman" w:hAnsi="Times New Roman" w:cs="Times New Roman"/>
          <w:sz w:val="24"/>
          <w:szCs w:val="24"/>
        </w:rPr>
      </w:pPr>
      <w:r w:rsidRPr="00350FCD">
        <w:rPr>
          <w:rFonts w:ascii="Times New Roman" w:hAnsi="Times New Roman" w:cs="Times New Roman"/>
          <w:sz w:val="24"/>
          <w:szCs w:val="24"/>
        </w:rPr>
        <w:lastRenderedPageBreak/>
        <w:t>To estimate the glucose content in a given food sample, the carbohydrates are first broken down using hydrochloric acid. The hydrolyzed mixture is then titrated with a standardized Fehling's solution. A distinct color change from blue to brick red indicates the end point of the titration. The chemical reaction and the associated color change are illustrated in Figure 2.1.</w:t>
      </w:r>
    </w:p>
    <w:p w:rsidR="004A0296" w:rsidRDefault="005872FC" w:rsidP="00350FCD">
      <w:pPr>
        <w:spacing w:line="360" w:lineRule="auto"/>
        <w:jc w:val="both"/>
        <w:rPr>
          <w:rFonts w:ascii="Times New Roman" w:hAnsi="Times New Roman" w:cs="Times New Roman"/>
          <w:b/>
          <w:bCs/>
          <w:sz w:val="24"/>
        </w:rPr>
      </w:pPr>
      <w:r>
        <w:rPr>
          <w:rFonts w:ascii="Times New Roman" w:hAnsi="Times New Roman" w:cs="Times New Roman"/>
          <w:b/>
          <w:bCs/>
          <w:noProof/>
          <w:sz w:val="24"/>
        </w:rPr>
        <w:drawing>
          <wp:inline distT="0" distB="0" distL="0" distR="0">
            <wp:extent cx="5732145" cy="1085215"/>
            <wp:effectExtent l="19050" t="0" r="1905" b="0"/>
            <wp:docPr id="12" name="Picture 11" descr="Glucose Fehl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cose Fehling.tif"/>
                    <pic:cNvPicPr/>
                  </pic:nvPicPr>
                  <pic:blipFill>
                    <a:blip r:embed="rId8" cstate="print"/>
                    <a:stretch>
                      <a:fillRect/>
                    </a:stretch>
                  </pic:blipFill>
                  <pic:spPr>
                    <a:xfrm>
                      <a:off x="0" y="0"/>
                      <a:ext cx="5732145" cy="1085215"/>
                    </a:xfrm>
                    <a:prstGeom prst="rect">
                      <a:avLst/>
                    </a:prstGeom>
                  </pic:spPr>
                </pic:pic>
              </a:graphicData>
            </a:graphic>
          </wp:inline>
        </w:drawing>
      </w:r>
      <w:r w:rsidRPr="005872FC">
        <w:t xml:space="preserve"> </w:t>
      </w:r>
      <w:r w:rsidR="00350FCD">
        <w:rPr>
          <w:rFonts w:ascii="Times New Roman" w:hAnsi="Times New Roman" w:cs="Times New Roman"/>
          <w:b/>
          <w:bCs/>
          <w:sz w:val="24"/>
        </w:rPr>
        <w:t>Figure 2.1</w:t>
      </w:r>
      <w:r w:rsidRPr="005872FC">
        <w:rPr>
          <w:rFonts w:ascii="Times New Roman" w:hAnsi="Times New Roman" w:cs="Times New Roman"/>
          <w:b/>
          <w:bCs/>
          <w:sz w:val="24"/>
        </w:rPr>
        <w:t xml:space="preserve">: </w:t>
      </w:r>
      <w:r w:rsidRPr="005872FC">
        <w:rPr>
          <w:rFonts w:ascii="Times New Roman" w:hAnsi="Times New Roman" w:cs="Times New Roman"/>
          <w:bCs/>
          <w:sz w:val="24"/>
        </w:rPr>
        <w:t>Oxidation of glucose to gluconic acid using Fehling’s solution, resulting in a color change from blue to red.</w:t>
      </w:r>
    </w:p>
    <w:p w:rsidR="00BA02CE" w:rsidRDefault="00C905BB" w:rsidP="00004DD9">
      <w:pPr>
        <w:spacing w:line="360" w:lineRule="auto"/>
        <w:rPr>
          <w:rFonts w:ascii="Times New Roman" w:hAnsi="Times New Roman" w:cs="Times New Roman"/>
          <w:b/>
          <w:bCs/>
          <w:sz w:val="24"/>
        </w:rPr>
      </w:pPr>
      <w:r>
        <w:rPr>
          <w:rFonts w:ascii="Times New Roman" w:hAnsi="Times New Roman" w:cs="Times New Roman"/>
          <w:b/>
          <w:bCs/>
          <w:sz w:val="24"/>
        </w:rPr>
        <w:t xml:space="preserve">2.1 </w:t>
      </w:r>
      <w:r w:rsidR="00350FCD" w:rsidRPr="00350FCD">
        <w:rPr>
          <w:rFonts w:ascii="Times New Roman" w:hAnsi="Times New Roman" w:cs="Times New Roman"/>
          <w:b/>
          <w:bCs/>
          <w:sz w:val="24"/>
        </w:rPr>
        <w:t xml:space="preserve">Estimation of glucose in </w:t>
      </w:r>
      <w:r w:rsidR="006573A1" w:rsidRPr="006573A1">
        <w:rPr>
          <w:rFonts w:ascii="Times New Roman" w:hAnsi="Times New Roman" w:cs="Times New Roman"/>
          <w:b/>
          <w:bCs/>
          <w:sz w:val="24"/>
        </w:rPr>
        <w:t>Edible Carbohydrates from Pathsala Town Markets</w:t>
      </w:r>
      <w:r w:rsidR="00350FCD" w:rsidRPr="00350FCD">
        <w:rPr>
          <w:rFonts w:ascii="Times New Roman" w:hAnsi="Times New Roman" w:cs="Times New Roman"/>
          <w:b/>
          <w:bCs/>
          <w:sz w:val="24"/>
        </w:rPr>
        <w:t>:</w:t>
      </w:r>
    </w:p>
    <w:p w:rsidR="00823DAE" w:rsidRPr="00823DAE" w:rsidRDefault="00823DAE" w:rsidP="00C905BB">
      <w:pPr>
        <w:spacing w:line="360" w:lineRule="auto"/>
        <w:jc w:val="both"/>
        <w:rPr>
          <w:rFonts w:ascii="Times New Roman" w:hAnsi="Times New Roman" w:cs="Times New Roman"/>
          <w:sz w:val="24"/>
        </w:rPr>
      </w:pPr>
      <w:r>
        <w:rPr>
          <w:rFonts w:ascii="Times New Roman" w:hAnsi="Times New Roman" w:cs="Times New Roman"/>
          <w:sz w:val="24"/>
        </w:rPr>
        <w:t>T</w:t>
      </w:r>
      <w:r w:rsidRPr="00823DAE">
        <w:rPr>
          <w:rFonts w:ascii="Times New Roman" w:hAnsi="Times New Roman" w:cs="Times New Roman"/>
          <w:sz w:val="24"/>
        </w:rPr>
        <w:t xml:space="preserve">o estimate the amount of glucose present, we have selected five commonly consumed edible items from the locality of </w:t>
      </w:r>
      <w:r w:rsidR="00081DDC" w:rsidRPr="00081DDC">
        <w:rPr>
          <w:rFonts w:ascii="Times New Roman" w:hAnsi="Times New Roman" w:cs="Times New Roman"/>
          <w:sz w:val="24"/>
        </w:rPr>
        <w:t>Pathsala (Assam, India)</w:t>
      </w:r>
      <w:r w:rsidRPr="00823DAE">
        <w:rPr>
          <w:rFonts w:ascii="Times New Roman" w:hAnsi="Times New Roman" w:cs="Times New Roman"/>
          <w:sz w:val="24"/>
        </w:rPr>
        <w:t>, namely: table sugar, jaggery, sugarcane juice, potato, and honey.</w:t>
      </w:r>
    </w:p>
    <w:p w:rsidR="0011304F" w:rsidRDefault="00823DAE" w:rsidP="00C905BB">
      <w:pPr>
        <w:spacing w:line="360" w:lineRule="auto"/>
        <w:jc w:val="both"/>
        <w:rPr>
          <w:rFonts w:ascii="Times New Roman" w:hAnsi="Times New Roman" w:cs="Times New Roman"/>
          <w:bCs/>
          <w:sz w:val="24"/>
          <w:szCs w:val="28"/>
        </w:rPr>
      </w:pPr>
      <w:r w:rsidRPr="00823DAE">
        <w:rPr>
          <w:rFonts w:ascii="Times New Roman" w:hAnsi="Times New Roman" w:cs="Times New Roman"/>
          <w:sz w:val="24"/>
        </w:rPr>
        <w:t xml:space="preserve">Table sugar primarily contains sucrose, a disaccharide, and therefore the amount of glucose present cannot be estimated directly. To enable estimation, sucrose is first hydrolyzed using hydrochloric acid, which breaks it down into one mole of glucose and one mole of fructose. The resulting hydrolyzed product is then titrated against Fehling’s solution to determine the glucose content. </w:t>
      </w:r>
      <w:r w:rsidR="008617AB" w:rsidRPr="00823DAE">
        <w:rPr>
          <w:rFonts w:ascii="Times New Roman" w:hAnsi="Times New Roman" w:cs="Times New Roman"/>
          <w:sz w:val="24"/>
        </w:rPr>
        <w:t>This process was repeated three times, and the mean of the values obtained was used for further calculations.</w:t>
      </w:r>
      <w:r w:rsidR="008466DC">
        <w:rPr>
          <w:rFonts w:ascii="Times New Roman" w:hAnsi="Times New Roman" w:cs="Times New Roman"/>
          <w:sz w:val="24"/>
        </w:rPr>
        <w:t xml:space="preserve"> </w:t>
      </w:r>
      <w:r w:rsidR="008466DC" w:rsidRPr="008466DC">
        <w:rPr>
          <w:rFonts w:ascii="Times New Roman" w:hAnsi="Times New Roman" w:cs="Times New Roman"/>
          <w:sz w:val="24"/>
        </w:rPr>
        <w:t>The amount of glucose present in the given solutions was determined as follows: 1.0350 g of sugar contains 0.5086 g of glucose; similarly, 1.0148 g of sugar contains 0.4957 g, and 1.0453 g of sugar contains 0.5130 g of glucose</w:t>
      </w:r>
      <w:r w:rsidR="008466DC">
        <w:rPr>
          <w:rFonts w:ascii="Times New Roman" w:hAnsi="Times New Roman" w:cs="Times New Roman"/>
          <w:sz w:val="24"/>
        </w:rPr>
        <w:t xml:space="preserve"> (Table 2.1). On an average it was found that </w:t>
      </w:r>
      <w:r w:rsidR="008466DC">
        <w:rPr>
          <w:rFonts w:ascii="Times New Roman" w:hAnsi="Times New Roman" w:cs="Times New Roman"/>
          <w:bCs/>
          <w:sz w:val="24"/>
          <w:szCs w:val="28"/>
        </w:rPr>
        <w:t>0.4902 g of glucose is present per gram of table sugar used.</w:t>
      </w:r>
    </w:p>
    <w:p w:rsidR="008466DC" w:rsidRDefault="00B87E1D" w:rsidP="00C905BB">
      <w:pPr>
        <w:spacing w:line="360" w:lineRule="auto"/>
        <w:jc w:val="both"/>
        <w:rPr>
          <w:rFonts w:ascii="Times New Roman" w:hAnsi="Times New Roman" w:cs="Times New Roman"/>
          <w:sz w:val="24"/>
        </w:rPr>
      </w:pPr>
      <w:r w:rsidRPr="00B87E1D">
        <w:rPr>
          <w:rFonts w:ascii="Times New Roman" w:hAnsi="Times New Roman" w:cs="Times New Roman"/>
          <w:sz w:val="24"/>
        </w:rPr>
        <w:t xml:space="preserve">Jaggery, a natural sweetener made from sugarcane juice, primarily contains sucrose (C₁₂H₂₂O₁₁), along with other sugars such as fructose and glucose, as well as minerals and vitamins. To estimate the glucose content, the jaggery samples were hydrolyzed using hydrochloric acid to convert disaccharides into monosaccharides before reacting with Fehling’s solution. Three samples were analyzed, and the glucose content was found to be 0.4436 g in 1.0226 g of jaggery, 0.4796 g in 1.0420 g, and 0.4609 g in 1.0327 g. Based on </w:t>
      </w:r>
      <w:r w:rsidRPr="00B87E1D">
        <w:rPr>
          <w:rFonts w:ascii="Times New Roman" w:hAnsi="Times New Roman" w:cs="Times New Roman"/>
          <w:sz w:val="24"/>
        </w:rPr>
        <w:lastRenderedPageBreak/>
        <w:t xml:space="preserve">these results, the average glucose content was calculated to be 0.4468 g per gram of </w:t>
      </w:r>
      <w:r>
        <w:rPr>
          <w:rFonts w:ascii="Times New Roman" w:hAnsi="Times New Roman" w:cs="Times New Roman"/>
          <w:sz w:val="24"/>
        </w:rPr>
        <w:t>jiggery (Table 2.1).</w:t>
      </w:r>
    </w:p>
    <w:p w:rsidR="006B46EC" w:rsidRDefault="006B46EC" w:rsidP="00C905BB">
      <w:pPr>
        <w:spacing w:line="360" w:lineRule="auto"/>
        <w:jc w:val="both"/>
        <w:rPr>
          <w:rFonts w:ascii="Times New Roman" w:hAnsi="Times New Roman" w:cs="Times New Roman"/>
          <w:bCs/>
          <w:sz w:val="24"/>
        </w:rPr>
      </w:pPr>
      <w:r w:rsidRPr="006B46EC">
        <w:rPr>
          <w:rFonts w:ascii="Times New Roman" w:hAnsi="Times New Roman" w:cs="Times New Roman"/>
          <w:bCs/>
          <w:sz w:val="24"/>
        </w:rPr>
        <w:t xml:space="preserve">Table sugar and jaggery are both derived from sugarcane, which led us to analyze the glucose content in pure sugarcane juice sourced from the local market in Pathsala town. A similar analytical method was employed as in previous cases; however, unlike before, the juice samples </w:t>
      </w:r>
      <w:r>
        <w:rPr>
          <w:rFonts w:ascii="Times New Roman" w:hAnsi="Times New Roman" w:cs="Times New Roman"/>
          <w:bCs/>
          <w:sz w:val="24"/>
        </w:rPr>
        <w:t xml:space="preserve">(liquid) </w:t>
      </w:r>
      <w:r w:rsidRPr="006B46EC">
        <w:rPr>
          <w:rFonts w:ascii="Times New Roman" w:hAnsi="Times New Roman" w:cs="Times New Roman"/>
          <w:bCs/>
          <w:sz w:val="24"/>
        </w:rPr>
        <w:t>were weighed. Three samples were tested: 4.1367 g of juice contained 0.2587 g of glucose, 2.5271 g contained 0.1777 g, and 3.1423 g had 0.2105 g of glucose. From these values, the average glucose concentration was determined to be 0.0665 g p</w:t>
      </w:r>
      <w:r>
        <w:rPr>
          <w:rFonts w:ascii="Times New Roman" w:hAnsi="Times New Roman" w:cs="Times New Roman"/>
          <w:bCs/>
          <w:sz w:val="24"/>
        </w:rPr>
        <w:t>er gram of sugarcane juice (</w:t>
      </w:r>
      <w:r w:rsidRPr="006B46EC">
        <w:rPr>
          <w:rFonts w:ascii="Times New Roman" w:hAnsi="Times New Roman" w:cs="Times New Roman"/>
          <w:bCs/>
          <w:sz w:val="24"/>
        </w:rPr>
        <w:t>Table 2.1).</w:t>
      </w:r>
    </w:p>
    <w:p w:rsidR="00781FB4" w:rsidRDefault="008A07CD" w:rsidP="00C905BB">
      <w:pPr>
        <w:spacing w:line="360" w:lineRule="auto"/>
        <w:jc w:val="both"/>
        <w:rPr>
          <w:rFonts w:ascii="Times New Roman" w:hAnsi="Times New Roman" w:cs="Times New Roman"/>
          <w:bCs/>
          <w:sz w:val="24"/>
        </w:rPr>
      </w:pPr>
      <w:r>
        <w:rPr>
          <w:rFonts w:ascii="Times New Roman" w:hAnsi="Times New Roman" w:cs="Times New Roman"/>
          <w:bCs/>
          <w:noProof/>
          <w:sz w:val="24"/>
        </w:rPr>
        <w:drawing>
          <wp:inline distT="0" distB="0" distL="0" distR="0">
            <wp:extent cx="5732145" cy="5555615"/>
            <wp:effectExtent l="19050" t="0" r="1905" b="0"/>
            <wp:docPr id="4" name="Picture 3" descr="Table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2.1.jpg"/>
                    <pic:cNvPicPr/>
                  </pic:nvPicPr>
                  <pic:blipFill>
                    <a:blip r:embed="rId9"/>
                    <a:stretch>
                      <a:fillRect/>
                    </a:stretch>
                  </pic:blipFill>
                  <pic:spPr>
                    <a:xfrm>
                      <a:off x="0" y="0"/>
                      <a:ext cx="5732145" cy="5555615"/>
                    </a:xfrm>
                    <a:prstGeom prst="rect">
                      <a:avLst/>
                    </a:prstGeom>
                  </pic:spPr>
                </pic:pic>
              </a:graphicData>
            </a:graphic>
          </wp:inline>
        </w:drawing>
      </w:r>
    </w:p>
    <w:p w:rsidR="00614033" w:rsidRDefault="00614033" w:rsidP="00614033">
      <w:pPr>
        <w:spacing w:line="360" w:lineRule="auto"/>
        <w:jc w:val="both"/>
        <w:rPr>
          <w:rFonts w:ascii="Times New Roman" w:hAnsi="Times New Roman" w:cs="Times New Roman"/>
          <w:bCs/>
          <w:sz w:val="24"/>
        </w:rPr>
      </w:pPr>
      <w:r w:rsidRPr="006B46EC">
        <w:rPr>
          <w:rFonts w:ascii="Times New Roman" w:hAnsi="Times New Roman" w:cs="Times New Roman"/>
          <w:bCs/>
          <w:sz w:val="24"/>
        </w:rPr>
        <w:t xml:space="preserve">Honey, another commonly consumed natural sweetener, is either taken directly from natural sources or purchased commercially. Known for its rich nutritional profile, honey contains not </w:t>
      </w:r>
      <w:r w:rsidRPr="006B46EC">
        <w:rPr>
          <w:rFonts w:ascii="Times New Roman" w:hAnsi="Times New Roman" w:cs="Times New Roman"/>
          <w:bCs/>
          <w:sz w:val="24"/>
        </w:rPr>
        <w:lastRenderedPageBreak/>
        <w:t>only sugars but also essential amino acids, proteins, vitamins, lipids, minerals, and key organic acids.</w:t>
      </w:r>
      <w:r w:rsidR="00060559">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{"citationID":"bnHO4gJu","properties":{"formattedCitation":"\\super 22,23\\nosupersub{}","plainCitation":"22,23","noteIndex":0},"citationItems":[{"id":194,"uris":["http://zotero.org/users/local/iZlFYfLa/items/EJ8NQHMF"],"itemData":{"id":194,"type":"article-journal","abstract":"The main goal of this article is to present an overview of the analytical methodologies employed in recent years (2015–2021) to determine several honey constituents, and, specifically, those with health-promoting effects and nutritional value, like phenolic compounds, sugars, amino acids and proteins, vitamins, lipids, minerals, and organic acids. The review is structured according to the different families of compounds, and they will be discussed along with the main extraction and analytical techniques used for their determination. Phenolic compounds, sugars and amino acids have been the main compounds determined in honey. The analytical methods (sample treatment and determination techniques) are strongly dependent on the compound. Nevertheless, it can be concluded that high-performance liquid chromatography was predominantly selected for determining honey constituents; while, in relation to the sample treatment, the preferred option was a dilution of the honey with water or a buffer.","container-title":"Food Chemistry","DOI":"10.1016/j.foodchem.2022.132920","ISSN":"0308-8146","journalAbbreviation":"Food Chemistry","page":"132920","source":"ScienceDirect","title":"Recent trends in the analysis of honey constituents","URL":"https://www.sciencedirect.com/science/article/pii/S0308814622008822","volume":"387","author":[{"family":"Valverde","given":"Silvia"},{"family":"Ares","given":"Ana M."},{"family":"Stephen Elmore","given":"J."},{"family":"Bernal","given":"José"}],"accessed":{"date-parts":[["2025",8,21]]},"issued":{"date-parts":[["2022",9,1]]}}},{"id":196,"uris":["http://zotero.org/users/local/iZlFYfLa/items/NEF3TKIP"],"itemData":{"id":196,"type":"webpage","title":"Chemical Composition of Honey | SpringerLink","URL":"https://link.springer.com/chapter/10.1007/978-3-031-89049-9_3","accessed":{"date-parts":[["2025",8,21]]}}}],"schema":"https://github.com/citation-style-language/schema/raw/master/csl-citation.json"} </w:instrText>
      </w:r>
      <w:r w:rsidR="00060559">
        <w:rPr>
          <w:rFonts w:ascii="Times New Roman" w:hAnsi="Times New Roman" w:cs="Times New Roman"/>
          <w:bCs/>
          <w:sz w:val="24"/>
        </w:rPr>
        <w:fldChar w:fldCharType="separate"/>
      </w:r>
      <w:r w:rsidRPr="0062253E">
        <w:rPr>
          <w:rFonts w:ascii="Times New Roman" w:hAnsi="Times New Roman" w:cs="Times New Roman"/>
          <w:sz w:val="24"/>
          <w:szCs w:val="24"/>
          <w:vertAlign w:val="superscript"/>
        </w:rPr>
        <w:t>22,23</w:t>
      </w:r>
      <w:r w:rsidR="00060559">
        <w:rPr>
          <w:rFonts w:ascii="Times New Roman" w:hAnsi="Times New Roman" w:cs="Times New Roman"/>
          <w:bCs/>
          <w:sz w:val="24"/>
        </w:rPr>
        <w:fldChar w:fldCharType="end"/>
      </w:r>
      <w:r w:rsidRPr="006B46EC">
        <w:rPr>
          <w:rFonts w:ascii="Times New Roman" w:hAnsi="Times New Roman" w:cs="Times New Roman"/>
          <w:bCs/>
          <w:sz w:val="24"/>
        </w:rPr>
        <w:t xml:space="preserve"> Due to its high nutritional value, it was included in our study. Honey samples from the local market were weighed, diluted, and then hydrolyzed using hydrochloric acid. The glucose content was then estimated using the same procedure as before. Results showed that 1.2708 g of honey contained 0.4758 g of glucose, 1.0539 g contained 0.4244 g, and 1.0704 g contained 0.4275 g of glucose (refer to Table 2.1). The average glucose content was calculated to be 0.3922 g per gram of honey available in </w:t>
      </w:r>
      <w:r w:rsidR="00081DDC" w:rsidRPr="00081DDC">
        <w:rPr>
          <w:rFonts w:ascii="Times New Roman" w:hAnsi="Times New Roman" w:cs="Times New Roman"/>
          <w:bCs/>
          <w:sz w:val="24"/>
        </w:rPr>
        <w:t>Pathsala (Assam, India)</w:t>
      </w:r>
      <w:r w:rsidRPr="006B46EC">
        <w:rPr>
          <w:rFonts w:ascii="Times New Roman" w:hAnsi="Times New Roman" w:cs="Times New Roman"/>
          <w:bCs/>
          <w:sz w:val="24"/>
        </w:rPr>
        <w:t>.</w:t>
      </w:r>
    </w:p>
    <w:p w:rsidR="00614033" w:rsidRPr="006B46EC" w:rsidRDefault="00614033" w:rsidP="00614033">
      <w:pPr>
        <w:spacing w:line="360" w:lineRule="auto"/>
        <w:jc w:val="both"/>
        <w:rPr>
          <w:rFonts w:ascii="Times New Roman" w:hAnsi="Times New Roman" w:cs="Times New Roman"/>
          <w:bCs/>
          <w:sz w:val="24"/>
        </w:rPr>
      </w:pPr>
      <w:r w:rsidRPr="007C52EF">
        <w:rPr>
          <w:rFonts w:ascii="Times New Roman" w:hAnsi="Times New Roman" w:cs="Times New Roman"/>
          <w:bCs/>
          <w:sz w:val="24"/>
        </w:rPr>
        <w:t>After successfully determining the glucose content in commonly consumed edibles where glucose exists as a disaccharide, we shifted our focus to potatoes—one of the most widely consumed foods globally. Potatoes are primarily known for their high carbohydrate content, but they also contain essential proteins, minerals, and various phytochemicals such as phenolics, flavonoids, polyamines, and carotenoids</w:t>
      </w:r>
      <w:r w:rsidR="00060559">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{"citationID":"qjE40TWh","properties":{"formattedCitation":"\\super 24\\uc0\\u8211{}27\\nosupersub{}","plainCitation":"24–27","noteIndex":0},"citationItems":[{"id":188,"uris":["http://zotero.org/users/local/iZlFYfLa/items/M7YVA8DZ"],"itemData":{"id":188,"type":"article-journal","abstract":"Potato (Solanum tuberosum L.) is considered to be one of the most prominent nongrain food crops throughout the world that can be regarded as most affordable and most accessible food to provide numerous health benefits. Potential role in improving human health is attributed to presence of wide range of phytonutrients in potatoes viz., polyphenols, anthocyanins, carotenoids, ascorbic acid and proteins, vitamins as well as minerals. In India, more than 75% of the potato production is confined to Indo-Gangetic plains due to thermo-sensitivity of the crop. Several reports are available in recent years to develop new cultivars with improved nutritional value as well as nutrient evaluation of existing cultivars. Current status of research on potato phytonutrients particularly antioxidants, minerals and vitamins in relation to human health as well as research carried out on enhancement of these phytonutrients through genetic manipulations has been compiled in this review article.","container-title":"Potato Research","DOI":"10.1007/s11540-019-09442-z","ISSN":"1871-4528","issue":"3","journalAbbreviation":"Potato Res.","language":"en","page":"323-343","source":"Springer Link","title":"Recent Updates on Healthy Phytoconstituents in Potato: a Nutritional Depository","title-short":"Recent Updates on Healthy Phytoconstituents in Potato","URL":"https://doi.org/10.1007/s11540-019-09442-z","volume":"63","author":[{"family":"Mishra","given":"Tanuja"},{"family":"Raigond","given":"Pinky"},{"family":"Thakur","given":"Nitasha"},{"family":"Dutt","given":"Som"},{"family":"Singh","given":"Brajesh"}],"accessed":{"date-parts":[["2025",8,21]]},"issued":{"date-parts":[["2020",9,1]]}}},{"id":189,"uris":["http://zotero.org/users/local/iZlFYfLa/items/IQG7YNT3"],"itemData":{"id":189,"type":"article-journal","abstract":"Potato contains several phytochemicals such as phenolics, flavonoids, polyamines, and carotenoids, which are highly desirable in diet because of their beneficial effects on human health. The concentration and stability of these constituents are affected by several factors such as genotype, agronomic factors, postharvest storage, cooking and processing conditions. The advances in analytical techniques have made possible the identification and understanding the functions of phytochemicals, particularly their antioxidant properties. The potatoes are stored and processed into a variety of products before consumption. In the present review, phytochemicals present in potatoes, factors affecting their content, stability and health benefits are discussed. Processing the potatoes rich in phytochemicals can play an important role in promoting the health of a large segment of population in the countries where potatoes form a substantial part of daily diet.","collection-title":"Stability of phytochemicals during processing","container-title":"Food Research International","DOI":"10.1016/j.foodres.2011.04.025","ISSN":"0963-9969","issue":"2","journalAbbreviation":"Food Research International","page":"487-496","source":"ScienceDirect","title":"Beneficial phytochemicals in potato — a review","URL":"https://www.sciencedirect.com/science/article/pii/S0963996911002559","volume":"50","author":[{"family":"Ezekiel","given":"Rajarathnam"},{"family":"Singh","given":"Narpinder"},{"family":"Sharma","given":"Shagun"},{"family":"Kaur","given":"Amritpal"}],"accessed":{"date-parts":[["2025",8,21]]},"issued":{"date-parts":[["2013",3,1]]}}},{"id":191,"uris":["http://zotero.org/users/local/iZlFYfLa/items/TVE6F48J"],"itemData":{"id":191,"type":"article-journal","abstract":"Sweet potatoes are becoming a research focus in recent years due to their unique nutritional and functional properties. Bioactive carbohydrates, proteins, lipids, carotenoids, anthocyanins, conjugated phenolic acids, and minerals represent versatile nutrients in different parts (tubers, leaves, stems, and stalks) of sweet potato. The unique composition of sweet potato contributes to their various health benefits, such as antioxidative, hepatoprotective, antiinflammatory, antitumor, antidiabetic, antimicrobial, antiobesity, antiaging effects. Factors affecting the nutritional composition and bio-functions of sweet potato include the varieties, plant parts, extraction time and solvents, postharvest storage, and processing. The assays for bio-function evaluation also contribute to the variations among different studies. This review summarizes the current knowledge of the chemical composition of sweet potato, and their bio-functions studied in vitro and in vivo. Leaves, stems, and stalks of sweet potato remain much underutilized on commercial levels. Sweet potato can be further developed as a sustainable crop for diverse nutritionally enhanced and value-added food products to promote human health.","container-title":"Food Research International","DOI":"10.1016/j.foodres.2016.08.032","ISSN":"0963-9969","journalAbbreviation":"Food Research International","page":"90-116","source":"ScienceDirect","title":"Chemical constituents and health effects of sweet potato","URL":"https://www.sciencedirect.com/science/article/pii/S096399691630360X","volume":"89","author":[{"family":"Wang","given":"Sunan"},{"family":"Nie","given":"Shaoping"},{"family":"Zhu","given":"Fan"}],"accessed":{"date-parts":[["2025",8,21]]},"issued":{"date-parts":[["2016",11,1]]}}},{"id":193,"uris":["http://zotero.org/users/local/iZlFYfLa/items/DJICQ2BJ"],"itemData":{"id":193,"type":"article-journal","abstract":"Potato tuber skin (suberin), isolated enzymatically, was depolymerized with BF3-CH3OH, and the structure and composition of the aliphatic monomers were determined by combined gas chromatography-mass spectrometry. 18-Hydroxyoctadec-9-enoic acid and octadec-9-ene-1,18-dioic acid were the major components. Products of epoxidation and subsequent hydration of the Δ9 double bond of these compounds, 10,16-dihydroxy hexadecanoic acid, and much smaller quantities of 9,16-dihydroxyhexadecanoic acid and 8,16-dihydroxyhexadecanoic acid also were present. The other significant feature of the monomer composition of potato skin was that it contained substantial quantities of C20−C28 fatty acids, fatty alcohols, and ω-hydroxy acids. Based upon these studies, a method of distinguishing between suberin and cutin and a biosynthetic pathway for suberin monomers are suggested.","container-title":"Lipids","DOI":"10.1007/BF02532176","ISSN":"1558-9307","issue":"9","journalAbbreviation":"Lipids","language":"en","page":"682-691","source":"Springer Link","title":"Structure and composition of aliphatic constituents of potato tuber skin (suberin)","URL":"https://doi.org/10.1007/BF02532176","volume":"9","author":[{"family":"Kolattukudy","given":"P. E."},{"family":"Agrawal","given":"V. P."}],"accessed":{"date-parts":[["2025",8,21]]},"issued":{"date-parts":[["1974",9,1]]}}}],"schema":"https://github.com/citation-style-language/schema/raw/master/csl-citation.json"} </w:instrText>
      </w:r>
      <w:r w:rsidR="00060559">
        <w:rPr>
          <w:rFonts w:ascii="Times New Roman" w:hAnsi="Times New Roman" w:cs="Times New Roman"/>
          <w:bCs/>
          <w:sz w:val="24"/>
        </w:rPr>
        <w:fldChar w:fldCharType="separate"/>
      </w:r>
      <w:r w:rsidRPr="0062253E">
        <w:rPr>
          <w:rFonts w:ascii="Times New Roman" w:hAnsi="Times New Roman" w:cs="Times New Roman"/>
          <w:sz w:val="24"/>
          <w:szCs w:val="24"/>
          <w:vertAlign w:val="superscript"/>
        </w:rPr>
        <w:t>24–27</w:t>
      </w:r>
      <w:r w:rsidR="00060559">
        <w:rPr>
          <w:rFonts w:ascii="Times New Roman" w:hAnsi="Times New Roman" w:cs="Times New Roman"/>
          <w:bCs/>
          <w:sz w:val="24"/>
        </w:rPr>
        <w:fldChar w:fldCharType="end"/>
      </w:r>
      <w:r w:rsidRPr="007C52EF">
        <w:rPr>
          <w:rFonts w:ascii="Times New Roman" w:hAnsi="Times New Roman" w:cs="Times New Roman"/>
          <w:bCs/>
          <w:sz w:val="24"/>
        </w:rPr>
        <w:t>. For this part of the study, we used potatoes sourced locally to determine their glucose content. The analysis revealed that 5.03 g of potato contained 0.2587 g of glucose, 5.01 g contained 0.1777 g, and 4.92 g contained 0.1731 g of glucose</w:t>
      </w:r>
      <w:r>
        <w:rPr>
          <w:rFonts w:ascii="Times New Roman" w:hAnsi="Times New Roman" w:cs="Times New Roman"/>
          <w:bCs/>
          <w:sz w:val="24"/>
        </w:rPr>
        <w:t xml:space="preserve"> (Table 2.1).</w:t>
      </w:r>
    </w:p>
    <w:p w:rsidR="00781FB4" w:rsidRDefault="00235990" w:rsidP="00235990">
      <w:pPr>
        <w:spacing w:line="360" w:lineRule="auto"/>
        <w:jc w:val="center"/>
        <w:rPr>
          <w:rFonts w:ascii="Times New Roman" w:hAnsi="Times New Roman" w:cs="Times New Roman"/>
          <w:bCs/>
          <w:sz w:val="24"/>
        </w:rPr>
      </w:pPr>
      <w:r>
        <w:rPr>
          <w:rFonts w:ascii="Times New Roman" w:hAnsi="Times New Roman" w:cs="Times New Roman"/>
          <w:bCs/>
          <w:noProof/>
          <w:sz w:val="24"/>
        </w:rPr>
        <w:drawing>
          <wp:inline distT="0" distB="0" distL="0" distR="0">
            <wp:extent cx="4703114" cy="3390181"/>
            <wp:effectExtent l="19050" t="0" r="2236" b="0"/>
            <wp:docPr id="6" name="Picture 5" descr="Comparis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tif"/>
                    <pic:cNvPicPr/>
                  </pic:nvPicPr>
                  <pic:blipFill>
                    <a:blip r:embed="rId10" cstate="print"/>
                    <a:stretch>
                      <a:fillRect/>
                    </a:stretch>
                  </pic:blipFill>
                  <pic:spPr>
                    <a:xfrm>
                      <a:off x="0" y="0"/>
                      <a:ext cx="4702992" cy="3390093"/>
                    </a:xfrm>
                    <a:prstGeom prst="rect">
                      <a:avLst/>
                    </a:prstGeom>
                  </pic:spPr>
                </pic:pic>
              </a:graphicData>
            </a:graphic>
          </wp:inline>
        </w:drawing>
      </w:r>
    </w:p>
    <w:p w:rsidR="00235990" w:rsidRDefault="00235990" w:rsidP="00235990">
      <w:pPr>
        <w:spacing w:line="360" w:lineRule="auto"/>
        <w:jc w:val="both"/>
        <w:rPr>
          <w:rFonts w:ascii="Times New Roman" w:hAnsi="Times New Roman" w:cs="Times New Roman"/>
          <w:bCs/>
          <w:sz w:val="24"/>
        </w:rPr>
      </w:pPr>
      <w:r>
        <w:rPr>
          <w:rFonts w:ascii="Times New Roman" w:hAnsi="Times New Roman" w:cs="Times New Roman"/>
          <w:bCs/>
          <w:sz w:val="24"/>
        </w:rPr>
        <w:t xml:space="preserve">Figure 2.2: Comparison of glucose content in some locally available edibles.  </w:t>
      </w:r>
    </w:p>
    <w:p w:rsidR="00781FB4" w:rsidRDefault="00235990" w:rsidP="00C905BB">
      <w:pPr>
        <w:spacing w:line="360" w:lineRule="auto"/>
        <w:jc w:val="both"/>
        <w:rPr>
          <w:rFonts w:ascii="Times New Roman" w:hAnsi="Times New Roman" w:cs="Times New Roman"/>
          <w:bCs/>
          <w:sz w:val="24"/>
        </w:rPr>
      </w:pPr>
      <w:r>
        <w:rPr>
          <w:rFonts w:ascii="Times New Roman" w:hAnsi="Times New Roman" w:cs="Times New Roman"/>
          <w:bCs/>
          <w:sz w:val="24"/>
        </w:rPr>
        <w:lastRenderedPageBreak/>
        <w:t>As expected it is observed that table sugar contains highest glucose among the edibles tested in laboratory. The lower value of sugarcane juice is largely becaus</w:t>
      </w:r>
      <w:r w:rsidR="00F60652">
        <w:rPr>
          <w:rFonts w:ascii="Times New Roman" w:hAnsi="Times New Roman" w:cs="Times New Roman"/>
          <w:bCs/>
          <w:sz w:val="24"/>
        </w:rPr>
        <w:t xml:space="preserve">e of the water content in juice. The relatively higher glucose content in honey </w:t>
      </w:r>
      <w:r>
        <w:rPr>
          <w:rFonts w:ascii="Times New Roman" w:hAnsi="Times New Roman" w:cs="Times New Roman"/>
          <w:bCs/>
          <w:sz w:val="24"/>
        </w:rPr>
        <w:t xml:space="preserve"> </w:t>
      </w:r>
      <w:r w:rsidR="00066DBE">
        <w:rPr>
          <w:rFonts w:ascii="Times New Roman" w:hAnsi="Times New Roman" w:cs="Times New Roman"/>
          <w:bCs/>
          <w:sz w:val="24"/>
        </w:rPr>
        <w:t>matches with reported literature and proves the variation in quality of honey in different geographical zone and botanical origin.</w:t>
      </w:r>
      <w:r w:rsidR="00060559">
        <w:rPr>
          <w:rFonts w:ascii="Times New Roman" w:hAnsi="Times New Roman" w:cs="Times New Roman"/>
          <w:bCs/>
          <w:sz w:val="24"/>
        </w:rPr>
        <w:fldChar w:fldCharType="begin"/>
      </w:r>
      <w:r w:rsidR="00066DBE">
        <w:rPr>
          <w:rFonts w:ascii="Times New Roman" w:hAnsi="Times New Roman" w:cs="Times New Roman"/>
          <w:bCs/>
          <w:sz w:val="24"/>
        </w:rPr>
        <w:instrText xml:space="preserve"> ADDIN ZOTERO_ITEM CSL_CITATION {"citationID":"JZWPVzSN","properties":{"formattedCitation":"\\super 28\\nosupersub{}","plainCitation":"28","noteIndex":0},"citationItems":[{"id":198,"uris":["http://zotero.org/users/local/iZlFYfLa/items/I97RSJ9Z"],"itemData":{"id":198,"type":"article-journal","abstract":"Honey composition and sensory properties depend greatly on its botanical and geographical origins. In this study, the sugar profile and sensory properties of honey samples from different geographical zones and botanical origins in Tanzania were investigated. Thirty-two samples (3 zones x 2 origins x 4 samples) + (2 zones × 1 origin x 4 samples) were collected from the seven regions in five zones as follows; Simiyu (lake zone), Tabora and Dodoma (central zone), Manyara (northern zone), Morogoro (eastern zone), and Kigoma and Katavi (western zone) and evaluated for sugar profile and sensory properties using standards methods. Honey samples were primarily composed of fructose (39.5–47 g/100 g), glucose (32.0–35.0 g/100 g) and a small amount of sucrose (5.1 ± 0.50–7.3 ± 0.7 g/100 g). The total sugar ranged from 72.6 to 75.8 g/100 g/100g. The variations in sugar contents between zones and botanical origin were significant (p &lt; 0.05) except for glucose. Sample from miombo origin in the lake and eastern zones had the highest fructose value (41.9 ± 0.8–42.04 ± 4.34 g/100 g) compared to lowest values (39.5 ± 2.17 g/100g) in a western zone while northern and lake zones had significantly (p &lt; 0.05) highest and lowest sucrose values respectively. In all zones, acacia samples had higher fructose and sucrose contents than their miombo counterparts. As for the sensory profile, miombo samples in the western zone had significantly (p &lt; 0.05) higher colour (8.0 ± 0.64) and aroma (7.5 ± 1.09) intensities while the lake zone samples had higher clarity (6.9 ± 1.76) than other zones’ samples. The findings have demonstrated that the geographical and botanical origins have a significant impact on the sugar profile and sensory profile of Tanzania honey. However, despite the variations, the consumption of honey from these zones and origins should be encouraged in light of their nutritional and related known health benefits.","container-title":"Heliyon","DOI":"10.1016/j.heliyon.2024.e38094","ISSN":"2405-8440","issue":"18","journalAbbreviation":"Heliyon","page":"e38094","source":"ScienceDirect","title":"Sugar profile and sensory properties of honey from different geographical zones and botanical origins in Tanzania","URL":"https://www.sciencedirect.com/science/article/pii/S2405844024141254","volume":"10","author":[{"family":"Mongi","given":"Richard John"},{"family":"Ruhembe","given":"Carolyne Charles"}],"accessed":{"date-parts":[["2025",8,21]]},"issued":{"date-parts":[["2024",9,30]]}}}],"schema":"https://github.com/citation-style-language/schema/raw/master/csl-citation.json"} </w:instrText>
      </w:r>
      <w:r w:rsidR="00060559">
        <w:rPr>
          <w:rFonts w:ascii="Times New Roman" w:hAnsi="Times New Roman" w:cs="Times New Roman"/>
          <w:bCs/>
          <w:sz w:val="24"/>
        </w:rPr>
        <w:fldChar w:fldCharType="separate"/>
      </w:r>
      <w:r w:rsidR="00066DBE" w:rsidRPr="00066DBE">
        <w:rPr>
          <w:rFonts w:ascii="Times New Roman" w:hAnsi="Times New Roman" w:cs="Times New Roman"/>
          <w:sz w:val="24"/>
          <w:szCs w:val="24"/>
          <w:vertAlign w:val="superscript"/>
        </w:rPr>
        <w:t>28</w:t>
      </w:r>
      <w:r w:rsidR="00060559">
        <w:rPr>
          <w:rFonts w:ascii="Times New Roman" w:hAnsi="Times New Roman" w:cs="Times New Roman"/>
          <w:bCs/>
          <w:sz w:val="24"/>
        </w:rPr>
        <w:fldChar w:fldCharType="end"/>
      </w:r>
    </w:p>
    <w:p w:rsidR="00465A05" w:rsidRPr="00054724" w:rsidRDefault="00F97575" w:rsidP="00F5250D">
      <w:pPr>
        <w:spacing w:line="360" w:lineRule="auto"/>
        <w:rPr>
          <w:rFonts w:ascii="Times New Roman" w:hAnsi="Times New Roman" w:cs="Times New Roman"/>
          <w:b/>
          <w:bCs/>
          <w:sz w:val="28"/>
          <w:szCs w:val="28"/>
        </w:rPr>
      </w:pPr>
      <w:r>
        <w:rPr>
          <w:rFonts w:ascii="Times New Roman" w:hAnsi="Times New Roman" w:cs="Times New Roman"/>
          <w:b/>
          <w:sz w:val="28"/>
          <w:szCs w:val="28"/>
        </w:rPr>
        <w:t>3</w:t>
      </w:r>
      <w:r w:rsidR="00190A28">
        <w:rPr>
          <w:rFonts w:ascii="Times New Roman" w:hAnsi="Times New Roman" w:cs="Times New Roman"/>
          <w:b/>
          <w:sz w:val="28"/>
          <w:szCs w:val="28"/>
        </w:rPr>
        <w:t>.</w:t>
      </w:r>
      <w:r w:rsidR="007E139B">
        <w:rPr>
          <w:rFonts w:ascii="Times New Roman" w:hAnsi="Times New Roman" w:cs="Times New Roman"/>
          <w:b/>
          <w:sz w:val="28"/>
          <w:szCs w:val="28"/>
        </w:rPr>
        <w:t xml:space="preserve"> </w:t>
      </w:r>
      <w:r w:rsidR="00465A05" w:rsidRPr="00054724">
        <w:rPr>
          <w:rFonts w:ascii="Times New Roman" w:hAnsi="Times New Roman" w:cs="Times New Roman"/>
          <w:b/>
          <w:sz w:val="28"/>
          <w:szCs w:val="28"/>
        </w:rPr>
        <w:t>Conclusion:</w:t>
      </w:r>
    </w:p>
    <w:p w:rsidR="00BA02CE" w:rsidRPr="002A2F27" w:rsidRDefault="00465A05" w:rsidP="002A2F27">
      <w:pPr>
        <w:pStyle w:val="NormalWeb"/>
        <w:spacing w:line="360" w:lineRule="auto"/>
        <w:jc w:val="both"/>
      </w:pPr>
      <w:r>
        <w:t xml:space="preserve">This </w:t>
      </w:r>
      <w:r w:rsidR="005B6DA6">
        <w:t>study</w:t>
      </w:r>
      <w:r>
        <w:t xml:space="preserve"> involved a comprehensive study and practical application of glucose estimation techniques, focusing on conventional titration using Fehling's solution. The results demonstrated a clear variation in glucose content across the samples, with Table Sugar containing the highest concentration of glucose, followed by Jaggery. Sugarcane Juice showed comparatively lower glucose content, while the </w:t>
      </w:r>
      <w:r w:rsidR="00F60652">
        <w:t>Potato</w:t>
      </w:r>
      <w:r>
        <w:t xml:space="preserve"> sample dis</w:t>
      </w:r>
      <w:r w:rsidR="00EF43DC">
        <w:t>played minimal glucose presence.</w:t>
      </w:r>
      <w:r w:rsidR="00F60652">
        <w:t xml:space="preserve"> </w:t>
      </w:r>
      <w:r>
        <w:t>The experimental values obtained showed close agreement with the theoretically reported glucose content in literature, validating the accuracy of the method and the precision in execution. The success of this experiment not only reflects the effectiveness of the titration method but also highlights its relevance as a fundamental analytical technique in carbohydrate chemistry.</w:t>
      </w:r>
      <w:r w:rsidR="00F60652">
        <w:t xml:space="preserve"> </w:t>
      </w:r>
      <w:r>
        <w:t>In conclusion, this project has not only fulfilled its academic objectives but has also opened up new avenues for interdisciplinary research, connecting analytical chemistry with food science, nutrition, and public health.</w:t>
      </w:r>
    </w:p>
    <w:p w:rsidR="00F97575" w:rsidRPr="00054724" w:rsidRDefault="00F60652" w:rsidP="00F9757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 </w:t>
      </w:r>
      <w:r w:rsidR="00F97575" w:rsidRPr="00054724">
        <w:rPr>
          <w:rFonts w:ascii="Times New Roman" w:hAnsi="Times New Roman" w:cs="Times New Roman"/>
          <w:b/>
          <w:sz w:val="28"/>
          <w:szCs w:val="28"/>
        </w:rPr>
        <w:t xml:space="preserve">Experimental: </w:t>
      </w:r>
    </w:p>
    <w:p w:rsidR="00F97575" w:rsidRPr="00054724" w:rsidRDefault="00F60652" w:rsidP="00F97575">
      <w:pPr>
        <w:spacing w:line="360" w:lineRule="auto"/>
        <w:rPr>
          <w:rFonts w:ascii="Times New Roman" w:hAnsi="Times New Roman" w:cs="Times New Roman"/>
          <w:b/>
          <w:bCs/>
          <w:sz w:val="24"/>
        </w:rPr>
      </w:pPr>
      <w:r>
        <w:rPr>
          <w:rFonts w:ascii="Times New Roman" w:hAnsi="Times New Roman" w:cs="Times New Roman"/>
          <w:b/>
          <w:bCs/>
          <w:sz w:val="24"/>
        </w:rPr>
        <w:t>4</w:t>
      </w:r>
      <w:r w:rsidR="00F97575">
        <w:rPr>
          <w:rFonts w:ascii="Times New Roman" w:hAnsi="Times New Roman" w:cs="Times New Roman"/>
          <w:b/>
          <w:bCs/>
          <w:sz w:val="24"/>
        </w:rPr>
        <w:t xml:space="preserve">.1 </w:t>
      </w:r>
      <w:r w:rsidR="00F97575" w:rsidRPr="00054724">
        <w:rPr>
          <w:rFonts w:ascii="Times New Roman" w:hAnsi="Times New Roman" w:cs="Times New Roman"/>
          <w:b/>
          <w:bCs/>
          <w:sz w:val="24"/>
        </w:rPr>
        <w:t>Estimation of Glucose by titrating with Fehling’s solution:</w:t>
      </w:r>
    </w:p>
    <w:p w:rsidR="00F97575" w:rsidRDefault="00F97575" w:rsidP="00F97575">
      <w:pPr>
        <w:spacing w:line="360" w:lineRule="auto"/>
        <w:jc w:val="both"/>
        <w:rPr>
          <w:rFonts w:ascii="Times New Roman" w:hAnsi="Times New Roman" w:cs="Times New Roman"/>
          <w:sz w:val="24"/>
        </w:rPr>
      </w:pPr>
      <w:r w:rsidRPr="00816273">
        <w:rPr>
          <w:rFonts w:ascii="Times New Roman" w:hAnsi="Times New Roman" w:cs="Times New Roman"/>
          <w:sz w:val="24"/>
        </w:rPr>
        <w:t>Glucose is a reducing sugar which reduces Tollen's reagent and Fehling solution. Glucose has an aldehydic group,-CHO which is reducing in nature. Alakaline solutions of copper salts, e.g.- Fehling’s solution, are reduced by glucose to red cuprous oxide.</w:t>
      </w:r>
      <w:r>
        <w:rPr>
          <w:rFonts w:ascii="Times New Roman" w:hAnsi="Times New Roman" w:cs="Times New Roman"/>
          <w:sz w:val="24"/>
        </w:rPr>
        <w:t xml:space="preserve"> </w:t>
      </w:r>
      <w:r w:rsidRPr="00816273">
        <w:rPr>
          <w:rFonts w:ascii="Times New Roman" w:hAnsi="Times New Roman" w:cs="Times New Roman"/>
          <w:sz w:val="24"/>
        </w:rPr>
        <w:t>The reduction is not stoichiometric; consequently all methods of determining reducing sugars are empirical.</w:t>
      </w:r>
    </w:p>
    <w:p w:rsidR="00F97575" w:rsidRDefault="00F97575" w:rsidP="00F97575">
      <w:pPr>
        <w:spacing w:line="360" w:lineRule="auto"/>
        <w:ind w:firstLine="720"/>
        <w:jc w:val="both"/>
        <w:rPr>
          <w:rFonts w:ascii="Times New Roman" w:hAnsi="Times New Roman" w:cs="Times New Roman"/>
          <w:b/>
          <w:bCs/>
          <w:sz w:val="24"/>
        </w:rPr>
      </w:pPr>
      <w:r w:rsidRPr="00816273">
        <w:rPr>
          <w:rFonts w:ascii="Times New Roman" w:hAnsi="Times New Roman" w:cs="Times New Roman"/>
          <w:bCs/>
          <w:sz w:val="24"/>
        </w:rPr>
        <w:t>To a known volume of Fehling solution is heated in a volumetric flask and glucose solution is added, cuprous oxide is precipitated. The end point is shown by disappearance of the colour of methylene blue which is used as an indicator</w:t>
      </w:r>
      <w:r w:rsidRPr="00816273">
        <w:rPr>
          <w:rFonts w:ascii="Times New Roman" w:hAnsi="Times New Roman" w:cs="Times New Roman"/>
          <w:b/>
          <w:bCs/>
          <w:sz w:val="24"/>
        </w:rPr>
        <w:t>.</w:t>
      </w:r>
    </w:p>
    <w:p w:rsidR="00F97575" w:rsidRPr="00D70CF6" w:rsidRDefault="00F97575" w:rsidP="00F97575">
      <w:pPr>
        <w:spacing w:line="360" w:lineRule="auto"/>
        <w:rPr>
          <w:rFonts w:ascii="Times New Roman" w:hAnsi="Times New Roman" w:cs="Times New Roman"/>
          <w:b/>
          <w:bCs/>
          <w:sz w:val="24"/>
          <w:szCs w:val="24"/>
        </w:rPr>
      </w:pPr>
      <w:r w:rsidRPr="00D70CF6">
        <w:rPr>
          <w:rFonts w:ascii="Times New Roman" w:hAnsi="Times New Roman" w:cs="Times New Roman"/>
          <w:b/>
          <w:bCs/>
          <w:sz w:val="24"/>
          <w:szCs w:val="24"/>
        </w:rPr>
        <w:t>The steps involved in titration:-</w:t>
      </w:r>
    </w:p>
    <w:p w:rsidR="00F97575" w:rsidRPr="00D70CF6" w:rsidRDefault="00F97575" w:rsidP="00F97575">
      <w:pPr>
        <w:spacing w:line="360" w:lineRule="auto"/>
        <w:jc w:val="both"/>
        <w:rPr>
          <w:rFonts w:ascii="Times New Roman" w:hAnsi="Times New Roman" w:cs="Times New Roman"/>
          <w:bCs/>
          <w:sz w:val="24"/>
          <w:szCs w:val="24"/>
        </w:rPr>
      </w:pPr>
      <w:r w:rsidRPr="00D70CF6">
        <w:rPr>
          <w:rFonts w:ascii="Times New Roman" w:hAnsi="Times New Roman" w:cs="Times New Roman"/>
          <w:b/>
          <w:bCs/>
          <w:sz w:val="24"/>
          <w:szCs w:val="24"/>
        </w:rPr>
        <w:t xml:space="preserve">Preparation of standard glucose solution: </w:t>
      </w:r>
      <w:r w:rsidRPr="00D70CF6">
        <w:rPr>
          <w:rFonts w:ascii="Times New Roman" w:hAnsi="Times New Roman" w:cs="Times New Roman"/>
          <w:bCs/>
          <w:sz w:val="24"/>
          <w:szCs w:val="24"/>
        </w:rPr>
        <w:t>Weight out accurately about 1.25 g of dry A.R. glucose and dissolve in 250 cm</w:t>
      </w:r>
      <w:r w:rsidRPr="00D70CF6">
        <w:rPr>
          <w:rFonts w:ascii="Times New Roman" w:hAnsi="Times New Roman" w:cs="Times New Roman"/>
          <w:bCs/>
          <w:sz w:val="24"/>
          <w:szCs w:val="24"/>
          <w:vertAlign w:val="superscript"/>
        </w:rPr>
        <w:t xml:space="preserve">3 </w:t>
      </w:r>
      <w:r w:rsidRPr="00D70CF6">
        <w:rPr>
          <w:rFonts w:ascii="Times New Roman" w:hAnsi="Times New Roman" w:cs="Times New Roman"/>
          <w:bCs/>
          <w:sz w:val="24"/>
          <w:szCs w:val="24"/>
        </w:rPr>
        <w:t>of water in a volumetric flask.</w:t>
      </w:r>
    </w:p>
    <w:p w:rsidR="00F97575" w:rsidRPr="00D70CF6" w:rsidRDefault="00F97575" w:rsidP="00F97575">
      <w:pPr>
        <w:spacing w:line="360" w:lineRule="auto"/>
        <w:jc w:val="both"/>
        <w:rPr>
          <w:rFonts w:ascii="Times New Roman" w:hAnsi="Times New Roman" w:cs="Times New Roman"/>
          <w:bCs/>
          <w:sz w:val="24"/>
          <w:szCs w:val="24"/>
        </w:rPr>
      </w:pPr>
      <w:r w:rsidRPr="00D70CF6">
        <w:rPr>
          <w:rFonts w:ascii="Times New Roman" w:hAnsi="Times New Roman" w:cs="Times New Roman"/>
          <w:b/>
          <w:bCs/>
          <w:sz w:val="24"/>
          <w:szCs w:val="24"/>
        </w:rPr>
        <w:lastRenderedPageBreak/>
        <w:t>Preparation of Fehling’s solution:</w:t>
      </w:r>
      <w:r w:rsidRPr="00D70CF6">
        <w:rPr>
          <w:rFonts w:ascii="Times New Roman" w:hAnsi="Times New Roman" w:cs="Times New Roman"/>
          <w:bCs/>
          <w:sz w:val="24"/>
          <w:szCs w:val="24"/>
        </w:rPr>
        <w:t xml:space="preserve"> For Fehling-A dissolved 34.64 g of anhydrous CuSO</w:t>
      </w:r>
      <w:r w:rsidRPr="00D70CF6">
        <w:rPr>
          <w:rFonts w:ascii="Times New Roman" w:hAnsi="Times New Roman" w:cs="Times New Roman"/>
          <w:bCs/>
          <w:sz w:val="24"/>
          <w:szCs w:val="24"/>
          <w:vertAlign w:val="subscript"/>
        </w:rPr>
        <w:t>4</w:t>
      </w:r>
      <w:r w:rsidRPr="00D70CF6">
        <w:rPr>
          <w:rFonts w:ascii="Times New Roman" w:hAnsi="Times New Roman" w:cs="Times New Roman"/>
          <w:bCs/>
          <w:sz w:val="24"/>
          <w:szCs w:val="24"/>
        </w:rPr>
        <w:t>. 5H</w:t>
      </w:r>
      <w:r w:rsidRPr="00D70CF6">
        <w:rPr>
          <w:rFonts w:ascii="Times New Roman" w:hAnsi="Times New Roman" w:cs="Times New Roman"/>
          <w:bCs/>
          <w:sz w:val="24"/>
          <w:szCs w:val="24"/>
          <w:vertAlign w:val="subscript"/>
        </w:rPr>
        <w:t>2</w:t>
      </w:r>
      <w:r w:rsidRPr="00D70CF6">
        <w:rPr>
          <w:rFonts w:ascii="Times New Roman" w:hAnsi="Times New Roman" w:cs="Times New Roman"/>
          <w:bCs/>
          <w:sz w:val="24"/>
          <w:szCs w:val="24"/>
        </w:rPr>
        <w:t>O in water and make up the volume to 250 cm</w:t>
      </w:r>
      <w:r w:rsidRPr="00D70CF6">
        <w:rPr>
          <w:rFonts w:ascii="Times New Roman" w:hAnsi="Times New Roman" w:cs="Times New Roman"/>
          <w:bCs/>
          <w:sz w:val="24"/>
          <w:szCs w:val="24"/>
          <w:vertAlign w:val="superscript"/>
        </w:rPr>
        <w:t>3</w:t>
      </w:r>
      <w:r w:rsidRPr="00D70CF6">
        <w:rPr>
          <w:rFonts w:ascii="Times New Roman" w:hAnsi="Times New Roman" w:cs="Times New Roman"/>
          <w:bCs/>
          <w:sz w:val="24"/>
          <w:szCs w:val="24"/>
        </w:rPr>
        <w:t xml:space="preserve"> in a volumetric flask. For Fehling-B dissolved 86.5g of sodium potassium tartrate and 25g sodium hydroxide in water and dilute to 250 cm</w:t>
      </w:r>
      <w:r w:rsidRPr="00D70CF6">
        <w:rPr>
          <w:rFonts w:ascii="Times New Roman" w:hAnsi="Times New Roman" w:cs="Times New Roman"/>
          <w:bCs/>
          <w:sz w:val="24"/>
          <w:szCs w:val="24"/>
          <w:vertAlign w:val="superscript"/>
        </w:rPr>
        <w:t>3</w:t>
      </w:r>
      <w:r w:rsidRPr="00D70CF6">
        <w:rPr>
          <w:rFonts w:ascii="Times New Roman" w:hAnsi="Times New Roman" w:cs="Times New Roman"/>
          <w:bCs/>
          <w:sz w:val="24"/>
          <w:szCs w:val="24"/>
        </w:rPr>
        <w:t xml:space="preserve"> in a volumetric flask</w:t>
      </w:r>
    </w:p>
    <w:p w:rsidR="00F97575" w:rsidRPr="00D70CF6" w:rsidRDefault="00F97575" w:rsidP="00F97575">
      <w:pPr>
        <w:spacing w:line="360" w:lineRule="auto"/>
        <w:jc w:val="both"/>
        <w:rPr>
          <w:rFonts w:ascii="Times New Roman" w:hAnsi="Times New Roman" w:cs="Times New Roman"/>
          <w:bCs/>
          <w:sz w:val="24"/>
          <w:szCs w:val="24"/>
        </w:rPr>
      </w:pPr>
      <w:r w:rsidRPr="00D70CF6">
        <w:rPr>
          <w:rFonts w:ascii="Times New Roman" w:hAnsi="Times New Roman" w:cs="Times New Roman"/>
          <w:b/>
          <w:bCs/>
          <w:sz w:val="24"/>
          <w:szCs w:val="24"/>
        </w:rPr>
        <w:t xml:space="preserve">Standardization of Fehling’s solution: </w:t>
      </w:r>
      <w:r w:rsidRPr="00D70CF6">
        <w:rPr>
          <w:rFonts w:ascii="Times New Roman" w:hAnsi="Times New Roman" w:cs="Times New Roman"/>
          <w:bCs/>
          <w:sz w:val="24"/>
          <w:szCs w:val="24"/>
        </w:rPr>
        <w:t>10 ml of Fehling’s solution is transfer to a 250 ml volumetric flask. Dilute with an equal volume of water. Heat to boiling and add the standard glucose solution from a burette until the blue colour of the solution just disappears. At this point add 2-3 drops of 1% aqueous solution of methylene blue indicator and titrate rapidly with the glucose solution until the colour of the indicator just disappears. Repeat the titration to obtained consistent readings.</w:t>
      </w:r>
    </w:p>
    <w:p w:rsidR="00F97575" w:rsidRPr="00D70CF6" w:rsidRDefault="00F97575" w:rsidP="00F97575">
      <w:pPr>
        <w:spacing w:line="360" w:lineRule="auto"/>
        <w:jc w:val="both"/>
        <w:rPr>
          <w:rFonts w:ascii="Times New Roman" w:hAnsi="Times New Roman" w:cs="Times New Roman"/>
          <w:b/>
          <w:bCs/>
          <w:sz w:val="24"/>
          <w:szCs w:val="24"/>
          <w:vertAlign w:val="superscript"/>
        </w:rPr>
      </w:pPr>
      <w:r w:rsidRPr="00D70CF6">
        <w:rPr>
          <w:rFonts w:ascii="Times New Roman" w:hAnsi="Times New Roman" w:cs="Times New Roman"/>
          <w:b/>
          <w:bCs/>
          <w:sz w:val="24"/>
          <w:szCs w:val="24"/>
        </w:rPr>
        <w:t xml:space="preserve">Standardization of unknown Glucose solution: </w:t>
      </w:r>
      <w:r w:rsidRPr="00D70CF6">
        <w:rPr>
          <w:rFonts w:ascii="Times New Roman" w:hAnsi="Times New Roman" w:cs="Times New Roman"/>
          <w:bCs/>
          <w:sz w:val="24"/>
          <w:szCs w:val="24"/>
        </w:rPr>
        <w:t>Dilute the experimental glucose solution to 100 ml in a volumetric flask. Repeated the procedure 3 with 10 ml of Fehling’s solution with this unknown glucose solution.</w:t>
      </w:r>
      <w:r w:rsidRPr="00D70CF6">
        <w:rPr>
          <w:rFonts w:ascii="Times New Roman" w:hAnsi="Times New Roman" w:cs="Times New Roman"/>
          <w:b/>
          <w:bCs/>
          <w:sz w:val="24"/>
          <w:szCs w:val="24"/>
          <w:vertAlign w:val="superscript"/>
        </w:rPr>
        <w:t xml:space="preserve"> </w:t>
      </w:r>
    </w:p>
    <w:p w:rsidR="00F97575" w:rsidRPr="007E139B" w:rsidRDefault="00F60652" w:rsidP="00F97575">
      <w:pPr>
        <w:spacing w:line="360" w:lineRule="auto"/>
        <w:rPr>
          <w:rFonts w:ascii="Times New Roman" w:hAnsi="Times New Roman" w:cs="Times New Roman"/>
          <w:b/>
          <w:bCs/>
          <w:sz w:val="24"/>
          <w:szCs w:val="28"/>
          <w:vertAlign w:val="superscript"/>
        </w:rPr>
      </w:pPr>
      <w:r>
        <w:rPr>
          <w:rFonts w:ascii="Times New Roman" w:hAnsi="Times New Roman" w:cs="Times New Roman"/>
          <w:b/>
          <w:bCs/>
          <w:sz w:val="24"/>
        </w:rPr>
        <w:t>4</w:t>
      </w:r>
      <w:r w:rsidR="00F97575" w:rsidRPr="007E139B">
        <w:rPr>
          <w:rFonts w:ascii="Times New Roman" w:hAnsi="Times New Roman" w:cs="Times New Roman"/>
          <w:b/>
          <w:bCs/>
          <w:sz w:val="24"/>
        </w:rPr>
        <w:t>.2 Procedure for estimation of glucose in common carbohydrate source:</w:t>
      </w:r>
    </w:p>
    <w:p w:rsidR="00F97575" w:rsidRDefault="00F60652" w:rsidP="00F97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F97575">
        <w:rPr>
          <w:rFonts w:ascii="Times New Roman" w:hAnsi="Times New Roman" w:cs="Times New Roman"/>
          <w:b/>
          <w:bCs/>
          <w:sz w:val="24"/>
          <w:szCs w:val="24"/>
        </w:rPr>
        <w:t xml:space="preserve">.2.1. </w:t>
      </w:r>
      <w:r w:rsidR="00F97575" w:rsidRPr="00054724">
        <w:rPr>
          <w:rFonts w:ascii="Times New Roman" w:hAnsi="Times New Roman" w:cs="Times New Roman"/>
          <w:b/>
          <w:bCs/>
          <w:sz w:val="24"/>
          <w:szCs w:val="24"/>
        </w:rPr>
        <w:t>Table sugar:</w:t>
      </w:r>
      <w:r w:rsidR="00F97575" w:rsidRPr="00054724">
        <w:rPr>
          <w:rFonts w:ascii="Times New Roman" w:hAnsi="Times New Roman" w:cs="Times New Roman"/>
          <w:bCs/>
          <w:sz w:val="24"/>
          <w:szCs w:val="24"/>
        </w:rPr>
        <w:t xml:space="preserve"> </w:t>
      </w:r>
      <w:r w:rsidR="00F97575" w:rsidRPr="008466DC">
        <w:rPr>
          <w:rFonts w:ascii="Times New Roman" w:hAnsi="Times New Roman" w:cs="Times New Roman"/>
          <w:sz w:val="24"/>
        </w:rPr>
        <w:t>1.0350 g</w:t>
      </w:r>
      <w:r w:rsidR="00F97575">
        <w:rPr>
          <w:rFonts w:ascii="Times New Roman" w:hAnsi="Times New Roman" w:cs="Times New Roman"/>
          <w:sz w:val="24"/>
        </w:rPr>
        <w:t xml:space="preserve"> of table sugar is dissolved in dilute hydrochloric acid for 30 minutes. After cooling the solution the estimation of glucose is done using Fehling solution. The experiment was repeated by using </w:t>
      </w:r>
      <w:r w:rsidR="00F97575" w:rsidRPr="008466DC">
        <w:rPr>
          <w:rFonts w:ascii="Times New Roman" w:hAnsi="Times New Roman" w:cs="Times New Roman"/>
          <w:sz w:val="24"/>
        </w:rPr>
        <w:t>1.0148 g</w:t>
      </w:r>
      <w:r w:rsidR="00F97575">
        <w:rPr>
          <w:rFonts w:ascii="Times New Roman" w:hAnsi="Times New Roman" w:cs="Times New Roman"/>
          <w:sz w:val="24"/>
        </w:rPr>
        <w:t xml:space="preserve"> and </w:t>
      </w:r>
      <w:r w:rsidR="00F97575" w:rsidRPr="008466DC">
        <w:rPr>
          <w:rFonts w:ascii="Times New Roman" w:hAnsi="Times New Roman" w:cs="Times New Roman"/>
          <w:sz w:val="24"/>
        </w:rPr>
        <w:t>1.0453 g</w:t>
      </w:r>
      <w:r w:rsidR="00F97575">
        <w:rPr>
          <w:rFonts w:ascii="Times New Roman" w:hAnsi="Times New Roman" w:cs="Times New Roman"/>
          <w:sz w:val="24"/>
        </w:rPr>
        <w:t xml:space="preserve"> of table sugar.</w:t>
      </w:r>
    </w:p>
    <w:p w:rsidR="00F97575" w:rsidRDefault="00F60652" w:rsidP="00F97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F97575">
        <w:rPr>
          <w:rFonts w:ascii="Times New Roman" w:hAnsi="Times New Roman" w:cs="Times New Roman"/>
          <w:b/>
          <w:bCs/>
          <w:sz w:val="24"/>
          <w:szCs w:val="24"/>
        </w:rPr>
        <w:t xml:space="preserve">.2.2 </w:t>
      </w:r>
      <w:r w:rsidR="00F97575" w:rsidRPr="00054724">
        <w:rPr>
          <w:rFonts w:ascii="Times New Roman" w:hAnsi="Times New Roman" w:cs="Times New Roman"/>
          <w:b/>
          <w:bCs/>
          <w:sz w:val="24"/>
          <w:szCs w:val="24"/>
        </w:rPr>
        <w:t>Jaggery:</w:t>
      </w:r>
      <w:r w:rsidR="00F97575">
        <w:rPr>
          <w:rFonts w:ascii="Times New Roman" w:hAnsi="Times New Roman" w:cs="Times New Roman"/>
          <w:b/>
          <w:bCs/>
          <w:sz w:val="24"/>
          <w:szCs w:val="24"/>
        </w:rPr>
        <w:t xml:space="preserve"> </w:t>
      </w:r>
      <w:r w:rsidR="00F97575" w:rsidRPr="00B87E1D">
        <w:rPr>
          <w:rFonts w:ascii="Times New Roman" w:hAnsi="Times New Roman" w:cs="Times New Roman"/>
          <w:sz w:val="24"/>
        </w:rPr>
        <w:t>1.0226 g of jaggery</w:t>
      </w:r>
      <w:r w:rsidR="00F97575">
        <w:rPr>
          <w:rFonts w:ascii="Times New Roman" w:hAnsi="Times New Roman" w:cs="Times New Roman"/>
          <w:sz w:val="24"/>
        </w:rPr>
        <w:t xml:space="preserve"> is dissolved in dilute hydrochloric acid for 30 minutes. After cooling the solution the estimation of glucose is done using Fehling solution. The experiment was repeated by using </w:t>
      </w:r>
      <w:r w:rsidR="00F97575" w:rsidRPr="00B87E1D">
        <w:rPr>
          <w:rFonts w:ascii="Times New Roman" w:hAnsi="Times New Roman" w:cs="Times New Roman"/>
          <w:sz w:val="24"/>
        </w:rPr>
        <w:t>1.0420 g</w:t>
      </w:r>
      <w:r w:rsidR="00F97575">
        <w:rPr>
          <w:rFonts w:ascii="Times New Roman" w:hAnsi="Times New Roman" w:cs="Times New Roman"/>
          <w:sz w:val="24"/>
        </w:rPr>
        <w:t xml:space="preserve"> and </w:t>
      </w:r>
      <w:r w:rsidR="00F97575" w:rsidRPr="00B87E1D">
        <w:rPr>
          <w:rFonts w:ascii="Times New Roman" w:hAnsi="Times New Roman" w:cs="Times New Roman"/>
          <w:sz w:val="24"/>
        </w:rPr>
        <w:t>1.0327 g</w:t>
      </w:r>
      <w:r w:rsidR="00F97575">
        <w:rPr>
          <w:rFonts w:ascii="Times New Roman" w:hAnsi="Times New Roman" w:cs="Times New Roman"/>
          <w:sz w:val="24"/>
        </w:rPr>
        <w:t xml:space="preserve"> of </w:t>
      </w:r>
      <w:r w:rsidR="00F97575" w:rsidRPr="00B87E1D">
        <w:rPr>
          <w:rFonts w:ascii="Times New Roman" w:hAnsi="Times New Roman" w:cs="Times New Roman"/>
          <w:sz w:val="24"/>
        </w:rPr>
        <w:t>jaggery</w:t>
      </w:r>
      <w:r w:rsidR="00F97575">
        <w:rPr>
          <w:rFonts w:ascii="Times New Roman" w:hAnsi="Times New Roman" w:cs="Times New Roman"/>
          <w:sz w:val="24"/>
        </w:rPr>
        <w:t>.</w:t>
      </w:r>
      <w:r w:rsidR="00F97575" w:rsidRPr="00054724">
        <w:rPr>
          <w:rFonts w:ascii="Times New Roman" w:hAnsi="Times New Roman" w:cs="Times New Roman"/>
          <w:b/>
          <w:bCs/>
          <w:sz w:val="24"/>
          <w:szCs w:val="24"/>
        </w:rPr>
        <w:t xml:space="preserve"> </w:t>
      </w:r>
    </w:p>
    <w:p w:rsidR="00F97575" w:rsidRDefault="00F60652" w:rsidP="00F97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F97575">
        <w:rPr>
          <w:rFonts w:ascii="Times New Roman" w:hAnsi="Times New Roman" w:cs="Times New Roman"/>
          <w:b/>
          <w:bCs/>
          <w:sz w:val="24"/>
          <w:szCs w:val="24"/>
        </w:rPr>
        <w:t xml:space="preserve">.2.3 </w:t>
      </w:r>
      <w:r w:rsidR="00F97575" w:rsidRPr="00054724">
        <w:rPr>
          <w:rFonts w:ascii="Times New Roman" w:hAnsi="Times New Roman" w:cs="Times New Roman"/>
          <w:b/>
          <w:bCs/>
          <w:sz w:val="24"/>
          <w:szCs w:val="24"/>
        </w:rPr>
        <w:t>Sugarcane juice:</w:t>
      </w:r>
      <w:r w:rsidR="00F97575" w:rsidRPr="00054724">
        <w:rPr>
          <w:rFonts w:ascii="Times New Roman" w:hAnsi="Times New Roman" w:cs="Times New Roman"/>
          <w:bCs/>
          <w:sz w:val="24"/>
          <w:szCs w:val="24"/>
        </w:rPr>
        <w:t xml:space="preserve"> </w:t>
      </w:r>
      <w:r w:rsidR="00F97575">
        <w:rPr>
          <w:rFonts w:ascii="Times New Roman" w:hAnsi="Times New Roman" w:cs="Times New Roman"/>
          <w:bCs/>
          <w:sz w:val="24"/>
          <w:szCs w:val="24"/>
        </w:rPr>
        <w:t>4</w:t>
      </w:r>
      <w:r w:rsidR="00F97575" w:rsidRPr="006B46EC">
        <w:rPr>
          <w:rFonts w:ascii="Times New Roman" w:hAnsi="Times New Roman" w:cs="Times New Roman"/>
          <w:bCs/>
          <w:sz w:val="24"/>
        </w:rPr>
        <w:t xml:space="preserve">.1367 g of </w:t>
      </w:r>
      <w:r w:rsidR="00F97575">
        <w:rPr>
          <w:rFonts w:ascii="Times New Roman" w:hAnsi="Times New Roman" w:cs="Times New Roman"/>
          <w:bCs/>
          <w:sz w:val="24"/>
        </w:rPr>
        <w:t xml:space="preserve">sugarcane </w:t>
      </w:r>
      <w:r w:rsidR="00F97575" w:rsidRPr="006B46EC">
        <w:rPr>
          <w:rFonts w:ascii="Times New Roman" w:hAnsi="Times New Roman" w:cs="Times New Roman"/>
          <w:bCs/>
          <w:sz w:val="24"/>
        </w:rPr>
        <w:t>juice</w:t>
      </w:r>
      <w:r w:rsidR="00F97575">
        <w:rPr>
          <w:rFonts w:ascii="Times New Roman" w:hAnsi="Times New Roman" w:cs="Times New Roman"/>
          <w:sz w:val="24"/>
        </w:rPr>
        <w:t xml:space="preserve"> is dissolved in dilute hydrochloric acid for 30 minutes. After cooling the solution the estimation of glucose is done using Fehling solution. The experiment was repeated by using </w:t>
      </w:r>
      <w:r w:rsidR="00F97575" w:rsidRPr="006B46EC">
        <w:rPr>
          <w:rFonts w:ascii="Times New Roman" w:hAnsi="Times New Roman" w:cs="Times New Roman"/>
          <w:bCs/>
          <w:sz w:val="24"/>
        </w:rPr>
        <w:t xml:space="preserve">3.1423 g </w:t>
      </w:r>
      <w:r w:rsidR="00F97575">
        <w:rPr>
          <w:rFonts w:ascii="Times New Roman" w:hAnsi="Times New Roman" w:cs="Times New Roman"/>
          <w:sz w:val="24"/>
        </w:rPr>
        <w:t xml:space="preserve">and </w:t>
      </w:r>
      <w:r w:rsidR="00F97575" w:rsidRPr="006B46EC">
        <w:rPr>
          <w:rFonts w:ascii="Times New Roman" w:hAnsi="Times New Roman" w:cs="Times New Roman"/>
          <w:bCs/>
          <w:sz w:val="24"/>
        </w:rPr>
        <w:t xml:space="preserve">2.5271 g </w:t>
      </w:r>
      <w:r w:rsidR="00F97575">
        <w:rPr>
          <w:rFonts w:ascii="Times New Roman" w:hAnsi="Times New Roman" w:cs="Times New Roman"/>
          <w:sz w:val="24"/>
        </w:rPr>
        <w:t xml:space="preserve"> of </w:t>
      </w:r>
      <w:r w:rsidR="00F97575">
        <w:rPr>
          <w:rFonts w:ascii="Times New Roman" w:hAnsi="Times New Roman" w:cs="Times New Roman"/>
          <w:bCs/>
          <w:sz w:val="24"/>
        </w:rPr>
        <w:t xml:space="preserve">sugarcane </w:t>
      </w:r>
      <w:r w:rsidR="00F97575" w:rsidRPr="006B46EC">
        <w:rPr>
          <w:rFonts w:ascii="Times New Roman" w:hAnsi="Times New Roman" w:cs="Times New Roman"/>
          <w:bCs/>
          <w:sz w:val="24"/>
        </w:rPr>
        <w:t>juice</w:t>
      </w:r>
      <w:r w:rsidR="00F97575">
        <w:rPr>
          <w:rFonts w:ascii="Times New Roman" w:hAnsi="Times New Roman" w:cs="Times New Roman"/>
          <w:sz w:val="24"/>
        </w:rPr>
        <w:t>.</w:t>
      </w:r>
    </w:p>
    <w:p w:rsidR="00F97575" w:rsidRDefault="00F60652" w:rsidP="00F97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F97575">
        <w:rPr>
          <w:rFonts w:ascii="Times New Roman" w:hAnsi="Times New Roman" w:cs="Times New Roman"/>
          <w:b/>
          <w:bCs/>
          <w:sz w:val="24"/>
          <w:szCs w:val="24"/>
        </w:rPr>
        <w:t xml:space="preserve">.2.4 </w:t>
      </w:r>
      <w:r w:rsidR="00F97575" w:rsidRPr="00054724">
        <w:rPr>
          <w:rFonts w:ascii="Times New Roman" w:hAnsi="Times New Roman" w:cs="Times New Roman"/>
          <w:b/>
          <w:bCs/>
          <w:sz w:val="24"/>
          <w:szCs w:val="24"/>
        </w:rPr>
        <w:t>Potato:</w:t>
      </w:r>
      <w:r w:rsidR="00F97575" w:rsidRPr="00054724">
        <w:rPr>
          <w:rFonts w:ascii="Times New Roman" w:hAnsi="Times New Roman" w:cs="Times New Roman"/>
          <w:bCs/>
          <w:sz w:val="24"/>
          <w:szCs w:val="24"/>
        </w:rPr>
        <w:t xml:space="preserve">  </w:t>
      </w:r>
      <w:r w:rsidR="00F97575" w:rsidRPr="007C52EF">
        <w:rPr>
          <w:rFonts w:ascii="Times New Roman" w:hAnsi="Times New Roman" w:cs="Times New Roman"/>
          <w:bCs/>
          <w:sz w:val="24"/>
        </w:rPr>
        <w:t xml:space="preserve">5.03 g </w:t>
      </w:r>
      <w:r w:rsidR="00F97575" w:rsidRPr="006B46EC">
        <w:rPr>
          <w:rFonts w:ascii="Times New Roman" w:hAnsi="Times New Roman" w:cs="Times New Roman"/>
          <w:bCs/>
          <w:sz w:val="24"/>
        </w:rPr>
        <w:t xml:space="preserve"> of </w:t>
      </w:r>
      <w:r w:rsidR="00F97575">
        <w:rPr>
          <w:rFonts w:ascii="Times New Roman" w:hAnsi="Times New Roman" w:cs="Times New Roman"/>
          <w:bCs/>
          <w:sz w:val="24"/>
        </w:rPr>
        <w:t>potato</w:t>
      </w:r>
      <w:r w:rsidR="00F97575">
        <w:rPr>
          <w:rFonts w:ascii="Times New Roman" w:hAnsi="Times New Roman" w:cs="Times New Roman"/>
          <w:sz w:val="24"/>
        </w:rPr>
        <w:t xml:space="preserve"> is dissolved in dilute hydrochloric acid for 30 minutes. After cooling the solution the estimation of glucose is done using Fehling solution. The experiment was repeated by using </w:t>
      </w:r>
      <w:r w:rsidR="00F97575" w:rsidRPr="007C52EF">
        <w:rPr>
          <w:rFonts w:ascii="Times New Roman" w:hAnsi="Times New Roman" w:cs="Times New Roman"/>
          <w:bCs/>
          <w:sz w:val="24"/>
        </w:rPr>
        <w:t xml:space="preserve">5.01 g </w:t>
      </w:r>
      <w:r w:rsidR="00F97575">
        <w:rPr>
          <w:rFonts w:ascii="Times New Roman" w:hAnsi="Times New Roman" w:cs="Times New Roman"/>
          <w:sz w:val="24"/>
        </w:rPr>
        <w:t xml:space="preserve">and </w:t>
      </w:r>
      <w:r w:rsidR="00F97575" w:rsidRPr="007C52EF">
        <w:rPr>
          <w:rFonts w:ascii="Times New Roman" w:hAnsi="Times New Roman" w:cs="Times New Roman"/>
          <w:bCs/>
          <w:sz w:val="24"/>
        </w:rPr>
        <w:t xml:space="preserve">4.92 g </w:t>
      </w:r>
      <w:r w:rsidR="00F97575">
        <w:rPr>
          <w:rFonts w:ascii="Times New Roman" w:hAnsi="Times New Roman" w:cs="Times New Roman"/>
          <w:sz w:val="24"/>
        </w:rPr>
        <w:t xml:space="preserve">of </w:t>
      </w:r>
      <w:r w:rsidR="00F97575">
        <w:rPr>
          <w:rFonts w:ascii="Times New Roman" w:hAnsi="Times New Roman" w:cs="Times New Roman"/>
          <w:bCs/>
          <w:sz w:val="24"/>
        </w:rPr>
        <w:t>potato.</w:t>
      </w:r>
    </w:p>
    <w:p w:rsidR="00F97575" w:rsidRDefault="00F60652" w:rsidP="00F9757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F97575">
        <w:rPr>
          <w:rFonts w:ascii="Times New Roman" w:hAnsi="Times New Roman" w:cs="Times New Roman"/>
          <w:b/>
          <w:bCs/>
          <w:sz w:val="24"/>
          <w:szCs w:val="24"/>
        </w:rPr>
        <w:t xml:space="preserve">.2.5 </w:t>
      </w:r>
      <w:r w:rsidR="00F97575" w:rsidRPr="00D70CF6">
        <w:rPr>
          <w:rFonts w:ascii="Times New Roman" w:hAnsi="Times New Roman" w:cs="Times New Roman"/>
          <w:b/>
          <w:bCs/>
          <w:sz w:val="24"/>
          <w:szCs w:val="24"/>
        </w:rPr>
        <w:t>Honey:</w:t>
      </w:r>
      <w:r w:rsidR="00F97575" w:rsidRPr="00284EA0">
        <w:rPr>
          <w:rFonts w:ascii="Times New Roman" w:hAnsi="Times New Roman" w:cs="Times New Roman"/>
          <w:bCs/>
          <w:sz w:val="24"/>
        </w:rPr>
        <w:t xml:space="preserve"> </w:t>
      </w:r>
      <w:r w:rsidR="00F97575">
        <w:rPr>
          <w:rFonts w:ascii="Times New Roman" w:hAnsi="Times New Roman" w:cs="Times New Roman"/>
          <w:bCs/>
          <w:sz w:val="24"/>
        </w:rPr>
        <w:t xml:space="preserve"> </w:t>
      </w:r>
      <w:r w:rsidR="00F97575" w:rsidRPr="006B46EC">
        <w:rPr>
          <w:rFonts w:ascii="Times New Roman" w:hAnsi="Times New Roman" w:cs="Times New Roman"/>
          <w:bCs/>
          <w:sz w:val="24"/>
        </w:rPr>
        <w:t xml:space="preserve">1.2708 g of </w:t>
      </w:r>
      <w:r w:rsidR="00F97575">
        <w:rPr>
          <w:rFonts w:ascii="Times New Roman" w:hAnsi="Times New Roman" w:cs="Times New Roman"/>
          <w:bCs/>
          <w:sz w:val="24"/>
        </w:rPr>
        <w:t>honey</w:t>
      </w:r>
      <w:r w:rsidR="00F97575">
        <w:rPr>
          <w:rFonts w:ascii="Times New Roman" w:hAnsi="Times New Roman" w:cs="Times New Roman"/>
          <w:sz w:val="24"/>
        </w:rPr>
        <w:t xml:space="preserve"> is dissolved in dilute hydrochloric acid for 30 minutes. After cooling the solution the estimation of glucose is done using Fehling solution. The experiment was repeated by using </w:t>
      </w:r>
      <w:r w:rsidR="00F97575" w:rsidRPr="006B46EC">
        <w:rPr>
          <w:rFonts w:ascii="Times New Roman" w:hAnsi="Times New Roman" w:cs="Times New Roman"/>
          <w:bCs/>
          <w:sz w:val="24"/>
        </w:rPr>
        <w:t xml:space="preserve">1.0539 g </w:t>
      </w:r>
      <w:r w:rsidR="00F97575">
        <w:rPr>
          <w:rFonts w:ascii="Times New Roman" w:hAnsi="Times New Roman" w:cs="Times New Roman"/>
          <w:sz w:val="24"/>
        </w:rPr>
        <w:t xml:space="preserve">and </w:t>
      </w:r>
      <w:r w:rsidR="00F97575" w:rsidRPr="006B46EC">
        <w:rPr>
          <w:rFonts w:ascii="Times New Roman" w:hAnsi="Times New Roman" w:cs="Times New Roman"/>
          <w:bCs/>
          <w:sz w:val="24"/>
        </w:rPr>
        <w:t>0.4244 g</w:t>
      </w:r>
      <w:r w:rsidR="00F97575">
        <w:rPr>
          <w:rFonts w:ascii="Times New Roman" w:hAnsi="Times New Roman" w:cs="Times New Roman"/>
          <w:sz w:val="24"/>
        </w:rPr>
        <w:t xml:space="preserve"> of </w:t>
      </w:r>
      <w:r w:rsidR="00F97575">
        <w:rPr>
          <w:rFonts w:ascii="Times New Roman" w:hAnsi="Times New Roman" w:cs="Times New Roman"/>
          <w:bCs/>
          <w:sz w:val="24"/>
        </w:rPr>
        <w:t>honey.</w:t>
      </w:r>
    </w:p>
    <w:p w:rsidR="00BA02CE" w:rsidRDefault="00BA02CE" w:rsidP="00C647A5">
      <w:pPr>
        <w:spacing w:line="360" w:lineRule="auto"/>
        <w:ind w:left="720" w:firstLine="720"/>
        <w:rPr>
          <w:color w:val="00B0F0"/>
          <w:sz w:val="20"/>
        </w:rPr>
      </w:pPr>
    </w:p>
    <w:p w:rsidR="00BA02CE" w:rsidRDefault="00F60652" w:rsidP="00CC4705">
      <w:pPr>
        <w:spacing w:line="360" w:lineRule="auto"/>
        <w:rPr>
          <w:rFonts w:ascii="Times New Roman" w:hAnsi="Times New Roman" w:cs="Times New Roman"/>
          <w:b/>
          <w:sz w:val="28"/>
        </w:rPr>
      </w:pPr>
      <w:r>
        <w:rPr>
          <w:rFonts w:ascii="Times New Roman" w:hAnsi="Times New Roman" w:cs="Times New Roman"/>
          <w:b/>
          <w:sz w:val="28"/>
        </w:rPr>
        <w:t>5</w:t>
      </w:r>
      <w:r w:rsidR="007E139B">
        <w:rPr>
          <w:rFonts w:ascii="Times New Roman" w:hAnsi="Times New Roman" w:cs="Times New Roman"/>
          <w:b/>
          <w:sz w:val="28"/>
        </w:rPr>
        <w:t xml:space="preserve">. </w:t>
      </w:r>
      <w:r w:rsidR="00C87AD4" w:rsidRPr="00C87AD4">
        <w:rPr>
          <w:rFonts w:ascii="Times New Roman" w:hAnsi="Times New Roman" w:cs="Times New Roman"/>
          <w:b/>
          <w:sz w:val="28"/>
        </w:rPr>
        <w:t>References:</w:t>
      </w:r>
    </w:p>
    <w:p w:rsidR="00066DBE" w:rsidRPr="00066DBE" w:rsidRDefault="00060559" w:rsidP="00B42346">
      <w:pPr>
        <w:pStyle w:val="Bibliography"/>
        <w:jc w:val="both"/>
        <w:rPr>
          <w:rFonts w:ascii="Times New Roman" w:hAnsi="Times New Roman" w:cs="Times New Roman"/>
        </w:rPr>
      </w:pPr>
      <w:r w:rsidRPr="00060559">
        <w:fldChar w:fldCharType="begin"/>
      </w:r>
      <w:r w:rsidR="00163F26">
        <w:instrText xml:space="preserve"> ADDIN ZOTERO_BIBL {"uncited":[],"omitted":[],"custom":[]} CSL_BIBLIOGRAPHY </w:instrText>
      </w:r>
      <w:r w:rsidRPr="00060559">
        <w:fldChar w:fldCharType="separate"/>
      </w:r>
      <w:r w:rsidR="00066DBE" w:rsidRPr="00066DBE">
        <w:rPr>
          <w:rFonts w:ascii="Times New Roman" w:hAnsi="Times New Roman" w:cs="Times New Roman"/>
        </w:rPr>
        <w:t>1.</w:t>
      </w:r>
      <w:r w:rsidR="00066DBE" w:rsidRPr="00066DBE">
        <w:rPr>
          <w:rFonts w:ascii="Times New Roman" w:hAnsi="Times New Roman" w:cs="Times New Roman"/>
        </w:rPr>
        <w:tab/>
        <w:t xml:space="preserve">Pellerin L. Food for thought: the importance of glucose and other energy substrates for sustaining brain function under varying levels of activity. </w:t>
      </w:r>
      <w:r w:rsidR="00066DBE" w:rsidRPr="00066DBE">
        <w:rPr>
          <w:rFonts w:ascii="Times New Roman" w:hAnsi="Times New Roman" w:cs="Times New Roman"/>
          <w:i/>
          <w:iCs/>
        </w:rPr>
        <w:t>Diabetes &amp; Metabolism</w:t>
      </w:r>
      <w:r w:rsidR="00066DBE" w:rsidRPr="00066DBE">
        <w:rPr>
          <w:rFonts w:ascii="Times New Roman" w:hAnsi="Times New Roman" w:cs="Times New Roman"/>
        </w:rPr>
        <w:t>. 2010;36:S59-S63. doi:10.1016/S1262-3636(10)70469-9</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w:t>
      </w:r>
      <w:r w:rsidRPr="00066DBE">
        <w:rPr>
          <w:rFonts w:ascii="Times New Roman" w:hAnsi="Times New Roman" w:cs="Times New Roman"/>
        </w:rPr>
        <w:tab/>
        <w:t>Overview of Glucose Regulation - ProQuest. Accessed August 20, 2025. https://www.proquest.com/openview/5560cd0a592f45c737f613ea96488d9a/1?pq-origsite=gscholar&amp;cbl=47185</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3.</w:t>
      </w:r>
      <w:r w:rsidRPr="00066DBE">
        <w:rPr>
          <w:rFonts w:ascii="Times New Roman" w:hAnsi="Times New Roman" w:cs="Times New Roman"/>
        </w:rPr>
        <w:tab/>
        <w:t xml:space="preserve">Remesar X, Alemany M. Dietary Energy Partition: The Central Role of Glucose. </w:t>
      </w:r>
      <w:r w:rsidRPr="00066DBE">
        <w:rPr>
          <w:rFonts w:ascii="Times New Roman" w:hAnsi="Times New Roman" w:cs="Times New Roman"/>
          <w:i/>
          <w:iCs/>
        </w:rPr>
        <w:t>International Journal of Molecular Sciences</w:t>
      </w:r>
      <w:r w:rsidRPr="00066DBE">
        <w:rPr>
          <w:rFonts w:ascii="Times New Roman" w:hAnsi="Times New Roman" w:cs="Times New Roman"/>
        </w:rPr>
        <w:t>. 2020;21(20):7729. doi:10.3390/ijms21207729</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4.</w:t>
      </w:r>
      <w:r w:rsidRPr="00066DBE">
        <w:rPr>
          <w:rFonts w:ascii="Times New Roman" w:hAnsi="Times New Roman" w:cs="Times New Roman"/>
        </w:rPr>
        <w:tab/>
        <w:t>Comments on metabolic needs for glucose and the role of gluconeogenesis | European Journal of Clinical Nutrition. Accessed August 20, 2025. https://www.nature.com/articles/1600748</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5.</w:t>
      </w:r>
      <w:r w:rsidRPr="00066DBE">
        <w:rPr>
          <w:rFonts w:ascii="Times New Roman" w:hAnsi="Times New Roman" w:cs="Times New Roman"/>
        </w:rPr>
        <w:tab/>
        <w:t xml:space="preserve">Wood JPM, Chidlow G, Graham M, Osborne NN. Energy Substrate Requirements of Rat Retinal Pigmented Epithelial Cells in Culture: Relative Importance of Glucose, Amino Acids, and Monocarboxylates. </w:t>
      </w:r>
      <w:r w:rsidRPr="00066DBE">
        <w:rPr>
          <w:rFonts w:ascii="Times New Roman" w:hAnsi="Times New Roman" w:cs="Times New Roman"/>
          <w:i/>
          <w:iCs/>
        </w:rPr>
        <w:t>Investigative Ophthalmology &amp; Visual Science</w:t>
      </w:r>
      <w:r w:rsidRPr="00066DBE">
        <w:rPr>
          <w:rFonts w:ascii="Times New Roman" w:hAnsi="Times New Roman" w:cs="Times New Roman"/>
        </w:rPr>
        <w:t>. 2004;45(4):1272-1280. doi:10.1167/iovs.03-0693</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6.</w:t>
      </w:r>
      <w:r w:rsidRPr="00066DBE">
        <w:rPr>
          <w:rFonts w:ascii="Times New Roman" w:hAnsi="Times New Roman" w:cs="Times New Roman"/>
        </w:rPr>
        <w:tab/>
        <w:t xml:space="preserve">Fisher M. Lehninger Principles of Biochemistry, 3rd edition; By David L. Nelson and Michael M. Cox. </w:t>
      </w:r>
      <w:r w:rsidRPr="00066DBE">
        <w:rPr>
          <w:rFonts w:ascii="Times New Roman" w:hAnsi="Times New Roman" w:cs="Times New Roman"/>
          <w:i/>
          <w:iCs/>
        </w:rPr>
        <w:t>Chem Educator</w:t>
      </w:r>
      <w:r w:rsidRPr="00066DBE">
        <w:rPr>
          <w:rFonts w:ascii="Times New Roman" w:hAnsi="Times New Roman" w:cs="Times New Roman"/>
        </w:rPr>
        <w:t>. 2001;6(1):69-70. doi:10.1007/s00897000455a</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7.</w:t>
      </w:r>
      <w:r w:rsidRPr="00066DBE">
        <w:rPr>
          <w:rFonts w:ascii="Times New Roman" w:hAnsi="Times New Roman" w:cs="Times New Roman"/>
        </w:rPr>
        <w:tab/>
        <w:t xml:space="preserve">Edelman SV. IMPORTANCE OF GLUCOSE CONTROL. </w:t>
      </w:r>
      <w:r w:rsidRPr="00066DBE">
        <w:rPr>
          <w:rFonts w:ascii="Times New Roman" w:hAnsi="Times New Roman" w:cs="Times New Roman"/>
          <w:i/>
          <w:iCs/>
        </w:rPr>
        <w:t>Medical Clinics of North America</w:t>
      </w:r>
      <w:r w:rsidRPr="00066DBE">
        <w:rPr>
          <w:rFonts w:ascii="Times New Roman" w:hAnsi="Times New Roman" w:cs="Times New Roman"/>
        </w:rPr>
        <w:t>. 1998;82(4):665-687. doi:10.1016/S0025-7125(05)70019-5</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8.</w:t>
      </w:r>
      <w:r w:rsidRPr="00066DBE">
        <w:rPr>
          <w:rFonts w:ascii="Times New Roman" w:hAnsi="Times New Roman" w:cs="Times New Roman"/>
        </w:rPr>
        <w:tab/>
        <w:t xml:space="preserve">Nevins D. Sugars: their origin in photosynthesis and subsequent biological interconversions. </w:t>
      </w:r>
      <w:r w:rsidRPr="00066DBE">
        <w:rPr>
          <w:rFonts w:ascii="Times New Roman" w:hAnsi="Times New Roman" w:cs="Times New Roman"/>
          <w:i/>
          <w:iCs/>
        </w:rPr>
        <w:t>The American Journal of Clinical Nutrition</w:t>
      </w:r>
      <w:r w:rsidRPr="00066DBE">
        <w:rPr>
          <w:rFonts w:ascii="Times New Roman" w:hAnsi="Times New Roman" w:cs="Times New Roman"/>
        </w:rPr>
        <w:t>. 1995;61(4):915S-921S. doi:10.1093/ajcn/61.4.915S</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9.</w:t>
      </w:r>
      <w:r w:rsidRPr="00066DBE">
        <w:rPr>
          <w:rFonts w:ascii="Times New Roman" w:hAnsi="Times New Roman" w:cs="Times New Roman"/>
        </w:rPr>
        <w:tab/>
        <w:t xml:space="preserve">Pego JV, Kortstee AJ, Huijser C, Smeekens SCM. Photosynthesis, sugars and the regulation of gene expression. </w:t>
      </w:r>
      <w:r w:rsidRPr="00066DBE">
        <w:rPr>
          <w:rFonts w:ascii="Times New Roman" w:hAnsi="Times New Roman" w:cs="Times New Roman"/>
          <w:i/>
          <w:iCs/>
        </w:rPr>
        <w:t>Journal of Experimental Botany</w:t>
      </w:r>
      <w:r w:rsidRPr="00066DBE">
        <w:rPr>
          <w:rFonts w:ascii="Times New Roman" w:hAnsi="Times New Roman" w:cs="Times New Roman"/>
        </w:rPr>
        <w:t>. 2000;51(suppl_1):407-416. doi:10.1093/jexbot/51.suppl_1.407</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10.</w:t>
      </w:r>
      <w:r w:rsidRPr="00066DBE">
        <w:rPr>
          <w:rFonts w:ascii="Times New Roman" w:hAnsi="Times New Roman" w:cs="Times New Roman"/>
        </w:rPr>
        <w:tab/>
        <w:t xml:space="preserve">MacRae E, Lunn JE. Photosynthetic Sucrose Biosynthesis: An Evolutionary Perspective. In: Eaton-Rye JJ, Tripathy BC, Sharkey TD, eds. </w:t>
      </w:r>
      <w:r w:rsidRPr="00066DBE">
        <w:rPr>
          <w:rFonts w:ascii="Times New Roman" w:hAnsi="Times New Roman" w:cs="Times New Roman"/>
          <w:i/>
          <w:iCs/>
        </w:rPr>
        <w:t>Photosynthesis: Plastid Biology, Energy Conversion and Carbon Assimilation</w:t>
      </w:r>
      <w:r w:rsidRPr="00066DBE">
        <w:rPr>
          <w:rFonts w:ascii="Times New Roman" w:hAnsi="Times New Roman" w:cs="Times New Roman"/>
        </w:rPr>
        <w:t>. Springer Netherlands; 2012:675-702. doi:10.1007/978-94-007-1579-0_27</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11.</w:t>
      </w:r>
      <w:r w:rsidRPr="00066DBE">
        <w:rPr>
          <w:rFonts w:ascii="Times New Roman" w:hAnsi="Times New Roman" w:cs="Times New Roman"/>
        </w:rPr>
        <w:tab/>
        <w:t xml:space="preserve">Galant AL, Kaufman RC, Wilson JD. Glucose: Detection and analysis. </w:t>
      </w:r>
      <w:r w:rsidRPr="00066DBE">
        <w:rPr>
          <w:rFonts w:ascii="Times New Roman" w:hAnsi="Times New Roman" w:cs="Times New Roman"/>
          <w:i/>
          <w:iCs/>
        </w:rPr>
        <w:t>Food Chemistry</w:t>
      </w:r>
      <w:r w:rsidRPr="00066DBE">
        <w:rPr>
          <w:rFonts w:ascii="Times New Roman" w:hAnsi="Times New Roman" w:cs="Times New Roman"/>
        </w:rPr>
        <w:t>. 2015;188:149-160. doi:10.1016/j.foodchem.2015.04.071</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12.</w:t>
      </w:r>
      <w:r w:rsidRPr="00066DBE">
        <w:rPr>
          <w:rFonts w:ascii="Times New Roman" w:hAnsi="Times New Roman" w:cs="Times New Roman"/>
        </w:rPr>
        <w:tab/>
        <w:t xml:space="preserve">Xia M lei, Wang L, Yang Z xia, Chen H zhang. A novel digital color analysis method for rapid glucose detection. </w:t>
      </w:r>
      <w:r w:rsidRPr="00066DBE">
        <w:rPr>
          <w:rFonts w:ascii="Times New Roman" w:hAnsi="Times New Roman" w:cs="Times New Roman"/>
          <w:i/>
          <w:iCs/>
        </w:rPr>
        <w:t>Anal Methods</w:t>
      </w:r>
      <w:r w:rsidRPr="00066DBE">
        <w:rPr>
          <w:rFonts w:ascii="Times New Roman" w:hAnsi="Times New Roman" w:cs="Times New Roman"/>
        </w:rPr>
        <w:t>. 2015;7(16):6654-6663. doi:10.1039/C5AY01233C</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13.</w:t>
      </w:r>
      <w:r w:rsidRPr="00066DBE">
        <w:rPr>
          <w:rFonts w:ascii="Times New Roman" w:hAnsi="Times New Roman" w:cs="Times New Roman"/>
        </w:rPr>
        <w:tab/>
        <w:t>Methods for the determination of glucose in blood. Part 1 | Reviews and Advances in Chemistry. Accessed August 20, 2025. https://link.springer.com/article/10.1134/S207997801501001X</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14.</w:t>
      </w:r>
      <w:r w:rsidRPr="00066DBE">
        <w:rPr>
          <w:rFonts w:ascii="Times New Roman" w:hAnsi="Times New Roman" w:cs="Times New Roman"/>
        </w:rPr>
        <w:tab/>
        <w:t xml:space="preserve">Galant AL, Kaufman RC, Wilson JD. Glucose: Detection and analysis. </w:t>
      </w:r>
      <w:r w:rsidRPr="00066DBE">
        <w:rPr>
          <w:rFonts w:ascii="Times New Roman" w:hAnsi="Times New Roman" w:cs="Times New Roman"/>
          <w:i/>
          <w:iCs/>
        </w:rPr>
        <w:t>Food Chemistry</w:t>
      </w:r>
      <w:r w:rsidRPr="00066DBE">
        <w:rPr>
          <w:rFonts w:ascii="Times New Roman" w:hAnsi="Times New Roman" w:cs="Times New Roman"/>
        </w:rPr>
        <w:t>. 2015;188:149-160. doi:10.1016/j.foodchem.2015.04.071</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lastRenderedPageBreak/>
        <w:t>15.</w:t>
      </w:r>
      <w:r w:rsidRPr="00066DBE">
        <w:rPr>
          <w:rFonts w:ascii="Times New Roman" w:hAnsi="Times New Roman" w:cs="Times New Roman"/>
        </w:rPr>
        <w:tab/>
        <w:t xml:space="preserve">null  null. The Effect of Intensive Treatment of Diabetes on the Development and Progression of Long-Term Complications in Insulin-Dependent Diabetes Mellitus. </w:t>
      </w:r>
      <w:r w:rsidRPr="00066DBE">
        <w:rPr>
          <w:rFonts w:ascii="Times New Roman" w:hAnsi="Times New Roman" w:cs="Times New Roman"/>
          <w:i/>
          <w:iCs/>
        </w:rPr>
        <w:t>New England Journal of Medicine</w:t>
      </w:r>
      <w:r w:rsidRPr="00066DBE">
        <w:rPr>
          <w:rFonts w:ascii="Times New Roman" w:hAnsi="Times New Roman" w:cs="Times New Roman"/>
        </w:rPr>
        <w:t>. 1993;329(14):977-986. doi:10.1056/NEJM199309303291401</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16.</w:t>
      </w:r>
      <w:r w:rsidRPr="00066DBE">
        <w:rPr>
          <w:rFonts w:ascii="Times New Roman" w:hAnsi="Times New Roman" w:cs="Times New Roman"/>
        </w:rPr>
        <w:tab/>
        <w:t xml:space="preserve">Magwaza LS, Opara UL. Analytical methods for determination of sugars and sweetness of horticultural products—A review. </w:t>
      </w:r>
      <w:r w:rsidRPr="00066DBE">
        <w:rPr>
          <w:rFonts w:ascii="Times New Roman" w:hAnsi="Times New Roman" w:cs="Times New Roman"/>
          <w:i/>
          <w:iCs/>
        </w:rPr>
        <w:t>Scientia Horticulturae</w:t>
      </w:r>
      <w:r w:rsidRPr="00066DBE">
        <w:rPr>
          <w:rFonts w:ascii="Times New Roman" w:hAnsi="Times New Roman" w:cs="Times New Roman"/>
        </w:rPr>
        <w:t>. 2015;184:179-192. doi:10.1016/j.scienta.2015.01.001</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17.</w:t>
      </w:r>
      <w:r w:rsidRPr="00066DBE">
        <w:rPr>
          <w:rFonts w:ascii="Times New Roman" w:hAnsi="Times New Roman" w:cs="Times New Roman"/>
        </w:rPr>
        <w:tab/>
        <w:t>Yun Zhang QC. Improving measurement of reducing sugar content  in carbonated beverages using Fehling’s reagent. Accessed August 20, 2025. https://pdfs.semanticscholar.org/29a0/4c6da031c77a8c61eb13bbe3cc1f1368b3cb.pdf</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18.</w:t>
      </w:r>
      <w:r w:rsidRPr="00066DBE">
        <w:rPr>
          <w:rFonts w:ascii="Times New Roman" w:hAnsi="Times New Roman" w:cs="Times New Roman"/>
        </w:rPr>
        <w:tab/>
        <w:t>Glucose – a Reducing Sugar? Reducing Properties of Sugars in Beverages and Food | BrewingScience. Accessed August 20, 2025. https://brewingscience.de/index.php/brewingscience/article/view/410</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19.</w:t>
      </w:r>
      <w:r w:rsidRPr="00066DBE">
        <w:rPr>
          <w:rFonts w:ascii="Times New Roman" w:hAnsi="Times New Roman" w:cs="Times New Roman"/>
        </w:rPr>
        <w:tab/>
        <w:t>Glucose utilization dynamics and food intake | British Journal of Nutrition | Cambridge Core. Accessed August 20, 2025. https://www.cambridge.org/core/journals/british-journal-of-nutrition/article/glucose-utilization-dynamics-and-food-intake/B68956A0F99790678EA39A4488487B7E</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20.</w:t>
      </w:r>
      <w:r w:rsidRPr="00066DBE">
        <w:rPr>
          <w:rFonts w:ascii="Times New Roman" w:hAnsi="Times New Roman" w:cs="Times New Roman"/>
        </w:rPr>
        <w:tab/>
        <w:t xml:space="preserve">Liu Y, Javvaji V, Raghavan SR, Bentley WE, Payne GF. Glucose Oxidase-Mediated Gelation: A Simple Test To Detect Glucose in Food Products. </w:t>
      </w:r>
      <w:r w:rsidRPr="00066DBE">
        <w:rPr>
          <w:rFonts w:ascii="Times New Roman" w:hAnsi="Times New Roman" w:cs="Times New Roman"/>
          <w:i/>
          <w:iCs/>
        </w:rPr>
        <w:t>J Agric Food Chem</w:t>
      </w:r>
      <w:r w:rsidRPr="00066DBE">
        <w:rPr>
          <w:rFonts w:ascii="Times New Roman" w:hAnsi="Times New Roman" w:cs="Times New Roman"/>
        </w:rPr>
        <w:t>. 2012;60(36):8963-8967. doi:10.1021/jf301376b</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21.</w:t>
      </w:r>
      <w:r w:rsidRPr="00066DBE">
        <w:rPr>
          <w:rFonts w:ascii="Times New Roman" w:hAnsi="Times New Roman" w:cs="Times New Roman"/>
        </w:rPr>
        <w:tab/>
        <w:t xml:space="preserve">Al-Mhanna NM, Huebner H, Buchholz R. Analysis of the Sugar Content in Food Products by Using Gas Chromatography Mass Spectrometry and Enzymatic Methods. </w:t>
      </w:r>
      <w:r w:rsidRPr="00066DBE">
        <w:rPr>
          <w:rFonts w:ascii="Times New Roman" w:hAnsi="Times New Roman" w:cs="Times New Roman"/>
          <w:i/>
          <w:iCs/>
        </w:rPr>
        <w:t>Foods</w:t>
      </w:r>
      <w:r w:rsidRPr="00066DBE">
        <w:rPr>
          <w:rFonts w:ascii="Times New Roman" w:hAnsi="Times New Roman" w:cs="Times New Roman"/>
        </w:rPr>
        <w:t>. 2018;7(11):185. doi:10.3390/foods7110185</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22.</w:t>
      </w:r>
      <w:r w:rsidRPr="00066DBE">
        <w:rPr>
          <w:rFonts w:ascii="Times New Roman" w:hAnsi="Times New Roman" w:cs="Times New Roman"/>
        </w:rPr>
        <w:tab/>
        <w:t xml:space="preserve">Valverde S, Ares AM, Stephen Elmore J, Bernal J. Recent trends in the analysis of honey constituents. </w:t>
      </w:r>
      <w:r w:rsidRPr="00066DBE">
        <w:rPr>
          <w:rFonts w:ascii="Times New Roman" w:hAnsi="Times New Roman" w:cs="Times New Roman"/>
          <w:i/>
          <w:iCs/>
        </w:rPr>
        <w:t>Food Chemistry</w:t>
      </w:r>
      <w:r w:rsidRPr="00066DBE">
        <w:rPr>
          <w:rFonts w:ascii="Times New Roman" w:hAnsi="Times New Roman" w:cs="Times New Roman"/>
        </w:rPr>
        <w:t>. 2022;387:132920. doi:10.1016/j.foodchem.2022.132920</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23.</w:t>
      </w:r>
      <w:r w:rsidRPr="00066DBE">
        <w:rPr>
          <w:rFonts w:ascii="Times New Roman" w:hAnsi="Times New Roman" w:cs="Times New Roman"/>
        </w:rPr>
        <w:tab/>
        <w:t>Chemical Composition of Honey | SpringerLink. Accessed August 21, 2025. https://link.springer.com/chapter/10.1007/978-3-031-89049-9_3</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24.</w:t>
      </w:r>
      <w:r w:rsidRPr="00066DBE">
        <w:rPr>
          <w:rFonts w:ascii="Times New Roman" w:hAnsi="Times New Roman" w:cs="Times New Roman"/>
        </w:rPr>
        <w:tab/>
        <w:t xml:space="preserve">Mishra T, Raigond P, Thakur N, Dutt S, Singh B. Recent Updates on Healthy Phytoconstituents in Potato: a Nutritional Depository. </w:t>
      </w:r>
      <w:r w:rsidRPr="00066DBE">
        <w:rPr>
          <w:rFonts w:ascii="Times New Roman" w:hAnsi="Times New Roman" w:cs="Times New Roman"/>
          <w:i/>
          <w:iCs/>
        </w:rPr>
        <w:t>Potato Res</w:t>
      </w:r>
      <w:r w:rsidRPr="00066DBE">
        <w:rPr>
          <w:rFonts w:ascii="Times New Roman" w:hAnsi="Times New Roman" w:cs="Times New Roman"/>
        </w:rPr>
        <w:t>. 2020;63(3):323-343. doi:10.1007/s11540-019-09442-z</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25.</w:t>
      </w:r>
      <w:r w:rsidRPr="00066DBE">
        <w:rPr>
          <w:rFonts w:ascii="Times New Roman" w:hAnsi="Times New Roman" w:cs="Times New Roman"/>
        </w:rPr>
        <w:tab/>
        <w:t xml:space="preserve">Ezekiel R, Singh N, Sharma S, Kaur A. Beneficial phytochemicals in potato — a review. </w:t>
      </w:r>
      <w:r w:rsidRPr="00066DBE">
        <w:rPr>
          <w:rFonts w:ascii="Times New Roman" w:hAnsi="Times New Roman" w:cs="Times New Roman"/>
          <w:i/>
          <w:iCs/>
        </w:rPr>
        <w:t>Food Research International</w:t>
      </w:r>
      <w:r w:rsidRPr="00066DBE">
        <w:rPr>
          <w:rFonts w:ascii="Times New Roman" w:hAnsi="Times New Roman" w:cs="Times New Roman"/>
        </w:rPr>
        <w:t>. 2013;50(2):487-496. doi:10.1016/j.foodres.2011.04.025</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26.</w:t>
      </w:r>
      <w:r w:rsidRPr="00066DBE">
        <w:rPr>
          <w:rFonts w:ascii="Times New Roman" w:hAnsi="Times New Roman" w:cs="Times New Roman"/>
        </w:rPr>
        <w:tab/>
        <w:t xml:space="preserve">Wang S, Nie S, Zhu F. Chemical constituents and health effects of sweet potato. </w:t>
      </w:r>
      <w:r w:rsidRPr="00066DBE">
        <w:rPr>
          <w:rFonts w:ascii="Times New Roman" w:hAnsi="Times New Roman" w:cs="Times New Roman"/>
          <w:i/>
          <w:iCs/>
        </w:rPr>
        <w:t>Food Research International</w:t>
      </w:r>
      <w:r w:rsidRPr="00066DBE">
        <w:rPr>
          <w:rFonts w:ascii="Times New Roman" w:hAnsi="Times New Roman" w:cs="Times New Roman"/>
        </w:rPr>
        <w:t>. 2016;89:90-116. doi:10.1016/j.foodres.2016.08.032</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27.</w:t>
      </w:r>
      <w:r w:rsidRPr="00066DBE">
        <w:rPr>
          <w:rFonts w:ascii="Times New Roman" w:hAnsi="Times New Roman" w:cs="Times New Roman"/>
        </w:rPr>
        <w:tab/>
        <w:t xml:space="preserve">Kolattukudy PE, Agrawal VP. Structure and composition of aliphatic constituents of potato tuber skin (suberin). </w:t>
      </w:r>
      <w:r w:rsidRPr="00066DBE">
        <w:rPr>
          <w:rFonts w:ascii="Times New Roman" w:hAnsi="Times New Roman" w:cs="Times New Roman"/>
          <w:i/>
          <w:iCs/>
        </w:rPr>
        <w:t>Lipids</w:t>
      </w:r>
      <w:r w:rsidRPr="00066DBE">
        <w:rPr>
          <w:rFonts w:ascii="Times New Roman" w:hAnsi="Times New Roman" w:cs="Times New Roman"/>
        </w:rPr>
        <w:t>. 1974;9(9):682-691. doi:10.1007/BF02532176</w:t>
      </w:r>
    </w:p>
    <w:p w:rsidR="00066DBE" w:rsidRPr="00066DBE" w:rsidRDefault="00066DBE" w:rsidP="00B42346">
      <w:pPr>
        <w:pStyle w:val="Bibliography"/>
        <w:jc w:val="both"/>
        <w:rPr>
          <w:rFonts w:ascii="Times New Roman" w:hAnsi="Times New Roman" w:cs="Times New Roman"/>
        </w:rPr>
      </w:pPr>
      <w:r w:rsidRPr="00066DBE">
        <w:rPr>
          <w:rFonts w:ascii="Times New Roman" w:hAnsi="Times New Roman" w:cs="Times New Roman"/>
        </w:rPr>
        <w:t>28.</w:t>
      </w:r>
      <w:r w:rsidRPr="00066DBE">
        <w:rPr>
          <w:rFonts w:ascii="Times New Roman" w:hAnsi="Times New Roman" w:cs="Times New Roman"/>
        </w:rPr>
        <w:tab/>
        <w:t xml:space="preserve">Mongi RJ, Ruhembe CC. Sugar profile and sensory properties of honey from different geographical zones and botanical origins in Tanzania. </w:t>
      </w:r>
      <w:r w:rsidRPr="00066DBE">
        <w:rPr>
          <w:rFonts w:ascii="Times New Roman" w:hAnsi="Times New Roman" w:cs="Times New Roman"/>
          <w:i/>
          <w:iCs/>
        </w:rPr>
        <w:t>Heliyon</w:t>
      </w:r>
      <w:r w:rsidRPr="00066DBE">
        <w:rPr>
          <w:rFonts w:ascii="Times New Roman" w:hAnsi="Times New Roman" w:cs="Times New Roman"/>
        </w:rPr>
        <w:t>. 2024;10(18):e38094. doi:10.1016/j.heliyon.2024.e38094</w:t>
      </w:r>
    </w:p>
    <w:p w:rsidR="00BA02CE" w:rsidRDefault="00060559" w:rsidP="00B42346">
      <w:pPr>
        <w:pStyle w:val="Bibliography"/>
        <w:jc w:val="both"/>
        <w:rPr>
          <w:color w:val="00B0F0"/>
          <w:sz w:val="20"/>
        </w:rPr>
      </w:pPr>
      <w:r w:rsidRPr="00C87AD4">
        <w:rPr>
          <w:rFonts w:ascii="Times New Roman" w:hAnsi="Times New Roman" w:cs="Times New Roman"/>
        </w:rPr>
        <w:fldChar w:fldCharType="end"/>
      </w:r>
      <w:r w:rsidR="0006289F">
        <w:rPr>
          <w:rFonts w:ascii="Times New Roman" w:hAnsi="Times New Roman" w:cs="Times New Roman"/>
        </w:rPr>
        <w:t>.</w:t>
      </w:r>
    </w:p>
    <w:sectPr w:rsidR="00BA02CE" w:rsidSect="003879F6">
      <w:headerReference w:type="default" r:id="rId11"/>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7AC" w:rsidRDefault="00C977AC" w:rsidP="00BA02CE">
      <w:pPr>
        <w:spacing w:after="0" w:line="240" w:lineRule="auto"/>
      </w:pPr>
      <w:r>
        <w:separator/>
      </w:r>
    </w:p>
  </w:endnote>
  <w:endnote w:type="continuationSeparator" w:id="0">
    <w:p w:rsidR="00C977AC" w:rsidRDefault="00C977AC" w:rsidP="00BA0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7AC" w:rsidRDefault="00C977AC" w:rsidP="00BA02CE">
      <w:pPr>
        <w:spacing w:after="0" w:line="240" w:lineRule="auto"/>
      </w:pPr>
      <w:r>
        <w:separator/>
      </w:r>
    </w:p>
  </w:footnote>
  <w:footnote w:type="continuationSeparator" w:id="0">
    <w:p w:rsidR="00C977AC" w:rsidRDefault="00C977AC" w:rsidP="00BA0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145501"/>
      <w:docPartObj>
        <w:docPartGallery w:val="Page Numbers (Top of Page)"/>
        <w:docPartUnique/>
      </w:docPartObj>
    </w:sdtPr>
    <w:sdtEndPr>
      <w:rPr>
        <w:rFonts w:ascii="Times New Roman" w:hAnsi="Times New Roman" w:cs="Times New Roman"/>
        <w:b/>
        <w:sz w:val="24"/>
      </w:rPr>
    </w:sdtEndPr>
    <w:sdtContent>
      <w:p w:rsidR="00284EA0" w:rsidRPr="00CE4D8A" w:rsidRDefault="00060559">
        <w:pPr>
          <w:pStyle w:val="Header"/>
          <w:jc w:val="right"/>
          <w:rPr>
            <w:rFonts w:ascii="Times New Roman" w:hAnsi="Times New Roman" w:cs="Times New Roman"/>
            <w:b/>
            <w:sz w:val="24"/>
          </w:rPr>
        </w:pPr>
        <w:r w:rsidRPr="00CE4D8A">
          <w:rPr>
            <w:rFonts w:ascii="Times New Roman" w:hAnsi="Times New Roman" w:cs="Times New Roman"/>
            <w:b/>
            <w:sz w:val="24"/>
          </w:rPr>
          <w:fldChar w:fldCharType="begin"/>
        </w:r>
        <w:r w:rsidR="00284EA0" w:rsidRPr="00CE4D8A">
          <w:rPr>
            <w:rFonts w:ascii="Times New Roman" w:hAnsi="Times New Roman" w:cs="Times New Roman"/>
            <w:b/>
            <w:sz w:val="24"/>
          </w:rPr>
          <w:instrText xml:space="preserve"> PAGE   \* MERGEFORMAT </w:instrText>
        </w:r>
        <w:r w:rsidRPr="00CE4D8A">
          <w:rPr>
            <w:rFonts w:ascii="Times New Roman" w:hAnsi="Times New Roman" w:cs="Times New Roman"/>
            <w:b/>
            <w:sz w:val="24"/>
          </w:rPr>
          <w:fldChar w:fldCharType="separate"/>
        </w:r>
        <w:r w:rsidR="005B6DA6">
          <w:rPr>
            <w:rFonts w:ascii="Times New Roman" w:hAnsi="Times New Roman" w:cs="Times New Roman"/>
            <w:b/>
            <w:noProof/>
            <w:sz w:val="24"/>
          </w:rPr>
          <w:t>6</w:t>
        </w:r>
        <w:r w:rsidRPr="00CE4D8A">
          <w:rPr>
            <w:rFonts w:ascii="Times New Roman" w:hAnsi="Times New Roman" w:cs="Times New Roman"/>
            <w:b/>
            <w:sz w:val="24"/>
          </w:rPr>
          <w:fldChar w:fldCharType="end"/>
        </w:r>
      </w:p>
    </w:sdtContent>
  </w:sdt>
  <w:p w:rsidR="00284EA0" w:rsidRDefault="00284E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6FD"/>
    <w:multiLevelType w:val="hybridMultilevel"/>
    <w:tmpl w:val="10363AB0"/>
    <w:lvl w:ilvl="0" w:tplc="FE3847F0">
      <w:start w:val="1"/>
      <w:numFmt w:val="decimal"/>
      <w:lvlText w:val="%1."/>
      <w:lvlJc w:val="left"/>
      <w:pPr>
        <w:ind w:left="720" w:hanging="360"/>
      </w:pPr>
      <w:rPr>
        <w:rFonts w:hint="default"/>
        <w:color w:val="00B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F0F72"/>
    <w:multiLevelType w:val="hybridMultilevel"/>
    <w:tmpl w:val="4686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A0893"/>
    <w:multiLevelType w:val="hybridMultilevel"/>
    <w:tmpl w:val="DA00DB8E"/>
    <w:lvl w:ilvl="0" w:tplc="443884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D21768"/>
    <w:multiLevelType w:val="hybridMultilevel"/>
    <w:tmpl w:val="5D98F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C325A6"/>
    <w:multiLevelType w:val="hybridMultilevel"/>
    <w:tmpl w:val="96548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81CBF"/>
    <w:multiLevelType w:val="hybridMultilevel"/>
    <w:tmpl w:val="CF767C82"/>
    <w:lvl w:ilvl="0" w:tplc="F4F290C2">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CA6617"/>
    <w:multiLevelType w:val="hybridMultilevel"/>
    <w:tmpl w:val="966AD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F11F8"/>
    <w:multiLevelType w:val="hybridMultilevel"/>
    <w:tmpl w:val="D65C1B9A"/>
    <w:lvl w:ilvl="0" w:tplc="DF067708">
      <w:start w:val="4"/>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E32F5"/>
    <w:multiLevelType w:val="hybridMultilevel"/>
    <w:tmpl w:val="530A1AEA"/>
    <w:lvl w:ilvl="0" w:tplc="ABB0F88A">
      <w:start w:val="1"/>
      <w:numFmt w:val="decimal"/>
      <w:lvlText w:val="%1."/>
      <w:lvlJc w:val="left"/>
      <w:pPr>
        <w:ind w:left="1704" w:hanging="98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B72FDD"/>
    <w:multiLevelType w:val="hybridMultilevel"/>
    <w:tmpl w:val="CA20E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7D75F5"/>
    <w:multiLevelType w:val="hybridMultilevel"/>
    <w:tmpl w:val="5CE423C8"/>
    <w:lvl w:ilvl="0" w:tplc="4D7E6940">
      <w:start w:val="13"/>
      <w:numFmt w:val="bullet"/>
      <w:lvlText w:val=""/>
      <w:lvlJc w:val="left"/>
      <w:pPr>
        <w:ind w:left="1752" w:hanging="360"/>
      </w:pPr>
      <w:rPr>
        <w:rFonts w:ascii="Wingdings" w:eastAsiaTheme="minorHAnsi" w:hAnsi="Wingdings" w:cstheme="minorBidi"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1">
    <w:nsid w:val="2CA572EF"/>
    <w:multiLevelType w:val="hybridMultilevel"/>
    <w:tmpl w:val="8F7C301A"/>
    <w:lvl w:ilvl="0" w:tplc="F5CC59FC">
      <w:start w:val="3"/>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896717"/>
    <w:multiLevelType w:val="hybridMultilevel"/>
    <w:tmpl w:val="658A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85293"/>
    <w:multiLevelType w:val="hybridMultilevel"/>
    <w:tmpl w:val="FEBE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77592"/>
    <w:multiLevelType w:val="hybridMultilevel"/>
    <w:tmpl w:val="420047B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nsid w:val="3A18588E"/>
    <w:multiLevelType w:val="hybridMultilevel"/>
    <w:tmpl w:val="8B42C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272AE"/>
    <w:multiLevelType w:val="hybridMultilevel"/>
    <w:tmpl w:val="92320C34"/>
    <w:lvl w:ilvl="0" w:tplc="2694602A">
      <w:start w:val="1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7B35AF7"/>
    <w:multiLevelType w:val="hybridMultilevel"/>
    <w:tmpl w:val="4414010C"/>
    <w:lvl w:ilvl="0" w:tplc="5BA2C57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9522A"/>
    <w:multiLevelType w:val="hybridMultilevel"/>
    <w:tmpl w:val="122EF184"/>
    <w:lvl w:ilvl="0" w:tplc="48AAF784">
      <w:start w:val="3"/>
      <w:numFmt w:val="decimal"/>
      <w:lvlText w:val="%1."/>
      <w:lvlJc w:val="left"/>
      <w:pPr>
        <w:ind w:left="1636"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F523D8"/>
    <w:multiLevelType w:val="hybridMultilevel"/>
    <w:tmpl w:val="40AC5E8E"/>
    <w:lvl w:ilvl="0" w:tplc="21088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1A0FB4"/>
    <w:multiLevelType w:val="hybridMultilevel"/>
    <w:tmpl w:val="B8C4DFDE"/>
    <w:lvl w:ilvl="0" w:tplc="CEC8459A">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A44E5"/>
    <w:multiLevelType w:val="hybridMultilevel"/>
    <w:tmpl w:val="B0289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1744E59"/>
    <w:multiLevelType w:val="hybridMultilevel"/>
    <w:tmpl w:val="DA2A002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3">
    <w:nsid w:val="72FE4E64"/>
    <w:multiLevelType w:val="hybridMultilevel"/>
    <w:tmpl w:val="36E0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60B6"/>
    <w:multiLevelType w:val="hybridMultilevel"/>
    <w:tmpl w:val="35F4289C"/>
    <w:lvl w:ilvl="0" w:tplc="9BE88238">
      <w:start w:val="5"/>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4"/>
  </w:num>
  <w:num w:numId="2">
    <w:abstractNumId w:val="19"/>
  </w:num>
  <w:num w:numId="3">
    <w:abstractNumId w:val="11"/>
  </w:num>
  <w:num w:numId="4">
    <w:abstractNumId w:val="18"/>
  </w:num>
  <w:num w:numId="5">
    <w:abstractNumId w:val="12"/>
  </w:num>
  <w:num w:numId="6">
    <w:abstractNumId w:val="23"/>
  </w:num>
  <w:num w:numId="7">
    <w:abstractNumId w:val="6"/>
  </w:num>
  <w:num w:numId="8">
    <w:abstractNumId w:val="1"/>
  </w:num>
  <w:num w:numId="9">
    <w:abstractNumId w:val="8"/>
  </w:num>
  <w:num w:numId="10">
    <w:abstractNumId w:val="7"/>
  </w:num>
  <w:num w:numId="11">
    <w:abstractNumId w:val="15"/>
  </w:num>
  <w:num w:numId="12">
    <w:abstractNumId w:val="13"/>
  </w:num>
  <w:num w:numId="13">
    <w:abstractNumId w:val="3"/>
  </w:num>
  <w:num w:numId="14">
    <w:abstractNumId w:val="14"/>
  </w:num>
  <w:num w:numId="15">
    <w:abstractNumId w:val="22"/>
  </w:num>
  <w:num w:numId="16">
    <w:abstractNumId w:val="9"/>
  </w:num>
  <w:num w:numId="17">
    <w:abstractNumId w:val="21"/>
  </w:num>
  <w:num w:numId="18">
    <w:abstractNumId w:val="24"/>
  </w:num>
  <w:num w:numId="19">
    <w:abstractNumId w:val="16"/>
  </w:num>
  <w:num w:numId="20">
    <w:abstractNumId w:val="5"/>
  </w:num>
  <w:num w:numId="21">
    <w:abstractNumId w:val="20"/>
  </w:num>
  <w:num w:numId="22">
    <w:abstractNumId w:val="17"/>
  </w:num>
  <w:num w:numId="23">
    <w:abstractNumId w:val="10"/>
  </w:num>
  <w:num w:numId="24">
    <w:abstractNumId w:val="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02CE"/>
    <w:rsid w:val="00002195"/>
    <w:rsid w:val="000025FF"/>
    <w:rsid w:val="00004DD9"/>
    <w:rsid w:val="00010060"/>
    <w:rsid w:val="00043146"/>
    <w:rsid w:val="00045FCB"/>
    <w:rsid w:val="00054724"/>
    <w:rsid w:val="00060559"/>
    <w:rsid w:val="00061821"/>
    <w:rsid w:val="0006289F"/>
    <w:rsid w:val="00066DBE"/>
    <w:rsid w:val="0007173B"/>
    <w:rsid w:val="0007754C"/>
    <w:rsid w:val="00081DDC"/>
    <w:rsid w:val="000A610A"/>
    <w:rsid w:val="000B726C"/>
    <w:rsid w:val="000C4DA1"/>
    <w:rsid w:val="000C6903"/>
    <w:rsid w:val="000D116C"/>
    <w:rsid w:val="000D44A7"/>
    <w:rsid w:val="001000F9"/>
    <w:rsid w:val="00107CF5"/>
    <w:rsid w:val="0011304F"/>
    <w:rsid w:val="00120360"/>
    <w:rsid w:val="00163F26"/>
    <w:rsid w:val="00174D4F"/>
    <w:rsid w:val="001814E2"/>
    <w:rsid w:val="00185136"/>
    <w:rsid w:val="00187584"/>
    <w:rsid w:val="00190A28"/>
    <w:rsid w:val="00195C3F"/>
    <w:rsid w:val="001A6A62"/>
    <w:rsid w:val="001E4986"/>
    <w:rsid w:val="001F0993"/>
    <w:rsid w:val="001F1FF0"/>
    <w:rsid w:val="00206382"/>
    <w:rsid w:val="002212E6"/>
    <w:rsid w:val="002247F0"/>
    <w:rsid w:val="002324BD"/>
    <w:rsid w:val="00232559"/>
    <w:rsid w:val="0023370C"/>
    <w:rsid w:val="00235990"/>
    <w:rsid w:val="0023729A"/>
    <w:rsid w:val="00262DE5"/>
    <w:rsid w:val="00284EA0"/>
    <w:rsid w:val="0029275E"/>
    <w:rsid w:val="002A2F27"/>
    <w:rsid w:val="002A75AF"/>
    <w:rsid w:val="002B21EC"/>
    <w:rsid w:val="002B5C21"/>
    <w:rsid w:val="002C083B"/>
    <w:rsid w:val="002D621B"/>
    <w:rsid w:val="00330784"/>
    <w:rsid w:val="00350FCD"/>
    <w:rsid w:val="00364406"/>
    <w:rsid w:val="00382287"/>
    <w:rsid w:val="003879F6"/>
    <w:rsid w:val="00387EAE"/>
    <w:rsid w:val="00393406"/>
    <w:rsid w:val="003A0351"/>
    <w:rsid w:val="003E29E9"/>
    <w:rsid w:val="003F7539"/>
    <w:rsid w:val="004039AA"/>
    <w:rsid w:val="004075E8"/>
    <w:rsid w:val="004118C4"/>
    <w:rsid w:val="004213CE"/>
    <w:rsid w:val="00424655"/>
    <w:rsid w:val="00425335"/>
    <w:rsid w:val="00436BF7"/>
    <w:rsid w:val="00445935"/>
    <w:rsid w:val="004537B6"/>
    <w:rsid w:val="004577DF"/>
    <w:rsid w:val="00465A05"/>
    <w:rsid w:val="00474E93"/>
    <w:rsid w:val="00475D97"/>
    <w:rsid w:val="004A0296"/>
    <w:rsid w:val="004B7FEA"/>
    <w:rsid w:val="004C12B0"/>
    <w:rsid w:val="004C157D"/>
    <w:rsid w:val="004C4047"/>
    <w:rsid w:val="004D1779"/>
    <w:rsid w:val="004E0F11"/>
    <w:rsid w:val="005055D1"/>
    <w:rsid w:val="005071D2"/>
    <w:rsid w:val="00521E3D"/>
    <w:rsid w:val="00523A8F"/>
    <w:rsid w:val="005249FF"/>
    <w:rsid w:val="00533237"/>
    <w:rsid w:val="00534635"/>
    <w:rsid w:val="005413A3"/>
    <w:rsid w:val="00551B03"/>
    <w:rsid w:val="00560B47"/>
    <w:rsid w:val="00563D92"/>
    <w:rsid w:val="00572130"/>
    <w:rsid w:val="00575817"/>
    <w:rsid w:val="005872FC"/>
    <w:rsid w:val="005A5431"/>
    <w:rsid w:val="005B3949"/>
    <w:rsid w:val="005B6DA6"/>
    <w:rsid w:val="005C5B80"/>
    <w:rsid w:val="005E6548"/>
    <w:rsid w:val="006009A9"/>
    <w:rsid w:val="00614033"/>
    <w:rsid w:val="0062253E"/>
    <w:rsid w:val="00642677"/>
    <w:rsid w:val="006573A1"/>
    <w:rsid w:val="00676FCB"/>
    <w:rsid w:val="00682CE6"/>
    <w:rsid w:val="00682CEC"/>
    <w:rsid w:val="006B46EC"/>
    <w:rsid w:val="006F18FE"/>
    <w:rsid w:val="007051CF"/>
    <w:rsid w:val="00712764"/>
    <w:rsid w:val="00733747"/>
    <w:rsid w:val="00733AD1"/>
    <w:rsid w:val="00733C09"/>
    <w:rsid w:val="00766F86"/>
    <w:rsid w:val="00781FB4"/>
    <w:rsid w:val="00796D63"/>
    <w:rsid w:val="007A42A9"/>
    <w:rsid w:val="007C1497"/>
    <w:rsid w:val="007C52EF"/>
    <w:rsid w:val="007D04C2"/>
    <w:rsid w:val="007D6AD0"/>
    <w:rsid w:val="007E139B"/>
    <w:rsid w:val="007F1381"/>
    <w:rsid w:val="00803A1D"/>
    <w:rsid w:val="00813EB7"/>
    <w:rsid w:val="00820546"/>
    <w:rsid w:val="00820974"/>
    <w:rsid w:val="00823DAE"/>
    <w:rsid w:val="00825A30"/>
    <w:rsid w:val="00833731"/>
    <w:rsid w:val="00836518"/>
    <w:rsid w:val="008466DC"/>
    <w:rsid w:val="00860873"/>
    <w:rsid w:val="008617AB"/>
    <w:rsid w:val="00864C5F"/>
    <w:rsid w:val="008957B2"/>
    <w:rsid w:val="00895FF9"/>
    <w:rsid w:val="008973E9"/>
    <w:rsid w:val="008A07CD"/>
    <w:rsid w:val="008A53F8"/>
    <w:rsid w:val="008B031A"/>
    <w:rsid w:val="008C69BB"/>
    <w:rsid w:val="008F2CA0"/>
    <w:rsid w:val="00906D58"/>
    <w:rsid w:val="009514C6"/>
    <w:rsid w:val="00952BE5"/>
    <w:rsid w:val="00952D80"/>
    <w:rsid w:val="009541F0"/>
    <w:rsid w:val="00963019"/>
    <w:rsid w:val="00967717"/>
    <w:rsid w:val="009757AD"/>
    <w:rsid w:val="00977FA0"/>
    <w:rsid w:val="00981DB2"/>
    <w:rsid w:val="0098430D"/>
    <w:rsid w:val="009C36D4"/>
    <w:rsid w:val="009F21FE"/>
    <w:rsid w:val="00A04B37"/>
    <w:rsid w:val="00A05A06"/>
    <w:rsid w:val="00A12F19"/>
    <w:rsid w:val="00A34733"/>
    <w:rsid w:val="00A513E0"/>
    <w:rsid w:val="00A81762"/>
    <w:rsid w:val="00A81F9E"/>
    <w:rsid w:val="00A82B1C"/>
    <w:rsid w:val="00AB0032"/>
    <w:rsid w:val="00AB6965"/>
    <w:rsid w:val="00AC2F8E"/>
    <w:rsid w:val="00AE488D"/>
    <w:rsid w:val="00AE5C19"/>
    <w:rsid w:val="00AF14ED"/>
    <w:rsid w:val="00AF4A92"/>
    <w:rsid w:val="00AF68A0"/>
    <w:rsid w:val="00B03195"/>
    <w:rsid w:val="00B07A58"/>
    <w:rsid w:val="00B200CE"/>
    <w:rsid w:val="00B302F1"/>
    <w:rsid w:val="00B33AF3"/>
    <w:rsid w:val="00B342C3"/>
    <w:rsid w:val="00B42346"/>
    <w:rsid w:val="00B4670F"/>
    <w:rsid w:val="00B61F5D"/>
    <w:rsid w:val="00B660D7"/>
    <w:rsid w:val="00B7609C"/>
    <w:rsid w:val="00B87E1D"/>
    <w:rsid w:val="00BA02CE"/>
    <w:rsid w:val="00BA5397"/>
    <w:rsid w:val="00BB611C"/>
    <w:rsid w:val="00BE7177"/>
    <w:rsid w:val="00BE74E8"/>
    <w:rsid w:val="00C06D09"/>
    <w:rsid w:val="00C10092"/>
    <w:rsid w:val="00C13E98"/>
    <w:rsid w:val="00C20627"/>
    <w:rsid w:val="00C24A15"/>
    <w:rsid w:val="00C26D6E"/>
    <w:rsid w:val="00C40811"/>
    <w:rsid w:val="00C41A0E"/>
    <w:rsid w:val="00C45F09"/>
    <w:rsid w:val="00C50556"/>
    <w:rsid w:val="00C647A5"/>
    <w:rsid w:val="00C65C28"/>
    <w:rsid w:val="00C87AD4"/>
    <w:rsid w:val="00C905BB"/>
    <w:rsid w:val="00C977AC"/>
    <w:rsid w:val="00CC4705"/>
    <w:rsid w:val="00CC61F8"/>
    <w:rsid w:val="00CD352A"/>
    <w:rsid w:val="00CE4D8A"/>
    <w:rsid w:val="00CE718D"/>
    <w:rsid w:val="00CF3320"/>
    <w:rsid w:val="00D164AD"/>
    <w:rsid w:val="00D179B5"/>
    <w:rsid w:val="00D31C6F"/>
    <w:rsid w:val="00D324A4"/>
    <w:rsid w:val="00D373EA"/>
    <w:rsid w:val="00D37585"/>
    <w:rsid w:val="00D41EE6"/>
    <w:rsid w:val="00D64B4D"/>
    <w:rsid w:val="00D70CF6"/>
    <w:rsid w:val="00D76A5E"/>
    <w:rsid w:val="00D96EB7"/>
    <w:rsid w:val="00DA69C6"/>
    <w:rsid w:val="00DB7C56"/>
    <w:rsid w:val="00DC1D81"/>
    <w:rsid w:val="00DD26CB"/>
    <w:rsid w:val="00DD2E90"/>
    <w:rsid w:val="00DE55DF"/>
    <w:rsid w:val="00DE5EB8"/>
    <w:rsid w:val="00DF4EC9"/>
    <w:rsid w:val="00DF5410"/>
    <w:rsid w:val="00E064FA"/>
    <w:rsid w:val="00E070D3"/>
    <w:rsid w:val="00E115B3"/>
    <w:rsid w:val="00E314AD"/>
    <w:rsid w:val="00E5478B"/>
    <w:rsid w:val="00E974D4"/>
    <w:rsid w:val="00E97F50"/>
    <w:rsid w:val="00EA540D"/>
    <w:rsid w:val="00EC07B0"/>
    <w:rsid w:val="00EC5173"/>
    <w:rsid w:val="00ED2F5E"/>
    <w:rsid w:val="00ED7BC4"/>
    <w:rsid w:val="00EE555C"/>
    <w:rsid w:val="00EF43DC"/>
    <w:rsid w:val="00EF542C"/>
    <w:rsid w:val="00EF57EB"/>
    <w:rsid w:val="00F2472E"/>
    <w:rsid w:val="00F50B0E"/>
    <w:rsid w:val="00F5250D"/>
    <w:rsid w:val="00F5706E"/>
    <w:rsid w:val="00F60652"/>
    <w:rsid w:val="00F7723F"/>
    <w:rsid w:val="00F91C2F"/>
    <w:rsid w:val="00F97575"/>
    <w:rsid w:val="00FB070B"/>
    <w:rsid w:val="00FC4D52"/>
    <w:rsid w:val="00FF3519"/>
    <w:rsid w:val="00FF6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CE"/>
  </w:style>
  <w:style w:type="paragraph" w:styleId="Heading1">
    <w:name w:val="heading 1"/>
    <w:basedOn w:val="Normal"/>
    <w:link w:val="Heading1Char"/>
    <w:uiPriority w:val="9"/>
    <w:qFormat/>
    <w:rsid w:val="00BA02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C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A0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2CE"/>
    <w:rPr>
      <w:rFonts w:ascii="Tahoma" w:hAnsi="Tahoma" w:cs="Tahoma"/>
      <w:sz w:val="16"/>
      <w:szCs w:val="16"/>
    </w:rPr>
  </w:style>
  <w:style w:type="paragraph" w:styleId="NormalWeb">
    <w:name w:val="Normal (Web)"/>
    <w:basedOn w:val="Normal"/>
    <w:uiPriority w:val="99"/>
    <w:unhideWhenUsed/>
    <w:rsid w:val="00BA02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02CE"/>
    <w:pPr>
      <w:ind w:left="720"/>
      <w:contextualSpacing/>
    </w:pPr>
  </w:style>
  <w:style w:type="character" w:styleId="Strong">
    <w:name w:val="Strong"/>
    <w:basedOn w:val="DefaultParagraphFont"/>
    <w:uiPriority w:val="22"/>
    <w:qFormat/>
    <w:rsid w:val="00BA02CE"/>
    <w:rPr>
      <w:b/>
      <w:bCs/>
    </w:rPr>
  </w:style>
  <w:style w:type="character" w:styleId="Hyperlink">
    <w:name w:val="Hyperlink"/>
    <w:basedOn w:val="DefaultParagraphFont"/>
    <w:uiPriority w:val="99"/>
    <w:unhideWhenUsed/>
    <w:rsid w:val="00BA02CE"/>
    <w:rPr>
      <w:color w:val="0000FF" w:themeColor="hyperlink"/>
      <w:u w:val="single"/>
    </w:rPr>
  </w:style>
  <w:style w:type="table" w:styleId="TableGrid">
    <w:name w:val="Table Grid"/>
    <w:basedOn w:val="TableNormal"/>
    <w:uiPriority w:val="59"/>
    <w:rsid w:val="00BA0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2CE"/>
  </w:style>
  <w:style w:type="paragraph" w:styleId="Footer">
    <w:name w:val="footer"/>
    <w:basedOn w:val="Normal"/>
    <w:link w:val="FooterChar"/>
    <w:uiPriority w:val="99"/>
    <w:unhideWhenUsed/>
    <w:rsid w:val="00BA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2CE"/>
  </w:style>
  <w:style w:type="character" w:styleId="FollowedHyperlink">
    <w:name w:val="FollowedHyperlink"/>
    <w:basedOn w:val="DefaultParagraphFont"/>
    <w:uiPriority w:val="99"/>
    <w:semiHidden/>
    <w:unhideWhenUsed/>
    <w:rsid w:val="00C13E98"/>
    <w:rPr>
      <w:color w:val="800080" w:themeColor="followedHyperlink"/>
      <w:u w:val="single"/>
    </w:rPr>
  </w:style>
  <w:style w:type="paragraph" w:styleId="Bibliography">
    <w:name w:val="Bibliography"/>
    <w:basedOn w:val="Normal"/>
    <w:next w:val="Normal"/>
    <w:uiPriority w:val="37"/>
    <w:unhideWhenUsed/>
    <w:rsid w:val="00D37585"/>
    <w:pPr>
      <w:tabs>
        <w:tab w:val="left" w:pos="384"/>
      </w:tabs>
      <w:spacing w:after="240" w:line="240" w:lineRule="auto"/>
      <w:ind w:left="384" w:hanging="384"/>
    </w:pPr>
  </w:style>
  <w:style w:type="paragraph" w:styleId="FootnoteText">
    <w:name w:val="footnote text"/>
    <w:basedOn w:val="Normal"/>
    <w:link w:val="FootnoteTextChar"/>
    <w:uiPriority w:val="99"/>
    <w:semiHidden/>
    <w:unhideWhenUsed/>
    <w:rsid w:val="00FF3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519"/>
    <w:rPr>
      <w:sz w:val="20"/>
      <w:szCs w:val="20"/>
    </w:rPr>
  </w:style>
  <w:style w:type="character" w:styleId="FootnoteReference">
    <w:name w:val="footnote reference"/>
    <w:basedOn w:val="DefaultParagraphFont"/>
    <w:uiPriority w:val="99"/>
    <w:semiHidden/>
    <w:unhideWhenUsed/>
    <w:rsid w:val="00FF3519"/>
    <w:rPr>
      <w:vertAlign w:val="superscript"/>
    </w:rPr>
  </w:style>
</w:styles>
</file>

<file path=word/webSettings.xml><?xml version="1.0" encoding="utf-8"?>
<w:webSettings xmlns:r="http://schemas.openxmlformats.org/officeDocument/2006/relationships" xmlns:w="http://schemas.openxmlformats.org/wordprocessingml/2006/main">
  <w:divs>
    <w:div w:id="253516560">
      <w:bodyDiv w:val="1"/>
      <w:marLeft w:val="0"/>
      <w:marRight w:val="0"/>
      <w:marTop w:val="0"/>
      <w:marBottom w:val="0"/>
      <w:divBdr>
        <w:top w:val="none" w:sz="0" w:space="0" w:color="auto"/>
        <w:left w:val="none" w:sz="0" w:space="0" w:color="auto"/>
        <w:bottom w:val="none" w:sz="0" w:space="0" w:color="auto"/>
        <w:right w:val="none" w:sz="0" w:space="0" w:color="auto"/>
      </w:divBdr>
    </w:div>
    <w:div w:id="359547261">
      <w:bodyDiv w:val="1"/>
      <w:marLeft w:val="0"/>
      <w:marRight w:val="0"/>
      <w:marTop w:val="0"/>
      <w:marBottom w:val="0"/>
      <w:divBdr>
        <w:top w:val="none" w:sz="0" w:space="0" w:color="auto"/>
        <w:left w:val="none" w:sz="0" w:space="0" w:color="auto"/>
        <w:bottom w:val="none" w:sz="0" w:space="0" w:color="auto"/>
        <w:right w:val="none" w:sz="0" w:space="0" w:color="auto"/>
      </w:divBdr>
    </w:div>
    <w:div w:id="575743041">
      <w:bodyDiv w:val="1"/>
      <w:marLeft w:val="0"/>
      <w:marRight w:val="0"/>
      <w:marTop w:val="0"/>
      <w:marBottom w:val="0"/>
      <w:divBdr>
        <w:top w:val="none" w:sz="0" w:space="0" w:color="auto"/>
        <w:left w:val="none" w:sz="0" w:space="0" w:color="auto"/>
        <w:bottom w:val="none" w:sz="0" w:space="0" w:color="auto"/>
        <w:right w:val="none" w:sz="0" w:space="0" w:color="auto"/>
      </w:divBdr>
    </w:div>
    <w:div w:id="670722460">
      <w:bodyDiv w:val="1"/>
      <w:marLeft w:val="0"/>
      <w:marRight w:val="0"/>
      <w:marTop w:val="0"/>
      <w:marBottom w:val="0"/>
      <w:divBdr>
        <w:top w:val="none" w:sz="0" w:space="0" w:color="auto"/>
        <w:left w:val="none" w:sz="0" w:space="0" w:color="auto"/>
        <w:bottom w:val="none" w:sz="0" w:space="0" w:color="auto"/>
        <w:right w:val="none" w:sz="0" w:space="0" w:color="auto"/>
      </w:divBdr>
    </w:div>
    <w:div w:id="782773491">
      <w:bodyDiv w:val="1"/>
      <w:marLeft w:val="0"/>
      <w:marRight w:val="0"/>
      <w:marTop w:val="0"/>
      <w:marBottom w:val="0"/>
      <w:divBdr>
        <w:top w:val="none" w:sz="0" w:space="0" w:color="auto"/>
        <w:left w:val="none" w:sz="0" w:space="0" w:color="auto"/>
        <w:bottom w:val="none" w:sz="0" w:space="0" w:color="auto"/>
        <w:right w:val="none" w:sz="0" w:space="0" w:color="auto"/>
      </w:divBdr>
      <w:divsChild>
        <w:div w:id="1850482261">
          <w:marLeft w:val="0"/>
          <w:marRight w:val="0"/>
          <w:marTop w:val="0"/>
          <w:marBottom w:val="0"/>
          <w:divBdr>
            <w:top w:val="none" w:sz="0" w:space="0" w:color="auto"/>
            <w:left w:val="none" w:sz="0" w:space="0" w:color="auto"/>
            <w:bottom w:val="none" w:sz="0" w:space="0" w:color="auto"/>
            <w:right w:val="none" w:sz="0" w:space="0" w:color="auto"/>
          </w:divBdr>
          <w:divsChild>
            <w:div w:id="1115095703">
              <w:marLeft w:val="0"/>
              <w:marRight w:val="0"/>
              <w:marTop w:val="0"/>
              <w:marBottom w:val="0"/>
              <w:divBdr>
                <w:top w:val="none" w:sz="0" w:space="0" w:color="auto"/>
                <w:left w:val="none" w:sz="0" w:space="0" w:color="auto"/>
                <w:bottom w:val="none" w:sz="0" w:space="0" w:color="auto"/>
                <w:right w:val="none" w:sz="0" w:space="0" w:color="auto"/>
              </w:divBdr>
              <w:divsChild>
                <w:div w:id="1057363317">
                  <w:marLeft w:val="0"/>
                  <w:marRight w:val="0"/>
                  <w:marTop w:val="0"/>
                  <w:marBottom w:val="0"/>
                  <w:divBdr>
                    <w:top w:val="none" w:sz="0" w:space="0" w:color="auto"/>
                    <w:left w:val="none" w:sz="0" w:space="0" w:color="auto"/>
                    <w:bottom w:val="none" w:sz="0" w:space="0" w:color="auto"/>
                    <w:right w:val="none" w:sz="0" w:space="0" w:color="auto"/>
                  </w:divBdr>
                  <w:divsChild>
                    <w:div w:id="89129332">
                      <w:marLeft w:val="0"/>
                      <w:marRight w:val="0"/>
                      <w:marTop w:val="0"/>
                      <w:marBottom w:val="0"/>
                      <w:divBdr>
                        <w:top w:val="none" w:sz="0" w:space="0" w:color="auto"/>
                        <w:left w:val="none" w:sz="0" w:space="0" w:color="auto"/>
                        <w:bottom w:val="none" w:sz="0" w:space="0" w:color="auto"/>
                        <w:right w:val="none" w:sz="0" w:space="0" w:color="auto"/>
                      </w:divBdr>
                      <w:divsChild>
                        <w:div w:id="1869220294">
                          <w:marLeft w:val="0"/>
                          <w:marRight w:val="0"/>
                          <w:marTop w:val="0"/>
                          <w:marBottom w:val="0"/>
                          <w:divBdr>
                            <w:top w:val="none" w:sz="0" w:space="0" w:color="auto"/>
                            <w:left w:val="none" w:sz="0" w:space="0" w:color="auto"/>
                            <w:bottom w:val="none" w:sz="0" w:space="0" w:color="auto"/>
                            <w:right w:val="none" w:sz="0" w:space="0" w:color="auto"/>
                          </w:divBdr>
                          <w:divsChild>
                            <w:div w:id="5250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07028">
      <w:bodyDiv w:val="1"/>
      <w:marLeft w:val="0"/>
      <w:marRight w:val="0"/>
      <w:marTop w:val="0"/>
      <w:marBottom w:val="0"/>
      <w:divBdr>
        <w:top w:val="none" w:sz="0" w:space="0" w:color="auto"/>
        <w:left w:val="none" w:sz="0" w:space="0" w:color="auto"/>
        <w:bottom w:val="none" w:sz="0" w:space="0" w:color="auto"/>
        <w:right w:val="none" w:sz="0" w:space="0" w:color="auto"/>
      </w:divBdr>
    </w:div>
    <w:div w:id="902721141">
      <w:bodyDiv w:val="1"/>
      <w:marLeft w:val="0"/>
      <w:marRight w:val="0"/>
      <w:marTop w:val="0"/>
      <w:marBottom w:val="0"/>
      <w:divBdr>
        <w:top w:val="none" w:sz="0" w:space="0" w:color="auto"/>
        <w:left w:val="none" w:sz="0" w:space="0" w:color="auto"/>
        <w:bottom w:val="none" w:sz="0" w:space="0" w:color="auto"/>
        <w:right w:val="none" w:sz="0" w:space="0" w:color="auto"/>
      </w:divBdr>
      <w:divsChild>
        <w:div w:id="2002997642">
          <w:marLeft w:val="0"/>
          <w:marRight w:val="0"/>
          <w:marTop w:val="0"/>
          <w:marBottom w:val="0"/>
          <w:divBdr>
            <w:top w:val="none" w:sz="0" w:space="0" w:color="auto"/>
            <w:left w:val="none" w:sz="0" w:space="0" w:color="auto"/>
            <w:bottom w:val="none" w:sz="0" w:space="0" w:color="auto"/>
            <w:right w:val="none" w:sz="0" w:space="0" w:color="auto"/>
          </w:divBdr>
          <w:divsChild>
            <w:div w:id="1966233055">
              <w:marLeft w:val="0"/>
              <w:marRight w:val="0"/>
              <w:marTop w:val="0"/>
              <w:marBottom w:val="0"/>
              <w:divBdr>
                <w:top w:val="none" w:sz="0" w:space="0" w:color="auto"/>
                <w:left w:val="none" w:sz="0" w:space="0" w:color="auto"/>
                <w:bottom w:val="none" w:sz="0" w:space="0" w:color="auto"/>
                <w:right w:val="none" w:sz="0" w:space="0" w:color="auto"/>
              </w:divBdr>
              <w:divsChild>
                <w:div w:id="1296986840">
                  <w:marLeft w:val="0"/>
                  <w:marRight w:val="0"/>
                  <w:marTop w:val="0"/>
                  <w:marBottom w:val="0"/>
                  <w:divBdr>
                    <w:top w:val="none" w:sz="0" w:space="0" w:color="auto"/>
                    <w:left w:val="none" w:sz="0" w:space="0" w:color="auto"/>
                    <w:bottom w:val="none" w:sz="0" w:space="0" w:color="auto"/>
                    <w:right w:val="none" w:sz="0" w:space="0" w:color="auto"/>
                  </w:divBdr>
                  <w:divsChild>
                    <w:div w:id="1830317956">
                      <w:marLeft w:val="0"/>
                      <w:marRight w:val="0"/>
                      <w:marTop w:val="0"/>
                      <w:marBottom w:val="0"/>
                      <w:divBdr>
                        <w:top w:val="none" w:sz="0" w:space="0" w:color="auto"/>
                        <w:left w:val="none" w:sz="0" w:space="0" w:color="auto"/>
                        <w:bottom w:val="none" w:sz="0" w:space="0" w:color="auto"/>
                        <w:right w:val="none" w:sz="0" w:space="0" w:color="auto"/>
                      </w:divBdr>
                      <w:divsChild>
                        <w:div w:id="623850999">
                          <w:marLeft w:val="0"/>
                          <w:marRight w:val="0"/>
                          <w:marTop w:val="0"/>
                          <w:marBottom w:val="0"/>
                          <w:divBdr>
                            <w:top w:val="none" w:sz="0" w:space="0" w:color="auto"/>
                            <w:left w:val="none" w:sz="0" w:space="0" w:color="auto"/>
                            <w:bottom w:val="none" w:sz="0" w:space="0" w:color="auto"/>
                            <w:right w:val="none" w:sz="0" w:space="0" w:color="auto"/>
                          </w:divBdr>
                          <w:divsChild>
                            <w:div w:id="14062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42868">
      <w:bodyDiv w:val="1"/>
      <w:marLeft w:val="0"/>
      <w:marRight w:val="0"/>
      <w:marTop w:val="0"/>
      <w:marBottom w:val="0"/>
      <w:divBdr>
        <w:top w:val="none" w:sz="0" w:space="0" w:color="auto"/>
        <w:left w:val="none" w:sz="0" w:space="0" w:color="auto"/>
        <w:bottom w:val="none" w:sz="0" w:space="0" w:color="auto"/>
        <w:right w:val="none" w:sz="0" w:space="0" w:color="auto"/>
      </w:divBdr>
    </w:div>
    <w:div w:id="1138448831">
      <w:bodyDiv w:val="1"/>
      <w:marLeft w:val="0"/>
      <w:marRight w:val="0"/>
      <w:marTop w:val="0"/>
      <w:marBottom w:val="0"/>
      <w:divBdr>
        <w:top w:val="none" w:sz="0" w:space="0" w:color="auto"/>
        <w:left w:val="none" w:sz="0" w:space="0" w:color="auto"/>
        <w:bottom w:val="none" w:sz="0" w:space="0" w:color="auto"/>
        <w:right w:val="none" w:sz="0" w:space="0" w:color="auto"/>
      </w:divBdr>
    </w:div>
    <w:div w:id="1165244703">
      <w:bodyDiv w:val="1"/>
      <w:marLeft w:val="0"/>
      <w:marRight w:val="0"/>
      <w:marTop w:val="0"/>
      <w:marBottom w:val="0"/>
      <w:divBdr>
        <w:top w:val="none" w:sz="0" w:space="0" w:color="auto"/>
        <w:left w:val="none" w:sz="0" w:space="0" w:color="auto"/>
        <w:bottom w:val="none" w:sz="0" w:space="0" w:color="auto"/>
        <w:right w:val="none" w:sz="0" w:space="0" w:color="auto"/>
      </w:divBdr>
    </w:div>
    <w:div w:id="1226405724">
      <w:bodyDiv w:val="1"/>
      <w:marLeft w:val="0"/>
      <w:marRight w:val="0"/>
      <w:marTop w:val="0"/>
      <w:marBottom w:val="0"/>
      <w:divBdr>
        <w:top w:val="none" w:sz="0" w:space="0" w:color="auto"/>
        <w:left w:val="none" w:sz="0" w:space="0" w:color="auto"/>
        <w:bottom w:val="none" w:sz="0" w:space="0" w:color="auto"/>
        <w:right w:val="none" w:sz="0" w:space="0" w:color="auto"/>
      </w:divBdr>
    </w:div>
    <w:div w:id="1618680958">
      <w:bodyDiv w:val="1"/>
      <w:marLeft w:val="0"/>
      <w:marRight w:val="0"/>
      <w:marTop w:val="0"/>
      <w:marBottom w:val="0"/>
      <w:divBdr>
        <w:top w:val="none" w:sz="0" w:space="0" w:color="auto"/>
        <w:left w:val="none" w:sz="0" w:space="0" w:color="auto"/>
        <w:bottom w:val="none" w:sz="0" w:space="0" w:color="auto"/>
        <w:right w:val="none" w:sz="0" w:space="0" w:color="auto"/>
      </w:divBdr>
    </w:div>
    <w:div w:id="1737387934">
      <w:bodyDiv w:val="1"/>
      <w:marLeft w:val="0"/>
      <w:marRight w:val="0"/>
      <w:marTop w:val="0"/>
      <w:marBottom w:val="0"/>
      <w:divBdr>
        <w:top w:val="none" w:sz="0" w:space="0" w:color="auto"/>
        <w:left w:val="none" w:sz="0" w:space="0" w:color="auto"/>
        <w:bottom w:val="none" w:sz="0" w:space="0" w:color="auto"/>
        <w:right w:val="none" w:sz="0" w:space="0" w:color="auto"/>
      </w:divBdr>
    </w:div>
    <w:div w:id="1753156506">
      <w:bodyDiv w:val="1"/>
      <w:marLeft w:val="0"/>
      <w:marRight w:val="0"/>
      <w:marTop w:val="0"/>
      <w:marBottom w:val="0"/>
      <w:divBdr>
        <w:top w:val="none" w:sz="0" w:space="0" w:color="auto"/>
        <w:left w:val="none" w:sz="0" w:space="0" w:color="auto"/>
        <w:bottom w:val="none" w:sz="0" w:space="0" w:color="auto"/>
        <w:right w:val="none" w:sz="0" w:space="0" w:color="auto"/>
      </w:divBdr>
    </w:div>
    <w:div w:id="208525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EB626-A802-4057-BCEF-F16C6415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9</Pages>
  <Words>10263</Words>
  <Characters>58501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98</cp:revision>
  <dcterms:created xsi:type="dcterms:W3CDTF">2025-05-27T06:21:00Z</dcterms:created>
  <dcterms:modified xsi:type="dcterms:W3CDTF">2026-02-14T05:35:00Z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id="y0ecaYNC"/&gt;&lt;style id="http://www.zotero.org/styles/american-medical-association" hasBibliography="1" bibliographyStyleHasBeenSet="1"/&gt;&lt;prefs&gt;&lt;pref name="fieldType" value="Field"/&gt;&lt;/prefs&gt;&lt;/data&gt;</vt:lpwstr>
  </property>
</Properties>
</file>