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FE3B" w14:textId="7D066A64" w:rsidR="00144121" w:rsidRPr="00986A42" w:rsidRDefault="00986A42" w:rsidP="00986A42">
      <w:pPr>
        <w:spacing w:line="360" w:lineRule="auto"/>
        <w:jc w:val="center"/>
        <w:rPr>
          <w:rFonts w:ascii="Times New Roman" w:hAnsi="Times New Roman" w:cs="Times New Roman"/>
          <w:b/>
          <w:bCs/>
          <w:sz w:val="24"/>
          <w:szCs w:val="24"/>
        </w:rPr>
      </w:pPr>
      <w:r w:rsidRPr="00986A42">
        <w:rPr>
          <w:rFonts w:ascii="Times New Roman" w:hAnsi="Times New Roman" w:cs="Times New Roman"/>
          <w:b/>
          <w:bCs/>
          <w:sz w:val="24"/>
          <w:szCs w:val="24"/>
        </w:rPr>
        <w:t xml:space="preserve">THE EFFECT OF SAVINGS LITERACY ON </w:t>
      </w:r>
      <w:r w:rsidR="00AA787E">
        <w:rPr>
          <w:rFonts w:ascii="Times New Roman" w:hAnsi="Times New Roman" w:cs="Times New Roman"/>
          <w:b/>
          <w:bCs/>
          <w:sz w:val="24"/>
          <w:szCs w:val="24"/>
        </w:rPr>
        <w:t xml:space="preserve">THE </w:t>
      </w:r>
      <w:r w:rsidRPr="00986A42">
        <w:rPr>
          <w:rFonts w:ascii="Times New Roman" w:hAnsi="Times New Roman" w:cs="Times New Roman"/>
          <w:b/>
          <w:bCs/>
          <w:sz w:val="24"/>
          <w:szCs w:val="24"/>
        </w:rPr>
        <w:t>FINANCIAL VIABILITY OF MICRO, SMALL AND MEDIUM ENTERPRISES IN KITUI COUNTY, KENYA.</w:t>
      </w:r>
    </w:p>
    <w:p w14:paraId="1273DF1B" w14:textId="214B7AE3" w:rsidR="00CA148C" w:rsidRPr="00986A42" w:rsidRDefault="00CA148C" w:rsidP="00986A42">
      <w:pPr>
        <w:jc w:val="center"/>
        <w:rPr>
          <w:rFonts w:ascii="Times" w:hAnsi="Times" w:cs="Times"/>
          <w:sz w:val="24"/>
          <w:szCs w:val="24"/>
        </w:rPr>
      </w:pPr>
      <w:r w:rsidRPr="00986A42">
        <w:rPr>
          <w:rFonts w:ascii="Times" w:hAnsi="Times" w:cs="Times"/>
          <w:sz w:val="24"/>
          <w:szCs w:val="24"/>
        </w:rPr>
        <w:t/>
      </w:r>
    </w:p>
    <w:p w14:paraId="4DE77160" w14:textId="79195DE3" w:rsidR="00CA148C" w:rsidRPr="00986A42" w:rsidRDefault="00CA148C" w:rsidP="00986A42">
      <w:pPr>
        <w:jc w:val="center"/>
        <w:rPr>
          <w:rFonts w:ascii="Times" w:hAnsi="Times" w:cs="Times"/>
          <w:sz w:val="24"/>
          <w:szCs w:val="24"/>
        </w:rPr>
      </w:pPr>
      <w:r w:rsidRPr="00986A42">
        <w:rPr>
          <w:rFonts w:ascii="Times" w:hAnsi="Times" w:cs="Times"/>
          <w:sz w:val="24"/>
          <w:szCs w:val="24"/>
          <w:vertAlign w:val="superscript"/>
        </w:rPr>
        <w:t/>
      </w:r>
      <w:r w:rsidRPr="00986A42">
        <w:rPr>
          <w:rFonts w:ascii="Times" w:hAnsi="Times" w:cs="Times"/>
          <w:sz w:val="24"/>
          <w:szCs w:val="24"/>
        </w:rPr>
        <w:t xml:space="preserve"/>
      </w:r>
    </w:p>
    <w:p w14:paraId="289F3CB3" w14:textId="3C9CCD24" w:rsidR="00CA148C" w:rsidRPr="00986A42" w:rsidRDefault="00CA148C" w:rsidP="00986A42">
      <w:pPr>
        <w:jc w:val="center"/>
        <w:rPr>
          <w:rFonts w:ascii="Times" w:hAnsi="Times" w:cs="Times"/>
          <w:sz w:val="24"/>
          <w:szCs w:val="24"/>
        </w:rPr>
      </w:pPr>
      <w:r w:rsidRPr="00986A42">
        <w:rPr>
          <w:rFonts w:ascii="Times" w:hAnsi="Times" w:cs="Times"/>
          <w:sz w:val="24"/>
          <w:szCs w:val="24"/>
          <w:vertAlign w:val="superscript"/>
        </w:rPr>
        <w:t/>
      </w:r>
      <w:r w:rsidRPr="00986A42">
        <w:rPr>
          <w:rFonts w:ascii="Times" w:hAnsi="Times" w:cs="Times"/>
          <w:sz w:val="24"/>
          <w:szCs w:val="24"/>
        </w:rPr>
        <w:t/>
      </w:r>
    </w:p>
    <w:p w14:paraId="7415BD0E" w14:textId="07B77A1D" w:rsidR="00CA148C" w:rsidRDefault="00CA148C" w:rsidP="00986A42">
      <w:pPr>
        <w:jc w:val="center"/>
        <w:rPr>
          <w:rFonts w:ascii="Times" w:hAnsi="Times" w:cs="Times"/>
          <w:sz w:val="24"/>
          <w:szCs w:val="24"/>
        </w:rPr>
      </w:pPr>
      <w:r w:rsidRPr="00986A42">
        <w:rPr>
          <w:rFonts w:ascii="Times" w:hAnsi="Times" w:cs="Times"/>
          <w:sz w:val="24"/>
          <w:szCs w:val="24"/>
        </w:rPr>
        <w:t/>
      </w:r>
      <w:r w:rsidR="00317847" w:rsidRPr="00317847">
        <w:t xml:space="preserve"/>
      </w:r>
      <w:hyperlink r:id="rId8" w:history="1">
        <w:r w:rsidR="00AA787E" w:rsidRPr="00483428">
          <w:rPr>
            <w:rStyle w:val="Hyperlink"/>
            <w:rFonts w:ascii="Times" w:hAnsi="Times" w:cs="Times"/>
            <w:sz w:val="24"/>
            <w:szCs w:val="24"/>
          </w:rPr>
          <w:t/>
        </w:r>
      </w:hyperlink>
    </w:p>
    <w:p w14:paraId="35627E4E" w14:textId="77777777" w:rsidR="00CA148C" w:rsidRDefault="00CA148C"/>
    <w:p w14:paraId="3A9842BC" w14:textId="5C6A483B" w:rsidR="00CA148C" w:rsidRPr="00317847" w:rsidRDefault="00317847" w:rsidP="00317847">
      <w:pPr>
        <w:jc w:val="center"/>
        <w:rPr>
          <w:rFonts w:ascii="Times" w:hAnsi="Times" w:cs="Times"/>
          <w:b/>
          <w:bCs/>
          <w:sz w:val="24"/>
          <w:szCs w:val="24"/>
        </w:rPr>
      </w:pPr>
      <w:r w:rsidRPr="00317847">
        <w:rPr>
          <w:rFonts w:ascii="Times" w:hAnsi="Times" w:cs="Times"/>
          <w:b/>
          <w:bCs/>
          <w:sz w:val="24"/>
          <w:szCs w:val="24"/>
        </w:rPr>
        <w:t>ABSTRACT</w:t>
      </w:r>
    </w:p>
    <w:p w14:paraId="4CE48609" w14:textId="4E44E946" w:rsidR="00CA148C" w:rsidRDefault="00CA148C" w:rsidP="00CA148C">
      <w:pPr>
        <w:pStyle w:val="NormalWeb"/>
        <w:jc w:val="both"/>
      </w:pPr>
      <w:r w:rsidRPr="00CA148C">
        <w:t xml:space="preserve">The objective of the study </w:t>
      </w:r>
      <w:r>
        <w:t>was</w:t>
      </w:r>
      <w:r w:rsidRPr="00CA148C">
        <w:t xml:space="preserve"> to establish </w:t>
      </w:r>
      <w:r w:rsidR="00317847">
        <w:t xml:space="preserve">the </w:t>
      </w:r>
      <w:r w:rsidRPr="00CA148C">
        <w:t xml:space="preserve">effect </w:t>
      </w:r>
      <w:r w:rsidRPr="00BC364E">
        <w:t xml:space="preserve">of savings skills on </w:t>
      </w:r>
      <w:r w:rsidR="00317847">
        <w:t xml:space="preserve">the </w:t>
      </w:r>
      <w:r w:rsidRPr="00BC364E">
        <w:t>financial viability of Micro, Small and Medium Enterprises</w:t>
      </w:r>
      <w:r>
        <w:t xml:space="preserve"> in </w:t>
      </w:r>
      <w:r w:rsidRPr="00BC364E">
        <w:t xml:space="preserve">Kitui County, Kenya. The study </w:t>
      </w:r>
      <w:r>
        <w:t>was</w:t>
      </w:r>
      <w:r w:rsidRPr="00BC364E">
        <w:t xml:space="preserve"> underpinned by Keynesian Theory of Saving. </w:t>
      </w:r>
      <w:r w:rsidR="00317847">
        <w:t>A descriptive</w:t>
      </w:r>
      <w:r w:rsidRPr="00BC364E">
        <w:t xml:space="preserve"> research design </w:t>
      </w:r>
      <w:r>
        <w:t>was</w:t>
      </w:r>
      <w:r w:rsidRPr="00BC364E">
        <w:t xml:space="preserve"> employed. The researcher collect</w:t>
      </w:r>
      <w:r>
        <w:t>ed</w:t>
      </w:r>
      <w:r w:rsidRPr="00BC364E">
        <w:t xml:space="preserve"> data using </w:t>
      </w:r>
      <w:r w:rsidR="00317847">
        <w:t>self-administered</w:t>
      </w:r>
      <w:r w:rsidRPr="00BC364E">
        <w:t xml:space="preserve"> questionnaires and interviews.</w:t>
      </w:r>
      <w:r>
        <w:t xml:space="preserve"> The target population comprised </w:t>
      </w:r>
      <w:r w:rsidR="00317847">
        <w:t>1,800</w:t>
      </w:r>
      <w:r>
        <w:t xml:space="preserve"> MSMEs. Yamane formula was used to get </w:t>
      </w:r>
      <w:r w:rsidR="00317847">
        <w:t xml:space="preserve">a </w:t>
      </w:r>
      <w:r>
        <w:t>sample of 327.</w:t>
      </w:r>
      <w:r w:rsidRPr="00BC364E">
        <w:t xml:space="preserve"> Self-administered questionnaires </w:t>
      </w:r>
      <w:r>
        <w:t>were</w:t>
      </w:r>
      <w:r w:rsidRPr="00BC364E">
        <w:t xml:space="preserve"> issued to a sample of 327 Micro, Small and Medium Enterprises in Kitui </w:t>
      </w:r>
      <w:r w:rsidR="00317847">
        <w:t>County</w:t>
      </w:r>
      <w:r w:rsidRPr="00BC364E">
        <w:t xml:space="preserve">, Kenya. The data gathered </w:t>
      </w:r>
      <w:r w:rsidR="009378E1">
        <w:t>were</w:t>
      </w:r>
      <w:r w:rsidRPr="00BC364E">
        <w:t xml:space="preserve"> examined by use of both inferential and descriptive statistics. </w:t>
      </w:r>
      <w:r w:rsidR="00317847">
        <w:t>A multiple</w:t>
      </w:r>
      <w:r w:rsidRPr="00BC364E">
        <w:t xml:space="preserve"> regression model </w:t>
      </w:r>
      <w:r>
        <w:t>was</w:t>
      </w:r>
      <w:r w:rsidRPr="00BC364E">
        <w:t xml:space="preserve"> employed to demonstrate the link between the independent and dependent variables. The data generated </w:t>
      </w:r>
      <w:r w:rsidR="00032184">
        <w:t>were</w:t>
      </w:r>
      <w:r w:rsidRPr="00BC364E">
        <w:t xml:space="preserve"> typed in and examined utilizing the Statistical Package for Social Sciences (SPSS) version 26</w:t>
      </w:r>
      <w:r w:rsidR="00317847">
        <w:t>,</w:t>
      </w:r>
      <w:r w:rsidRPr="00BC364E">
        <w:t xml:space="preserve"> and information </w:t>
      </w:r>
      <w:r>
        <w:t>was</w:t>
      </w:r>
      <w:r w:rsidRPr="00BC364E">
        <w:t xml:space="preserve"> generated and displayed through the use of tables, charts, and frequency distribution tables.</w:t>
      </w:r>
      <w:r w:rsidRPr="00BC364E">
        <w:rPr>
          <w:rFonts w:eastAsia="Calibri"/>
        </w:rPr>
        <w:t xml:space="preserve"> This study </w:t>
      </w:r>
      <w:r>
        <w:rPr>
          <w:rFonts w:eastAsia="Calibri"/>
        </w:rPr>
        <w:t>found that Savings literacy (r=0.</w:t>
      </w:r>
      <w:r w:rsidR="00AA787E">
        <w:rPr>
          <w:rFonts w:eastAsia="Calibri"/>
        </w:rPr>
        <w:t>818</w:t>
      </w:r>
      <w:r>
        <w:rPr>
          <w:rFonts w:eastAsia="Calibri"/>
        </w:rPr>
        <w:t xml:space="preserve">, p=0.00) significantly influenced </w:t>
      </w:r>
      <w:r w:rsidR="00317847">
        <w:rPr>
          <w:rFonts w:eastAsia="Calibri"/>
        </w:rPr>
        <w:t xml:space="preserve">the </w:t>
      </w:r>
      <w:r>
        <w:rPr>
          <w:rFonts w:eastAsia="Calibri"/>
        </w:rPr>
        <w:t xml:space="preserve">financial viability of MSMEs in Kitui County, Kenya. </w:t>
      </w:r>
      <w:r w:rsidRPr="00BC364E">
        <w:t xml:space="preserve">The findings of this study </w:t>
      </w:r>
      <w:r>
        <w:t>would</w:t>
      </w:r>
      <w:r w:rsidRPr="00BC364E">
        <w:t xml:space="preserve"> provide valuable insights for policymakers, financial institutions, and educational bodies to develop targeted financial literacy programs and interventions to enhance the financial health of Micro, Small and Medium Enterprises in Kitui Cou</w:t>
      </w:r>
      <w:r>
        <w:t>nty.</w:t>
      </w:r>
    </w:p>
    <w:p w14:paraId="1C73E5E5" w14:textId="692026EC" w:rsidR="00CA148C" w:rsidRPr="00E6059F" w:rsidRDefault="00E6059F" w:rsidP="00CA148C">
      <w:pPr>
        <w:pStyle w:val="NormalWeb"/>
        <w:jc w:val="both"/>
        <w:rPr>
          <w:b/>
          <w:bCs/>
        </w:rPr>
      </w:pPr>
      <w:r w:rsidRPr="00E6059F">
        <w:rPr>
          <w:b/>
          <w:bCs/>
        </w:rPr>
        <w:t>Keywords</w:t>
      </w:r>
      <w:r w:rsidR="00CA148C" w:rsidRPr="00E6059F">
        <w:rPr>
          <w:b/>
          <w:bCs/>
        </w:rPr>
        <w:t>: Savings Literacy, Financial Viability</w:t>
      </w:r>
      <w:r w:rsidR="00A04743" w:rsidRPr="00E6059F">
        <w:rPr>
          <w:b/>
          <w:bCs/>
        </w:rPr>
        <w:t xml:space="preserve">, </w:t>
      </w:r>
      <w:r w:rsidR="006E240A" w:rsidRPr="00E6059F">
        <w:rPr>
          <w:b/>
          <w:bCs/>
        </w:rPr>
        <w:t>Keynesian</w:t>
      </w:r>
      <w:r w:rsidR="00A04743" w:rsidRPr="00E6059F">
        <w:rPr>
          <w:b/>
          <w:bCs/>
        </w:rPr>
        <w:t xml:space="preserve"> Theory</w:t>
      </w:r>
    </w:p>
    <w:p w14:paraId="036047A7" w14:textId="0850F9E8" w:rsidR="006E240A" w:rsidRPr="00E6059F" w:rsidRDefault="008D2A36" w:rsidP="00CA148C">
      <w:pPr>
        <w:pStyle w:val="NormalWeb"/>
        <w:jc w:val="both"/>
        <w:rPr>
          <w:b/>
          <w:bCs/>
        </w:rPr>
      </w:pPr>
      <w:r w:rsidRPr="00E6059F">
        <w:rPr>
          <w:b/>
          <w:bCs/>
        </w:rPr>
        <w:t>BACKGROUND OF THE STUDY</w:t>
      </w:r>
    </w:p>
    <w:p w14:paraId="74983A2D" w14:textId="3686F0BB" w:rsidR="003D3B82" w:rsidRPr="00A62DAD" w:rsidRDefault="003D3B82" w:rsidP="00A34F77">
      <w:pPr>
        <w:spacing w:line="360" w:lineRule="auto"/>
        <w:jc w:val="both"/>
        <w:rPr>
          <w:rFonts w:ascii="Times New Roman" w:hAnsi="Times New Roman" w:cs="Times New Roman"/>
          <w:sz w:val="24"/>
          <w:szCs w:val="24"/>
        </w:rPr>
      </w:pPr>
      <w:r w:rsidRPr="00A62DAD">
        <w:rPr>
          <w:rFonts w:ascii="Times" w:hAnsi="Times" w:cs="Times"/>
          <w:sz w:val="24"/>
          <w:szCs w:val="24"/>
        </w:rPr>
        <w:t>The financial viability of Micro, Small, and Medium Enterprises (MSMEs) is crucial for their economic growth and overall economic stability</w:t>
      </w:r>
      <w:r w:rsidR="005E6638">
        <w:rPr>
          <w:rFonts w:ascii="Times" w:hAnsi="Times" w:cs="Times"/>
          <w:sz w:val="24"/>
          <w:szCs w:val="24"/>
        </w:rPr>
        <w:t xml:space="preserve"> </w:t>
      </w:r>
      <w:r w:rsidR="005E6638">
        <w:rPr>
          <w:rFonts w:ascii="Times" w:hAnsi="Times" w:cs="Times"/>
          <w:sz w:val="24"/>
          <w:szCs w:val="24"/>
        </w:rPr>
        <w:fldChar w:fldCharType="begin" w:fldLock="1"/>
      </w:r>
      <w:r w:rsidR="005E6638">
        <w:rPr>
          <w:rFonts w:ascii="Times" w:hAnsi="Times" w:cs="Times"/>
          <w:sz w:val="24"/>
          <w:szCs w:val="24"/>
        </w:rPr>
        <w:instrText>ADDIN CSL_CITATION {"citationItems":[{"id":"ITEM-1","itemData":{"author":[{"dropping-particle":"","family":"Varga","given":"János","non-dropping-particle":"","parse-names":false,"suffix":""}],"container-title":"Acta Polytechnica Hungarica","id":"ITEM-1","issue":"11","issued":{"date-parts":[["2021"]]},"page":"209-228","title":"Defining the economic role and benefits of micro, small and medium-sized enterprises in the 21st century with a systematic review of the literature","type":"article-journal","volume":"18"},"uris":["http://www.mendeley.com/documents/?uuid=90dd5a7f-0b7f-4c8d-9f13-fb4ea2b89d1d"]}],"mendeley":{"formattedCitation":"(Varga, 2021)","plainTextFormattedCitation":"(Varga, 2021)","previouslyFormattedCitation":"(Varga, 2021)"},"properties":{"noteIndex":0},"schema":"https://github.com/citation-style-language/schema/raw/master/csl-citation.json"}</w:instrText>
      </w:r>
      <w:r w:rsidR="005E6638">
        <w:rPr>
          <w:rFonts w:ascii="Times" w:hAnsi="Times" w:cs="Times"/>
          <w:sz w:val="24"/>
          <w:szCs w:val="24"/>
        </w:rPr>
        <w:fldChar w:fldCharType="separate"/>
      </w:r>
      <w:r w:rsidR="005E6638" w:rsidRPr="005E6638">
        <w:rPr>
          <w:rFonts w:ascii="Times" w:hAnsi="Times" w:cs="Times"/>
          <w:noProof/>
          <w:sz w:val="24"/>
          <w:szCs w:val="24"/>
        </w:rPr>
        <w:t>(Varga, 2021)</w:t>
      </w:r>
      <w:r w:rsidR="005E6638">
        <w:rPr>
          <w:rFonts w:ascii="Times" w:hAnsi="Times" w:cs="Times"/>
          <w:sz w:val="24"/>
          <w:szCs w:val="24"/>
        </w:rPr>
        <w:fldChar w:fldCharType="end"/>
      </w:r>
      <w:r w:rsidRPr="00A62DAD">
        <w:rPr>
          <w:rFonts w:ascii="Times" w:hAnsi="Times" w:cs="Times"/>
          <w:sz w:val="24"/>
          <w:szCs w:val="24"/>
        </w:rPr>
        <w:t>.</w:t>
      </w:r>
      <w:r w:rsidRPr="00A62DAD">
        <w:rPr>
          <w:rFonts w:ascii="Times New Roman" w:hAnsi="Times New Roman" w:cs="Times New Roman"/>
          <w:sz w:val="24"/>
          <w:szCs w:val="24"/>
        </w:rPr>
        <w:t xml:space="preserve"> Micro, Small</w:t>
      </w:r>
      <w:r w:rsidR="009378E1">
        <w:rPr>
          <w:rFonts w:ascii="Times New Roman" w:hAnsi="Times New Roman" w:cs="Times New Roman"/>
          <w:sz w:val="24"/>
          <w:szCs w:val="24"/>
        </w:rPr>
        <w:t>,</w:t>
      </w:r>
      <w:r w:rsidRPr="00A62DAD">
        <w:rPr>
          <w:rFonts w:ascii="Times New Roman" w:hAnsi="Times New Roman" w:cs="Times New Roman"/>
          <w:sz w:val="24"/>
          <w:szCs w:val="24"/>
        </w:rPr>
        <w:t xml:space="preserve"> and Medium Enterprises </w:t>
      </w:r>
      <w:r w:rsidR="009378E1">
        <w:rPr>
          <w:rFonts w:ascii="Times New Roman" w:hAnsi="Times New Roman" w:cs="Times New Roman"/>
          <w:sz w:val="24"/>
          <w:szCs w:val="24"/>
        </w:rPr>
        <w:t>perform</w:t>
      </w:r>
      <w:r w:rsidRPr="00A62DAD">
        <w:rPr>
          <w:rFonts w:ascii="Times New Roman" w:hAnsi="Times New Roman" w:cs="Times New Roman"/>
          <w:sz w:val="24"/>
          <w:szCs w:val="24"/>
        </w:rPr>
        <w:t xml:space="preserve"> an integral role in the world economy in creating employment and supporting livelihoods. It is estimated that the sector employs over 15 million people and contributes about 30% to the national value added. Despite this, MSMEs continue to face substantial challenges</w:t>
      </w:r>
      <w:r w:rsidR="005E6638">
        <w:rPr>
          <w:rFonts w:ascii="Times New Roman" w:hAnsi="Times New Roman" w:cs="Times New Roman"/>
          <w:sz w:val="24"/>
          <w:szCs w:val="24"/>
        </w:rPr>
        <w:t>,</w:t>
      </w:r>
      <w:r w:rsidRPr="00A62DAD">
        <w:rPr>
          <w:rFonts w:ascii="Times New Roman" w:hAnsi="Times New Roman" w:cs="Times New Roman"/>
          <w:sz w:val="24"/>
          <w:szCs w:val="24"/>
        </w:rPr>
        <w:t xml:space="preserve"> key among them being limited access to finance that impedes their growth</w:t>
      </w:r>
      <w:r w:rsidR="005E6638">
        <w:rPr>
          <w:rFonts w:ascii="Times New Roman" w:hAnsi="Times New Roman" w:cs="Times New Roman"/>
          <w:sz w:val="24"/>
          <w:szCs w:val="24"/>
        </w:rPr>
        <w:t xml:space="preserve"> </w:t>
      </w:r>
      <w:r w:rsidR="005E6638">
        <w:rPr>
          <w:rFonts w:ascii="Times New Roman" w:hAnsi="Times New Roman" w:cs="Times New Roman"/>
          <w:sz w:val="24"/>
          <w:szCs w:val="24"/>
        </w:rPr>
        <w:fldChar w:fldCharType="begin" w:fldLock="1"/>
      </w:r>
      <w:r w:rsidR="005E6638">
        <w:rPr>
          <w:rFonts w:ascii="Times New Roman" w:hAnsi="Times New Roman" w:cs="Times New Roman"/>
          <w:sz w:val="24"/>
          <w:szCs w:val="24"/>
        </w:rPr>
        <w:instrText>ADDIN CSL_CITATION {"citationItems":[{"id":"ITEM-1","itemData":{"author":[{"dropping-particle":"","family":"Velmurugan","given":"R","non-dropping-particle":"","parse-names":false,"suffix":""},{"dropping-particle":"","family":"Thirumalaisamy","given":"Ravi","non-dropping-particle":"","parse-names":false,"suffix":""},{"dropping-particle":"","family":"Paquibut","given":"Rene","non-dropping-particle":"","parse-names":false,"suffix":""},{"dropping-particle":"","family":"Abouraia","given":"Mahmoud","non-dropping-particle":"","parse-names":false,"suffix":""}],"container-title":"The AI Revolution: Driving Business Innovation and Research: Volume 2","id":"ITEM-1","issued":{"date-parts":[["2024"]]},"page":"233-246","publisher":"Springer","title":"An integrated framework for the financial sustainability and entrepreneurial success of micro, small, and medium enterprises","type":"chapter"},"uris":["http://www.mendeley.com/documents/?uuid=80e55e00-783a-44a4-8736-6acb673a1c57"]}],"mendeley":{"formattedCitation":"(Velmurugan et al., 2024)","plainTextFormattedCitation":"(Velmurugan et al., 2024)","previouslyFormattedCitation":"(Velmurugan et al., 2024)"},"properties":{"noteIndex":0},"schema":"https://github.com/citation-style-language/schema/raw/master/csl-citation.json"}</w:instrText>
      </w:r>
      <w:r w:rsidR="005E6638">
        <w:rPr>
          <w:rFonts w:ascii="Times New Roman" w:hAnsi="Times New Roman" w:cs="Times New Roman"/>
          <w:sz w:val="24"/>
          <w:szCs w:val="24"/>
        </w:rPr>
        <w:fldChar w:fldCharType="separate"/>
      </w:r>
      <w:r w:rsidR="005E6638" w:rsidRPr="005E6638">
        <w:rPr>
          <w:rFonts w:ascii="Times New Roman" w:hAnsi="Times New Roman" w:cs="Times New Roman"/>
          <w:noProof/>
          <w:sz w:val="24"/>
          <w:szCs w:val="24"/>
        </w:rPr>
        <w:t>(Velmurugan et al., 2024)</w:t>
      </w:r>
      <w:r w:rsidR="005E6638">
        <w:rPr>
          <w:rFonts w:ascii="Times New Roman" w:hAnsi="Times New Roman" w:cs="Times New Roman"/>
          <w:sz w:val="24"/>
          <w:szCs w:val="24"/>
        </w:rPr>
        <w:fldChar w:fldCharType="end"/>
      </w:r>
      <w:r w:rsidRPr="00A62DAD">
        <w:rPr>
          <w:rFonts w:ascii="Times New Roman" w:hAnsi="Times New Roman" w:cs="Times New Roman"/>
          <w:sz w:val="24"/>
          <w:szCs w:val="24"/>
        </w:rPr>
        <w:t>. Additionally, many MSMEs struggle with financial viability, often leading to stagnation or business failure</w:t>
      </w:r>
      <w:r w:rsidR="005E6638">
        <w:rPr>
          <w:rFonts w:ascii="Times New Roman" w:hAnsi="Times New Roman" w:cs="Times New Roman"/>
          <w:sz w:val="24"/>
          <w:szCs w:val="24"/>
        </w:rPr>
        <w:t xml:space="preserve"> </w:t>
      </w:r>
      <w:r w:rsidR="005E6638">
        <w:rPr>
          <w:rFonts w:ascii="Times New Roman" w:hAnsi="Times New Roman" w:cs="Times New Roman"/>
          <w:sz w:val="24"/>
          <w:szCs w:val="24"/>
        </w:rPr>
        <w:fldChar w:fldCharType="begin" w:fldLock="1"/>
      </w:r>
      <w:r w:rsidR="005E6638">
        <w:rPr>
          <w:rFonts w:ascii="Times New Roman" w:hAnsi="Times New Roman" w:cs="Times New Roman"/>
          <w:sz w:val="24"/>
          <w:szCs w:val="24"/>
        </w:rPr>
        <w:instrText>ADDIN CSL_CITATION {"citationItems":[{"id":"ITEM-1","itemData":{"author":[{"dropping-particle":"","family":"Hardyansah","given":"Rommy","non-dropping-particle":"","parse-names":false,"suffix":""},{"dropping-particle":"","family":"Putra","given":"Arif Rachman","non-dropping-particle":"","parse-names":false,"suffix":""}],"container-title":"Journal of Social Science Studies","id":"ITEM-1","issue":"1","issued":{"date-parts":[["2023"]]},"page":"15-22","title":"Building Regional Economic Stability Through Effective Legal Protection for Micro, Small, and Medium Enterprises in Indonesia","type":"article-journal","volume":"3"},"uris":["http://www.mendeley.com/documents/?uuid=11b3ba02-db00-4314-b7bb-188b7d6f39ae"]}],"mendeley":{"formattedCitation":"(Hardyansah &amp; Putra, 2023)","plainTextFormattedCitation":"(Hardyansah &amp; Putra, 2023)","previouslyFormattedCitation":"(Hardyansah &amp; Putra, 2023)"},"properties":{"noteIndex":0},"schema":"https://github.com/citation-style-language/schema/raw/master/csl-citation.json"}</w:instrText>
      </w:r>
      <w:r w:rsidR="005E6638">
        <w:rPr>
          <w:rFonts w:ascii="Times New Roman" w:hAnsi="Times New Roman" w:cs="Times New Roman"/>
          <w:sz w:val="24"/>
          <w:szCs w:val="24"/>
        </w:rPr>
        <w:fldChar w:fldCharType="separate"/>
      </w:r>
      <w:r w:rsidR="005E6638" w:rsidRPr="005E6638">
        <w:rPr>
          <w:rFonts w:ascii="Times New Roman" w:hAnsi="Times New Roman" w:cs="Times New Roman"/>
          <w:noProof/>
          <w:sz w:val="24"/>
          <w:szCs w:val="24"/>
        </w:rPr>
        <w:t>(Hardyansah &amp; Putra, 2023)</w:t>
      </w:r>
      <w:r w:rsidR="005E6638">
        <w:rPr>
          <w:rFonts w:ascii="Times New Roman" w:hAnsi="Times New Roman" w:cs="Times New Roman"/>
          <w:sz w:val="24"/>
          <w:szCs w:val="24"/>
        </w:rPr>
        <w:fldChar w:fldCharType="end"/>
      </w:r>
      <w:r w:rsidRPr="00A62DAD">
        <w:rPr>
          <w:rFonts w:ascii="Times New Roman" w:hAnsi="Times New Roman" w:cs="Times New Roman"/>
          <w:sz w:val="24"/>
          <w:szCs w:val="24"/>
        </w:rPr>
        <w:t>. A major challenge facing these enterprises is the limited financial literacy skills among business owners and managers</w:t>
      </w:r>
      <w:r w:rsidR="005D6DC4">
        <w:rPr>
          <w:rFonts w:ascii="Times New Roman" w:hAnsi="Times New Roman" w:cs="Times New Roman"/>
          <w:sz w:val="24"/>
          <w:szCs w:val="24"/>
        </w:rPr>
        <w:t xml:space="preserve"> of</w:t>
      </w:r>
      <w:r w:rsidRPr="00A62DAD">
        <w:rPr>
          <w:rFonts w:ascii="Times New Roman" w:hAnsi="Times New Roman" w:cs="Times New Roman"/>
          <w:sz w:val="24"/>
          <w:szCs w:val="24"/>
        </w:rPr>
        <w:t xml:space="preserve"> Micro, Small and Medium enterprises in most developing countries</w:t>
      </w:r>
      <w:r w:rsidR="00887DCA">
        <w:rPr>
          <w:rFonts w:ascii="Times New Roman" w:hAnsi="Times New Roman" w:cs="Times New Roman"/>
          <w:sz w:val="24"/>
          <w:szCs w:val="24"/>
        </w:rPr>
        <w:t>, which</w:t>
      </w:r>
      <w:r w:rsidRPr="00A62DAD">
        <w:rPr>
          <w:rFonts w:ascii="Times New Roman" w:hAnsi="Times New Roman" w:cs="Times New Roman"/>
          <w:sz w:val="24"/>
          <w:szCs w:val="24"/>
        </w:rPr>
        <w:t xml:space="preserve"> </w:t>
      </w:r>
      <w:r w:rsidRPr="00A62DAD">
        <w:rPr>
          <w:rFonts w:ascii="Times New Roman" w:hAnsi="Times New Roman" w:cs="Times New Roman"/>
          <w:sz w:val="24"/>
          <w:szCs w:val="24"/>
        </w:rPr>
        <w:lastRenderedPageBreak/>
        <w:t>have barriers to access to finance, difficulties in exploiting technology, insufficient managerial capabilities</w:t>
      </w:r>
      <w:r w:rsidR="00887DCA">
        <w:rPr>
          <w:rFonts w:ascii="Times New Roman" w:hAnsi="Times New Roman" w:cs="Times New Roman"/>
          <w:sz w:val="24"/>
          <w:szCs w:val="24"/>
        </w:rPr>
        <w:t>,</w:t>
      </w:r>
      <w:r w:rsidRPr="00A62DAD">
        <w:rPr>
          <w:rFonts w:ascii="Times New Roman" w:hAnsi="Times New Roman" w:cs="Times New Roman"/>
          <w:sz w:val="24"/>
          <w:szCs w:val="24"/>
        </w:rPr>
        <w:t xml:space="preserve"> and regulatory burdens in their business environment</w:t>
      </w:r>
      <w:r w:rsidR="005E6638">
        <w:rPr>
          <w:rFonts w:ascii="Times New Roman" w:hAnsi="Times New Roman" w:cs="Times New Roman"/>
          <w:sz w:val="24"/>
          <w:szCs w:val="24"/>
        </w:rPr>
        <w:t xml:space="preserve"> </w:t>
      </w:r>
      <w:r w:rsidR="005E6638">
        <w:rPr>
          <w:rFonts w:ascii="Times New Roman" w:hAnsi="Times New Roman" w:cs="Times New Roman"/>
          <w:sz w:val="24"/>
          <w:szCs w:val="24"/>
        </w:rPr>
        <w:fldChar w:fldCharType="begin" w:fldLock="1"/>
      </w:r>
      <w:r w:rsidR="005E6638">
        <w:rPr>
          <w:rFonts w:ascii="Times New Roman" w:hAnsi="Times New Roman" w:cs="Times New Roman"/>
          <w:sz w:val="24"/>
          <w:szCs w:val="24"/>
        </w:rPr>
        <w:instrText>ADDIN CSL_CITATION {"citationItems":[{"id":"ITEM-1","itemData":{"author":[{"dropping-particle":"","family":"Association","given":"Kenya Bankers","non-dropping-particle":"","parse-names":false,"suffix":""}],"id":"ITEM-1","issue":"August","issued":{"date-parts":[["2023"]]},"title":"STATE OF THE BANKING INDUSTRY REPORT 2023 STATE OF THE BANKING","type":"article-journal"},"uris":["http://www.mendeley.com/documents/?uuid=822387e8-ea51-4d52-b95d-30d5a283454e"]}],"mendeley":{"formattedCitation":"(Association, 2023)","manualFormatting":"(Kenya Bankers Association, 2023)","plainTextFormattedCitation":"(Association, 2023)","previouslyFormattedCitation":"(Association, 2023)"},"properties":{"noteIndex":0},"schema":"https://github.com/citation-style-language/schema/raw/master/csl-citation.json"}</w:instrText>
      </w:r>
      <w:r w:rsidR="005E6638">
        <w:rPr>
          <w:rFonts w:ascii="Times New Roman" w:hAnsi="Times New Roman" w:cs="Times New Roman"/>
          <w:sz w:val="24"/>
          <w:szCs w:val="24"/>
        </w:rPr>
        <w:fldChar w:fldCharType="separate"/>
      </w:r>
      <w:r w:rsidR="005E6638" w:rsidRPr="005E6638">
        <w:rPr>
          <w:rFonts w:ascii="Times New Roman" w:hAnsi="Times New Roman" w:cs="Times New Roman"/>
          <w:noProof/>
          <w:sz w:val="24"/>
          <w:szCs w:val="24"/>
        </w:rPr>
        <w:t>(</w:t>
      </w:r>
      <w:r w:rsidR="005E6638" w:rsidRPr="00A62DAD">
        <w:rPr>
          <w:rFonts w:ascii="Times New Roman" w:hAnsi="Times New Roman" w:cs="Times New Roman"/>
          <w:noProof/>
          <w:sz w:val="24"/>
          <w:szCs w:val="24"/>
        </w:rPr>
        <w:t>Kenya Bankers</w:t>
      </w:r>
      <w:r w:rsidR="005E6638" w:rsidRPr="005E6638">
        <w:rPr>
          <w:rFonts w:ascii="Times New Roman" w:hAnsi="Times New Roman" w:cs="Times New Roman"/>
          <w:noProof/>
          <w:sz w:val="24"/>
          <w:szCs w:val="24"/>
        </w:rPr>
        <w:t xml:space="preserve"> Association, 2023)</w:t>
      </w:r>
      <w:r w:rsidR="005E6638">
        <w:rPr>
          <w:rFonts w:ascii="Times New Roman" w:hAnsi="Times New Roman" w:cs="Times New Roman"/>
          <w:sz w:val="24"/>
          <w:szCs w:val="24"/>
        </w:rPr>
        <w:fldChar w:fldCharType="end"/>
      </w:r>
      <w:r w:rsidRPr="00A62DAD">
        <w:rPr>
          <w:rFonts w:ascii="Times New Roman" w:hAnsi="Times New Roman" w:cs="Times New Roman"/>
          <w:sz w:val="24"/>
          <w:szCs w:val="24"/>
        </w:rPr>
        <w:t>.</w:t>
      </w:r>
    </w:p>
    <w:p w14:paraId="2D8CB445" w14:textId="768ED220" w:rsidR="003D3B82" w:rsidRPr="00A62DAD" w:rsidRDefault="003D3B82" w:rsidP="00A34F77">
      <w:pPr>
        <w:spacing w:line="360" w:lineRule="auto"/>
        <w:jc w:val="both"/>
        <w:rPr>
          <w:rFonts w:ascii="Times New Roman" w:hAnsi="Times New Roman" w:cs="Times New Roman"/>
          <w:sz w:val="24"/>
          <w:szCs w:val="24"/>
        </w:rPr>
      </w:pPr>
      <w:r w:rsidRPr="00A62DAD">
        <w:rPr>
          <w:rFonts w:ascii="Times New Roman" w:eastAsia="Times New Roman" w:hAnsi="Times New Roman" w:cs="Times New Roman"/>
          <w:sz w:val="24"/>
          <w:szCs w:val="24"/>
          <w:lang w:eastAsia="en-GB"/>
        </w:rPr>
        <w:t xml:space="preserve">Financial literacy refers to the knowledge and understanding of financial principles and concepts, such as budgeting, saving, investing, and debt management </w:t>
      </w:r>
      <w:r w:rsidRPr="00A62DAD">
        <w:rPr>
          <w:rFonts w:ascii="Times New Roman" w:eastAsia="Times New Roman" w:hAnsi="Times New Roman" w:cs="Times New Roman"/>
          <w:sz w:val="24"/>
          <w:szCs w:val="24"/>
          <w:lang w:eastAsia="en-GB"/>
        </w:rPr>
        <w:fldChar w:fldCharType="begin" w:fldLock="1"/>
      </w:r>
      <w:r w:rsidRPr="00A62DAD">
        <w:rPr>
          <w:rFonts w:ascii="Times New Roman" w:eastAsia="Times New Roman" w:hAnsi="Times New Roman" w:cs="Times New Roman"/>
          <w:sz w:val="24"/>
          <w:szCs w:val="24"/>
          <w:lang w:eastAsia="en-GB"/>
        </w:rPr>
        <w:instrText>ADDIN CSL_CITATION {"citationItems":[{"id":"ITEM-1","itemData":{"author":[{"dropping-particle":"","family":"Kumari","given":"D A T","non-dropping-particle":"","parse-names":false,"suffix":""}],"container-title":"Asian Journal of Contemporary Education","id":"ITEM-1","issue":"2","issued":{"date-parts":[["2020"]]},"page":"110-126","publisher":"ERIC","title":"The Impact of Financial Literacy on Investment Decisions: With Special Reference to Undergraduates in Western Province, Sri Lanka.","type":"article-journal","volume":"4"},"uris":["http://www.mendeley.com/documents/?uuid=3a9b00bd-692e-4752-811d-78d5320a00f7"]}],"mendeley":{"formattedCitation":"(Kumari, 2020)","plainTextFormattedCitation":"(Kumari, 2020)","previouslyFormattedCitation":"(Kumari, 2020)"},"properties":{"noteIndex":0},"schema":"https://github.com/citation-style-language/schema/raw/master/csl-citation.json"}</w:instrText>
      </w:r>
      <w:r w:rsidRPr="00A62DAD">
        <w:rPr>
          <w:rFonts w:ascii="Times New Roman" w:eastAsia="Times New Roman" w:hAnsi="Times New Roman" w:cs="Times New Roman"/>
          <w:sz w:val="24"/>
          <w:szCs w:val="24"/>
          <w:lang w:eastAsia="en-GB"/>
        </w:rPr>
        <w:fldChar w:fldCharType="separate"/>
      </w:r>
      <w:r w:rsidRPr="00A62DAD">
        <w:rPr>
          <w:rFonts w:ascii="Times New Roman" w:eastAsia="Times New Roman" w:hAnsi="Times New Roman" w:cs="Times New Roman"/>
          <w:noProof/>
          <w:sz w:val="24"/>
          <w:szCs w:val="24"/>
          <w:lang w:eastAsia="en-GB"/>
        </w:rPr>
        <w:t>(Kumari, 2020)</w:t>
      </w:r>
      <w:r w:rsidRPr="00A62DAD">
        <w:rPr>
          <w:rFonts w:ascii="Times New Roman" w:eastAsia="Times New Roman" w:hAnsi="Times New Roman" w:cs="Times New Roman"/>
          <w:sz w:val="24"/>
          <w:szCs w:val="24"/>
          <w:lang w:eastAsia="en-GB"/>
        </w:rPr>
        <w:fldChar w:fldCharType="end"/>
      </w:r>
      <w:r w:rsidRPr="00A62DAD">
        <w:rPr>
          <w:rFonts w:ascii="Times New Roman" w:eastAsia="Times New Roman" w:hAnsi="Times New Roman" w:cs="Times New Roman"/>
          <w:sz w:val="24"/>
          <w:szCs w:val="24"/>
          <w:lang w:eastAsia="en-GB"/>
        </w:rPr>
        <w:t>. For managers or owners of micro, small</w:t>
      </w:r>
      <w:r w:rsidR="005E6638">
        <w:rPr>
          <w:rFonts w:ascii="Times New Roman" w:eastAsia="Times New Roman" w:hAnsi="Times New Roman" w:cs="Times New Roman"/>
          <w:sz w:val="24"/>
          <w:szCs w:val="24"/>
          <w:lang w:eastAsia="en-GB"/>
        </w:rPr>
        <w:t>,</w:t>
      </w:r>
      <w:r w:rsidRPr="00A62DAD">
        <w:rPr>
          <w:rFonts w:ascii="Times New Roman" w:eastAsia="Times New Roman" w:hAnsi="Times New Roman" w:cs="Times New Roman"/>
          <w:sz w:val="24"/>
          <w:szCs w:val="24"/>
          <w:lang w:eastAsia="en-GB"/>
        </w:rPr>
        <w:t xml:space="preserve"> and medium enterprises, financial literacy is particularly important due to several reasons: Managers with a strong grasp of financial concepts are better equipped to perform their roles effectively, making informed decisions that benefit both their clients and their employers</w:t>
      </w:r>
      <w:r w:rsidR="005E6638">
        <w:rPr>
          <w:rFonts w:ascii="Times New Roman" w:eastAsia="Times New Roman" w:hAnsi="Times New Roman" w:cs="Times New Roman"/>
          <w:sz w:val="24"/>
          <w:szCs w:val="24"/>
          <w:lang w:eastAsia="en-GB"/>
        </w:rPr>
        <w:t>;</w:t>
      </w:r>
      <w:r w:rsidRPr="00A62DAD">
        <w:rPr>
          <w:rFonts w:ascii="Times New Roman" w:eastAsia="Times New Roman" w:hAnsi="Times New Roman" w:cs="Times New Roman"/>
          <w:sz w:val="24"/>
          <w:szCs w:val="24"/>
          <w:lang w:eastAsia="en-GB"/>
        </w:rPr>
        <w:t xml:space="preserve"> financially literate individuals are more likely to manage their personal finances well, reducing the risk of debt and financial stress </w:t>
      </w:r>
      <w:r w:rsidRPr="00A62DAD">
        <w:rPr>
          <w:rFonts w:ascii="Times New Roman" w:eastAsia="Times New Roman" w:hAnsi="Times New Roman" w:cs="Times New Roman"/>
          <w:sz w:val="24"/>
          <w:szCs w:val="24"/>
          <w:lang w:eastAsia="en-GB"/>
        </w:rPr>
        <w:fldChar w:fldCharType="begin" w:fldLock="1"/>
      </w:r>
      <w:r w:rsidRPr="00A62DAD">
        <w:rPr>
          <w:rFonts w:ascii="Times New Roman" w:eastAsia="Times New Roman" w:hAnsi="Times New Roman" w:cs="Times New Roman"/>
          <w:sz w:val="24"/>
          <w:szCs w:val="24"/>
          <w:lang w:eastAsia="en-GB"/>
        </w:rPr>
        <w:instrText>ADDIN CSL_CITATION {"citationItems":[{"id":"ITEM-1","itemData":{"author":[{"dropping-particle":"","family":"Sibanyoni","given":"B","non-dropping-particle":"","parse-names":false,"suffix":""}],"id":"ITEM-1","issued":{"date-parts":[["2021"]]},"publisher":"North-West University (South Africa)","title":"Investigating non-compliance with corporate governance principles on material losses in selected business organizations","type":"article"},"uris":["http://www.mendeley.com/documents/?uuid=27be9fe4-7179-474a-a6e1-7a9bd16df8d6"]}],"mendeley":{"formattedCitation":"(Sibanyoni, 2021)","plainTextFormattedCitation":"(Sibanyoni, 2021)","previouslyFormattedCitation":"(Sibanyoni, 2021)"},"properties":{"noteIndex":0},"schema":"https://github.com/citation-style-language/schema/raw/master/csl-citation.json"}</w:instrText>
      </w:r>
      <w:r w:rsidRPr="00A62DAD">
        <w:rPr>
          <w:rFonts w:ascii="Times New Roman" w:eastAsia="Times New Roman" w:hAnsi="Times New Roman" w:cs="Times New Roman"/>
          <w:sz w:val="24"/>
          <w:szCs w:val="24"/>
          <w:lang w:eastAsia="en-GB"/>
        </w:rPr>
        <w:fldChar w:fldCharType="separate"/>
      </w:r>
      <w:r w:rsidRPr="00A62DAD">
        <w:rPr>
          <w:rFonts w:ascii="Times New Roman" w:eastAsia="Times New Roman" w:hAnsi="Times New Roman" w:cs="Times New Roman"/>
          <w:noProof/>
          <w:sz w:val="24"/>
          <w:szCs w:val="24"/>
          <w:lang w:eastAsia="en-GB"/>
        </w:rPr>
        <w:t>(Sibanyoni, 2021)</w:t>
      </w:r>
      <w:r w:rsidRPr="00A62DAD">
        <w:rPr>
          <w:rFonts w:ascii="Times New Roman" w:eastAsia="Times New Roman" w:hAnsi="Times New Roman" w:cs="Times New Roman"/>
          <w:sz w:val="24"/>
          <w:szCs w:val="24"/>
          <w:lang w:eastAsia="en-GB"/>
        </w:rPr>
        <w:fldChar w:fldCharType="end"/>
      </w:r>
      <w:r w:rsidRPr="00A62DAD">
        <w:rPr>
          <w:rFonts w:ascii="Times New Roman" w:eastAsia="Times New Roman" w:hAnsi="Times New Roman" w:cs="Times New Roman"/>
          <w:sz w:val="24"/>
          <w:szCs w:val="24"/>
          <w:lang w:eastAsia="en-GB"/>
        </w:rPr>
        <w:t>. This can contribute to higher job satisfaction and productivity; those who work in client-facing roles need to understand financial products and services thoroughly to provide accurate advice and build trust with clients</w:t>
      </w:r>
      <w:r w:rsidR="005E6638">
        <w:rPr>
          <w:rFonts w:ascii="Times New Roman" w:eastAsia="Times New Roman" w:hAnsi="Times New Roman" w:cs="Times New Roman"/>
          <w:sz w:val="24"/>
          <w:szCs w:val="24"/>
          <w:lang w:eastAsia="en-GB"/>
        </w:rPr>
        <w:t>.</w:t>
      </w:r>
      <w:r w:rsidRPr="00A62DAD">
        <w:rPr>
          <w:rFonts w:ascii="Times New Roman" w:eastAsia="Times New Roman" w:hAnsi="Times New Roman" w:cs="Times New Roman"/>
          <w:sz w:val="24"/>
          <w:szCs w:val="24"/>
          <w:lang w:eastAsia="en-GB"/>
        </w:rPr>
        <w:t xml:space="preserve"> Continuous learning and application of financial knowledge can lead to career advancement and general growth of business entities</w:t>
      </w:r>
      <w:r w:rsidR="005E6638">
        <w:rPr>
          <w:rFonts w:ascii="Times New Roman" w:eastAsia="Times New Roman" w:hAnsi="Times New Roman" w:cs="Times New Roman"/>
          <w:sz w:val="24"/>
          <w:szCs w:val="24"/>
          <w:lang w:eastAsia="en-GB"/>
        </w:rPr>
        <w:t xml:space="preserve"> </w:t>
      </w:r>
      <w:r w:rsidR="005E6638">
        <w:rPr>
          <w:rFonts w:ascii="Times New Roman" w:eastAsia="Times New Roman" w:hAnsi="Times New Roman" w:cs="Times New Roman"/>
          <w:sz w:val="24"/>
          <w:szCs w:val="24"/>
          <w:lang w:eastAsia="en-GB"/>
        </w:rPr>
        <w:fldChar w:fldCharType="begin" w:fldLock="1"/>
      </w:r>
      <w:r w:rsidR="00A05E55">
        <w:rPr>
          <w:rFonts w:ascii="Times New Roman" w:eastAsia="Times New Roman" w:hAnsi="Times New Roman" w:cs="Times New Roman"/>
          <w:sz w:val="24"/>
          <w:szCs w:val="24"/>
          <w:lang w:eastAsia="en-GB"/>
        </w:rPr>
        <w:instrText>ADDIN CSL_CITATION {"citationItems":[{"id":"ITEM-1","itemData":{"ISSN":"2302-6332","author":[{"dropping-particle":"","family":"Selvi","given":"Selvi","non-dropping-particle":"","parse-names":false,"suffix":""},{"dropping-particle":"","family":"Pakaya","given":"Abd Rahman","non-dropping-particle":"","parse-names":false,"suffix":""},{"dropping-particle":"","family":"Nahar","given":"Faiza Husnayeni","non-dropping-particle":"","parse-names":false,"suffix":""}],"container-title":"Jurnal Aplikasi Manajemen","id":"ITEM-1","issue":"3","issued":{"date-parts":[["2024"]]},"page":"909-919","title":"Management behavior: The role of financial literacy and financial knowledge of MSME actors","type":"article-journal","volume":"22"},"uris":["http://www.mendeley.com/documents/?uuid=6a901c00-6c34-4184-a66a-5e8a33eebb1b"]}],"mendeley":{"formattedCitation":"(Selvi et al., 2024)","plainTextFormattedCitation":"(Selvi et al., 2024)","previouslyFormattedCitation":"(Selvi et al., 2024)"},"properties":{"noteIndex":0},"schema":"https://github.com/citation-style-language/schema/raw/master/csl-citation.json"}</w:instrText>
      </w:r>
      <w:r w:rsidR="005E6638">
        <w:rPr>
          <w:rFonts w:ascii="Times New Roman" w:eastAsia="Times New Roman" w:hAnsi="Times New Roman" w:cs="Times New Roman"/>
          <w:sz w:val="24"/>
          <w:szCs w:val="24"/>
          <w:lang w:eastAsia="en-GB"/>
        </w:rPr>
        <w:fldChar w:fldCharType="separate"/>
      </w:r>
      <w:r w:rsidR="005E6638" w:rsidRPr="005E6638">
        <w:rPr>
          <w:rFonts w:ascii="Times New Roman" w:eastAsia="Times New Roman" w:hAnsi="Times New Roman" w:cs="Times New Roman"/>
          <w:noProof/>
          <w:sz w:val="24"/>
          <w:szCs w:val="24"/>
          <w:lang w:eastAsia="en-GB"/>
        </w:rPr>
        <w:t>(Selvi et al., 2024)</w:t>
      </w:r>
      <w:r w:rsidR="005E6638">
        <w:rPr>
          <w:rFonts w:ascii="Times New Roman" w:eastAsia="Times New Roman" w:hAnsi="Times New Roman" w:cs="Times New Roman"/>
          <w:sz w:val="24"/>
          <w:szCs w:val="24"/>
          <w:lang w:eastAsia="en-GB"/>
        </w:rPr>
        <w:fldChar w:fldCharType="end"/>
      </w:r>
      <w:r w:rsidRPr="00A62DAD">
        <w:rPr>
          <w:rFonts w:ascii="Times New Roman" w:eastAsia="Times New Roman" w:hAnsi="Times New Roman" w:cs="Times New Roman"/>
          <w:sz w:val="24"/>
          <w:szCs w:val="24"/>
          <w:lang w:eastAsia="en-GB"/>
        </w:rPr>
        <w:t>.</w:t>
      </w:r>
    </w:p>
    <w:p w14:paraId="0E7D847C" w14:textId="77777777" w:rsidR="003D3B82" w:rsidRDefault="003D3B82" w:rsidP="00A34F77">
      <w:pPr>
        <w:spacing w:line="360" w:lineRule="auto"/>
        <w:jc w:val="both"/>
        <w:rPr>
          <w:rFonts w:ascii="Times New Roman" w:hAnsi="Times New Roman" w:cs="Times New Roman"/>
          <w:sz w:val="24"/>
          <w:szCs w:val="24"/>
        </w:rPr>
      </w:pPr>
      <w:r w:rsidRPr="00A62DAD">
        <w:rPr>
          <w:rFonts w:ascii="Times New Roman" w:hAnsi="Times New Roman" w:cs="Times New Roman"/>
          <w:sz w:val="24"/>
          <w:szCs w:val="24"/>
        </w:rPr>
        <w:t>In Zimbabwe, Savings enable MSME owners to accumulate capital for business expansion and cushion against financial shocks. By cultivating a strong saving culture, businesses can reduce their dependence on external financing, improve cash flow stability, and enhance resilience during economic downturns (Henager &amp; Cude, 2019). The ability to set aside funds for future investment and unforeseen circumstances plays a critical role in ensuring business continuity and financial growth (Yakob et al., 2021). Many entrepreneurs fail to access beneficial financial products due to limited knowledge, ultimately affecting their growth and financial sustainability. Moreover, certain age groups, particularly the youth and the elderly, are more affected by this knowledge gap, further limiting business potential in these demographics. Addressing saving knowledge disparities is critical in empowering MSMEs to leverage financial opportunities for long-term viability.</w:t>
      </w:r>
    </w:p>
    <w:p w14:paraId="6C12DE0F" w14:textId="207785BF" w:rsidR="005E6638" w:rsidRPr="00A05E55" w:rsidRDefault="00474DCF" w:rsidP="00A05E55">
      <w:pPr>
        <w:spacing w:line="480" w:lineRule="auto"/>
        <w:jc w:val="both"/>
        <w:rPr>
          <w:rFonts w:ascii="Times" w:hAnsi="Times" w:cs="Times"/>
          <w:sz w:val="24"/>
          <w:szCs w:val="24"/>
        </w:rPr>
      </w:pPr>
      <w:r>
        <w:rPr>
          <w:rFonts w:ascii="Times" w:hAnsi="Times" w:cs="Times"/>
          <w:sz w:val="24"/>
          <w:szCs w:val="24"/>
        </w:rPr>
        <w:t xml:space="preserve">In Kenya, </w:t>
      </w:r>
      <w:r w:rsidR="005E6638" w:rsidRPr="00290D45">
        <w:rPr>
          <w:rFonts w:ascii="Times" w:hAnsi="Times" w:cs="Times"/>
          <w:sz w:val="24"/>
          <w:szCs w:val="24"/>
        </w:rPr>
        <w:t>MSME managers and owners are often exposed to sophisticated financial products and services but may struggle to make informed financial decisions without adequate financial literacy</w:t>
      </w:r>
      <w:r w:rsidR="00A05E55">
        <w:rPr>
          <w:rFonts w:ascii="Times" w:hAnsi="Times" w:cs="Times"/>
          <w:sz w:val="24"/>
          <w:szCs w:val="24"/>
        </w:rPr>
        <w:t xml:space="preserve"> </w:t>
      </w:r>
      <w:r w:rsidR="00A05E55">
        <w:rPr>
          <w:rFonts w:ascii="Times" w:hAnsi="Times" w:cs="Times"/>
          <w:sz w:val="24"/>
          <w:szCs w:val="24"/>
        </w:rPr>
        <w:fldChar w:fldCharType="begin" w:fldLock="1"/>
      </w:r>
      <w:r w:rsidR="00A05E55">
        <w:rPr>
          <w:rFonts w:ascii="Times" w:hAnsi="Times" w:cs="Times"/>
          <w:sz w:val="24"/>
          <w:szCs w:val="24"/>
        </w:rPr>
        <w:instrText>ADDIN CSL_CITATION {"citationItems":[{"id":"ITEM-1","itemData":{"ISSN":"2958-2326","author":[{"dropping-particle":"","family":"Njoki","given":"David Muiruri","non-dropping-particle":"","parse-names":false,"suffix":""}],"container-title":"African Journal of Commercial Studies","id":"ITEM-1","issue":"1","issued":{"date-parts":[["2024"]]},"page":"31-37","title":"Effect of financial literacy on the growth of micro and small enterprises in Kenya","type":"article-journal","volume":"4"},"uris":["http://www.mendeley.com/documents/?uuid=edd7462d-278c-4102-bc32-b6194c567061"]}],"mendeley":{"formattedCitation":"(Njoki, 2024)","plainTextFormattedCitation":"(Njoki, 2024)","previouslyFormattedCitation":"(Njoki, 2024)"},"properties":{"noteIndex":0},"schema":"https://github.com/citation-style-language/schema/raw/master/csl-citation.json"}</w:instrText>
      </w:r>
      <w:r w:rsidR="00A05E55">
        <w:rPr>
          <w:rFonts w:ascii="Times" w:hAnsi="Times" w:cs="Times"/>
          <w:sz w:val="24"/>
          <w:szCs w:val="24"/>
        </w:rPr>
        <w:fldChar w:fldCharType="separate"/>
      </w:r>
      <w:r w:rsidR="00A05E55" w:rsidRPr="00A05E55">
        <w:rPr>
          <w:rFonts w:ascii="Times" w:hAnsi="Times" w:cs="Times"/>
          <w:noProof/>
          <w:sz w:val="24"/>
          <w:szCs w:val="24"/>
        </w:rPr>
        <w:t>(Njoki, 2024)</w:t>
      </w:r>
      <w:r w:rsidR="00A05E55">
        <w:rPr>
          <w:rFonts w:ascii="Times" w:hAnsi="Times" w:cs="Times"/>
          <w:sz w:val="24"/>
          <w:szCs w:val="24"/>
        </w:rPr>
        <w:fldChar w:fldCharType="end"/>
      </w:r>
      <w:r w:rsidR="005E6638" w:rsidRPr="00290D45">
        <w:rPr>
          <w:rFonts w:ascii="Times" w:hAnsi="Times" w:cs="Times"/>
          <w:sz w:val="24"/>
          <w:szCs w:val="24"/>
        </w:rPr>
        <w:t xml:space="preserve">. A lack of financial acumen can lead to financial instability, business failure, and missed </w:t>
      </w:r>
      <w:r w:rsidR="005E6638">
        <w:rPr>
          <w:rFonts w:ascii="Times" w:hAnsi="Times" w:cs="Times"/>
          <w:sz w:val="24"/>
          <w:szCs w:val="24"/>
        </w:rPr>
        <w:t>growth opportunities</w:t>
      </w:r>
      <w:r w:rsidR="005E6638" w:rsidRPr="00290D45">
        <w:rPr>
          <w:rFonts w:ascii="Times" w:hAnsi="Times" w:cs="Times"/>
          <w:sz w:val="24"/>
          <w:szCs w:val="24"/>
        </w:rPr>
        <w:t>. Successful businesses require financially literate managers who can handle complex financial instruments and make strategic decisions to enhance profitability and long-term viability</w:t>
      </w:r>
      <w:r w:rsidR="00A05E55">
        <w:rPr>
          <w:rFonts w:ascii="Times" w:hAnsi="Times" w:cs="Times"/>
          <w:sz w:val="24"/>
          <w:szCs w:val="24"/>
        </w:rPr>
        <w:t xml:space="preserve"> </w:t>
      </w:r>
      <w:r w:rsidR="00A05E55">
        <w:rPr>
          <w:rFonts w:ascii="Times" w:hAnsi="Times" w:cs="Times"/>
          <w:sz w:val="24"/>
          <w:szCs w:val="24"/>
        </w:rPr>
        <w:fldChar w:fldCharType="begin" w:fldLock="1"/>
      </w:r>
      <w:r w:rsidR="00A05E55">
        <w:rPr>
          <w:rFonts w:ascii="Times" w:hAnsi="Times" w:cs="Times"/>
          <w:sz w:val="24"/>
          <w:szCs w:val="24"/>
        </w:rPr>
        <w:instrText>ADDIN CSL_CITATION {"citationItems":[{"id":"ITEM-1","itemData":{"ISSN":"2373-1761","author":[{"dropping-particle":"","family":"Musau","given":"Salome M","non-dropping-particle":"","parse-names":false,"suffix":""},{"dropping-particle":"","family":"Muathe","given":"Stephen","non-dropping-particle":"","parse-names":false,"suffix":""},{"dropping-particle":"","family":"Mwangi","given":"Lucy W","non-dropping-particle":"","parse-names":false,"suffix":""}],"container-title":"The Journal of Entrepreneurial Finance (JEF)","id":"ITEM-1","issue":"2","issued":{"date-parts":[["2022"]]},"page":"1-25","publisher":"Malibu, CA and Los Angeles, CA: Pepperdine University, Graziadio School of …","title":"Financial literacy and consumer protection: A road map to digital financial access by SMEs in Kenya","type":"article-journal","volume":"24"},"uris":["http://www.mendeley.com/documents/?uuid=627fbe63-6bf6-4241-bd87-dc3ba5392d1e"]}],"mendeley":{"formattedCitation":"(Musau et al., 2022)","plainTextFormattedCitation":"(Musau et al., 2022)","previouslyFormattedCitation":"(Musau et al., 2022)"},"properties":{"noteIndex":0},"schema":"https://github.com/citation-style-language/schema/raw/master/csl-citation.json"}</w:instrText>
      </w:r>
      <w:r w:rsidR="00A05E55">
        <w:rPr>
          <w:rFonts w:ascii="Times" w:hAnsi="Times" w:cs="Times"/>
          <w:sz w:val="24"/>
          <w:szCs w:val="24"/>
        </w:rPr>
        <w:fldChar w:fldCharType="separate"/>
      </w:r>
      <w:r w:rsidR="00A05E55" w:rsidRPr="00A05E55">
        <w:rPr>
          <w:rFonts w:ascii="Times" w:hAnsi="Times" w:cs="Times"/>
          <w:noProof/>
          <w:sz w:val="24"/>
          <w:szCs w:val="24"/>
        </w:rPr>
        <w:t>(Musau et al., 2022)</w:t>
      </w:r>
      <w:r w:rsidR="00A05E55">
        <w:rPr>
          <w:rFonts w:ascii="Times" w:hAnsi="Times" w:cs="Times"/>
          <w:sz w:val="24"/>
          <w:szCs w:val="24"/>
        </w:rPr>
        <w:fldChar w:fldCharType="end"/>
      </w:r>
      <w:r w:rsidR="005E6638" w:rsidRPr="00290D45">
        <w:rPr>
          <w:rFonts w:ascii="Times" w:hAnsi="Times" w:cs="Times"/>
          <w:sz w:val="24"/>
          <w:szCs w:val="24"/>
        </w:rPr>
        <w:t xml:space="preserve">. The absence of financial </w:t>
      </w:r>
      <w:r w:rsidR="005E6638" w:rsidRPr="00290D45">
        <w:rPr>
          <w:rFonts w:ascii="Times" w:hAnsi="Times" w:cs="Times"/>
          <w:sz w:val="24"/>
          <w:szCs w:val="24"/>
        </w:rPr>
        <w:lastRenderedPageBreak/>
        <w:t xml:space="preserve">literacy leads to poor financial planning, excessive debt burdens, and inadequate savings, ultimately impacting the financial stability of MSMEs </w:t>
      </w:r>
      <w:r w:rsidR="00A05E55">
        <w:rPr>
          <w:rFonts w:ascii="Times" w:hAnsi="Times" w:cs="Times"/>
          <w:sz w:val="24"/>
          <w:szCs w:val="24"/>
        </w:rPr>
        <w:fldChar w:fldCharType="begin" w:fldLock="1"/>
      </w:r>
      <w:r w:rsidR="00A05E55">
        <w:rPr>
          <w:rFonts w:ascii="Times" w:hAnsi="Times" w:cs="Times"/>
          <w:sz w:val="24"/>
          <w:szCs w:val="24"/>
        </w:rPr>
        <w:instrText>ADDIN CSL_CITATION {"citationItems":[{"id":"ITEM-1","itemData":{"ISSN":"2147-4478","author":[{"dropping-particle":"","family":"Molosiwa","given":"Tshepang","non-dropping-particle":"","parse-names":false,"suffix":""},{"dropping-particle":"","family":"Molosiwa","given":"Jacob","non-dropping-particle":"","parse-names":false,"suffix":""}],"container-title":"International Journal of Research in Business and Social Science","id":"ITEM-1","issue":"3","issued":{"date-parts":[["2025"]]},"page":"320-332","publisher":"Society for the Study of Business and Finance","title":"The impact of financial literacy on the performance of Small and Medium-sized Enterprises (SMEs): A review of literature","type":"article-journal","volume":"14"},"uris":["http://www.mendeley.com/documents/?uuid=105018f7-f06c-4fc0-954b-07b855a2c213"]}],"mendeley":{"formattedCitation":"(Molosiwa &amp; Molosiwa, 2025)","plainTextFormattedCitation":"(Molosiwa &amp; Molosiwa, 2025)","previouslyFormattedCitation":"(Molosiwa &amp; Molosiwa, 2025)"},"properties":{"noteIndex":0},"schema":"https://github.com/citation-style-language/schema/raw/master/csl-citation.json"}</w:instrText>
      </w:r>
      <w:r w:rsidR="00A05E55">
        <w:rPr>
          <w:rFonts w:ascii="Times" w:hAnsi="Times" w:cs="Times"/>
          <w:sz w:val="24"/>
          <w:szCs w:val="24"/>
        </w:rPr>
        <w:fldChar w:fldCharType="separate"/>
      </w:r>
      <w:r w:rsidR="00A05E55" w:rsidRPr="00A05E55">
        <w:rPr>
          <w:rFonts w:ascii="Times" w:hAnsi="Times" w:cs="Times"/>
          <w:noProof/>
          <w:sz w:val="24"/>
          <w:szCs w:val="24"/>
        </w:rPr>
        <w:t>(Molosiwa &amp; Molosiwa, 2025)</w:t>
      </w:r>
      <w:r w:rsidR="00A05E55">
        <w:rPr>
          <w:rFonts w:ascii="Times" w:hAnsi="Times" w:cs="Times"/>
          <w:sz w:val="24"/>
          <w:szCs w:val="24"/>
        </w:rPr>
        <w:fldChar w:fldCharType="end"/>
      </w:r>
      <w:r w:rsidR="005E6638" w:rsidRPr="00290D45">
        <w:rPr>
          <w:rFonts w:ascii="Times" w:hAnsi="Times" w:cs="Times"/>
          <w:sz w:val="24"/>
          <w:szCs w:val="24"/>
        </w:rPr>
        <w:t>. Addressing the financial literacy gap among MSMEs is essential for their financial viability and overall economic contribution. This study aim</w:t>
      </w:r>
      <w:r w:rsidR="005E6638">
        <w:rPr>
          <w:rFonts w:ascii="Times" w:hAnsi="Times" w:cs="Times"/>
          <w:sz w:val="24"/>
          <w:szCs w:val="24"/>
        </w:rPr>
        <w:t>ed</w:t>
      </w:r>
      <w:r w:rsidR="005E6638" w:rsidRPr="00290D45">
        <w:rPr>
          <w:rFonts w:ascii="Times" w:hAnsi="Times" w:cs="Times"/>
          <w:sz w:val="24"/>
          <w:szCs w:val="24"/>
        </w:rPr>
        <w:t xml:space="preserve"> to assess the level of financial literacy among MSMEs in Kitui County, examine its impact on financial viability, and identify challenges in financial literacy </w:t>
      </w:r>
      <w:r w:rsidR="005E6638">
        <w:rPr>
          <w:rFonts w:ascii="Times" w:hAnsi="Times" w:cs="Times"/>
          <w:sz w:val="24"/>
          <w:szCs w:val="24"/>
        </w:rPr>
        <w:t>Skills</w:t>
      </w:r>
      <w:r w:rsidR="005E6638" w:rsidRPr="00290D45">
        <w:rPr>
          <w:rFonts w:ascii="Times" w:hAnsi="Times" w:cs="Times"/>
          <w:sz w:val="24"/>
          <w:szCs w:val="24"/>
        </w:rPr>
        <w:t xml:space="preserve">. </w:t>
      </w:r>
    </w:p>
    <w:p w14:paraId="477D77B3" w14:textId="59793D98" w:rsidR="00047662" w:rsidRPr="008C5E0B" w:rsidRDefault="008D2A36" w:rsidP="00A34F77">
      <w:pPr>
        <w:spacing w:line="360" w:lineRule="auto"/>
        <w:jc w:val="both"/>
        <w:rPr>
          <w:rFonts w:ascii="Times New Roman" w:hAnsi="Times New Roman" w:cs="Times New Roman"/>
          <w:b/>
          <w:bCs/>
          <w:sz w:val="24"/>
          <w:szCs w:val="24"/>
        </w:rPr>
      </w:pPr>
      <w:r w:rsidRPr="008C5E0B">
        <w:rPr>
          <w:rFonts w:ascii="Times New Roman" w:hAnsi="Times New Roman" w:cs="Times New Roman"/>
          <w:b/>
          <w:bCs/>
          <w:sz w:val="24"/>
          <w:szCs w:val="24"/>
        </w:rPr>
        <w:t>PROBLEM STATEMENT</w:t>
      </w:r>
    </w:p>
    <w:p w14:paraId="53CBA633" w14:textId="7BDD81FC" w:rsidR="00047662" w:rsidRPr="00290D45" w:rsidRDefault="00047662" w:rsidP="00A34F77">
      <w:pPr>
        <w:spacing w:line="360" w:lineRule="auto"/>
        <w:jc w:val="both"/>
        <w:rPr>
          <w:rFonts w:ascii="Times" w:hAnsi="Times" w:cs="Times"/>
          <w:sz w:val="24"/>
          <w:szCs w:val="24"/>
        </w:rPr>
      </w:pPr>
      <w:r w:rsidRPr="00290D45">
        <w:rPr>
          <w:rFonts w:ascii="Times" w:hAnsi="Times" w:cs="Times"/>
          <w:sz w:val="24"/>
          <w:szCs w:val="24"/>
        </w:rPr>
        <w:t>The financial viability of Micro, Small, and Medium Enterprises (MSMEs) is crucial for their economic growth and overall economic stability</w:t>
      </w:r>
      <w:r w:rsidR="00A05E55">
        <w:rPr>
          <w:rFonts w:ascii="Times" w:hAnsi="Times" w:cs="Times"/>
          <w:sz w:val="24"/>
          <w:szCs w:val="24"/>
        </w:rPr>
        <w:t xml:space="preserve"> </w:t>
      </w:r>
      <w:r w:rsidR="00A05E55">
        <w:rPr>
          <w:rFonts w:ascii="Times" w:hAnsi="Times" w:cs="Times"/>
          <w:sz w:val="24"/>
          <w:szCs w:val="24"/>
        </w:rPr>
        <w:fldChar w:fldCharType="begin" w:fldLock="1"/>
      </w:r>
      <w:r w:rsidR="00A05E55">
        <w:rPr>
          <w:rFonts w:ascii="Times" w:hAnsi="Times" w:cs="Times"/>
          <w:sz w:val="24"/>
          <w:szCs w:val="24"/>
        </w:rPr>
        <w:instrText>ADDIN CSL_CITATION {"citationItems":[{"id":"ITEM-1","itemData":{"author":[{"dropping-particle":"","family":"Sinha","given":"Kunwar Jee","non-dropping-particle":"","parse-names":false,"suffix":""},{"dropping-particle":"","family":"Sinha","given":"Shweta","non-dropping-particle":"","parse-names":false,"suffix":""},{"dropping-particle":"","family":"Sinha","given":"Brajesh Jee","non-dropping-particle":"","parse-names":false,"suffix":""}],"container-title":"International Journal For Multidisciplinary Research","id":"ITEM-1","issue":"3","issued":{"date-parts":[["2024"]]},"page":"20824","title":"Micro, Small, and Medium-Sized Enterprises (MSMEs): The significant role and challenges in Indonesia’s economy","type":"article-journal","volume":"6"},"uris":["http://www.mendeley.com/documents/?uuid=a5741801-8f59-4278-90c1-00adf15dfa80"]}],"mendeley":{"formattedCitation":"(Sinha et al., 2024)","plainTextFormattedCitation":"(Sinha et al., 2024)","previouslyFormattedCitation":"(Sinha et al., 2024)"},"properties":{"noteIndex":0},"schema":"https://github.com/citation-style-language/schema/raw/master/csl-citation.json"}</w:instrText>
      </w:r>
      <w:r w:rsidR="00A05E55">
        <w:rPr>
          <w:rFonts w:ascii="Times" w:hAnsi="Times" w:cs="Times"/>
          <w:sz w:val="24"/>
          <w:szCs w:val="24"/>
        </w:rPr>
        <w:fldChar w:fldCharType="separate"/>
      </w:r>
      <w:r w:rsidR="00A05E55" w:rsidRPr="00A05E55">
        <w:rPr>
          <w:rFonts w:ascii="Times" w:hAnsi="Times" w:cs="Times"/>
          <w:noProof/>
          <w:sz w:val="24"/>
          <w:szCs w:val="24"/>
        </w:rPr>
        <w:t>(Sinha et al., 2024)</w:t>
      </w:r>
      <w:r w:rsidR="00A05E55">
        <w:rPr>
          <w:rFonts w:ascii="Times" w:hAnsi="Times" w:cs="Times"/>
          <w:sz w:val="24"/>
          <w:szCs w:val="24"/>
        </w:rPr>
        <w:fldChar w:fldCharType="end"/>
      </w:r>
      <w:r w:rsidRPr="00290D45">
        <w:rPr>
          <w:rFonts w:ascii="Times" w:hAnsi="Times" w:cs="Times"/>
          <w:sz w:val="24"/>
          <w:szCs w:val="24"/>
        </w:rPr>
        <w:t xml:space="preserve">. Despite the availability of financial institutions providing access to financial resources and services, many MSMEs struggle to sustain operations, with some failing to pay employees or meet financial obligations. Reduced cash flows and weak financial management contribute to their poor financial viability </w:t>
      </w:r>
      <w:r w:rsidR="00A05E55">
        <w:rPr>
          <w:rFonts w:ascii="Times" w:hAnsi="Times" w:cs="Times"/>
          <w:sz w:val="24"/>
          <w:szCs w:val="24"/>
        </w:rPr>
        <w:fldChar w:fldCharType="begin" w:fldLock="1"/>
      </w:r>
      <w:r w:rsidR="009D5660">
        <w:rPr>
          <w:rFonts w:ascii="Times" w:hAnsi="Times" w:cs="Times"/>
          <w:sz w:val="24"/>
          <w:szCs w:val="24"/>
        </w:rPr>
        <w:instrText>ADDIN CSL_CITATION {"citationItems":[{"id":"ITEM-1","itemData":{"author":[{"dropping-particle":"","family":"Association","given":"Kenya Bankers","non-dropping-particle":"","parse-names":false,"suffix":""}],"id":"ITEM-1","issue":"August","issued":{"date-parts":[["2023"]]},"title":"STATE OF THE BANKING INDUSTRY REPORT 2023 STATE OF THE BANKING","type":"article-journal"},"uris":["http://www.mendeley.com/documents/?uuid=822387e8-ea51-4d52-b95d-30d5a283454e"]}],"mendeley":{"formattedCitation":"(Association, 2023)","manualFormatting":"(Kenya Bankers' Association, 2023)","plainTextFormattedCitation":"(Association, 2023)","previouslyFormattedCitation":"(Association, 2023)"},"properties":{"noteIndex":0},"schema":"https://github.com/citation-style-language/schema/raw/master/csl-citation.json"}</w:instrText>
      </w:r>
      <w:r w:rsidR="00A05E55">
        <w:rPr>
          <w:rFonts w:ascii="Times" w:hAnsi="Times" w:cs="Times"/>
          <w:sz w:val="24"/>
          <w:szCs w:val="24"/>
        </w:rPr>
        <w:fldChar w:fldCharType="separate"/>
      </w:r>
      <w:r w:rsidR="00A05E55" w:rsidRPr="00A05E55">
        <w:rPr>
          <w:rFonts w:ascii="Times" w:hAnsi="Times" w:cs="Times"/>
          <w:noProof/>
          <w:sz w:val="24"/>
          <w:szCs w:val="24"/>
        </w:rPr>
        <w:t>(</w:t>
      </w:r>
      <w:r w:rsidR="00A05E55">
        <w:rPr>
          <w:rFonts w:ascii="Times" w:hAnsi="Times" w:cs="Times"/>
          <w:noProof/>
          <w:sz w:val="24"/>
          <w:szCs w:val="24"/>
        </w:rPr>
        <w:t xml:space="preserve">Kenya Bankers' </w:t>
      </w:r>
      <w:r w:rsidR="00A05E55" w:rsidRPr="00A05E55">
        <w:rPr>
          <w:rFonts w:ascii="Times" w:hAnsi="Times" w:cs="Times"/>
          <w:noProof/>
          <w:sz w:val="24"/>
          <w:szCs w:val="24"/>
        </w:rPr>
        <w:t>Association, 2023)</w:t>
      </w:r>
      <w:r w:rsidR="00A05E55">
        <w:rPr>
          <w:rFonts w:ascii="Times" w:hAnsi="Times" w:cs="Times"/>
          <w:sz w:val="24"/>
          <w:szCs w:val="24"/>
        </w:rPr>
        <w:fldChar w:fldCharType="end"/>
      </w:r>
      <w:r w:rsidRPr="00290D45">
        <w:rPr>
          <w:rFonts w:ascii="Times" w:hAnsi="Times" w:cs="Times"/>
          <w:sz w:val="24"/>
          <w:szCs w:val="24"/>
        </w:rPr>
        <w:t>. Additionally, MSMEs face significant challenges in accessing credit, both formal and informal, due to difficulties in obtaining required documentation and weak financial positions, further highlighting their financial instability</w:t>
      </w:r>
      <w:r w:rsidR="009D5660">
        <w:rPr>
          <w:rFonts w:ascii="Times" w:hAnsi="Times" w:cs="Times"/>
          <w:sz w:val="24"/>
          <w:szCs w:val="24"/>
        </w:rPr>
        <w:t xml:space="preserve"> </w:t>
      </w:r>
      <w:r w:rsidR="009D5660">
        <w:rPr>
          <w:rFonts w:ascii="Times" w:hAnsi="Times" w:cs="Times"/>
          <w:sz w:val="24"/>
          <w:szCs w:val="24"/>
        </w:rPr>
        <w:fldChar w:fldCharType="begin" w:fldLock="1"/>
      </w:r>
      <w:r w:rsidR="009D5660">
        <w:rPr>
          <w:rFonts w:ascii="Times" w:hAnsi="Times" w:cs="Times"/>
          <w:sz w:val="24"/>
          <w:szCs w:val="24"/>
        </w:rPr>
        <w:instrText>ADDIN CSL_CITATION {"citationItems":[{"id":"ITEM-1","itemData":{"author":[{"dropping-particle":"","family":"Chibueze","given":"Thelma","non-dropping-particle":"","parse-names":false,"suffix":""},{"dropping-particle":"","family":"Taiwo Adeshina","given":"Linda Uzoamaka Christopher","non-dropping-particle":"","parse-names":false,"suffix":""},{"dropping-particle":"","family":"Ewubajo","given":"Stephanie Dolapo","non-dropping-particle":"","parse-names":false,"suffix":""},{"dropping-particle":"","family":"Ebere","given":"Lisa","non-dropping-particle":"","parse-names":false,"suffix":""}],"container-title":"International Journal of Financial Management and Economics","id":"ITEM-1","issue":"2","issued":{"date-parts":[["2025"]]},"page":"12","title":"Access to credit and financial inclusion of MSMEs in sub-Saharan Africa: Challenges and opportunities","type":"article-journal","volume":"8"},"uris":["http://www.mendeley.com/documents/?uuid=a8a52b59-1b00-403f-85c3-4e89c7ddb75e"]}],"mendeley":{"formattedCitation":"(Chibueze et al., 2025)","plainTextFormattedCitation":"(Chibueze et al., 2025)","previouslyFormattedCitation":"(Chibueze et al., 2025)"},"properties":{"noteIndex":0},"schema":"https://github.com/citation-style-language/schema/raw/master/csl-citation.json"}</w:instrText>
      </w:r>
      <w:r w:rsidR="009D5660">
        <w:rPr>
          <w:rFonts w:ascii="Times" w:hAnsi="Times" w:cs="Times"/>
          <w:sz w:val="24"/>
          <w:szCs w:val="24"/>
        </w:rPr>
        <w:fldChar w:fldCharType="separate"/>
      </w:r>
      <w:r w:rsidR="009D5660" w:rsidRPr="009D5660">
        <w:rPr>
          <w:rFonts w:ascii="Times" w:hAnsi="Times" w:cs="Times"/>
          <w:noProof/>
          <w:sz w:val="24"/>
          <w:szCs w:val="24"/>
        </w:rPr>
        <w:t>(Chibueze et al., 2025)</w:t>
      </w:r>
      <w:r w:rsidR="009D5660">
        <w:rPr>
          <w:rFonts w:ascii="Times" w:hAnsi="Times" w:cs="Times"/>
          <w:sz w:val="24"/>
          <w:szCs w:val="24"/>
        </w:rPr>
        <w:fldChar w:fldCharType="end"/>
      </w:r>
      <w:r w:rsidRPr="00290D45">
        <w:rPr>
          <w:rFonts w:ascii="Times" w:hAnsi="Times" w:cs="Times"/>
          <w:sz w:val="24"/>
          <w:szCs w:val="24"/>
        </w:rPr>
        <w:t>.</w:t>
      </w:r>
    </w:p>
    <w:p w14:paraId="46B3E5D8" w14:textId="3E35CE3A" w:rsidR="00047662" w:rsidRPr="00290D45" w:rsidRDefault="00047662" w:rsidP="00A34F77">
      <w:pPr>
        <w:spacing w:line="360" w:lineRule="auto"/>
        <w:jc w:val="both"/>
        <w:rPr>
          <w:rFonts w:ascii="Times" w:hAnsi="Times" w:cs="Times"/>
          <w:sz w:val="24"/>
          <w:szCs w:val="24"/>
        </w:rPr>
      </w:pPr>
      <w:r w:rsidRPr="00290D45">
        <w:rPr>
          <w:rFonts w:ascii="Times" w:hAnsi="Times" w:cs="Times"/>
          <w:sz w:val="24"/>
          <w:szCs w:val="24"/>
        </w:rPr>
        <w:t>Financial literacy plays a critical role in determining the financial viability of MSMEs. Studies indicate that while many enterprises have previously operated savings accounts, a significant portion still lacks structured financial planning</w:t>
      </w:r>
      <w:r w:rsidR="009D5660">
        <w:rPr>
          <w:rFonts w:ascii="Times" w:hAnsi="Times" w:cs="Times"/>
          <w:sz w:val="24"/>
          <w:szCs w:val="24"/>
        </w:rPr>
        <w:t xml:space="preserve"> </w:t>
      </w:r>
      <w:r w:rsidR="009D5660">
        <w:rPr>
          <w:rFonts w:ascii="Times" w:hAnsi="Times" w:cs="Times"/>
          <w:sz w:val="24"/>
          <w:szCs w:val="24"/>
        </w:rPr>
        <w:fldChar w:fldCharType="begin" w:fldLock="1"/>
      </w:r>
      <w:r w:rsidR="00B46FB1">
        <w:rPr>
          <w:rFonts w:ascii="Times" w:hAnsi="Times" w:cs="Times"/>
          <w:sz w:val="24"/>
          <w:szCs w:val="24"/>
        </w:rPr>
        <w:instrText>ADDIN CSL_CITATION {"citationItems":[{"id":"ITEM-1","itemData":{"ISSN":"2745-6382","author":[{"dropping-particle":"","family":"Dwyanti","given":"Dwyanti","non-dropping-particle":"","parse-names":false,"suffix":""}],"container-title":"Journal of Applied Management and Business","id":"ITEM-1","issue":"1","issued":{"date-parts":[["2024"]]},"page":"1-6","title":"The importance of financial literacy in financial management in micro, small and medium enterprises (MSMEs)","type":"article-journal","volume":"5"},"uris":["http://www.mendeley.com/documents/?uuid=d65a11a3-9fbc-4f14-8f46-69e3e618d15a"]}],"mendeley":{"formattedCitation":"(Dwyanti, 2024)","plainTextFormattedCitation":"(Dwyanti, 2024)","previouslyFormattedCitation":"(Dwyanti, 2024)"},"properties":{"noteIndex":0},"schema":"https://github.com/citation-style-language/schema/raw/master/csl-citation.json"}</w:instrText>
      </w:r>
      <w:r w:rsidR="009D5660">
        <w:rPr>
          <w:rFonts w:ascii="Times" w:hAnsi="Times" w:cs="Times"/>
          <w:sz w:val="24"/>
          <w:szCs w:val="24"/>
        </w:rPr>
        <w:fldChar w:fldCharType="separate"/>
      </w:r>
      <w:r w:rsidR="009D5660" w:rsidRPr="009D5660">
        <w:rPr>
          <w:rFonts w:ascii="Times" w:hAnsi="Times" w:cs="Times"/>
          <w:noProof/>
          <w:sz w:val="24"/>
          <w:szCs w:val="24"/>
        </w:rPr>
        <w:t>(Dwyanti, 2024)</w:t>
      </w:r>
      <w:r w:rsidR="009D5660">
        <w:rPr>
          <w:rFonts w:ascii="Times" w:hAnsi="Times" w:cs="Times"/>
          <w:sz w:val="24"/>
          <w:szCs w:val="24"/>
        </w:rPr>
        <w:fldChar w:fldCharType="end"/>
      </w:r>
      <w:r w:rsidRPr="00290D45">
        <w:rPr>
          <w:rFonts w:ascii="Times" w:hAnsi="Times" w:cs="Times"/>
          <w:sz w:val="24"/>
          <w:szCs w:val="24"/>
        </w:rPr>
        <w:t>. Only 41% of enterprises prefer loan tenures of 1-3 years, while 31% opt for 3-5 years, and merely 10% prefer loans with over six-year maturity. These preferences reflect a limited understanding of long-term financial management and investment strategies, which can be attributed to inadequate financial literacy. Financial literacy encompasses key aspects such as budgeting, saving, investing, and debt management, which are essential for ensuring sound financial decision-making and business sustainability (KBA, 2020).</w:t>
      </w:r>
    </w:p>
    <w:p w14:paraId="7E8557D9" w14:textId="0DDD81CB" w:rsidR="00047662" w:rsidRPr="00290D45" w:rsidRDefault="00047662" w:rsidP="00A34F77">
      <w:pPr>
        <w:spacing w:line="360" w:lineRule="auto"/>
        <w:jc w:val="both"/>
        <w:rPr>
          <w:rFonts w:ascii="Times" w:hAnsi="Times" w:cs="Times"/>
          <w:sz w:val="24"/>
          <w:szCs w:val="24"/>
        </w:rPr>
      </w:pPr>
      <w:r w:rsidRPr="00290D45">
        <w:rPr>
          <w:rFonts w:ascii="Times" w:hAnsi="Times" w:cs="Times"/>
          <w:sz w:val="24"/>
          <w:szCs w:val="24"/>
        </w:rPr>
        <w:t xml:space="preserve">MSME managers and owners are often exposed to sophisticated financial products and services but may struggle to make informed financial decisions without adequate financial literacy. A lack of financial acumen can lead to financial instability, business failure, and missed </w:t>
      </w:r>
      <w:r w:rsidR="00032184">
        <w:rPr>
          <w:rFonts w:ascii="Times" w:hAnsi="Times" w:cs="Times"/>
          <w:sz w:val="24"/>
          <w:szCs w:val="24"/>
        </w:rPr>
        <w:t>growth opportunities</w:t>
      </w:r>
      <w:r w:rsidRPr="00290D45">
        <w:rPr>
          <w:rFonts w:ascii="Times" w:hAnsi="Times" w:cs="Times"/>
          <w:sz w:val="24"/>
          <w:szCs w:val="24"/>
        </w:rPr>
        <w:t>. Successful businesses require financially literate managers who can handle complex financial instruments and make strategic decisions to enhance profitability and long-</w:t>
      </w:r>
      <w:r w:rsidRPr="00290D45">
        <w:rPr>
          <w:rFonts w:ascii="Times" w:hAnsi="Times" w:cs="Times"/>
          <w:sz w:val="24"/>
          <w:szCs w:val="24"/>
        </w:rPr>
        <w:lastRenderedPageBreak/>
        <w:t>term viability. The absence of financial literacy leads to poor financial planning, excessive debt burdens, and inadequate savings, ultimately impacting the financial stability of MSMEs (Muli, 2021). Addressing the financial literacy gap among MSMEs is essential for their financial viability and overall economic contribution. This study aim</w:t>
      </w:r>
      <w:r w:rsidR="00A151C2">
        <w:rPr>
          <w:rFonts w:ascii="Times" w:hAnsi="Times" w:cs="Times"/>
          <w:sz w:val="24"/>
          <w:szCs w:val="24"/>
        </w:rPr>
        <w:t>ed</w:t>
      </w:r>
      <w:r w:rsidRPr="00290D45">
        <w:rPr>
          <w:rFonts w:ascii="Times" w:hAnsi="Times" w:cs="Times"/>
          <w:sz w:val="24"/>
          <w:szCs w:val="24"/>
        </w:rPr>
        <w:t xml:space="preserve"> to assess the level of financial literacy among MSMEs in Kitui County, examine its impact on financial viability, and identify challenges in financial literacy </w:t>
      </w:r>
      <w:r>
        <w:rPr>
          <w:rFonts w:ascii="Times" w:hAnsi="Times" w:cs="Times"/>
          <w:sz w:val="24"/>
          <w:szCs w:val="24"/>
        </w:rPr>
        <w:t>Skills</w:t>
      </w:r>
      <w:r w:rsidRPr="00290D45">
        <w:rPr>
          <w:rFonts w:ascii="Times" w:hAnsi="Times" w:cs="Times"/>
          <w:sz w:val="24"/>
          <w:szCs w:val="24"/>
        </w:rPr>
        <w:t xml:space="preserve">. </w:t>
      </w:r>
    </w:p>
    <w:p w14:paraId="37E0761C" w14:textId="05C90870" w:rsidR="00047662" w:rsidRPr="000A7E40" w:rsidRDefault="008D2A36" w:rsidP="00A34F77">
      <w:pPr>
        <w:spacing w:line="360" w:lineRule="auto"/>
        <w:rPr>
          <w:rFonts w:ascii="Times" w:hAnsi="Times" w:cs="Times"/>
          <w:b/>
          <w:bCs/>
          <w:sz w:val="24"/>
          <w:szCs w:val="24"/>
        </w:rPr>
      </w:pPr>
      <w:bookmarkStart w:id="0" w:name="_Toc179812514"/>
      <w:bookmarkStart w:id="1" w:name="_Toc180113053"/>
      <w:bookmarkStart w:id="2" w:name="_Toc231854387"/>
      <w:r w:rsidRPr="000A7E40">
        <w:rPr>
          <w:rFonts w:ascii="Times" w:hAnsi="Times" w:cs="Times"/>
          <w:b/>
          <w:bCs/>
          <w:sz w:val="24"/>
          <w:szCs w:val="24"/>
        </w:rPr>
        <w:t>MAIN OBJECTIVE</w:t>
      </w:r>
      <w:bookmarkEnd w:id="0"/>
      <w:bookmarkEnd w:id="1"/>
      <w:bookmarkEnd w:id="2"/>
    </w:p>
    <w:p w14:paraId="17337458" w14:textId="61C06F6B" w:rsidR="00047662" w:rsidRPr="003D4C8A" w:rsidRDefault="00047662" w:rsidP="00A34F77">
      <w:pPr>
        <w:spacing w:line="360" w:lineRule="auto"/>
        <w:jc w:val="both"/>
        <w:rPr>
          <w:rFonts w:ascii="Times New Roman" w:hAnsi="Times New Roman" w:cs="Times New Roman"/>
          <w:sz w:val="24"/>
          <w:szCs w:val="24"/>
        </w:rPr>
      </w:pPr>
      <w:r w:rsidRPr="003D4C8A">
        <w:rPr>
          <w:rFonts w:ascii="Times New Roman" w:hAnsi="Times New Roman" w:cs="Times New Roman"/>
          <w:sz w:val="24"/>
          <w:szCs w:val="24"/>
        </w:rPr>
        <w:t xml:space="preserve">To determine the influence of savings literacy </w:t>
      </w:r>
      <w:r w:rsidR="00A151C2">
        <w:rPr>
          <w:rFonts w:ascii="Times New Roman" w:hAnsi="Times New Roman" w:cs="Times New Roman"/>
          <w:sz w:val="24"/>
          <w:szCs w:val="24"/>
        </w:rPr>
        <w:t xml:space="preserve">skills </w:t>
      </w:r>
      <w:r w:rsidRPr="003D4C8A">
        <w:rPr>
          <w:rFonts w:ascii="Times New Roman" w:hAnsi="Times New Roman" w:cs="Times New Roman"/>
          <w:sz w:val="24"/>
          <w:szCs w:val="24"/>
        </w:rPr>
        <w:t xml:space="preserve">on </w:t>
      </w:r>
      <w:r w:rsidR="0068134E">
        <w:rPr>
          <w:rFonts w:ascii="Times New Roman" w:hAnsi="Times New Roman" w:cs="Times New Roman"/>
          <w:sz w:val="24"/>
          <w:szCs w:val="24"/>
        </w:rPr>
        <w:t xml:space="preserve">the </w:t>
      </w:r>
      <w:r w:rsidRPr="003D4C8A">
        <w:rPr>
          <w:rFonts w:ascii="Times New Roman" w:hAnsi="Times New Roman" w:cs="Times New Roman"/>
          <w:sz w:val="24"/>
          <w:szCs w:val="24"/>
        </w:rPr>
        <w:t>financial viability of Micro, Small and Medium Enterprises in Kitui County, Kenya.</w:t>
      </w:r>
    </w:p>
    <w:p w14:paraId="2B12F260" w14:textId="12E6BAF4" w:rsidR="00CE0A1B" w:rsidRPr="00B5540E" w:rsidRDefault="008D2A36" w:rsidP="00A34F77">
      <w:pPr>
        <w:spacing w:line="360" w:lineRule="auto"/>
        <w:rPr>
          <w:rFonts w:ascii="Times" w:hAnsi="Times" w:cs="Times"/>
          <w:b/>
          <w:bCs/>
          <w:sz w:val="24"/>
          <w:szCs w:val="24"/>
        </w:rPr>
      </w:pPr>
      <w:bookmarkStart w:id="3" w:name="_Toc179812515"/>
      <w:bookmarkStart w:id="4" w:name="_Toc180113054"/>
      <w:bookmarkStart w:id="5" w:name="_Toc231854388"/>
      <w:r w:rsidRPr="00B5540E">
        <w:rPr>
          <w:rFonts w:ascii="Times" w:hAnsi="Times" w:cs="Times"/>
          <w:b/>
          <w:bCs/>
          <w:sz w:val="24"/>
          <w:szCs w:val="24"/>
        </w:rPr>
        <w:t>RESEARCH HYPOTHES</w:t>
      </w:r>
      <w:r>
        <w:rPr>
          <w:rFonts w:ascii="Times" w:hAnsi="Times" w:cs="Times"/>
          <w:b/>
          <w:bCs/>
          <w:sz w:val="24"/>
          <w:szCs w:val="24"/>
        </w:rPr>
        <w:t>I</w:t>
      </w:r>
      <w:r w:rsidRPr="00B5540E">
        <w:rPr>
          <w:rFonts w:ascii="Times" w:hAnsi="Times" w:cs="Times"/>
          <w:b/>
          <w:bCs/>
          <w:sz w:val="24"/>
          <w:szCs w:val="24"/>
        </w:rPr>
        <w:t>S</w:t>
      </w:r>
      <w:bookmarkEnd w:id="3"/>
      <w:bookmarkEnd w:id="4"/>
      <w:bookmarkEnd w:id="5"/>
    </w:p>
    <w:p w14:paraId="10E911D0" w14:textId="62E658F6" w:rsidR="00CE0A1B" w:rsidRPr="00BC364E" w:rsidRDefault="00CE0A1B" w:rsidP="00A34F77">
      <w:pPr>
        <w:spacing w:line="360" w:lineRule="auto"/>
        <w:ind w:left="720" w:hanging="720"/>
        <w:jc w:val="both"/>
        <w:rPr>
          <w:rFonts w:ascii="Times New Roman" w:hAnsi="Times New Roman" w:cs="Times New Roman"/>
          <w:sz w:val="24"/>
          <w:szCs w:val="24"/>
        </w:rPr>
      </w:pPr>
      <w:r w:rsidRPr="00BC364E">
        <w:rPr>
          <w:rFonts w:ascii="Times New Roman" w:hAnsi="Times New Roman" w:cs="Times New Roman"/>
          <w:sz w:val="24"/>
          <w:szCs w:val="24"/>
        </w:rPr>
        <w:t>H</w:t>
      </w:r>
      <w:r w:rsidRPr="00BC364E">
        <w:rPr>
          <w:rFonts w:ascii="Times New Roman" w:hAnsi="Times New Roman" w:cs="Times New Roman"/>
          <w:sz w:val="24"/>
          <w:szCs w:val="24"/>
          <w:vertAlign w:val="subscript"/>
        </w:rPr>
        <w:t>01</w:t>
      </w:r>
      <w:r w:rsidRPr="00BC364E">
        <w:rPr>
          <w:rFonts w:ascii="Times New Roman" w:hAnsi="Times New Roman" w:cs="Times New Roman"/>
          <w:sz w:val="24"/>
          <w:szCs w:val="24"/>
        </w:rPr>
        <w:t>: There is no significant relationship between savings</w:t>
      </w:r>
      <w:r>
        <w:rPr>
          <w:rFonts w:ascii="Times New Roman" w:hAnsi="Times New Roman" w:cs="Times New Roman"/>
          <w:sz w:val="24"/>
          <w:szCs w:val="24"/>
        </w:rPr>
        <w:t xml:space="preserve"> literacy</w:t>
      </w:r>
      <w:r w:rsidRPr="00BC364E">
        <w:rPr>
          <w:rFonts w:ascii="Times New Roman" w:hAnsi="Times New Roman" w:cs="Times New Roman"/>
          <w:sz w:val="24"/>
          <w:szCs w:val="24"/>
        </w:rPr>
        <w:t xml:space="preserve"> </w:t>
      </w:r>
      <w:r w:rsidR="00FB3171">
        <w:rPr>
          <w:rFonts w:ascii="Times New Roman" w:hAnsi="Times New Roman" w:cs="Times New Roman"/>
          <w:sz w:val="24"/>
          <w:szCs w:val="24"/>
        </w:rPr>
        <w:t xml:space="preserve">on the </w:t>
      </w:r>
      <w:r w:rsidRPr="00BC364E">
        <w:rPr>
          <w:rFonts w:ascii="Times New Roman" w:hAnsi="Times New Roman" w:cs="Times New Roman"/>
          <w:sz w:val="24"/>
          <w:szCs w:val="24"/>
        </w:rPr>
        <w:t>financial viability of Micro, Small and Medium Enterprises in Kitui County, Kenya.</w:t>
      </w:r>
    </w:p>
    <w:p w14:paraId="296B3584" w14:textId="08A6D1FC" w:rsidR="006E240A" w:rsidRPr="00A633D6" w:rsidRDefault="008D2A36" w:rsidP="00A34F77">
      <w:pPr>
        <w:pStyle w:val="NormalWeb"/>
        <w:spacing w:line="360" w:lineRule="auto"/>
        <w:jc w:val="both"/>
        <w:rPr>
          <w:b/>
          <w:bCs/>
        </w:rPr>
      </w:pPr>
      <w:r w:rsidRPr="00A633D6">
        <w:rPr>
          <w:b/>
          <w:bCs/>
        </w:rPr>
        <w:t>THEORETICAL LITERATURE</w:t>
      </w:r>
    </w:p>
    <w:p w14:paraId="01E0D71B" w14:textId="293729CF" w:rsidR="00CE0A1B" w:rsidRPr="00C32453" w:rsidRDefault="008D2A36" w:rsidP="00A34F77">
      <w:pPr>
        <w:spacing w:line="360" w:lineRule="auto"/>
        <w:rPr>
          <w:rFonts w:ascii="Times" w:hAnsi="Times" w:cs="Times"/>
          <w:b/>
          <w:bCs/>
          <w:sz w:val="24"/>
          <w:szCs w:val="24"/>
        </w:rPr>
      </w:pPr>
      <w:bookmarkStart w:id="6" w:name="_Toc231854396"/>
      <w:r w:rsidRPr="00C32453">
        <w:rPr>
          <w:rFonts w:ascii="Times" w:hAnsi="Times" w:cs="Times"/>
          <w:b/>
          <w:bCs/>
          <w:sz w:val="24"/>
          <w:szCs w:val="24"/>
        </w:rPr>
        <w:t>RESOURCE-BASED VIEW THEORY</w:t>
      </w:r>
      <w:bookmarkEnd w:id="6"/>
    </w:p>
    <w:p w14:paraId="29A8D45E" w14:textId="77777777" w:rsidR="00CE0A1B" w:rsidRPr="007B2968" w:rsidRDefault="00CE0A1B" w:rsidP="00A34F77">
      <w:pPr>
        <w:spacing w:line="360" w:lineRule="auto"/>
        <w:jc w:val="both"/>
        <w:rPr>
          <w:rFonts w:ascii="Times" w:hAnsi="Times" w:cs="Times"/>
          <w:sz w:val="24"/>
          <w:szCs w:val="24"/>
        </w:rPr>
      </w:pPr>
      <w:r w:rsidRPr="007B2968">
        <w:rPr>
          <w:rFonts w:ascii="Times" w:hAnsi="Times" w:cs="Times"/>
          <w:sz w:val="24"/>
          <w:szCs w:val="24"/>
        </w:rPr>
        <w:t>The Resource-Based View (RBV) theory, introduced by Birger Wernerfelt in 1984 and further developed by Jay Barney in 1991, provides a robust framework for understanding how internal resources contribute to an organization's sustained competitive advantage. The theory posits that firms with valuable, rare, inimitable, and non-substitutable resources can achieve superior financial performance and long-term sustainability (Wernerfelt, 1984; Barney, 1991). In the context of Micro, Small, and Medium Enterprises (MSMEs), financial literacy is regarded as a critical internal resource that influences decision-making, risk management, and financial viability.</w:t>
      </w:r>
    </w:p>
    <w:p w14:paraId="4CE7DE69" w14:textId="77777777" w:rsidR="00CE0A1B" w:rsidRPr="007B2968" w:rsidRDefault="00CE0A1B" w:rsidP="00A34F77">
      <w:pPr>
        <w:spacing w:line="360" w:lineRule="auto"/>
        <w:jc w:val="both"/>
        <w:rPr>
          <w:rFonts w:ascii="Times" w:hAnsi="Times" w:cs="Times"/>
          <w:sz w:val="24"/>
          <w:szCs w:val="24"/>
        </w:rPr>
      </w:pPr>
      <w:r w:rsidRPr="007B2968">
        <w:rPr>
          <w:rFonts w:ascii="Times" w:hAnsi="Times" w:cs="Times"/>
          <w:sz w:val="24"/>
          <w:szCs w:val="24"/>
        </w:rPr>
        <w:t>Similarly, the Permanent Income Hypothesis (PIH), proposed by Milton Friedman in 1957, suggests that individuals and business owners base their consumption and savings decisions on their expected long-term income rather than their current earnings. This theory emphasizes the importance of financial planning and informed financial behaviour in ensuring long-term financial stability (Friedman, 1957). Entrepreneurs who possess strong financial literacy skills are better equipped to estimate their permanent income accurately, allowing them to make prudent decisions regarding savings, investments, and debt management.</w:t>
      </w:r>
    </w:p>
    <w:p w14:paraId="764C3ED4" w14:textId="77777777" w:rsidR="00CE0A1B" w:rsidRPr="007B2968" w:rsidRDefault="00CE0A1B" w:rsidP="00A34F77">
      <w:pPr>
        <w:spacing w:line="360" w:lineRule="auto"/>
        <w:jc w:val="both"/>
        <w:rPr>
          <w:rFonts w:ascii="Times" w:hAnsi="Times" w:cs="Times"/>
          <w:sz w:val="24"/>
          <w:szCs w:val="24"/>
        </w:rPr>
      </w:pPr>
      <w:r w:rsidRPr="007B2968">
        <w:rPr>
          <w:rFonts w:ascii="Times" w:hAnsi="Times" w:cs="Times"/>
          <w:sz w:val="24"/>
          <w:szCs w:val="24"/>
        </w:rPr>
        <w:lastRenderedPageBreak/>
        <w:t>When integrated, the RBV and PIH theories provide a comprehensive understanding of the role financial literacy plays in the financial viability of MSMEs. The RBV highlights financial literacy as a key internal capability that enhances business performance, while the PIH underscores the significance of financial foresight in ensuring stable consumption, savings, and investment patterns. Research indicates that MSMEs with higher financial literacy levels are better positioned to manage financial challenges, secure financing, and sustain long-term growth (</w:t>
      </w:r>
      <w:r>
        <w:rPr>
          <w:rFonts w:ascii="Times" w:hAnsi="Times" w:cs="Times"/>
          <w:sz w:val="24"/>
          <w:szCs w:val="24"/>
        </w:rPr>
        <w:t>Duran, 2024</w:t>
      </w:r>
      <w:r w:rsidRPr="007B2968">
        <w:rPr>
          <w:rFonts w:ascii="Times" w:hAnsi="Times" w:cs="Times"/>
          <w:sz w:val="24"/>
          <w:szCs w:val="24"/>
        </w:rPr>
        <w:t>).</w:t>
      </w:r>
    </w:p>
    <w:p w14:paraId="66133F4D" w14:textId="77777777" w:rsidR="00CE0A1B" w:rsidRPr="007B2968" w:rsidRDefault="00CE0A1B" w:rsidP="00A34F77">
      <w:pPr>
        <w:spacing w:line="360" w:lineRule="auto"/>
        <w:jc w:val="both"/>
        <w:rPr>
          <w:rFonts w:ascii="Times" w:hAnsi="Times" w:cs="Times"/>
          <w:sz w:val="24"/>
          <w:szCs w:val="24"/>
        </w:rPr>
      </w:pPr>
      <w:r w:rsidRPr="007B2968">
        <w:rPr>
          <w:rFonts w:ascii="Times" w:hAnsi="Times" w:cs="Times"/>
          <w:sz w:val="24"/>
          <w:szCs w:val="24"/>
        </w:rPr>
        <w:t>By leveraging insights from both theories, MSMEs can enhance their financial viability by improving financial literacy, making strategic financial decisions, and aligning resource allocation with long-term financial expectations. This integrated perspective provides valuable insights for policymakers, financial institutions, and educational bodies in designing targeted financial literacy programs that promote MSME growth and sustainability.</w:t>
      </w:r>
    </w:p>
    <w:p w14:paraId="5B0EDFE4" w14:textId="3969A56B" w:rsidR="00CE0A1B" w:rsidRPr="006470DF" w:rsidRDefault="008D2A36" w:rsidP="00A34F77">
      <w:pPr>
        <w:spacing w:line="360" w:lineRule="auto"/>
        <w:rPr>
          <w:rFonts w:ascii="Times" w:hAnsi="Times" w:cs="Times"/>
          <w:b/>
          <w:bCs/>
          <w:sz w:val="24"/>
          <w:szCs w:val="24"/>
        </w:rPr>
      </w:pPr>
      <w:r w:rsidRPr="006470DF">
        <w:rPr>
          <w:rFonts w:ascii="Times" w:hAnsi="Times" w:cs="Times"/>
          <w:b/>
          <w:bCs/>
          <w:sz w:val="24"/>
          <w:szCs w:val="24"/>
        </w:rPr>
        <w:t>EMPIRICAL LITERATURE</w:t>
      </w:r>
    </w:p>
    <w:p w14:paraId="64B00E69" w14:textId="02530CE4" w:rsidR="00CE0A1B" w:rsidRPr="00360E2F" w:rsidRDefault="00CE0A1B" w:rsidP="00A34F77">
      <w:pPr>
        <w:spacing w:line="360" w:lineRule="auto"/>
        <w:jc w:val="both"/>
        <w:rPr>
          <w:rFonts w:ascii="Times New Roman" w:hAnsi="Times New Roman" w:cs="Times New Roman"/>
          <w:b/>
          <w:bCs/>
          <w:sz w:val="24"/>
          <w:szCs w:val="24"/>
        </w:rPr>
      </w:pPr>
      <w:r w:rsidRPr="00360E2F">
        <w:rPr>
          <w:rFonts w:ascii="Times New Roman" w:hAnsi="Times New Roman" w:cs="Times New Roman"/>
          <w:sz w:val="24"/>
          <w:szCs w:val="24"/>
        </w:rPr>
        <w:t>In Malaysia</w:t>
      </w:r>
      <w:r w:rsidR="00B46FB1">
        <w:rPr>
          <w:rFonts w:ascii="Times New Roman" w:hAnsi="Times New Roman" w:cs="Times New Roman"/>
          <w:sz w:val="24"/>
          <w:szCs w:val="24"/>
        </w:rPr>
        <w:t xml:space="preserve">, </w:t>
      </w:r>
      <w:r w:rsidR="00B46FB1">
        <w:rPr>
          <w:rFonts w:ascii="Times New Roman" w:hAnsi="Times New Roman" w:cs="Times New Roman"/>
          <w:sz w:val="24"/>
          <w:szCs w:val="24"/>
        </w:rPr>
        <w:fldChar w:fldCharType="begin" w:fldLock="1"/>
      </w:r>
      <w:r w:rsidR="00100D14">
        <w:rPr>
          <w:rFonts w:ascii="Times New Roman" w:hAnsi="Times New Roman" w:cs="Times New Roman"/>
          <w:sz w:val="24"/>
          <w:szCs w:val="24"/>
        </w:rPr>
        <w:instrText>ADDIN CSL_CITATION {"citationItems":[{"id":"ITEM-1","itemData":{"author":[{"dropping-particle":"","family":"Assifuah-Nunoo","given":"Emmanuel","non-dropping-particle":"","parse-names":false,"suffix":""}],"container-title":"Journal of Engineering Applied Science and Humanities","id":"ITEM-1","issue":"2","issued":{"date-parts":[["2023"]]},"page":"118-142","title":"Access to finance, financial literacy and small and medium-scale enterprises sustainable performance","type":"article-journal","volume":"8"},"uris":["http://www.mendeley.com/documents/?uuid=18f23209-e47c-48fa-863a-744c62fa5c6c"]}],"mendeley":{"formattedCitation":"(Assifuah-Nunoo, 2023)","manualFormatting":"Assifuah-Nunoo (2023)","plainTextFormattedCitation":"(Assifuah-Nunoo, 2023)","previouslyFormattedCitation":"(Assifuah-Nunoo, 2023)"},"properties":{"noteIndex":0},"schema":"https://github.com/citation-style-language/schema/raw/master/csl-citation.json"}</w:instrText>
      </w:r>
      <w:r w:rsidR="00B46FB1">
        <w:rPr>
          <w:rFonts w:ascii="Times New Roman" w:hAnsi="Times New Roman" w:cs="Times New Roman"/>
          <w:sz w:val="24"/>
          <w:szCs w:val="24"/>
        </w:rPr>
        <w:fldChar w:fldCharType="separate"/>
      </w:r>
      <w:r w:rsidR="00B46FB1" w:rsidRPr="00B46FB1">
        <w:rPr>
          <w:rFonts w:ascii="Times New Roman" w:hAnsi="Times New Roman" w:cs="Times New Roman"/>
          <w:noProof/>
          <w:sz w:val="24"/>
          <w:szCs w:val="24"/>
        </w:rPr>
        <w:t>Assifuah-Nunoo</w:t>
      </w:r>
      <w:r w:rsidR="00B46FB1">
        <w:rPr>
          <w:rFonts w:ascii="Times New Roman" w:hAnsi="Times New Roman" w:cs="Times New Roman"/>
          <w:noProof/>
          <w:sz w:val="24"/>
          <w:szCs w:val="24"/>
        </w:rPr>
        <w:t xml:space="preserve"> (</w:t>
      </w:r>
      <w:r w:rsidR="00B46FB1" w:rsidRPr="00B46FB1">
        <w:rPr>
          <w:rFonts w:ascii="Times New Roman" w:hAnsi="Times New Roman" w:cs="Times New Roman"/>
          <w:noProof/>
          <w:sz w:val="24"/>
          <w:szCs w:val="24"/>
        </w:rPr>
        <w:t>2023)</w:t>
      </w:r>
      <w:r w:rsidR="00B46FB1">
        <w:rPr>
          <w:rFonts w:ascii="Times New Roman" w:hAnsi="Times New Roman" w:cs="Times New Roman"/>
          <w:sz w:val="24"/>
          <w:szCs w:val="24"/>
        </w:rPr>
        <w:fldChar w:fldCharType="end"/>
      </w:r>
      <w:r w:rsidRPr="00360E2F">
        <w:rPr>
          <w:rFonts w:ascii="Times New Roman" w:hAnsi="Times New Roman" w:cs="Times New Roman"/>
          <w:sz w:val="24"/>
          <w:szCs w:val="24"/>
        </w:rPr>
        <w:t xml:space="preserve"> </w:t>
      </w:r>
      <w:r w:rsidR="006470DF">
        <w:rPr>
          <w:rFonts w:ascii="Times New Roman" w:hAnsi="Times New Roman" w:cs="Times New Roman"/>
          <w:sz w:val="24"/>
          <w:szCs w:val="24"/>
        </w:rPr>
        <w:t>conducted</w:t>
      </w:r>
      <w:r w:rsidRPr="00360E2F">
        <w:rPr>
          <w:rFonts w:ascii="Times New Roman" w:hAnsi="Times New Roman" w:cs="Times New Roman"/>
          <w:sz w:val="24"/>
          <w:szCs w:val="24"/>
        </w:rPr>
        <w:t xml:space="preserve"> research on financial literacy and financial performance of small and medium</w:t>
      </w:r>
      <w:r w:rsidR="001A4017">
        <w:rPr>
          <w:rFonts w:ascii="Times New Roman" w:hAnsi="Times New Roman" w:cs="Times New Roman"/>
          <w:sz w:val="24"/>
          <w:szCs w:val="24"/>
        </w:rPr>
        <w:t>-</w:t>
      </w:r>
      <w:r w:rsidRPr="00360E2F">
        <w:rPr>
          <w:rFonts w:ascii="Times New Roman" w:hAnsi="Times New Roman" w:cs="Times New Roman"/>
          <w:sz w:val="24"/>
          <w:szCs w:val="24"/>
        </w:rPr>
        <w:t xml:space="preserve">sized Enterprises. The study employed multiple regression analysis to test the influence of financial literacy on </w:t>
      </w:r>
      <w:r w:rsidR="008D2A36">
        <w:rPr>
          <w:rFonts w:ascii="Times New Roman" w:hAnsi="Times New Roman" w:cs="Times New Roman"/>
          <w:sz w:val="24"/>
          <w:szCs w:val="24"/>
        </w:rPr>
        <w:t>SME</w:t>
      </w:r>
      <w:r w:rsidRPr="00360E2F">
        <w:rPr>
          <w:rFonts w:ascii="Times New Roman" w:hAnsi="Times New Roman" w:cs="Times New Roman"/>
          <w:sz w:val="24"/>
          <w:szCs w:val="24"/>
        </w:rPr>
        <w:t xml:space="preserve"> performance by controlling </w:t>
      </w:r>
      <w:r w:rsidR="008D2A36">
        <w:rPr>
          <w:rFonts w:ascii="Times New Roman" w:hAnsi="Times New Roman" w:cs="Times New Roman"/>
          <w:sz w:val="24"/>
          <w:szCs w:val="24"/>
        </w:rPr>
        <w:t xml:space="preserve">for </w:t>
      </w:r>
      <w:r w:rsidRPr="00360E2F">
        <w:rPr>
          <w:rFonts w:ascii="Times New Roman" w:hAnsi="Times New Roman" w:cs="Times New Roman"/>
          <w:sz w:val="24"/>
          <w:szCs w:val="24"/>
        </w:rPr>
        <w:t xml:space="preserve">manager profile and SME-specific characteristics. Data </w:t>
      </w:r>
      <w:r w:rsidR="008D2A36">
        <w:rPr>
          <w:rFonts w:ascii="Times New Roman" w:hAnsi="Times New Roman" w:cs="Times New Roman"/>
          <w:sz w:val="24"/>
          <w:szCs w:val="24"/>
        </w:rPr>
        <w:t>were</w:t>
      </w:r>
      <w:r w:rsidRPr="00360E2F">
        <w:rPr>
          <w:rFonts w:ascii="Times New Roman" w:hAnsi="Times New Roman" w:cs="Times New Roman"/>
          <w:sz w:val="24"/>
          <w:szCs w:val="24"/>
        </w:rPr>
        <w:t xml:space="preserve"> obtained from questionnaires distributed to managers/owners. The study used simple random sampling to select samples to represent the population. The sample size for the study was 364 SMEs. The multiple regression results showed that managers or owners with savings skills managed financially healthy businesses </w:t>
      </w:r>
      <w:r w:rsidR="00032184">
        <w:rPr>
          <w:rFonts w:ascii="Times New Roman" w:hAnsi="Times New Roman" w:cs="Times New Roman"/>
          <w:sz w:val="24"/>
          <w:szCs w:val="24"/>
        </w:rPr>
        <w:t>that</w:t>
      </w:r>
      <w:r w:rsidRPr="00360E2F">
        <w:rPr>
          <w:rFonts w:ascii="Times New Roman" w:hAnsi="Times New Roman" w:cs="Times New Roman"/>
          <w:sz w:val="24"/>
          <w:szCs w:val="24"/>
        </w:rPr>
        <w:t xml:space="preserve"> had very good financial viability. This implied that savings had a significant effect on the financial viability of SMEs.  </w:t>
      </w:r>
    </w:p>
    <w:p w14:paraId="5125B127" w14:textId="2D4FA3D1" w:rsidR="00CE0A1B" w:rsidRPr="00360E2F" w:rsidRDefault="00CE0A1B" w:rsidP="00A34F77">
      <w:pPr>
        <w:spacing w:line="360" w:lineRule="auto"/>
        <w:jc w:val="both"/>
        <w:rPr>
          <w:rFonts w:ascii="Times New Roman" w:hAnsi="Times New Roman" w:cs="Times New Roman"/>
          <w:sz w:val="24"/>
          <w:szCs w:val="24"/>
        </w:rPr>
      </w:pPr>
      <w:r w:rsidRPr="00360E2F">
        <w:rPr>
          <w:rFonts w:ascii="Times New Roman" w:hAnsi="Times New Roman" w:cs="Times New Roman"/>
          <w:sz w:val="24"/>
          <w:szCs w:val="24"/>
        </w:rPr>
        <w:t xml:space="preserve">Research done in Nigeria on </w:t>
      </w:r>
      <w:r w:rsidR="00032184">
        <w:rPr>
          <w:rFonts w:ascii="Times New Roman" w:hAnsi="Times New Roman" w:cs="Times New Roman"/>
          <w:sz w:val="24"/>
          <w:szCs w:val="24"/>
        </w:rPr>
        <w:t>the impact</w:t>
      </w:r>
      <w:r w:rsidRPr="00360E2F">
        <w:rPr>
          <w:rFonts w:ascii="Times New Roman" w:hAnsi="Times New Roman" w:cs="Times New Roman"/>
          <w:sz w:val="24"/>
          <w:szCs w:val="24"/>
        </w:rPr>
        <w:t xml:space="preserve"> of Microfinance Banks on the growth of small and medium Enterprises in Lagos Metropolis asserted that savings among SMEs are encouraging because of the higher interest rates compared to deposit banks, faster loan disbursement</w:t>
      </w:r>
      <w:r w:rsidR="00032184">
        <w:rPr>
          <w:rFonts w:ascii="Times New Roman" w:hAnsi="Times New Roman" w:cs="Times New Roman"/>
          <w:sz w:val="24"/>
          <w:szCs w:val="24"/>
        </w:rPr>
        <w:t>,</w:t>
      </w:r>
      <w:r w:rsidRPr="00360E2F">
        <w:rPr>
          <w:rFonts w:ascii="Times New Roman" w:hAnsi="Times New Roman" w:cs="Times New Roman"/>
          <w:sz w:val="24"/>
          <w:szCs w:val="24"/>
        </w:rPr>
        <w:t xml:space="preserve"> among others. The data </w:t>
      </w:r>
      <w:r w:rsidR="00032184">
        <w:rPr>
          <w:rFonts w:ascii="Times New Roman" w:hAnsi="Times New Roman" w:cs="Times New Roman"/>
          <w:sz w:val="24"/>
          <w:szCs w:val="24"/>
        </w:rPr>
        <w:t>were</w:t>
      </w:r>
      <w:r w:rsidRPr="00360E2F">
        <w:rPr>
          <w:rFonts w:ascii="Times New Roman" w:hAnsi="Times New Roman" w:cs="Times New Roman"/>
          <w:sz w:val="24"/>
          <w:szCs w:val="24"/>
        </w:rPr>
        <w:t xml:space="preserve"> collected using questionnaires given to owners of SMES. There were 209 questionnaires distributed</w:t>
      </w:r>
      <w:r w:rsidR="00032184">
        <w:rPr>
          <w:rFonts w:ascii="Times New Roman" w:hAnsi="Times New Roman" w:cs="Times New Roman"/>
          <w:sz w:val="24"/>
          <w:szCs w:val="24"/>
        </w:rPr>
        <w:t>,</w:t>
      </w:r>
      <w:r w:rsidRPr="00360E2F">
        <w:rPr>
          <w:rFonts w:ascii="Times New Roman" w:hAnsi="Times New Roman" w:cs="Times New Roman"/>
          <w:sz w:val="24"/>
          <w:szCs w:val="24"/>
        </w:rPr>
        <w:t xml:space="preserve"> of which only 205 were viable and analysed using </w:t>
      </w:r>
      <w:r w:rsidR="00032184">
        <w:rPr>
          <w:rFonts w:ascii="Times New Roman" w:hAnsi="Times New Roman" w:cs="Times New Roman"/>
          <w:sz w:val="24"/>
          <w:szCs w:val="24"/>
        </w:rPr>
        <w:t xml:space="preserve">the </w:t>
      </w:r>
      <w:r w:rsidRPr="00360E2F">
        <w:rPr>
          <w:rFonts w:ascii="Times New Roman" w:hAnsi="Times New Roman" w:cs="Times New Roman"/>
          <w:sz w:val="24"/>
          <w:szCs w:val="24"/>
        </w:rPr>
        <w:t xml:space="preserve">SPSS Package. The study established that a majority of respondents accepted that micro-savings positively </w:t>
      </w:r>
      <w:r w:rsidR="00032184">
        <w:rPr>
          <w:rFonts w:ascii="Times New Roman" w:hAnsi="Times New Roman" w:cs="Times New Roman"/>
          <w:sz w:val="24"/>
          <w:szCs w:val="24"/>
        </w:rPr>
        <w:t>affect</w:t>
      </w:r>
      <w:r w:rsidRPr="00360E2F">
        <w:rPr>
          <w:rFonts w:ascii="Times New Roman" w:hAnsi="Times New Roman" w:cs="Times New Roman"/>
          <w:sz w:val="24"/>
          <w:szCs w:val="24"/>
        </w:rPr>
        <w:t xml:space="preserve"> the financial performance of SMEs</w:t>
      </w:r>
      <w:r w:rsidR="00032184">
        <w:rPr>
          <w:rFonts w:ascii="Times New Roman" w:hAnsi="Times New Roman" w:cs="Times New Roman"/>
          <w:sz w:val="24"/>
          <w:szCs w:val="24"/>
        </w:rPr>
        <w:t>,</w:t>
      </w:r>
      <w:r w:rsidRPr="00360E2F">
        <w:rPr>
          <w:rFonts w:ascii="Times New Roman" w:hAnsi="Times New Roman" w:cs="Times New Roman"/>
          <w:sz w:val="24"/>
          <w:szCs w:val="24"/>
        </w:rPr>
        <w:t xml:space="preserve"> with results from analysis of their responses showing a positive </w:t>
      </w:r>
      <w:r w:rsidR="00032184">
        <w:rPr>
          <w:rFonts w:ascii="Times New Roman" w:hAnsi="Times New Roman" w:cs="Times New Roman"/>
          <w:sz w:val="24"/>
          <w:szCs w:val="24"/>
        </w:rPr>
        <w:t>mean</w:t>
      </w:r>
      <w:r w:rsidRPr="00360E2F">
        <w:rPr>
          <w:rFonts w:ascii="Times New Roman" w:hAnsi="Times New Roman" w:cs="Times New Roman"/>
          <w:sz w:val="24"/>
          <w:szCs w:val="24"/>
        </w:rPr>
        <w:t xml:space="preserve"> ranging from 3.94 to 4.11. This study found that savings has a significant effect on the financial performance and by extension</w:t>
      </w:r>
      <w:r w:rsidR="00032184">
        <w:rPr>
          <w:rFonts w:ascii="Times New Roman" w:hAnsi="Times New Roman" w:cs="Times New Roman"/>
          <w:sz w:val="24"/>
          <w:szCs w:val="24"/>
        </w:rPr>
        <w:t>,</w:t>
      </w:r>
      <w:r w:rsidRPr="00360E2F">
        <w:rPr>
          <w:rFonts w:ascii="Times New Roman" w:hAnsi="Times New Roman" w:cs="Times New Roman"/>
          <w:sz w:val="24"/>
          <w:szCs w:val="24"/>
        </w:rPr>
        <w:t xml:space="preserve"> the financial viability of SMEs (Aladejebi,2019)</w:t>
      </w:r>
    </w:p>
    <w:p w14:paraId="2E0A0B4C" w14:textId="6BC60C22" w:rsidR="00CE0A1B" w:rsidRPr="00360E2F" w:rsidRDefault="00CE0A1B" w:rsidP="00A34F77">
      <w:pPr>
        <w:spacing w:line="360" w:lineRule="auto"/>
        <w:jc w:val="both"/>
        <w:rPr>
          <w:rFonts w:ascii="Times New Roman" w:hAnsi="Times New Roman" w:cs="Times New Roman"/>
          <w:b/>
          <w:bCs/>
          <w:sz w:val="24"/>
          <w:szCs w:val="24"/>
        </w:rPr>
      </w:pPr>
      <w:r w:rsidRPr="00360E2F">
        <w:rPr>
          <w:rFonts w:ascii="Times New Roman" w:hAnsi="Times New Roman" w:cs="Times New Roman"/>
          <w:sz w:val="24"/>
          <w:szCs w:val="24"/>
        </w:rPr>
        <w:lastRenderedPageBreak/>
        <w:t xml:space="preserve">In Tanzania, </w:t>
      </w:r>
      <w:r w:rsidR="00100D14">
        <w:rPr>
          <w:rFonts w:ascii="Times New Roman" w:hAnsi="Times New Roman" w:cs="Times New Roman"/>
          <w:sz w:val="24"/>
          <w:szCs w:val="24"/>
        </w:rPr>
        <w:fldChar w:fldCharType="begin" w:fldLock="1"/>
      </w:r>
      <w:r w:rsidR="00477C72">
        <w:rPr>
          <w:rFonts w:ascii="Times New Roman" w:hAnsi="Times New Roman" w:cs="Times New Roman"/>
          <w:sz w:val="24"/>
          <w:szCs w:val="24"/>
        </w:rPr>
        <w:instrText>ADDIN CSL_CITATION {"citationItems":[{"id":"ITEM-1","itemData":{"ISSN":"2814-1105","author":[{"dropping-particle":"","family":"Mhanganya","given":"Stephano","non-dropping-particle":"","parse-names":false,"suffix":""},{"dropping-particle":"","family":"Kamuzora","given":"Aurelia","non-dropping-particle":"","parse-names":false,"suffix":""},{"dropping-particle":"","family":"Utouh","given":"Harold","non-dropping-particle":"","parse-names":false,"suffix":""}],"container-title":"NG Journal of Social Development","id":"ITEM-1","issue":"1","issued":{"date-parts":[["2024"]]},"page":"79-90","title":"Maximizing Returns: A Deep Dive into the Financial Strategies of SMEs in Morogoro Municipality","type":"article-journal","volume":"14"},"uris":["http://www.mendeley.com/documents/?uuid=6b5d8d8b-8b39-4745-a1de-ec1ef2d2c872"]}],"mendeley":{"formattedCitation":"(Mhanganya et al., 2024)","manualFormatting":"Mhanganya et al.,(2024)","plainTextFormattedCitation":"(Mhanganya et al., 2024)","previouslyFormattedCitation":"(Mhanganya et al., 2024)"},"properties":{"noteIndex":0},"schema":"https://github.com/citation-style-language/schema/raw/master/csl-citation.json"}</w:instrText>
      </w:r>
      <w:r w:rsidR="00100D14">
        <w:rPr>
          <w:rFonts w:ascii="Times New Roman" w:hAnsi="Times New Roman" w:cs="Times New Roman"/>
          <w:sz w:val="24"/>
          <w:szCs w:val="24"/>
        </w:rPr>
        <w:fldChar w:fldCharType="separate"/>
      </w:r>
      <w:r w:rsidR="00100D14" w:rsidRPr="00100D14">
        <w:rPr>
          <w:rFonts w:ascii="Times New Roman" w:hAnsi="Times New Roman" w:cs="Times New Roman"/>
          <w:noProof/>
          <w:sz w:val="24"/>
          <w:szCs w:val="24"/>
        </w:rPr>
        <w:t>Mhanganya et al.,</w:t>
      </w:r>
      <w:r w:rsidR="00100D14">
        <w:rPr>
          <w:rFonts w:ascii="Times New Roman" w:hAnsi="Times New Roman" w:cs="Times New Roman"/>
          <w:noProof/>
          <w:sz w:val="24"/>
          <w:szCs w:val="24"/>
        </w:rPr>
        <w:t>(</w:t>
      </w:r>
      <w:r w:rsidR="00100D14" w:rsidRPr="00100D14">
        <w:rPr>
          <w:rFonts w:ascii="Times New Roman" w:hAnsi="Times New Roman" w:cs="Times New Roman"/>
          <w:noProof/>
          <w:sz w:val="24"/>
          <w:szCs w:val="24"/>
        </w:rPr>
        <w:t>2024)</w:t>
      </w:r>
      <w:r w:rsidR="00100D14">
        <w:rPr>
          <w:rFonts w:ascii="Times New Roman" w:hAnsi="Times New Roman" w:cs="Times New Roman"/>
          <w:sz w:val="24"/>
          <w:szCs w:val="24"/>
        </w:rPr>
        <w:fldChar w:fldCharType="end"/>
      </w:r>
      <w:r w:rsidRPr="00360E2F">
        <w:rPr>
          <w:rFonts w:ascii="Times New Roman" w:hAnsi="Times New Roman" w:cs="Times New Roman"/>
          <w:sz w:val="24"/>
          <w:szCs w:val="24"/>
        </w:rPr>
        <w:t xml:space="preserve"> did research entitled, A deep dive into financial strategies of SMES in Morogoro Municipality. The study used a cross-sectional research design and a multiple linear regression model. The study found that the capital structure comprising private savings, bank credit, reserved earnings, on-bank loans, equity</w:t>
      </w:r>
      <w:r w:rsidR="00A151C2">
        <w:rPr>
          <w:rFonts w:ascii="Times New Roman" w:hAnsi="Times New Roman" w:cs="Times New Roman"/>
          <w:sz w:val="24"/>
          <w:szCs w:val="24"/>
        </w:rPr>
        <w:t>,</w:t>
      </w:r>
      <w:r w:rsidRPr="00360E2F">
        <w:rPr>
          <w:rFonts w:ascii="Times New Roman" w:hAnsi="Times New Roman" w:cs="Times New Roman"/>
          <w:sz w:val="24"/>
          <w:szCs w:val="24"/>
        </w:rPr>
        <w:t xml:space="preserve"> and trade credit plays a critical role in influencing the financial viability of these businesses. The study found that savings contributed the </w:t>
      </w:r>
      <w:r w:rsidR="00A151C2">
        <w:rPr>
          <w:rFonts w:ascii="Times New Roman" w:hAnsi="Times New Roman" w:cs="Times New Roman"/>
          <w:sz w:val="24"/>
          <w:szCs w:val="24"/>
        </w:rPr>
        <w:t>highest</w:t>
      </w:r>
      <w:r w:rsidRPr="00360E2F">
        <w:rPr>
          <w:rFonts w:ascii="Times New Roman" w:hAnsi="Times New Roman" w:cs="Times New Roman"/>
          <w:sz w:val="24"/>
          <w:szCs w:val="24"/>
        </w:rPr>
        <w:t xml:space="preserve"> ROI with </w:t>
      </w:r>
      <w:r w:rsidR="00A151C2">
        <w:rPr>
          <w:rFonts w:ascii="Times New Roman" w:hAnsi="Times New Roman" w:cs="Times New Roman"/>
          <w:sz w:val="24"/>
          <w:szCs w:val="24"/>
        </w:rPr>
        <w:t xml:space="preserve">a </w:t>
      </w:r>
      <w:r w:rsidRPr="00360E2F">
        <w:rPr>
          <w:rFonts w:ascii="Times New Roman" w:hAnsi="Times New Roman" w:cs="Times New Roman"/>
          <w:sz w:val="24"/>
          <w:szCs w:val="24"/>
        </w:rPr>
        <w:t>coefficient of 0.305</w:t>
      </w:r>
      <w:r w:rsidR="00A151C2">
        <w:rPr>
          <w:rFonts w:ascii="Times New Roman" w:hAnsi="Times New Roman" w:cs="Times New Roman"/>
          <w:sz w:val="24"/>
          <w:szCs w:val="24"/>
        </w:rPr>
        <w:t>,</w:t>
      </w:r>
      <w:r w:rsidRPr="00360E2F">
        <w:rPr>
          <w:rFonts w:ascii="Times New Roman" w:hAnsi="Times New Roman" w:cs="Times New Roman"/>
          <w:sz w:val="24"/>
          <w:szCs w:val="24"/>
        </w:rPr>
        <w:t xml:space="preserve"> which is significant at p&lt;0.01. The study suggested that there existed a significant relationship between private </w:t>
      </w:r>
      <w:r w:rsidR="00835C78">
        <w:rPr>
          <w:rFonts w:ascii="Times New Roman" w:hAnsi="Times New Roman" w:cs="Times New Roman"/>
          <w:sz w:val="24"/>
          <w:szCs w:val="24"/>
        </w:rPr>
        <w:t xml:space="preserve">savings </w:t>
      </w:r>
      <w:r w:rsidRPr="00360E2F">
        <w:rPr>
          <w:rFonts w:ascii="Times New Roman" w:hAnsi="Times New Roman" w:cs="Times New Roman"/>
          <w:sz w:val="24"/>
          <w:szCs w:val="24"/>
        </w:rPr>
        <w:t>and return on investment. Private savings offer SMES a degree of financial independence, allowing them to invest in growth opportunities without relying on external debts which normally attracts strict repayment terms and conditions.</w:t>
      </w:r>
    </w:p>
    <w:p w14:paraId="52602C30" w14:textId="6FB21534" w:rsidR="00CE0A1B" w:rsidRPr="00360E2F" w:rsidRDefault="00100D14" w:rsidP="00A34F77">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{"citationItems":[{"id":"ITEM-1","itemData":{"DOI":"10.47153/jbmr49.7942023","author":[{"dropping-particle":"","family":"Onyango","given":"Owino Thadeus","non-dropping-particle":"","parse-names":false,"suffix":""}],"id":"ITEM-1","issue":"9","issued":{"date-parts":[["2023"]]},"page":"700-719","title":"Accounting Practices , Financial Literacy And Financial Performance Of Micro , Small And Medium Enterprises","type":"article-journal","volume":"4"},"uris":["http://www.mendeley.com/documents/?uuid=c250a515-f18b-4243-844e-67399a64da74"]}],"mendeley":{"formattedCitation":"(Onyango, 2023)","manualFormatting":"Onyango, (2023)","plainTextFormattedCitation":"(Onyango, 2023)","previouslyFormattedCitation":"(Onyango, 2023)"},"properties":{"noteIndex":0},"schema":"https://github.com/citation-style-language/schema/raw/master/csl-citation.json"}</w:instrText>
      </w:r>
      <w:r>
        <w:rPr>
          <w:rFonts w:ascii="Times New Roman" w:hAnsi="Times New Roman" w:cs="Times New Roman"/>
          <w:sz w:val="24"/>
          <w:szCs w:val="24"/>
        </w:rPr>
        <w:fldChar w:fldCharType="separate"/>
      </w:r>
      <w:r w:rsidRPr="00100D14">
        <w:rPr>
          <w:rFonts w:ascii="Times New Roman" w:hAnsi="Times New Roman" w:cs="Times New Roman"/>
          <w:noProof/>
          <w:sz w:val="24"/>
          <w:szCs w:val="24"/>
        </w:rPr>
        <w:t xml:space="preserve">Onyango, </w:t>
      </w:r>
      <w:r>
        <w:rPr>
          <w:rFonts w:ascii="Times New Roman" w:hAnsi="Times New Roman" w:cs="Times New Roman"/>
          <w:noProof/>
          <w:sz w:val="24"/>
          <w:szCs w:val="24"/>
        </w:rPr>
        <w:t>(</w:t>
      </w:r>
      <w:r w:rsidRPr="00100D14">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did a study of how </w:t>
      </w:r>
      <w:r w:rsidRPr="00100D14">
        <w:rPr>
          <w:rFonts w:ascii="Times New Roman" w:hAnsi="Times New Roman" w:cs="Times New Roman"/>
          <w:sz w:val="24"/>
          <w:szCs w:val="24"/>
        </w:rPr>
        <w:t>financial literacy moderates accounting practices and financial performance of MSMEs in the Republic of Kenya. Micro, Small and Medium Enterprises (MSMEs) are significant in developing many economies by creating employment, alleviating poverty and food insecurity, and contributing to the Gross Domestic Product. Despite their significance, MSMEs face multiple challenges that affect their capacity to achieve desired economic outcomes. An explanatory research design and simple random sampling were used to select a representative sample. Data was collected from 398 managers/owners of MSMEs using a self-administered questionnaire. The hierarchical regression model was used to test the study hypothesis in SPSS vs.23. Accounting practices and financial literacy were found to have a positive and significant influence on MSMEs' financial performance. Results further show that financial literacy moderates the relationship between accounting practices and financial performance. The study underlines the importance of accounting approaches and financial literacy in</w:t>
      </w:r>
      <w:r w:rsidR="00CE0A1B" w:rsidRPr="00360E2F">
        <w:rPr>
          <w:rFonts w:ascii="Times New Roman" w:hAnsi="Times New Roman" w:cs="Times New Roman"/>
          <w:sz w:val="24"/>
          <w:szCs w:val="24"/>
        </w:rPr>
        <w:t>.</w:t>
      </w:r>
    </w:p>
    <w:p w14:paraId="57BEF45F" w14:textId="41315CD4" w:rsidR="00CE0A1B" w:rsidRPr="00F61308" w:rsidRDefault="008D2A36" w:rsidP="00A34F77">
      <w:pPr>
        <w:spacing w:line="360" w:lineRule="auto"/>
        <w:rPr>
          <w:rFonts w:ascii="Times" w:hAnsi="Times" w:cs="Times"/>
          <w:b/>
          <w:bCs/>
          <w:sz w:val="24"/>
          <w:szCs w:val="24"/>
        </w:rPr>
      </w:pPr>
      <w:bookmarkStart w:id="7" w:name="_Toc231854405"/>
      <w:r w:rsidRPr="00F61308">
        <w:rPr>
          <w:rFonts w:ascii="Times" w:hAnsi="Times" w:cs="Times"/>
          <w:b/>
          <w:bCs/>
          <w:sz w:val="24"/>
          <w:szCs w:val="24"/>
        </w:rPr>
        <w:t>CONCEPTUAL FRAMEWORK</w:t>
      </w:r>
      <w:bookmarkEnd w:id="7"/>
      <w:r w:rsidRPr="00F61308">
        <w:rPr>
          <w:rFonts w:ascii="Times" w:hAnsi="Times" w:cs="Times"/>
          <w:b/>
          <w:bCs/>
          <w:sz w:val="24"/>
          <w:szCs w:val="24"/>
        </w:rPr>
        <w:t xml:space="preserve"> </w:t>
      </w:r>
    </w:p>
    <w:p w14:paraId="55FBFF13" w14:textId="436560D2" w:rsidR="00DE564E" w:rsidRPr="00DE564E" w:rsidRDefault="00477C72" w:rsidP="00A34F77">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fldChar w:fldCharType="begin" w:fldLock="1"/>
      </w:r>
      <w:r w:rsidR="00FA5A71">
        <w:rPr>
          <w:rFonts w:ascii="Times New Roman" w:hAnsi="Times New Roman" w:cs="Times New Roman"/>
          <w:sz w:val="24"/>
          <w:szCs w:val="24"/>
          <w:lang w:val="en-US"/>
        </w:rPr>
        <w:instrText>ADDIN CSL_CITATION {"citationItems":[{"id":"ITEM-1","itemData":{"DOI":"10.1177/0011000006287390","ISSN":"00110000","abstract":"Counseling psychologists face many approaches from which to choose when they conduct a qualitative research study. This article focuses on the processes of selecting, contrasting, and implementing five different qualitative approaches. Based on an extended example related to test interpretation by counselors, clients, and communities, this article provides a detailed discussion about five qualitative approaches— narrative research; case study research; grounded theory; phenomenology; and participatory action research—as alternative qualitative procedures useful in understanding test interpretation. For each approach, the authors offer perspectives about historical origins, definition, variants, and the procedures of research. © 2006, Sage Publications. All rights reserved.","author":[{"dropping-particle":"","family":"Creswell","given":"John W.","non-dropping-particle":"","parse-names":false,"suffix":""},{"dropping-particle":"","family":"Hanson","given":"William E.","non-dropping-particle":"","parse-names":false,"suffix":""},{"dropping-particle":"","family":"Clark Plano","given":"Vicki L.","non-dropping-particle":"","parse-names":false,"suffix":""},{"dropping-particle":"","family":"Morales","given":"Alejandro","non-dropping-particle":"","parse-names":false,"suffix":""}],"container-title":"The Counseling Psychologist","id":"ITEM-1","issue":"2","issued":{"date-parts":[["2007"]]},"page":"236-264","title":"Qualitative Research Designs: Selection and Implementation","type":"article-journal","volume":"35"},"uris":["http://www.mendeley.com/documents/?uuid=45185126-ccff-482f-a70e-8953449b8c81"]}],"mendeley":{"formattedCitation":"(Creswell et al., 2007)","manualFormatting":"Creswell et al., (2007)","plainTextFormattedCitation":"(Creswell et al., 2007)","previouslyFormattedCitation":"(Creswell et al., 2007)"},"properties":{"noteIndex":0},"schema":"https://github.com/citation-style-language/schema/raw/master/csl-citation.json"}</w:instrText>
      </w:r>
      <w:r>
        <w:rPr>
          <w:rFonts w:ascii="Times New Roman" w:hAnsi="Times New Roman" w:cs="Times New Roman"/>
          <w:sz w:val="24"/>
          <w:szCs w:val="24"/>
          <w:lang w:val="en-US"/>
        </w:rPr>
        <w:fldChar w:fldCharType="separate"/>
      </w:r>
      <w:r w:rsidRPr="00477C72">
        <w:rPr>
          <w:rFonts w:ascii="Times New Roman" w:hAnsi="Times New Roman" w:cs="Times New Roman"/>
          <w:noProof/>
          <w:sz w:val="24"/>
          <w:szCs w:val="24"/>
          <w:lang w:val="en-US"/>
        </w:rPr>
        <w:t xml:space="preserve">Creswell et al., </w:t>
      </w:r>
      <w:r>
        <w:rPr>
          <w:rFonts w:ascii="Times New Roman" w:hAnsi="Times New Roman" w:cs="Times New Roman"/>
          <w:noProof/>
          <w:sz w:val="24"/>
          <w:szCs w:val="24"/>
          <w:lang w:val="en-US"/>
        </w:rPr>
        <w:t>(</w:t>
      </w:r>
      <w:r w:rsidRPr="00477C72">
        <w:rPr>
          <w:rFonts w:ascii="Times New Roman" w:hAnsi="Times New Roman" w:cs="Times New Roman"/>
          <w:noProof/>
          <w:sz w:val="24"/>
          <w:szCs w:val="24"/>
          <w:lang w:val="en-US"/>
        </w:rPr>
        <w:t>2007)</w:t>
      </w:r>
      <w:r>
        <w:rPr>
          <w:rFonts w:ascii="Times New Roman" w:hAnsi="Times New Roman" w:cs="Times New Roman"/>
          <w:sz w:val="24"/>
          <w:szCs w:val="24"/>
          <w:lang w:val="en-US"/>
        </w:rPr>
        <w:fldChar w:fldCharType="end"/>
      </w:r>
      <w:r w:rsidR="00CE0A1B" w:rsidRPr="003F6526">
        <w:rPr>
          <w:rFonts w:ascii="Times New Roman" w:hAnsi="Times New Roman" w:cs="Times New Roman"/>
          <w:sz w:val="24"/>
          <w:szCs w:val="24"/>
          <w:lang w:val="en-US"/>
        </w:rPr>
        <w:t xml:space="preserve"> defines a conceptual framework as a coherent system of concepts, assumptions, expectations, beliefs, and theories that support and direct research and theory development within a particular field of study. It provides researchers with a structured approach by outlining the key variables, constructs, and relationships relevant to the research problem or topic at hand</w:t>
      </w:r>
      <w:r w:rsidR="00FA5A71">
        <w:rPr>
          <w:rFonts w:ascii="Times New Roman" w:hAnsi="Times New Roman" w:cs="Times New Roman"/>
          <w:sz w:val="24"/>
          <w:szCs w:val="24"/>
          <w:lang w:val="en-US"/>
        </w:rPr>
        <w:fldChar w:fldCharType="begin" w:fldLock="1"/>
      </w:r>
      <w:r w:rsidR="00FA5A71">
        <w:rPr>
          <w:rFonts w:ascii="Times New Roman" w:hAnsi="Times New Roman" w:cs="Times New Roman"/>
          <w:sz w:val="24"/>
          <w:szCs w:val="24"/>
          <w:lang w:val="en-US"/>
        </w:rPr>
        <w:instrText>ADDIN CSL_CITATION {"citationItems":[{"id":"ITEM-1","itemData":{"DOI":"10.1162/153244302320884533","ISSN":"15324435","abstract":"This article introduces the problem of partial or shallow parsing (assigning partial syntactic structure to sentences) and explains why it is an important natural language processing (NLP) task. The complexity of the task makes Machine Learning an attractive option in comparison to the handcrafting of rules. On the other hand, because of the same task complexity, shallow parsing makes an excellent benchmark problem for evaluating machine learning algorithms. We sketch the origins of shallow parsing as a specific task for machine learning of language, and introduce the articles accepted for this special issue, a representative sample of current research in this area. Finally, future directions for machine learning of shallow parsing are suggested.","author":[{"dropping-particle":"","family":"Hammerton","given":"James","non-dropping-particle":"","parse-names":false,"suffix":""},{"dropping-particle":"","family":"Osborne","given":"Miles","non-dropping-particle":"","parse-names":false,"suffix":""},{"dropping-particle":"","family":"Armstrong","given":"Susan","non-dropping-particle":"","parse-names":false,"suffix":""},{"dropping-particle":"","family":"Daelemans","given":"Walter","non-dropping-particle":"","parse-names":false,"suffix":""}],"container-title":"Journal of Machine Learning Research","id":"ITEM-1","issue":"4","issued":{"date-parts":[["2002"]]},"page":"551-558","title":"Introduction to Special Issue on Machine Learning Approaches to Shallow Parsing","type":"article-journal","volume":"2"},"uris":["http://www.mendeley.com/documents/?uuid=97939e4c-3058-4f01-bec2-06a321bdb6d4"]}],"mendeley":{"formattedCitation":"(Hammerton et al., 2002)","plainTextFormattedCitation":"(Hammerton et al., 2002)"},"properties":{"noteIndex":0},"schema":"https://github.com/citation-style-language/schema/raw/master/csl-citation.json"}</w:instrText>
      </w:r>
      <w:r w:rsidR="00FA5A71">
        <w:rPr>
          <w:rFonts w:ascii="Times New Roman" w:hAnsi="Times New Roman" w:cs="Times New Roman"/>
          <w:sz w:val="24"/>
          <w:szCs w:val="24"/>
          <w:lang w:val="en-US"/>
        </w:rPr>
        <w:fldChar w:fldCharType="separate"/>
      </w:r>
      <w:r w:rsidR="00FA5A71" w:rsidRPr="00FA5A71">
        <w:rPr>
          <w:rFonts w:ascii="Times New Roman" w:hAnsi="Times New Roman" w:cs="Times New Roman"/>
          <w:noProof/>
          <w:sz w:val="24"/>
          <w:szCs w:val="24"/>
          <w:lang w:val="en-US"/>
        </w:rPr>
        <w:t>(Hammerton et al., 2002)</w:t>
      </w:r>
      <w:r w:rsidR="00FA5A71">
        <w:rPr>
          <w:rFonts w:ascii="Times New Roman" w:hAnsi="Times New Roman" w:cs="Times New Roman"/>
          <w:sz w:val="24"/>
          <w:szCs w:val="24"/>
          <w:lang w:val="en-US"/>
        </w:rPr>
        <w:fldChar w:fldCharType="end"/>
      </w:r>
      <w:r w:rsidR="00FA5A71">
        <w:rPr>
          <w:rFonts w:ascii="Times New Roman" w:hAnsi="Times New Roman" w:cs="Times New Roman"/>
          <w:sz w:val="24"/>
          <w:szCs w:val="24"/>
          <w:lang w:val="en-US"/>
        </w:rPr>
        <w:t>.</w:t>
      </w:r>
    </w:p>
    <w:p w14:paraId="669425DA" w14:textId="77777777" w:rsidR="00CE0A1B" w:rsidRPr="00BC364E" w:rsidRDefault="00CE0A1B" w:rsidP="00CE0A1B">
      <w:pPr>
        <w:spacing w:line="360" w:lineRule="auto"/>
        <w:jc w:val="both"/>
        <w:rPr>
          <w:rFonts w:ascii="Times New Roman" w:hAnsi="Times New Roman" w:cs="Times New Roman"/>
          <w:b/>
          <w:bCs/>
          <w:sz w:val="24"/>
          <w:szCs w:val="24"/>
        </w:rPr>
      </w:pPr>
      <w:r w:rsidRPr="00BC364E">
        <w:rPr>
          <w:rFonts w:ascii="Times New Roman" w:hAnsi="Times New Roman" w:cs="Times New Roman"/>
          <w:b/>
          <w:bCs/>
          <w:sz w:val="24"/>
          <w:szCs w:val="24"/>
        </w:rPr>
        <w:t>Independent Variables                                         Dependent Variable</w:t>
      </w:r>
    </w:p>
    <w:p w14:paraId="5C7D1B1F" w14:textId="157737E0" w:rsidR="00CE0A1B" w:rsidRPr="00BC364E" w:rsidRDefault="00DE564E" w:rsidP="00CE0A1B">
      <w:pPr>
        <w:spacing w:line="360" w:lineRule="auto"/>
        <w:jc w:val="both"/>
        <w:rPr>
          <w:rFonts w:ascii="Times New Roman" w:hAnsi="Times New Roman" w:cs="Times New Roman"/>
          <w:b/>
          <w:bCs/>
          <w:sz w:val="24"/>
          <w:szCs w:val="24"/>
        </w:rPr>
      </w:pPr>
      <w:r w:rsidRPr="00BC364E">
        <w:rPr>
          <w:rFonts w:ascii="Times New Roman" w:hAnsi="Times New Roman" w:cs="Times New Roman"/>
          <w:b/>
          <w:bCs/>
          <w:noProof/>
          <w:sz w:val="24"/>
          <w:szCs w:val="24"/>
          <w:lang w:val="en-US"/>
        </w:rPr>
        <mc:AlternateContent>
          <mc:Choice Requires="wps">
            <w:drawing>
              <wp:anchor distT="0" distB="0" distL="114300" distR="114300" simplePos="0" relativeHeight="251664384" behindDoc="0" locked="0" layoutInCell="1" allowOverlap="1" wp14:anchorId="5A7635A7" wp14:editId="3BF8431C">
                <wp:simplePos x="0" y="0"/>
                <wp:positionH relativeFrom="column">
                  <wp:posOffset>2657475</wp:posOffset>
                </wp:positionH>
                <wp:positionV relativeFrom="paragraph">
                  <wp:posOffset>8255</wp:posOffset>
                </wp:positionV>
                <wp:extent cx="2173605" cy="828675"/>
                <wp:effectExtent l="0" t="0" r="17145" b="28575"/>
                <wp:wrapNone/>
                <wp:docPr id="12" name="Rectangle 12"/>
                <wp:cNvGraphicFramePr/>
                <a:graphic xmlns:a="http://schemas.openxmlformats.org/drawingml/2006/main">
                  <a:graphicData uri="http://schemas.microsoft.com/office/word/2010/wordprocessingShape">
                    <wps:wsp>
                      <wps:cNvSpPr/>
                      <wps:spPr>
                        <a:xfrm>
                          <a:off x="0" y="0"/>
                          <a:ext cx="2173605" cy="828675"/>
                        </a:xfrm>
                        <a:prstGeom prst="rect">
                          <a:avLst/>
                        </a:prstGeom>
                        <a:solidFill>
                          <a:sysClr val="window" lastClr="FFFFFF"/>
                        </a:solidFill>
                        <a:ln w="12700" cap="flat" cmpd="sng" algn="ctr">
                          <a:solidFill>
                            <a:srgbClr val="70AD47"/>
                          </a:solidFill>
                          <a:prstDash val="solid"/>
                          <a:miter lim="800000"/>
                        </a:ln>
                        <a:effectLst/>
                      </wps:spPr>
                      <wps:txbx>
                        <w:txbxContent>
                          <w:p w14:paraId="04D2BCD3" w14:textId="77777777" w:rsidR="00CE0A1B" w:rsidRDefault="00CE0A1B" w:rsidP="00CE0A1B">
                            <w:pPr>
                              <w:rPr>
                                <w:b/>
                                <w:bCs/>
                              </w:rPr>
                            </w:pPr>
                            <w:r w:rsidRPr="000E7A7F">
                              <w:rPr>
                                <w:b/>
                                <w:bCs/>
                              </w:rPr>
                              <w:t>FINANCIAL VIABILITY</w:t>
                            </w:r>
                          </w:p>
                          <w:p w14:paraId="23A29297" w14:textId="77777777" w:rsidR="00CE0A1B" w:rsidRDefault="00CE0A1B" w:rsidP="00CE0A1B">
                            <w:pPr>
                              <w:pStyle w:val="ListParagraph"/>
                              <w:numPr>
                                <w:ilvl w:val="0"/>
                                <w:numId w:val="6"/>
                              </w:numPr>
                              <w:rPr>
                                <w:b/>
                                <w:bCs/>
                              </w:rPr>
                            </w:pPr>
                            <w:r>
                              <w:rPr>
                                <w:b/>
                                <w:bCs/>
                              </w:rPr>
                              <w:t>Net Income Ratio</w:t>
                            </w:r>
                          </w:p>
                          <w:p w14:paraId="2EDE7D94" w14:textId="77777777" w:rsidR="00CE0A1B" w:rsidRPr="00027BBA" w:rsidRDefault="00CE0A1B" w:rsidP="00CE0A1B">
                            <w:pPr>
                              <w:pStyle w:val="ListParagraph"/>
                              <w:numPr>
                                <w:ilvl w:val="0"/>
                                <w:numId w:val="6"/>
                              </w:numPr>
                              <w:rPr>
                                <w:b/>
                                <w:bCs/>
                              </w:rPr>
                            </w:pPr>
                            <w:r>
                              <w:rPr>
                                <w:b/>
                                <w:bCs/>
                              </w:rPr>
                              <w:t>Operating cashflow ratio</w:t>
                            </w:r>
                          </w:p>
                          <w:p w14:paraId="28845EA0" w14:textId="77777777" w:rsidR="00CE0A1B" w:rsidRPr="000E7A7F" w:rsidRDefault="00CE0A1B" w:rsidP="00CE0A1B">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635A7" id="Rectangle 12" o:spid="_x0000_s1026" style="position:absolute;left:0;text-align:left;margin-left:209.25pt;margin-top:.65pt;width:171.15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" fillcolor="window" strokecolor="#70ad47" strokeweight="1pt">
                <v:textbox>
                  <w:txbxContent>
                    <w:p w14:paraId="04D2BCD3" w14:textId="77777777" w:rsidR="00CE0A1B" w:rsidRDefault="00CE0A1B" w:rsidP="00CE0A1B">
                      <w:pPr>
                        <w:rPr>
                          <w:b/>
                          <w:bCs/>
                        </w:rPr>
                      </w:pPr>
                      <w:r w:rsidRPr="000E7A7F">
                        <w:rPr>
                          <w:b/>
                          <w:bCs/>
                        </w:rPr>
                        <w:t>FINANCIAL VIABILITY</w:t>
                      </w:r>
                    </w:p>
                    <w:p w14:paraId="23A29297" w14:textId="77777777" w:rsidR="00CE0A1B" w:rsidRDefault="00CE0A1B" w:rsidP="00CE0A1B">
                      <w:pPr>
                        <w:pStyle w:val="ListParagraph"/>
                        <w:numPr>
                          <w:ilvl w:val="0"/>
                          <w:numId w:val="6"/>
                        </w:numPr>
                        <w:rPr>
                          <w:b/>
                          <w:bCs/>
                        </w:rPr>
                      </w:pPr>
                      <w:r>
                        <w:rPr>
                          <w:b/>
                          <w:bCs/>
                        </w:rPr>
                        <w:t>Net Income Ratio</w:t>
                      </w:r>
                    </w:p>
                    <w:p w14:paraId="2EDE7D94" w14:textId="77777777" w:rsidR="00CE0A1B" w:rsidRPr="00027BBA" w:rsidRDefault="00CE0A1B" w:rsidP="00CE0A1B">
                      <w:pPr>
                        <w:pStyle w:val="ListParagraph"/>
                        <w:numPr>
                          <w:ilvl w:val="0"/>
                          <w:numId w:val="6"/>
                        </w:numPr>
                        <w:rPr>
                          <w:b/>
                          <w:bCs/>
                        </w:rPr>
                      </w:pPr>
                      <w:r>
                        <w:rPr>
                          <w:b/>
                          <w:bCs/>
                        </w:rPr>
                        <w:t>Operating cashflow ratio</w:t>
                      </w:r>
                    </w:p>
                    <w:p w14:paraId="28845EA0" w14:textId="77777777" w:rsidR="00CE0A1B" w:rsidRPr="000E7A7F" w:rsidRDefault="00CE0A1B" w:rsidP="00CE0A1B">
                      <w:pPr>
                        <w:rPr>
                          <w:b/>
                          <w:bCs/>
                        </w:rPr>
                      </w:pPr>
                    </w:p>
                  </w:txbxContent>
                </v:textbox>
              </v:rect>
            </w:pict>
          </mc:Fallback>
        </mc:AlternateContent>
      </w:r>
      <w:r w:rsidR="00CE0A1B" w:rsidRPr="00BC364E">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4EE478A0" wp14:editId="2DF464C6">
                <wp:simplePos x="0" y="0"/>
                <wp:positionH relativeFrom="column">
                  <wp:posOffset>270933</wp:posOffset>
                </wp:positionH>
                <wp:positionV relativeFrom="paragraph">
                  <wp:posOffset>12700</wp:posOffset>
                </wp:positionV>
                <wp:extent cx="1764990" cy="792480"/>
                <wp:effectExtent l="0" t="0" r="26035" b="26670"/>
                <wp:wrapNone/>
                <wp:docPr id="2" name="Rectangle 2"/>
                <wp:cNvGraphicFramePr/>
                <a:graphic xmlns:a="http://schemas.openxmlformats.org/drawingml/2006/main">
                  <a:graphicData uri="http://schemas.microsoft.com/office/word/2010/wordprocessingShape">
                    <wps:wsp>
                      <wps:cNvSpPr/>
                      <wps:spPr>
                        <a:xfrm>
                          <a:off x="0" y="0"/>
                          <a:ext cx="1764990" cy="792480"/>
                        </a:xfrm>
                        <a:prstGeom prst="rect">
                          <a:avLst/>
                        </a:prstGeom>
                        <a:solidFill>
                          <a:sysClr val="window" lastClr="FFFFFF"/>
                        </a:solidFill>
                        <a:ln w="12700" cap="flat" cmpd="sng" algn="ctr">
                          <a:solidFill>
                            <a:srgbClr val="70AD47"/>
                          </a:solidFill>
                          <a:prstDash val="solid"/>
                          <a:miter lim="800000"/>
                        </a:ln>
                        <a:effectLst/>
                      </wps:spPr>
                      <wps:txbx>
                        <w:txbxContent>
                          <w:p w14:paraId="25C42034" w14:textId="77777777" w:rsidR="00CE0A1B" w:rsidRDefault="00CE0A1B" w:rsidP="00CE0A1B">
                            <w:pPr>
                              <w:rPr>
                                <w:rFonts w:ascii="Times New Roman" w:hAnsi="Times New Roman" w:cs="Times New Roman"/>
                                <w:b/>
                                <w:sz w:val="24"/>
                                <w:szCs w:val="24"/>
                              </w:rPr>
                            </w:pPr>
                            <w:r w:rsidRPr="00591752">
                              <w:rPr>
                                <w:rFonts w:ascii="Times New Roman" w:hAnsi="Times New Roman" w:cs="Times New Roman"/>
                                <w:b/>
                                <w:sz w:val="24"/>
                                <w:szCs w:val="24"/>
                              </w:rPr>
                              <w:t>SAVIN</w:t>
                            </w:r>
                            <w:r>
                              <w:rPr>
                                <w:rFonts w:ascii="Times New Roman" w:hAnsi="Times New Roman" w:cs="Times New Roman"/>
                                <w:b/>
                                <w:sz w:val="24"/>
                                <w:szCs w:val="24"/>
                              </w:rPr>
                              <w:t>GS</w:t>
                            </w:r>
                          </w:p>
                          <w:p w14:paraId="7014397D" w14:textId="77777777" w:rsidR="00CE0A1B" w:rsidRDefault="00CE0A1B" w:rsidP="00CE0A1B">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Interest Rate</w:t>
                            </w:r>
                          </w:p>
                          <w:p w14:paraId="52EE5F01" w14:textId="77777777" w:rsidR="00CE0A1B" w:rsidRDefault="00CE0A1B" w:rsidP="00CE0A1B">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Saving Ratio</w:t>
                            </w:r>
                          </w:p>
                          <w:p w14:paraId="1DBF871A" w14:textId="77777777" w:rsidR="00CE0A1B" w:rsidRPr="00AA395B" w:rsidRDefault="00CE0A1B" w:rsidP="00CE0A1B">
                            <w:pPr>
                              <w:pStyle w:val="ListParagraph"/>
                              <w:rPr>
                                <w:rFonts w:ascii="Times New Roman" w:hAnsi="Times New Roman" w:cs="Times New Roman"/>
                                <w:b/>
                                <w:sz w:val="24"/>
                                <w:szCs w:val="24"/>
                              </w:rPr>
                            </w:pPr>
                          </w:p>
                          <w:p w14:paraId="57AEACD6" w14:textId="77777777" w:rsidR="00CE0A1B" w:rsidRDefault="00CE0A1B" w:rsidP="00CE0A1B">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3297704" w14:textId="77777777" w:rsidR="00CE0A1B" w:rsidRDefault="00CE0A1B" w:rsidP="00CE0A1B">
                            <w:pPr>
                              <w:jc w:val="center"/>
                              <w:rPr>
                                <w:rFonts w:ascii="Times New Roman" w:hAnsi="Times New Roman" w:cs="Times New Roman"/>
                                <w:b/>
                                <w:sz w:val="24"/>
                                <w:szCs w:val="24"/>
                              </w:rPr>
                            </w:pPr>
                          </w:p>
                          <w:p w14:paraId="48C7B629" w14:textId="77777777" w:rsidR="00CE0A1B" w:rsidRDefault="00CE0A1B" w:rsidP="00CE0A1B">
                            <w:pPr>
                              <w:jc w:val="center"/>
                              <w:rPr>
                                <w:rFonts w:ascii="Times New Roman" w:hAnsi="Times New Roman" w:cs="Times New Roman"/>
                                <w:b/>
                                <w:sz w:val="24"/>
                                <w:szCs w:val="24"/>
                              </w:rPr>
                            </w:pPr>
                          </w:p>
                          <w:p w14:paraId="30A41757" w14:textId="77777777" w:rsidR="00CE0A1B" w:rsidRDefault="00CE0A1B" w:rsidP="00CE0A1B">
                            <w:pPr>
                              <w:jc w:val="center"/>
                              <w:rPr>
                                <w:rFonts w:ascii="Times New Roman" w:hAnsi="Times New Roman" w:cs="Times New Roman"/>
                                <w:b/>
                                <w:sz w:val="24"/>
                                <w:szCs w:val="24"/>
                              </w:rPr>
                            </w:pPr>
                          </w:p>
                          <w:p w14:paraId="22203348" w14:textId="77777777" w:rsidR="00CE0A1B" w:rsidRDefault="00CE0A1B" w:rsidP="00CE0A1B">
                            <w:pPr>
                              <w:jc w:val="center"/>
                              <w:rPr>
                                <w:rFonts w:ascii="Times New Roman" w:hAnsi="Times New Roman" w:cs="Times New Roman"/>
                                <w:b/>
                                <w:sz w:val="24"/>
                                <w:szCs w:val="24"/>
                              </w:rPr>
                            </w:pPr>
                          </w:p>
                          <w:p w14:paraId="485C205B" w14:textId="77777777" w:rsidR="00CE0A1B" w:rsidRDefault="00CE0A1B" w:rsidP="00CE0A1B">
                            <w:pPr>
                              <w:jc w:val="center"/>
                              <w:rPr>
                                <w:rFonts w:ascii="Times New Roman" w:hAnsi="Times New Roman" w:cs="Times New Roman"/>
                                <w:b/>
                                <w:sz w:val="24"/>
                                <w:szCs w:val="24"/>
                              </w:rPr>
                            </w:pPr>
                          </w:p>
                          <w:p w14:paraId="11521CAD" w14:textId="77777777" w:rsidR="00CE0A1B" w:rsidRDefault="00CE0A1B" w:rsidP="00CE0A1B">
                            <w:pPr>
                              <w:jc w:val="center"/>
                              <w:rPr>
                                <w:rFonts w:ascii="Times New Roman" w:hAnsi="Times New Roman" w:cs="Times New Roman"/>
                                <w:b/>
                                <w:sz w:val="24"/>
                                <w:szCs w:val="24"/>
                              </w:rPr>
                            </w:pPr>
                          </w:p>
                          <w:p w14:paraId="1622D59E" w14:textId="77777777" w:rsidR="00CE0A1B" w:rsidRDefault="00CE0A1B" w:rsidP="00CE0A1B">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169CDC9" w14:textId="77777777" w:rsidR="00CE0A1B" w:rsidRDefault="00CE0A1B" w:rsidP="00CE0A1B">
                            <w:pPr>
                              <w:jc w:val="center"/>
                              <w:rPr>
                                <w:rFonts w:ascii="Times New Roman" w:hAnsi="Times New Roman" w:cs="Times New Roman"/>
                                <w:b/>
                                <w:sz w:val="24"/>
                                <w:szCs w:val="24"/>
                              </w:rPr>
                            </w:pPr>
                          </w:p>
                          <w:p w14:paraId="63088B7B" w14:textId="77777777" w:rsidR="00CE0A1B" w:rsidRDefault="00CE0A1B" w:rsidP="00CE0A1B">
                            <w:pPr>
                              <w:jc w:val="center"/>
                              <w:rPr>
                                <w:rFonts w:ascii="Times New Roman" w:hAnsi="Times New Roman" w:cs="Times New Roman"/>
                                <w:b/>
                                <w:sz w:val="24"/>
                                <w:szCs w:val="24"/>
                              </w:rPr>
                            </w:pPr>
                          </w:p>
                          <w:p w14:paraId="59DBEA5D" w14:textId="77777777" w:rsidR="00CE0A1B" w:rsidRPr="00AA395B" w:rsidRDefault="00CE0A1B" w:rsidP="00CE0A1B">
                            <w:pPr>
                              <w:jc w:val="center"/>
                              <w:rPr>
                                <w:rFonts w:ascii="Times New Roman" w:hAnsi="Times New Roman" w:cs="Times New Roman"/>
                                <w:b/>
                                <w:sz w:val="24"/>
                                <w:szCs w:val="24"/>
                              </w:rPr>
                            </w:pPr>
                          </w:p>
                          <w:p w14:paraId="64BAD537" w14:textId="77777777" w:rsidR="00CE0A1B" w:rsidRDefault="00CE0A1B" w:rsidP="00CE0A1B">
                            <w:pPr>
                              <w:jc w:val="center"/>
                              <w:rPr>
                                <w:rFonts w:ascii="Times New Roman" w:hAnsi="Times New Roman" w:cs="Times New Roman"/>
                                <w:b/>
                                <w:sz w:val="24"/>
                                <w:szCs w:val="24"/>
                              </w:rPr>
                            </w:pPr>
                          </w:p>
                          <w:p w14:paraId="6E927A3E" w14:textId="77777777" w:rsidR="00CE0A1B" w:rsidRDefault="00CE0A1B" w:rsidP="00CE0A1B">
                            <w:pPr>
                              <w:jc w:val="center"/>
                              <w:rPr>
                                <w:rFonts w:ascii="Times New Roman" w:hAnsi="Times New Roman" w:cs="Times New Roman"/>
                                <w:b/>
                                <w:sz w:val="24"/>
                                <w:szCs w:val="24"/>
                              </w:rPr>
                            </w:pPr>
                          </w:p>
                          <w:p w14:paraId="04687F82" w14:textId="77777777" w:rsidR="00CE0A1B" w:rsidRDefault="00CE0A1B" w:rsidP="00CE0A1B">
                            <w:pPr>
                              <w:jc w:val="center"/>
                              <w:rPr>
                                <w:rFonts w:ascii="Times New Roman" w:hAnsi="Times New Roman" w:cs="Times New Roman"/>
                                <w:b/>
                                <w:sz w:val="24"/>
                                <w:szCs w:val="24"/>
                              </w:rPr>
                            </w:pPr>
                          </w:p>
                          <w:p w14:paraId="37F04FC1" w14:textId="77777777" w:rsidR="00CE0A1B" w:rsidRDefault="00CE0A1B" w:rsidP="00CE0A1B">
                            <w:pPr>
                              <w:jc w:val="center"/>
                              <w:rPr>
                                <w:rFonts w:ascii="Times New Roman" w:hAnsi="Times New Roman" w:cs="Times New Roman"/>
                                <w:b/>
                                <w:sz w:val="24"/>
                                <w:szCs w:val="24"/>
                              </w:rPr>
                            </w:pPr>
                          </w:p>
                          <w:p w14:paraId="19307B6D" w14:textId="77777777" w:rsidR="00CE0A1B" w:rsidRDefault="00CE0A1B" w:rsidP="00CE0A1B">
                            <w:pPr>
                              <w:jc w:val="center"/>
                              <w:rPr>
                                <w:rFonts w:ascii="Times New Roman" w:hAnsi="Times New Roman" w:cs="Times New Roman"/>
                                <w:b/>
                                <w:sz w:val="24"/>
                                <w:szCs w:val="24"/>
                              </w:rPr>
                            </w:pPr>
                          </w:p>
                          <w:p w14:paraId="73FBD60B" w14:textId="77777777" w:rsidR="00CE0A1B" w:rsidRDefault="00CE0A1B" w:rsidP="00CE0A1B">
                            <w:pPr>
                              <w:jc w:val="center"/>
                              <w:rPr>
                                <w:rFonts w:ascii="Times New Roman" w:hAnsi="Times New Roman" w:cs="Times New Roman"/>
                                <w:b/>
                                <w:sz w:val="24"/>
                                <w:szCs w:val="24"/>
                              </w:rPr>
                            </w:pPr>
                          </w:p>
                          <w:p w14:paraId="1F4F4ED9" w14:textId="77777777" w:rsidR="00CE0A1B" w:rsidRPr="00591752" w:rsidRDefault="00CE0A1B" w:rsidP="00CE0A1B">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478A0" id="Rectangle 2" o:spid="_x0000_s1027" style="position:absolute;left:0;text-align:left;margin-left:21.35pt;margin-top:1pt;width:139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" fillcolor="window" strokecolor="#70ad47" strokeweight="1pt">
                <v:textbox>
                  <w:txbxContent>
                    <w:p w14:paraId="25C42034" w14:textId="77777777" w:rsidR="00CE0A1B" w:rsidRDefault="00CE0A1B" w:rsidP="00CE0A1B">
                      <w:pPr>
                        <w:rPr>
                          <w:rFonts w:ascii="Times New Roman" w:hAnsi="Times New Roman" w:cs="Times New Roman"/>
                          <w:b/>
                          <w:sz w:val="24"/>
                          <w:szCs w:val="24"/>
                        </w:rPr>
                      </w:pPr>
                      <w:r w:rsidRPr="00591752">
                        <w:rPr>
                          <w:rFonts w:ascii="Times New Roman" w:hAnsi="Times New Roman" w:cs="Times New Roman"/>
                          <w:b/>
                          <w:sz w:val="24"/>
                          <w:szCs w:val="24"/>
                        </w:rPr>
                        <w:t>SAVIN</w:t>
                      </w:r>
                      <w:r>
                        <w:rPr>
                          <w:rFonts w:ascii="Times New Roman" w:hAnsi="Times New Roman" w:cs="Times New Roman"/>
                          <w:b/>
                          <w:sz w:val="24"/>
                          <w:szCs w:val="24"/>
                        </w:rPr>
                        <w:t>GS</w:t>
                      </w:r>
                    </w:p>
                    <w:p w14:paraId="7014397D" w14:textId="77777777" w:rsidR="00CE0A1B" w:rsidRDefault="00CE0A1B" w:rsidP="00CE0A1B">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Interest Rate</w:t>
                      </w:r>
                    </w:p>
                    <w:p w14:paraId="52EE5F01" w14:textId="77777777" w:rsidR="00CE0A1B" w:rsidRDefault="00CE0A1B" w:rsidP="00CE0A1B">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Saving Ratio</w:t>
                      </w:r>
                    </w:p>
                    <w:p w14:paraId="1DBF871A" w14:textId="77777777" w:rsidR="00CE0A1B" w:rsidRPr="00AA395B" w:rsidRDefault="00CE0A1B" w:rsidP="00CE0A1B">
                      <w:pPr>
                        <w:pStyle w:val="ListParagraph"/>
                        <w:rPr>
                          <w:rFonts w:ascii="Times New Roman" w:hAnsi="Times New Roman" w:cs="Times New Roman"/>
                          <w:b/>
                          <w:sz w:val="24"/>
                          <w:szCs w:val="24"/>
                        </w:rPr>
                      </w:pPr>
                    </w:p>
                    <w:p w14:paraId="57AEACD6" w14:textId="77777777" w:rsidR="00CE0A1B" w:rsidRDefault="00CE0A1B" w:rsidP="00CE0A1B">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3297704" w14:textId="77777777" w:rsidR="00CE0A1B" w:rsidRDefault="00CE0A1B" w:rsidP="00CE0A1B">
                      <w:pPr>
                        <w:jc w:val="center"/>
                        <w:rPr>
                          <w:rFonts w:ascii="Times New Roman" w:hAnsi="Times New Roman" w:cs="Times New Roman"/>
                          <w:b/>
                          <w:sz w:val="24"/>
                          <w:szCs w:val="24"/>
                        </w:rPr>
                      </w:pPr>
                    </w:p>
                    <w:p w14:paraId="48C7B629" w14:textId="77777777" w:rsidR="00CE0A1B" w:rsidRDefault="00CE0A1B" w:rsidP="00CE0A1B">
                      <w:pPr>
                        <w:jc w:val="center"/>
                        <w:rPr>
                          <w:rFonts w:ascii="Times New Roman" w:hAnsi="Times New Roman" w:cs="Times New Roman"/>
                          <w:b/>
                          <w:sz w:val="24"/>
                          <w:szCs w:val="24"/>
                        </w:rPr>
                      </w:pPr>
                    </w:p>
                    <w:p w14:paraId="30A41757" w14:textId="77777777" w:rsidR="00CE0A1B" w:rsidRDefault="00CE0A1B" w:rsidP="00CE0A1B">
                      <w:pPr>
                        <w:jc w:val="center"/>
                        <w:rPr>
                          <w:rFonts w:ascii="Times New Roman" w:hAnsi="Times New Roman" w:cs="Times New Roman"/>
                          <w:b/>
                          <w:sz w:val="24"/>
                          <w:szCs w:val="24"/>
                        </w:rPr>
                      </w:pPr>
                    </w:p>
                    <w:p w14:paraId="22203348" w14:textId="77777777" w:rsidR="00CE0A1B" w:rsidRDefault="00CE0A1B" w:rsidP="00CE0A1B">
                      <w:pPr>
                        <w:jc w:val="center"/>
                        <w:rPr>
                          <w:rFonts w:ascii="Times New Roman" w:hAnsi="Times New Roman" w:cs="Times New Roman"/>
                          <w:b/>
                          <w:sz w:val="24"/>
                          <w:szCs w:val="24"/>
                        </w:rPr>
                      </w:pPr>
                    </w:p>
                    <w:p w14:paraId="485C205B" w14:textId="77777777" w:rsidR="00CE0A1B" w:rsidRDefault="00CE0A1B" w:rsidP="00CE0A1B">
                      <w:pPr>
                        <w:jc w:val="center"/>
                        <w:rPr>
                          <w:rFonts w:ascii="Times New Roman" w:hAnsi="Times New Roman" w:cs="Times New Roman"/>
                          <w:b/>
                          <w:sz w:val="24"/>
                          <w:szCs w:val="24"/>
                        </w:rPr>
                      </w:pPr>
                    </w:p>
                    <w:p w14:paraId="11521CAD" w14:textId="77777777" w:rsidR="00CE0A1B" w:rsidRDefault="00CE0A1B" w:rsidP="00CE0A1B">
                      <w:pPr>
                        <w:jc w:val="center"/>
                        <w:rPr>
                          <w:rFonts w:ascii="Times New Roman" w:hAnsi="Times New Roman" w:cs="Times New Roman"/>
                          <w:b/>
                          <w:sz w:val="24"/>
                          <w:szCs w:val="24"/>
                        </w:rPr>
                      </w:pPr>
                    </w:p>
                    <w:p w14:paraId="1622D59E" w14:textId="77777777" w:rsidR="00CE0A1B" w:rsidRDefault="00CE0A1B" w:rsidP="00CE0A1B">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169CDC9" w14:textId="77777777" w:rsidR="00CE0A1B" w:rsidRDefault="00CE0A1B" w:rsidP="00CE0A1B">
                      <w:pPr>
                        <w:jc w:val="center"/>
                        <w:rPr>
                          <w:rFonts w:ascii="Times New Roman" w:hAnsi="Times New Roman" w:cs="Times New Roman"/>
                          <w:b/>
                          <w:sz w:val="24"/>
                          <w:szCs w:val="24"/>
                        </w:rPr>
                      </w:pPr>
                    </w:p>
                    <w:p w14:paraId="63088B7B" w14:textId="77777777" w:rsidR="00CE0A1B" w:rsidRDefault="00CE0A1B" w:rsidP="00CE0A1B">
                      <w:pPr>
                        <w:jc w:val="center"/>
                        <w:rPr>
                          <w:rFonts w:ascii="Times New Roman" w:hAnsi="Times New Roman" w:cs="Times New Roman"/>
                          <w:b/>
                          <w:sz w:val="24"/>
                          <w:szCs w:val="24"/>
                        </w:rPr>
                      </w:pPr>
                    </w:p>
                    <w:p w14:paraId="59DBEA5D" w14:textId="77777777" w:rsidR="00CE0A1B" w:rsidRPr="00AA395B" w:rsidRDefault="00CE0A1B" w:rsidP="00CE0A1B">
                      <w:pPr>
                        <w:jc w:val="center"/>
                        <w:rPr>
                          <w:rFonts w:ascii="Times New Roman" w:hAnsi="Times New Roman" w:cs="Times New Roman"/>
                          <w:b/>
                          <w:sz w:val="24"/>
                          <w:szCs w:val="24"/>
                        </w:rPr>
                      </w:pPr>
                    </w:p>
                    <w:p w14:paraId="64BAD537" w14:textId="77777777" w:rsidR="00CE0A1B" w:rsidRDefault="00CE0A1B" w:rsidP="00CE0A1B">
                      <w:pPr>
                        <w:jc w:val="center"/>
                        <w:rPr>
                          <w:rFonts w:ascii="Times New Roman" w:hAnsi="Times New Roman" w:cs="Times New Roman"/>
                          <w:b/>
                          <w:sz w:val="24"/>
                          <w:szCs w:val="24"/>
                        </w:rPr>
                      </w:pPr>
                    </w:p>
                    <w:p w14:paraId="6E927A3E" w14:textId="77777777" w:rsidR="00CE0A1B" w:rsidRDefault="00CE0A1B" w:rsidP="00CE0A1B">
                      <w:pPr>
                        <w:jc w:val="center"/>
                        <w:rPr>
                          <w:rFonts w:ascii="Times New Roman" w:hAnsi="Times New Roman" w:cs="Times New Roman"/>
                          <w:b/>
                          <w:sz w:val="24"/>
                          <w:szCs w:val="24"/>
                        </w:rPr>
                      </w:pPr>
                    </w:p>
                    <w:p w14:paraId="04687F82" w14:textId="77777777" w:rsidR="00CE0A1B" w:rsidRDefault="00CE0A1B" w:rsidP="00CE0A1B">
                      <w:pPr>
                        <w:jc w:val="center"/>
                        <w:rPr>
                          <w:rFonts w:ascii="Times New Roman" w:hAnsi="Times New Roman" w:cs="Times New Roman"/>
                          <w:b/>
                          <w:sz w:val="24"/>
                          <w:szCs w:val="24"/>
                        </w:rPr>
                      </w:pPr>
                    </w:p>
                    <w:p w14:paraId="37F04FC1" w14:textId="77777777" w:rsidR="00CE0A1B" w:rsidRDefault="00CE0A1B" w:rsidP="00CE0A1B">
                      <w:pPr>
                        <w:jc w:val="center"/>
                        <w:rPr>
                          <w:rFonts w:ascii="Times New Roman" w:hAnsi="Times New Roman" w:cs="Times New Roman"/>
                          <w:b/>
                          <w:sz w:val="24"/>
                          <w:szCs w:val="24"/>
                        </w:rPr>
                      </w:pPr>
                    </w:p>
                    <w:p w14:paraId="19307B6D" w14:textId="77777777" w:rsidR="00CE0A1B" w:rsidRDefault="00CE0A1B" w:rsidP="00CE0A1B">
                      <w:pPr>
                        <w:jc w:val="center"/>
                        <w:rPr>
                          <w:rFonts w:ascii="Times New Roman" w:hAnsi="Times New Roman" w:cs="Times New Roman"/>
                          <w:b/>
                          <w:sz w:val="24"/>
                          <w:szCs w:val="24"/>
                        </w:rPr>
                      </w:pPr>
                    </w:p>
                    <w:p w14:paraId="73FBD60B" w14:textId="77777777" w:rsidR="00CE0A1B" w:rsidRDefault="00CE0A1B" w:rsidP="00CE0A1B">
                      <w:pPr>
                        <w:jc w:val="center"/>
                        <w:rPr>
                          <w:rFonts w:ascii="Times New Roman" w:hAnsi="Times New Roman" w:cs="Times New Roman"/>
                          <w:b/>
                          <w:sz w:val="24"/>
                          <w:szCs w:val="24"/>
                        </w:rPr>
                      </w:pPr>
                    </w:p>
                    <w:p w14:paraId="1F4F4ED9" w14:textId="77777777" w:rsidR="00CE0A1B" w:rsidRPr="00591752" w:rsidRDefault="00CE0A1B" w:rsidP="00CE0A1B">
                      <w:pPr>
                        <w:rPr>
                          <w:rFonts w:ascii="Times New Roman" w:hAnsi="Times New Roman" w:cs="Times New Roman"/>
                          <w:b/>
                          <w:sz w:val="24"/>
                          <w:szCs w:val="24"/>
                        </w:rPr>
                      </w:pPr>
                    </w:p>
                  </w:txbxContent>
                </v:textbox>
              </v:rect>
            </w:pict>
          </mc:Fallback>
        </mc:AlternateContent>
      </w:r>
      <w:r w:rsidR="00CE0A1B" w:rsidRPr="00BC364E">
        <w:rPr>
          <w:rFonts w:ascii="Times New Roman" w:hAnsi="Times New Roman" w:cs="Times New Roman"/>
          <w:b/>
          <w:bCs/>
          <w:noProof/>
          <w:sz w:val="24"/>
          <w:szCs w:val="24"/>
          <w:lang w:val="en-US"/>
        </w:rPr>
        <mc:AlternateContent>
          <mc:Choice Requires="wps">
            <w:drawing>
              <wp:anchor distT="0" distB="0" distL="114300" distR="114300" simplePos="0" relativeHeight="251665408" behindDoc="0" locked="0" layoutInCell="1" allowOverlap="1" wp14:anchorId="04433BF6" wp14:editId="06BA2CB0">
                <wp:simplePos x="0" y="0"/>
                <wp:positionH relativeFrom="column">
                  <wp:posOffset>1967789</wp:posOffset>
                </wp:positionH>
                <wp:positionV relativeFrom="paragraph">
                  <wp:posOffset>221996</wp:posOffset>
                </wp:positionV>
                <wp:extent cx="665683" cy="7315"/>
                <wp:effectExtent l="0" t="57150" r="39370" b="88265"/>
                <wp:wrapNone/>
                <wp:docPr id="13" name="Straight Arrow Connector 13"/>
                <wp:cNvGraphicFramePr/>
                <a:graphic xmlns:a="http://schemas.openxmlformats.org/drawingml/2006/main">
                  <a:graphicData uri="http://schemas.microsoft.com/office/word/2010/wordprocessingShape">
                    <wps:wsp>
                      <wps:cNvCnPr/>
                      <wps:spPr>
                        <a:xfrm>
                          <a:off x="0" y="0"/>
                          <a:ext cx="665683" cy="731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043F2DCF" id="_x0000_t32" coordsize="21600,21600" o:spt="32" o:oned="t" path="m,l21600,21600e" filled="f">
                <v:path arrowok="t" fillok="f" o:connecttype="none"/>
                <o:lock v:ext="edit" shapetype="t"/>
              </v:shapetype>
              <v:shape id="Straight Arrow Connector 13" o:spid="_x0000_s1026" type="#_x0000_t32" style="position:absolute;margin-left:154.95pt;margin-top:17.5pt;width:52.4pt;height:.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" strokecolor="#5b9bd5" strokeweight=".5pt">
                <v:stroke endarrow="block" joinstyle="miter"/>
              </v:shape>
            </w:pict>
          </mc:Fallback>
        </mc:AlternateContent>
      </w:r>
    </w:p>
    <w:p w14:paraId="468668ED" w14:textId="172F87BE" w:rsidR="00CE0A1B" w:rsidRPr="00BC364E" w:rsidRDefault="00CE0A1B" w:rsidP="00CE0A1B">
      <w:pPr>
        <w:spacing w:line="360" w:lineRule="auto"/>
        <w:jc w:val="both"/>
        <w:rPr>
          <w:rFonts w:ascii="Times New Roman" w:hAnsi="Times New Roman" w:cs="Times New Roman"/>
          <w:b/>
          <w:bCs/>
          <w:sz w:val="24"/>
          <w:szCs w:val="24"/>
        </w:rPr>
      </w:pPr>
    </w:p>
    <w:p w14:paraId="785D31E5" w14:textId="77777777" w:rsidR="00CE0A1B" w:rsidRDefault="00CE0A1B" w:rsidP="00CE0A1B">
      <w:pPr>
        <w:spacing w:line="360" w:lineRule="auto"/>
        <w:jc w:val="both"/>
        <w:rPr>
          <w:rFonts w:ascii="Times New Roman" w:hAnsi="Times New Roman" w:cs="Times New Roman"/>
          <w:b/>
          <w:bCs/>
          <w:sz w:val="24"/>
          <w:szCs w:val="24"/>
          <w:lang w:val="en-US"/>
        </w:rPr>
      </w:pPr>
    </w:p>
    <w:p w14:paraId="2A5016FA" w14:textId="5478980F" w:rsidR="00CE0A1B" w:rsidRPr="00FC0FCC" w:rsidRDefault="00CE0A1B" w:rsidP="00CE0A1B">
      <w:pPr>
        <w:spacing w:line="360" w:lineRule="auto"/>
        <w:jc w:val="both"/>
        <w:rPr>
          <w:rFonts w:ascii="Times New Roman" w:hAnsi="Times New Roman" w:cs="Times New Roman"/>
          <w:sz w:val="24"/>
          <w:szCs w:val="24"/>
          <w:lang w:val="en-US"/>
        </w:rPr>
      </w:pPr>
      <w:r w:rsidRPr="00FC0FCC">
        <w:rPr>
          <w:rFonts w:ascii="Times New Roman" w:hAnsi="Times New Roman" w:cs="Times New Roman"/>
          <w:sz w:val="24"/>
          <w:szCs w:val="24"/>
          <w:lang w:val="en-US"/>
        </w:rPr>
        <w:t>Source</w:t>
      </w:r>
      <w:r w:rsidR="00F47359">
        <w:rPr>
          <w:rFonts w:ascii="Times New Roman" w:hAnsi="Times New Roman" w:cs="Times New Roman"/>
          <w:sz w:val="24"/>
          <w:szCs w:val="24"/>
          <w:lang w:val="en-US"/>
        </w:rPr>
        <w:t>:</w:t>
      </w:r>
      <w:r w:rsidRPr="00FC0FCC">
        <w:rPr>
          <w:rFonts w:ascii="Times New Roman" w:hAnsi="Times New Roman" w:cs="Times New Roman"/>
          <w:sz w:val="24"/>
          <w:szCs w:val="24"/>
          <w:lang w:val="en-US"/>
        </w:rPr>
        <w:t xml:space="preserve"> </w:t>
      </w:r>
      <w:r w:rsidR="00F47359">
        <w:rPr>
          <w:rFonts w:ascii="Times New Roman" w:hAnsi="Times New Roman" w:cs="Times New Roman"/>
          <w:sz w:val="24"/>
          <w:szCs w:val="24"/>
          <w:lang w:val="en-US"/>
        </w:rPr>
        <w:t>Researche</w:t>
      </w:r>
      <w:r w:rsidRPr="00FC0FCC">
        <w:rPr>
          <w:rFonts w:ascii="Times New Roman" w:hAnsi="Times New Roman" w:cs="Times New Roman"/>
          <w:sz w:val="24"/>
          <w:szCs w:val="24"/>
          <w:lang w:val="en-US"/>
        </w:rPr>
        <w:t>r (2024)</w:t>
      </w:r>
    </w:p>
    <w:p w14:paraId="5F66658A" w14:textId="2D4813D4" w:rsidR="00CE0A1B" w:rsidRPr="00FE316A" w:rsidRDefault="00CE0A1B" w:rsidP="000F43F4">
      <w:pPr>
        <w:pStyle w:val="FIGAX"/>
      </w:pPr>
      <w:bookmarkStart w:id="8" w:name="_Toc228199561"/>
      <w:r w:rsidRPr="00FC0FCC">
        <w:t xml:space="preserve">Figure 1: </w:t>
      </w:r>
      <w:r w:rsidR="00F47359">
        <w:t>Conceptual</w:t>
      </w:r>
      <w:r w:rsidRPr="00FC0FCC">
        <w:t xml:space="preserve"> Framework</w:t>
      </w:r>
      <w:bookmarkEnd w:id="8"/>
    </w:p>
    <w:p w14:paraId="1658CDD2" w14:textId="77777777" w:rsidR="00CE0A1B" w:rsidRPr="005863D4" w:rsidRDefault="00CE0A1B" w:rsidP="009A0300">
      <w:pPr>
        <w:rPr>
          <w:rFonts w:ascii="Times" w:hAnsi="Times" w:cs="Times"/>
          <w:b/>
          <w:bCs/>
          <w:sz w:val="24"/>
          <w:szCs w:val="24"/>
        </w:rPr>
      </w:pPr>
      <w:bookmarkStart w:id="9" w:name="_Toc231854409"/>
      <w:r w:rsidRPr="005863D4">
        <w:rPr>
          <w:rFonts w:ascii="Times" w:hAnsi="Times" w:cs="Times"/>
          <w:b/>
          <w:bCs/>
          <w:sz w:val="24"/>
          <w:szCs w:val="24"/>
        </w:rPr>
        <w:t>RESEARCH METHODOLOGY</w:t>
      </w:r>
      <w:bookmarkEnd w:id="9"/>
    </w:p>
    <w:p w14:paraId="30BE79F1" w14:textId="57D8AACD" w:rsidR="00CE0A1B" w:rsidRDefault="00CE0A1B" w:rsidP="00D06A60">
      <w:pPr>
        <w:pStyle w:val="Default"/>
        <w:spacing w:line="360" w:lineRule="auto"/>
        <w:jc w:val="both"/>
      </w:pPr>
      <w:bookmarkStart w:id="10" w:name="_Toc179812534"/>
      <w:bookmarkStart w:id="11" w:name="_Toc180113076"/>
      <w:r w:rsidRPr="00BC364E">
        <w:t>The study use</w:t>
      </w:r>
      <w:r w:rsidR="00603F9E">
        <w:t>d</w:t>
      </w:r>
      <w:r w:rsidRPr="00BC364E">
        <w:t xml:space="preserve"> </w:t>
      </w:r>
      <w:r w:rsidR="00032184">
        <w:t xml:space="preserve">a </w:t>
      </w:r>
      <w:r w:rsidRPr="00BC364E">
        <w:t xml:space="preserve">descriptive research design. This design refers to a set of methods and procedures that describe variables. It involves gathering data that describe events and then </w:t>
      </w:r>
      <w:r w:rsidR="00032184">
        <w:t>organizing</w:t>
      </w:r>
      <w:r w:rsidRPr="00BC364E">
        <w:t xml:space="preserve">, </w:t>
      </w:r>
      <w:r w:rsidR="00032184">
        <w:t>tabulating</w:t>
      </w:r>
      <w:r w:rsidRPr="00BC364E">
        <w:t xml:space="preserve">, </w:t>
      </w:r>
      <w:r w:rsidR="00032184">
        <w:t>depicting</w:t>
      </w:r>
      <w:r w:rsidRPr="00BC364E">
        <w:t xml:space="preserve">, and </w:t>
      </w:r>
      <w:r w:rsidR="00032184">
        <w:t>describing</w:t>
      </w:r>
      <w:r w:rsidRPr="00BC364E">
        <w:t xml:space="preserve"> the </w:t>
      </w:r>
      <w:r w:rsidR="00A1512E" w:rsidRPr="00BC364E">
        <w:t>data.</w:t>
      </w:r>
      <w:r w:rsidRPr="00BC364E">
        <w:t xml:space="preserve"> The target population is the registered MSMEs in Kitui County, and according to the Kitui County Government Department of Trade and Industrialization</w:t>
      </w:r>
      <w:r w:rsidR="00032184">
        <w:t>,</w:t>
      </w:r>
      <w:r w:rsidRPr="00BC364E">
        <w:t xml:space="preserve"> there 1800 registered MSMEs.</w:t>
      </w:r>
      <w:r>
        <w:t xml:space="preserve"> The unit of inquiry </w:t>
      </w:r>
      <w:r w:rsidR="00032184">
        <w:t>was</w:t>
      </w:r>
      <w:r>
        <w:t xml:space="preserve"> the owners since </w:t>
      </w:r>
      <w:r w:rsidR="00032184">
        <w:t xml:space="preserve">the </w:t>
      </w:r>
      <w:r>
        <w:t xml:space="preserve">majority of them </w:t>
      </w:r>
      <w:r w:rsidR="00032184">
        <w:t>did</w:t>
      </w:r>
      <w:r>
        <w:t xml:space="preserve"> not </w:t>
      </w:r>
      <w:r w:rsidR="00032184">
        <w:t>have a</w:t>
      </w:r>
      <w:r>
        <w:t xml:space="preserve"> strong financial base to employ many workers.</w:t>
      </w:r>
      <w:bookmarkEnd w:id="10"/>
      <w:bookmarkEnd w:id="11"/>
      <w:r w:rsidR="003E6361">
        <w:t xml:space="preserve"> </w:t>
      </w:r>
      <w:r w:rsidRPr="00BC364E">
        <w:t>This study use</w:t>
      </w:r>
      <w:r>
        <w:t>d</w:t>
      </w:r>
      <w:r w:rsidRPr="00BC364E">
        <w:t xml:space="preserve"> Yamane’s formula to determine the sample size</w:t>
      </w:r>
      <w:r w:rsidR="00032184">
        <w:t>,</w:t>
      </w:r>
      <w:r w:rsidR="00A71B3C">
        <w:t xml:space="preserve"> which was </w:t>
      </w:r>
      <w:r w:rsidRPr="00BC364E">
        <w:t>327 respondents (MSMES)</w:t>
      </w:r>
      <w:r w:rsidR="00AA5C1F">
        <w:t>.</w:t>
      </w:r>
    </w:p>
    <w:p w14:paraId="6F06B1B1" w14:textId="77777777" w:rsidR="00B76037" w:rsidRDefault="00B76037" w:rsidP="00D06A60">
      <w:pPr>
        <w:pStyle w:val="Default"/>
        <w:spacing w:line="360" w:lineRule="auto"/>
        <w:jc w:val="both"/>
      </w:pPr>
    </w:p>
    <w:p w14:paraId="35982AF3" w14:textId="6C7B7DDC" w:rsidR="00CE0A1B" w:rsidRPr="00425B22" w:rsidRDefault="005863D4" w:rsidP="00C07CDF">
      <w:pPr>
        <w:rPr>
          <w:rFonts w:ascii="Times" w:hAnsi="Times" w:cs="Times"/>
          <w:b/>
          <w:bCs/>
          <w:sz w:val="24"/>
          <w:szCs w:val="24"/>
        </w:rPr>
      </w:pPr>
      <w:r w:rsidRPr="00425B22">
        <w:rPr>
          <w:rFonts w:ascii="Times" w:hAnsi="Times" w:cs="Times"/>
          <w:b/>
          <w:bCs/>
          <w:sz w:val="24"/>
          <w:szCs w:val="24"/>
        </w:rPr>
        <w:t>RESULTS AND DISCUSSION</w:t>
      </w:r>
      <w:r w:rsidR="00425B22" w:rsidRPr="00425B22">
        <w:rPr>
          <w:rFonts w:ascii="Times" w:hAnsi="Times" w:cs="Times"/>
          <w:b/>
          <w:bCs/>
          <w:sz w:val="24"/>
          <w:szCs w:val="24"/>
        </w:rPr>
        <w:t>S</w:t>
      </w:r>
    </w:p>
    <w:p w14:paraId="29B472DD" w14:textId="2788D9DC" w:rsidR="00CE0A1B" w:rsidRPr="00525E13" w:rsidRDefault="00CE0A1B" w:rsidP="00CE0A1B">
      <w:pPr>
        <w:pStyle w:val="Tablez"/>
        <w:rPr>
          <w:sz w:val="22"/>
        </w:rPr>
      </w:pPr>
      <w:bookmarkStart w:id="12" w:name="_Toc228199215"/>
      <w:r w:rsidRPr="00525E13">
        <w:t>Table</w:t>
      </w:r>
      <w:r w:rsidRPr="002A01B4">
        <w:t xml:space="preserve"> </w:t>
      </w:r>
      <w:r w:rsidR="00A34D62">
        <w:t>1</w:t>
      </w:r>
      <w:r w:rsidRPr="002A01B4">
        <w:t>:</w:t>
      </w:r>
      <w:r>
        <w:t xml:space="preserve"> </w:t>
      </w:r>
      <w:r w:rsidRPr="0096583B">
        <w:t xml:space="preserve">Descriptive statistics of </w:t>
      </w:r>
      <w:r w:rsidR="006419C0">
        <w:t>Saving</w:t>
      </w:r>
      <w:r>
        <w:t xml:space="preserve"> </w:t>
      </w:r>
      <w:r w:rsidR="006419C0">
        <w:t>L</w:t>
      </w:r>
      <w:r>
        <w:t>iteracy</w:t>
      </w:r>
      <w:bookmarkEnd w:id="12"/>
    </w:p>
    <w:tbl>
      <w:tblPr>
        <w:tblW w:w="8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86"/>
        <w:gridCol w:w="992"/>
        <w:gridCol w:w="851"/>
        <w:gridCol w:w="992"/>
        <w:gridCol w:w="992"/>
        <w:gridCol w:w="1134"/>
      </w:tblGrid>
      <w:tr w:rsidR="006419C0" w:rsidRPr="00D072C4" w14:paraId="57CA0309" w14:textId="77777777" w:rsidTr="00E53306">
        <w:trPr>
          <w:cantSplit/>
        </w:trPr>
        <w:tc>
          <w:tcPr>
            <w:tcW w:w="3686" w:type="dxa"/>
            <w:tcBorders>
              <w:top w:val="single" w:sz="4" w:space="0" w:color="auto"/>
              <w:left w:val="nil"/>
              <w:bottom w:val="single" w:sz="4" w:space="0" w:color="auto"/>
              <w:right w:val="nil"/>
            </w:tcBorders>
            <w:shd w:val="clear" w:color="auto" w:fill="FFFFFF"/>
          </w:tcPr>
          <w:p w14:paraId="1F70E9C6" w14:textId="77777777" w:rsidR="006419C0" w:rsidRPr="00D072C4" w:rsidRDefault="006419C0" w:rsidP="00E53306">
            <w:pPr>
              <w:spacing w:after="0" w:line="360" w:lineRule="auto"/>
              <w:jc w:val="both"/>
              <w:rPr>
                <w:rFonts w:ascii="Times New Roman" w:hAnsi="Times New Roman" w:cs="Times New Roman"/>
                <w:sz w:val="24"/>
                <w:szCs w:val="24"/>
              </w:rPr>
            </w:pPr>
          </w:p>
        </w:tc>
        <w:tc>
          <w:tcPr>
            <w:tcW w:w="992" w:type="dxa"/>
            <w:tcBorders>
              <w:top w:val="single" w:sz="4" w:space="0" w:color="auto"/>
              <w:left w:val="nil"/>
              <w:bottom w:val="single" w:sz="4" w:space="0" w:color="auto"/>
              <w:right w:val="nil"/>
            </w:tcBorders>
            <w:shd w:val="clear" w:color="auto" w:fill="FFFFFF"/>
          </w:tcPr>
          <w:p w14:paraId="49C5109E"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N</w:t>
            </w:r>
          </w:p>
        </w:tc>
        <w:tc>
          <w:tcPr>
            <w:tcW w:w="851" w:type="dxa"/>
            <w:tcBorders>
              <w:top w:val="single" w:sz="4" w:space="0" w:color="auto"/>
              <w:left w:val="nil"/>
              <w:bottom w:val="single" w:sz="4" w:space="0" w:color="auto"/>
              <w:right w:val="nil"/>
            </w:tcBorders>
            <w:shd w:val="clear" w:color="auto" w:fill="FFFFFF"/>
          </w:tcPr>
          <w:p w14:paraId="281B6660"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Min</w:t>
            </w:r>
          </w:p>
        </w:tc>
        <w:tc>
          <w:tcPr>
            <w:tcW w:w="992" w:type="dxa"/>
            <w:tcBorders>
              <w:top w:val="single" w:sz="4" w:space="0" w:color="auto"/>
              <w:left w:val="nil"/>
              <w:bottom w:val="single" w:sz="4" w:space="0" w:color="auto"/>
              <w:right w:val="nil"/>
            </w:tcBorders>
            <w:shd w:val="clear" w:color="auto" w:fill="FFFFFF"/>
          </w:tcPr>
          <w:p w14:paraId="3E3336B5"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Max</w:t>
            </w:r>
          </w:p>
        </w:tc>
        <w:tc>
          <w:tcPr>
            <w:tcW w:w="992" w:type="dxa"/>
            <w:tcBorders>
              <w:top w:val="single" w:sz="4" w:space="0" w:color="auto"/>
              <w:left w:val="nil"/>
              <w:bottom w:val="single" w:sz="4" w:space="0" w:color="auto"/>
              <w:right w:val="nil"/>
            </w:tcBorders>
            <w:shd w:val="clear" w:color="auto" w:fill="FFFFFF"/>
          </w:tcPr>
          <w:p w14:paraId="4DC6A2AF"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Mean</w:t>
            </w:r>
          </w:p>
        </w:tc>
        <w:tc>
          <w:tcPr>
            <w:tcW w:w="1134" w:type="dxa"/>
            <w:tcBorders>
              <w:top w:val="single" w:sz="4" w:space="0" w:color="auto"/>
              <w:left w:val="nil"/>
              <w:bottom w:val="single" w:sz="4" w:space="0" w:color="auto"/>
              <w:right w:val="nil"/>
            </w:tcBorders>
            <w:shd w:val="clear" w:color="auto" w:fill="FFFFFF"/>
          </w:tcPr>
          <w:p w14:paraId="585BE0C0"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Std. Dev</w:t>
            </w:r>
          </w:p>
        </w:tc>
      </w:tr>
      <w:tr w:rsidR="006419C0" w:rsidRPr="00D072C4" w14:paraId="6153A79F" w14:textId="77777777" w:rsidTr="00E53306">
        <w:trPr>
          <w:cantSplit/>
        </w:trPr>
        <w:tc>
          <w:tcPr>
            <w:tcW w:w="3686" w:type="dxa"/>
            <w:tcBorders>
              <w:top w:val="single" w:sz="4" w:space="0" w:color="auto"/>
              <w:left w:val="nil"/>
              <w:bottom w:val="nil"/>
              <w:right w:val="nil"/>
            </w:tcBorders>
            <w:shd w:val="clear" w:color="auto" w:fill="FFFFFF"/>
            <w:vAlign w:val="center"/>
          </w:tcPr>
          <w:p w14:paraId="7BE34F93" w14:textId="77777777" w:rsidR="006419C0" w:rsidRPr="00D072C4" w:rsidRDefault="006419C0" w:rsidP="00E53306">
            <w:pPr>
              <w:spacing w:after="0" w:line="360" w:lineRule="auto"/>
              <w:jc w:val="both"/>
              <w:rPr>
                <w:rFonts w:ascii="Times New Roman" w:hAnsi="Times New Roman" w:cs="Times New Roman"/>
                <w:sz w:val="24"/>
                <w:szCs w:val="24"/>
              </w:rPr>
            </w:pPr>
            <w:r w:rsidRPr="00D072C4">
              <w:rPr>
                <w:rFonts w:ascii="Times New Roman" w:hAnsi="Times New Roman" w:cs="Times New Roman"/>
                <w:sz w:val="24"/>
                <w:szCs w:val="24"/>
              </w:rPr>
              <w:t>I regularly set aside a portion of business income as savings.</w:t>
            </w:r>
          </w:p>
        </w:tc>
        <w:tc>
          <w:tcPr>
            <w:tcW w:w="992" w:type="dxa"/>
            <w:tcBorders>
              <w:top w:val="single" w:sz="4" w:space="0" w:color="auto"/>
              <w:left w:val="nil"/>
              <w:bottom w:val="nil"/>
              <w:right w:val="nil"/>
            </w:tcBorders>
            <w:shd w:val="clear" w:color="auto" w:fill="FFFFFF"/>
            <w:vAlign w:val="center"/>
          </w:tcPr>
          <w:p w14:paraId="5A70BC67"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284</w:t>
            </w:r>
          </w:p>
        </w:tc>
        <w:tc>
          <w:tcPr>
            <w:tcW w:w="851" w:type="dxa"/>
            <w:tcBorders>
              <w:top w:val="single" w:sz="4" w:space="0" w:color="auto"/>
              <w:left w:val="nil"/>
              <w:bottom w:val="nil"/>
              <w:right w:val="nil"/>
            </w:tcBorders>
            <w:shd w:val="clear" w:color="auto" w:fill="FFFFFF"/>
            <w:vAlign w:val="center"/>
          </w:tcPr>
          <w:p w14:paraId="31F89AF4"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1</w:t>
            </w:r>
          </w:p>
        </w:tc>
        <w:tc>
          <w:tcPr>
            <w:tcW w:w="992" w:type="dxa"/>
            <w:tcBorders>
              <w:top w:val="single" w:sz="4" w:space="0" w:color="auto"/>
              <w:left w:val="nil"/>
              <w:bottom w:val="nil"/>
              <w:right w:val="nil"/>
            </w:tcBorders>
            <w:shd w:val="clear" w:color="auto" w:fill="FFFFFF"/>
            <w:vAlign w:val="center"/>
          </w:tcPr>
          <w:p w14:paraId="295D4CD2"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5</w:t>
            </w:r>
          </w:p>
        </w:tc>
        <w:tc>
          <w:tcPr>
            <w:tcW w:w="992" w:type="dxa"/>
            <w:tcBorders>
              <w:top w:val="single" w:sz="4" w:space="0" w:color="auto"/>
              <w:left w:val="nil"/>
              <w:bottom w:val="nil"/>
              <w:right w:val="nil"/>
            </w:tcBorders>
            <w:shd w:val="clear" w:color="auto" w:fill="FFFFFF"/>
            <w:vAlign w:val="center"/>
          </w:tcPr>
          <w:p w14:paraId="7B58E762"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3.11</w:t>
            </w:r>
          </w:p>
        </w:tc>
        <w:tc>
          <w:tcPr>
            <w:tcW w:w="1134" w:type="dxa"/>
            <w:tcBorders>
              <w:top w:val="single" w:sz="4" w:space="0" w:color="auto"/>
              <w:left w:val="nil"/>
              <w:bottom w:val="nil"/>
              <w:right w:val="nil"/>
            </w:tcBorders>
            <w:shd w:val="clear" w:color="auto" w:fill="FFFFFF"/>
            <w:vAlign w:val="center"/>
          </w:tcPr>
          <w:p w14:paraId="1CB1854D"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1.465</w:t>
            </w:r>
          </w:p>
        </w:tc>
      </w:tr>
      <w:tr w:rsidR="006419C0" w:rsidRPr="00D072C4" w14:paraId="47D35001" w14:textId="77777777" w:rsidTr="00E53306">
        <w:trPr>
          <w:cantSplit/>
        </w:trPr>
        <w:tc>
          <w:tcPr>
            <w:tcW w:w="3686" w:type="dxa"/>
            <w:tcBorders>
              <w:top w:val="nil"/>
              <w:left w:val="nil"/>
              <w:bottom w:val="nil"/>
              <w:right w:val="nil"/>
            </w:tcBorders>
            <w:shd w:val="clear" w:color="auto" w:fill="FFFFFF"/>
            <w:vAlign w:val="center"/>
          </w:tcPr>
          <w:p w14:paraId="615277FE" w14:textId="77777777" w:rsidR="006419C0" w:rsidRPr="00D072C4" w:rsidRDefault="006419C0" w:rsidP="00E53306">
            <w:pPr>
              <w:spacing w:after="0" w:line="360" w:lineRule="auto"/>
              <w:jc w:val="both"/>
              <w:rPr>
                <w:rFonts w:ascii="Times New Roman" w:hAnsi="Times New Roman" w:cs="Times New Roman"/>
                <w:sz w:val="24"/>
                <w:szCs w:val="24"/>
              </w:rPr>
            </w:pPr>
            <w:r w:rsidRPr="00D072C4">
              <w:rPr>
                <w:rFonts w:ascii="Times New Roman" w:hAnsi="Times New Roman" w:cs="Times New Roman"/>
                <w:sz w:val="24"/>
                <w:szCs w:val="24"/>
              </w:rPr>
              <w:t>My business relies on savings as a key source of reinvestment capital.</w:t>
            </w:r>
          </w:p>
        </w:tc>
        <w:tc>
          <w:tcPr>
            <w:tcW w:w="992" w:type="dxa"/>
            <w:tcBorders>
              <w:top w:val="nil"/>
              <w:left w:val="nil"/>
              <w:bottom w:val="nil"/>
              <w:right w:val="nil"/>
            </w:tcBorders>
            <w:shd w:val="clear" w:color="auto" w:fill="FFFFFF"/>
            <w:vAlign w:val="center"/>
          </w:tcPr>
          <w:p w14:paraId="33D2476E"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284</w:t>
            </w:r>
          </w:p>
        </w:tc>
        <w:tc>
          <w:tcPr>
            <w:tcW w:w="851" w:type="dxa"/>
            <w:tcBorders>
              <w:top w:val="nil"/>
              <w:left w:val="nil"/>
              <w:bottom w:val="nil"/>
              <w:right w:val="nil"/>
            </w:tcBorders>
            <w:shd w:val="clear" w:color="auto" w:fill="FFFFFF"/>
            <w:vAlign w:val="center"/>
          </w:tcPr>
          <w:p w14:paraId="250B1FFA"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1</w:t>
            </w:r>
          </w:p>
        </w:tc>
        <w:tc>
          <w:tcPr>
            <w:tcW w:w="992" w:type="dxa"/>
            <w:tcBorders>
              <w:top w:val="nil"/>
              <w:left w:val="nil"/>
              <w:bottom w:val="nil"/>
              <w:right w:val="nil"/>
            </w:tcBorders>
            <w:shd w:val="clear" w:color="auto" w:fill="FFFFFF"/>
            <w:vAlign w:val="center"/>
          </w:tcPr>
          <w:p w14:paraId="36D68B91"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5</w:t>
            </w:r>
          </w:p>
        </w:tc>
        <w:tc>
          <w:tcPr>
            <w:tcW w:w="992" w:type="dxa"/>
            <w:tcBorders>
              <w:top w:val="nil"/>
              <w:left w:val="nil"/>
              <w:bottom w:val="nil"/>
              <w:right w:val="nil"/>
            </w:tcBorders>
            <w:shd w:val="clear" w:color="auto" w:fill="FFFFFF"/>
            <w:vAlign w:val="center"/>
          </w:tcPr>
          <w:p w14:paraId="5FB51A08" w14:textId="77777777" w:rsidR="006419C0" w:rsidRPr="00D072C4" w:rsidRDefault="006419C0" w:rsidP="00E5330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r w:rsidRPr="00D072C4">
              <w:rPr>
                <w:rFonts w:ascii="Times New Roman" w:hAnsi="Times New Roman" w:cs="Times New Roman"/>
                <w:sz w:val="24"/>
                <w:szCs w:val="24"/>
              </w:rPr>
              <w:t>.03</w:t>
            </w:r>
          </w:p>
        </w:tc>
        <w:tc>
          <w:tcPr>
            <w:tcW w:w="1134" w:type="dxa"/>
            <w:tcBorders>
              <w:top w:val="nil"/>
              <w:left w:val="nil"/>
              <w:bottom w:val="nil"/>
              <w:right w:val="nil"/>
            </w:tcBorders>
            <w:shd w:val="clear" w:color="auto" w:fill="FFFFFF"/>
            <w:vAlign w:val="center"/>
          </w:tcPr>
          <w:p w14:paraId="41B49560"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1.426</w:t>
            </w:r>
          </w:p>
        </w:tc>
      </w:tr>
      <w:tr w:rsidR="006419C0" w:rsidRPr="00D072C4" w14:paraId="7DCA09C4" w14:textId="77777777" w:rsidTr="00E53306">
        <w:trPr>
          <w:cantSplit/>
        </w:trPr>
        <w:tc>
          <w:tcPr>
            <w:tcW w:w="3686" w:type="dxa"/>
            <w:tcBorders>
              <w:top w:val="nil"/>
              <w:left w:val="nil"/>
              <w:bottom w:val="nil"/>
              <w:right w:val="nil"/>
            </w:tcBorders>
            <w:shd w:val="clear" w:color="auto" w:fill="FFFFFF"/>
            <w:vAlign w:val="center"/>
          </w:tcPr>
          <w:p w14:paraId="10B0FED2" w14:textId="77777777" w:rsidR="006419C0" w:rsidRPr="00D072C4" w:rsidRDefault="006419C0" w:rsidP="00E53306">
            <w:pPr>
              <w:spacing w:after="0" w:line="360" w:lineRule="auto"/>
              <w:jc w:val="both"/>
              <w:rPr>
                <w:rFonts w:ascii="Times New Roman" w:hAnsi="Times New Roman" w:cs="Times New Roman"/>
                <w:sz w:val="24"/>
                <w:szCs w:val="24"/>
              </w:rPr>
            </w:pPr>
            <w:r w:rsidRPr="00D072C4">
              <w:rPr>
                <w:rFonts w:ascii="Times New Roman" w:hAnsi="Times New Roman" w:cs="Times New Roman"/>
                <w:sz w:val="24"/>
                <w:szCs w:val="24"/>
              </w:rPr>
              <w:t>I understand the importance of interest rates when choosing a savings account.</w:t>
            </w:r>
          </w:p>
        </w:tc>
        <w:tc>
          <w:tcPr>
            <w:tcW w:w="992" w:type="dxa"/>
            <w:tcBorders>
              <w:top w:val="nil"/>
              <w:left w:val="nil"/>
              <w:bottom w:val="nil"/>
              <w:right w:val="nil"/>
            </w:tcBorders>
            <w:shd w:val="clear" w:color="auto" w:fill="FFFFFF"/>
            <w:vAlign w:val="center"/>
          </w:tcPr>
          <w:p w14:paraId="712C8A90"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284</w:t>
            </w:r>
          </w:p>
        </w:tc>
        <w:tc>
          <w:tcPr>
            <w:tcW w:w="851" w:type="dxa"/>
            <w:tcBorders>
              <w:top w:val="nil"/>
              <w:left w:val="nil"/>
              <w:bottom w:val="nil"/>
              <w:right w:val="nil"/>
            </w:tcBorders>
            <w:shd w:val="clear" w:color="auto" w:fill="FFFFFF"/>
            <w:vAlign w:val="center"/>
          </w:tcPr>
          <w:p w14:paraId="54CCB311"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1</w:t>
            </w:r>
          </w:p>
        </w:tc>
        <w:tc>
          <w:tcPr>
            <w:tcW w:w="992" w:type="dxa"/>
            <w:tcBorders>
              <w:top w:val="nil"/>
              <w:left w:val="nil"/>
              <w:bottom w:val="nil"/>
              <w:right w:val="nil"/>
            </w:tcBorders>
            <w:shd w:val="clear" w:color="auto" w:fill="FFFFFF"/>
            <w:vAlign w:val="center"/>
          </w:tcPr>
          <w:p w14:paraId="4BFE7DA6"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5</w:t>
            </w:r>
          </w:p>
        </w:tc>
        <w:tc>
          <w:tcPr>
            <w:tcW w:w="992" w:type="dxa"/>
            <w:tcBorders>
              <w:top w:val="nil"/>
              <w:left w:val="nil"/>
              <w:bottom w:val="nil"/>
              <w:right w:val="nil"/>
            </w:tcBorders>
            <w:shd w:val="clear" w:color="auto" w:fill="FFFFFF"/>
            <w:vAlign w:val="center"/>
          </w:tcPr>
          <w:p w14:paraId="7D272769"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3.10</w:t>
            </w:r>
          </w:p>
        </w:tc>
        <w:tc>
          <w:tcPr>
            <w:tcW w:w="1134" w:type="dxa"/>
            <w:tcBorders>
              <w:top w:val="nil"/>
              <w:left w:val="nil"/>
              <w:bottom w:val="nil"/>
              <w:right w:val="nil"/>
            </w:tcBorders>
            <w:shd w:val="clear" w:color="auto" w:fill="FFFFFF"/>
            <w:vAlign w:val="center"/>
          </w:tcPr>
          <w:p w14:paraId="621FECBD"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1.460</w:t>
            </w:r>
          </w:p>
        </w:tc>
      </w:tr>
      <w:tr w:rsidR="006419C0" w:rsidRPr="00D072C4" w14:paraId="7A3C2F93" w14:textId="77777777" w:rsidTr="00E53306">
        <w:trPr>
          <w:cantSplit/>
        </w:trPr>
        <w:tc>
          <w:tcPr>
            <w:tcW w:w="3686" w:type="dxa"/>
            <w:tcBorders>
              <w:top w:val="nil"/>
              <w:left w:val="nil"/>
              <w:bottom w:val="nil"/>
              <w:right w:val="nil"/>
            </w:tcBorders>
            <w:shd w:val="clear" w:color="auto" w:fill="FFFFFF"/>
            <w:vAlign w:val="center"/>
          </w:tcPr>
          <w:p w14:paraId="4AE58EC0" w14:textId="77777777" w:rsidR="006419C0" w:rsidRPr="00D072C4" w:rsidRDefault="006419C0" w:rsidP="00E53306">
            <w:pPr>
              <w:spacing w:after="0" w:line="360" w:lineRule="auto"/>
              <w:jc w:val="both"/>
              <w:rPr>
                <w:rFonts w:ascii="Times New Roman" w:hAnsi="Times New Roman" w:cs="Times New Roman"/>
                <w:sz w:val="24"/>
                <w:szCs w:val="24"/>
              </w:rPr>
            </w:pPr>
            <w:r w:rsidRPr="00D072C4">
              <w:rPr>
                <w:rFonts w:ascii="Times New Roman" w:hAnsi="Times New Roman" w:cs="Times New Roman"/>
                <w:sz w:val="24"/>
                <w:szCs w:val="24"/>
              </w:rPr>
              <w:t>My business has a structured savings plan.</w:t>
            </w:r>
          </w:p>
        </w:tc>
        <w:tc>
          <w:tcPr>
            <w:tcW w:w="992" w:type="dxa"/>
            <w:tcBorders>
              <w:top w:val="nil"/>
              <w:left w:val="nil"/>
              <w:bottom w:val="nil"/>
              <w:right w:val="nil"/>
            </w:tcBorders>
            <w:shd w:val="clear" w:color="auto" w:fill="FFFFFF"/>
            <w:vAlign w:val="center"/>
          </w:tcPr>
          <w:p w14:paraId="63A240FA"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284</w:t>
            </w:r>
          </w:p>
        </w:tc>
        <w:tc>
          <w:tcPr>
            <w:tcW w:w="851" w:type="dxa"/>
            <w:tcBorders>
              <w:top w:val="nil"/>
              <w:left w:val="nil"/>
              <w:bottom w:val="nil"/>
              <w:right w:val="nil"/>
            </w:tcBorders>
            <w:shd w:val="clear" w:color="auto" w:fill="FFFFFF"/>
            <w:vAlign w:val="center"/>
          </w:tcPr>
          <w:p w14:paraId="62A39FDE"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1</w:t>
            </w:r>
          </w:p>
        </w:tc>
        <w:tc>
          <w:tcPr>
            <w:tcW w:w="992" w:type="dxa"/>
            <w:tcBorders>
              <w:top w:val="nil"/>
              <w:left w:val="nil"/>
              <w:bottom w:val="nil"/>
              <w:right w:val="nil"/>
            </w:tcBorders>
            <w:shd w:val="clear" w:color="auto" w:fill="FFFFFF"/>
            <w:vAlign w:val="center"/>
          </w:tcPr>
          <w:p w14:paraId="3A38FAD0"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5</w:t>
            </w:r>
          </w:p>
        </w:tc>
        <w:tc>
          <w:tcPr>
            <w:tcW w:w="992" w:type="dxa"/>
            <w:tcBorders>
              <w:top w:val="nil"/>
              <w:left w:val="nil"/>
              <w:bottom w:val="nil"/>
              <w:right w:val="nil"/>
            </w:tcBorders>
            <w:shd w:val="clear" w:color="auto" w:fill="FFFFFF"/>
            <w:vAlign w:val="center"/>
          </w:tcPr>
          <w:p w14:paraId="36FADE5F"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3.08</w:t>
            </w:r>
          </w:p>
        </w:tc>
        <w:tc>
          <w:tcPr>
            <w:tcW w:w="1134" w:type="dxa"/>
            <w:tcBorders>
              <w:top w:val="nil"/>
              <w:left w:val="nil"/>
              <w:bottom w:val="nil"/>
              <w:right w:val="nil"/>
            </w:tcBorders>
            <w:shd w:val="clear" w:color="auto" w:fill="FFFFFF"/>
            <w:vAlign w:val="center"/>
          </w:tcPr>
          <w:p w14:paraId="5131B010"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1.441</w:t>
            </w:r>
          </w:p>
        </w:tc>
      </w:tr>
      <w:tr w:rsidR="006419C0" w:rsidRPr="00D072C4" w14:paraId="0A0EEC55" w14:textId="77777777" w:rsidTr="00E53306">
        <w:trPr>
          <w:cantSplit/>
        </w:trPr>
        <w:tc>
          <w:tcPr>
            <w:tcW w:w="3686" w:type="dxa"/>
            <w:tcBorders>
              <w:top w:val="nil"/>
              <w:left w:val="nil"/>
              <w:bottom w:val="nil"/>
              <w:right w:val="nil"/>
            </w:tcBorders>
            <w:shd w:val="clear" w:color="auto" w:fill="FFFFFF"/>
            <w:vAlign w:val="center"/>
          </w:tcPr>
          <w:p w14:paraId="71FA0B77" w14:textId="77777777" w:rsidR="006419C0" w:rsidRPr="00D072C4" w:rsidRDefault="006419C0" w:rsidP="00E53306">
            <w:pPr>
              <w:spacing w:after="0" w:line="360" w:lineRule="auto"/>
              <w:jc w:val="both"/>
              <w:rPr>
                <w:rFonts w:ascii="Times New Roman" w:hAnsi="Times New Roman" w:cs="Times New Roman"/>
                <w:sz w:val="24"/>
                <w:szCs w:val="24"/>
              </w:rPr>
            </w:pPr>
            <w:r w:rsidRPr="00D072C4">
              <w:rPr>
                <w:rFonts w:ascii="Times New Roman" w:hAnsi="Times New Roman" w:cs="Times New Roman"/>
                <w:sz w:val="24"/>
                <w:szCs w:val="24"/>
              </w:rPr>
              <w:t>Savings have contributed to my business's financial stability and growth.</w:t>
            </w:r>
          </w:p>
        </w:tc>
        <w:tc>
          <w:tcPr>
            <w:tcW w:w="992" w:type="dxa"/>
            <w:tcBorders>
              <w:top w:val="nil"/>
              <w:left w:val="nil"/>
              <w:bottom w:val="nil"/>
              <w:right w:val="nil"/>
            </w:tcBorders>
            <w:shd w:val="clear" w:color="auto" w:fill="FFFFFF"/>
            <w:vAlign w:val="center"/>
          </w:tcPr>
          <w:p w14:paraId="2096D82E"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284</w:t>
            </w:r>
          </w:p>
        </w:tc>
        <w:tc>
          <w:tcPr>
            <w:tcW w:w="851" w:type="dxa"/>
            <w:tcBorders>
              <w:top w:val="nil"/>
              <w:left w:val="nil"/>
              <w:bottom w:val="nil"/>
              <w:right w:val="nil"/>
            </w:tcBorders>
            <w:shd w:val="clear" w:color="auto" w:fill="FFFFFF"/>
            <w:vAlign w:val="center"/>
          </w:tcPr>
          <w:p w14:paraId="55F0319B"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1</w:t>
            </w:r>
          </w:p>
        </w:tc>
        <w:tc>
          <w:tcPr>
            <w:tcW w:w="992" w:type="dxa"/>
            <w:tcBorders>
              <w:top w:val="nil"/>
              <w:left w:val="nil"/>
              <w:bottom w:val="nil"/>
              <w:right w:val="nil"/>
            </w:tcBorders>
            <w:shd w:val="clear" w:color="auto" w:fill="FFFFFF"/>
            <w:vAlign w:val="center"/>
          </w:tcPr>
          <w:p w14:paraId="7AABD96D"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5</w:t>
            </w:r>
          </w:p>
        </w:tc>
        <w:tc>
          <w:tcPr>
            <w:tcW w:w="992" w:type="dxa"/>
            <w:tcBorders>
              <w:top w:val="nil"/>
              <w:left w:val="nil"/>
              <w:bottom w:val="nil"/>
              <w:right w:val="nil"/>
            </w:tcBorders>
            <w:shd w:val="clear" w:color="auto" w:fill="FFFFFF"/>
            <w:vAlign w:val="center"/>
          </w:tcPr>
          <w:p w14:paraId="2DC12DCC" w14:textId="77777777" w:rsidR="006419C0" w:rsidRPr="00D072C4" w:rsidRDefault="006419C0" w:rsidP="00E5330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r w:rsidRPr="00D072C4">
              <w:rPr>
                <w:rFonts w:ascii="Times New Roman" w:hAnsi="Times New Roman" w:cs="Times New Roman"/>
                <w:sz w:val="24"/>
                <w:szCs w:val="24"/>
              </w:rPr>
              <w:t>.00</w:t>
            </w:r>
          </w:p>
        </w:tc>
        <w:tc>
          <w:tcPr>
            <w:tcW w:w="1134" w:type="dxa"/>
            <w:tcBorders>
              <w:top w:val="nil"/>
              <w:left w:val="nil"/>
              <w:bottom w:val="nil"/>
              <w:right w:val="nil"/>
            </w:tcBorders>
            <w:shd w:val="clear" w:color="auto" w:fill="FFFFFF"/>
            <w:vAlign w:val="center"/>
          </w:tcPr>
          <w:p w14:paraId="6706C70B"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1.434</w:t>
            </w:r>
          </w:p>
        </w:tc>
      </w:tr>
      <w:tr w:rsidR="006419C0" w:rsidRPr="00D072C4" w14:paraId="7F1DCB96" w14:textId="77777777" w:rsidTr="00E53306">
        <w:trPr>
          <w:cantSplit/>
        </w:trPr>
        <w:tc>
          <w:tcPr>
            <w:tcW w:w="3686" w:type="dxa"/>
            <w:tcBorders>
              <w:top w:val="nil"/>
              <w:left w:val="nil"/>
              <w:bottom w:val="single" w:sz="4" w:space="0" w:color="auto"/>
              <w:right w:val="nil"/>
            </w:tcBorders>
            <w:shd w:val="clear" w:color="auto" w:fill="FFFFFF"/>
            <w:vAlign w:val="center"/>
          </w:tcPr>
          <w:p w14:paraId="798D2B9A" w14:textId="77777777" w:rsidR="006419C0" w:rsidRPr="00D072C4" w:rsidRDefault="006419C0" w:rsidP="00E53306">
            <w:pPr>
              <w:spacing w:after="0" w:line="360" w:lineRule="auto"/>
              <w:jc w:val="both"/>
              <w:rPr>
                <w:rFonts w:ascii="Times New Roman" w:hAnsi="Times New Roman" w:cs="Times New Roman"/>
                <w:sz w:val="24"/>
                <w:szCs w:val="24"/>
              </w:rPr>
            </w:pPr>
            <w:r w:rsidRPr="00D072C4">
              <w:rPr>
                <w:rFonts w:ascii="Times New Roman" w:hAnsi="Times New Roman" w:cs="Times New Roman"/>
                <w:sz w:val="24"/>
                <w:szCs w:val="24"/>
              </w:rPr>
              <w:t>Valid N (listwise)</w:t>
            </w:r>
          </w:p>
        </w:tc>
        <w:tc>
          <w:tcPr>
            <w:tcW w:w="992" w:type="dxa"/>
            <w:tcBorders>
              <w:top w:val="nil"/>
              <w:left w:val="nil"/>
              <w:bottom w:val="single" w:sz="4" w:space="0" w:color="auto"/>
              <w:right w:val="nil"/>
            </w:tcBorders>
            <w:shd w:val="clear" w:color="auto" w:fill="FFFFFF"/>
            <w:vAlign w:val="center"/>
          </w:tcPr>
          <w:p w14:paraId="37CEB206" w14:textId="77777777" w:rsidR="006419C0" w:rsidRPr="00D072C4" w:rsidRDefault="006419C0" w:rsidP="00E53306">
            <w:pPr>
              <w:spacing w:after="0" w:line="360" w:lineRule="auto"/>
              <w:jc w:val="center"/>
              <w:rPr>
                <w:rFonts w:ascii="Times New Roman" w:hAnsi="Times New Roman" w:cs="Times New Roman"/>
                <w:sz w:val="24"/>
                <w:szCs w:val="24"/>
              </w:rPr>
            </w:pPr>
            <w:r w:rsidRPr="00D072C4">
              <w:rPr>
                <w:rFonts w:ascii="Times New Roman" w:hAnsi="Times New Roman" w:cs="Times New Roman"/>
                <w:sz w:val="24"/>
                <w:szCs w:val="24"/>
              </w:rPr>
              <w:t>284</w:t>
            </w:r>
          </w:p>
        </w:tc>
        <w:tc>
          <w:tcPr>
            <w:tcW w:w="851" w:type="dxa"/>
            <w:tcBorders>
              <w:top w:val="nil"/>
              <w:left w:val="nil"/>
              <w:bottom w:val="single" w:sz="4" w:space="0" w:color="auto"/>
              <w:right w:val="nil"/>
            </w:tcBorders>
            <w:shd w:val="clear" w:color="auto" w:fill="FFFFFF"/>
          </w:tcPr>
          <w:p w14:paraId="0F906C6B" w14:textId="77777777" w:rsidR="006419C0" w:rsidRPr="00D072C4" w:rsidRDefault="006419C0" w:rsidP="00E53306">
            <w:pPr>
              <w:spacing w:after="0" w:line="360" w:lineRule="auto"/>
              <w:jc w:val="center"/>
              <w:rPr>
                <w:rFonts w:ascii="Times New Roman" w:hAnsi="Times New Roman" w:cs="Times New Roman"/>
                <w:sz w:val="24"/>
                <w:szCs w:val="24"/>
              </w:rPr>
            </w:pPr>
            <w:r>
              <w:rPr>
                <w:rFonts w:ascii="Times New Roman" w:hAnsi="Times New Roman" w:cs="Times New Roman"/>
                <w:szCs w:val="24"/>
              </w:rPr>
              <w:t>1</w:t>
            </w:r>
          </w:p>
        </w:tc>
        <w:tc>
          <w:tcPr>
            <w:tcW w:w="992" w:type="dxa"/>
            <w:tcBorders>
              <w:top w:val="nil"/>
              <w:left w:val="nil"/>
              <w:bottom w:val="single" w:sz="4" w:space="0" w:color="auto"/>
              <w:right w:val="nil"/>
            </w:tcBorders>
            <w:shd w:val="clear" w:color="auto" w:fill="FFFFFF"/>
          </w:tcPr>
          <w:p w14:paraId="329C0F5A" w14:textId="77777777" w:rsidR="006419C0" w:rsidRPr="00D072C4" w:rsidRDefault="006419C0" w:rsidP="00E53306">
            <w:pPr>
              <w:spacing w:after="0" w:line="360" w:lineRule="auto"/>
              <w:jc w:val="center"/>
              <w:rPr>
                <w:rFonts w:ascii="Times New Roman" w:hAnsi="Times New Roman" w:cs="Times New Roman"/>
                <w:sz w:val="24"/>
                <w:szCs w:val="24"/>
              </w:rPr>
            </w:pPr>
            <w:r>
              <w:rPr>
                <w:rFonts w:ascii="Times New Roman" w:hAnsi="Times New Roman" w:cs="Times New Roman"/>
                <w:szCs w:val="24"/>
              </w:rPr>
              <w:t>5</w:t>
            </w:r>
          </w:p>
        </w:tc>
        <w:tc>
          <w:tcPr>
            <w:tcW w:w="992" w:type="dxa"/>
            <w:tcBorders>
              <w:top w:val="nil"/>
              <w:left w:val="nil"/>
              <w:bottom w:val="single" w:sz="4" w:space="0" w:color="auto"/>
              <w:right w:val="nil"/>
            </w:tcBorders>
            <w:shd w:val="clear" w:color="auto" w:fill="FFFFFF"/>
          </w:tcPr>
          <w:p w14:paraId="2805B84D" w14:textId="77777777" w:rsidR="006419C0" w:rsidRPr="00D072C4" w:rsidRDefault="006419C0" w:rsidP="00E53306">
            <w:pPr>
              <w:spacing w:after="0" w:line="360" w:lineRule="auto"/>
              <w:jc w:val="center"/>
              <w:rPr>
                <w:rFonts w:ascii="Times New Roman" w:hAnsi="Times New Roman" w:cs="Times New Roman"/>
                <w:sz w:val="24"/>
                <w:szCs w:val="24"/>
              </w:rPr>
            </w:pPr>
            <w:r>
              <w:rPr>
                <w:rFonts w:ascii="Times New Roman" w:hAnsi="Times New Roman" w:cs="Times New Roman"/>
                <w:szCs w:val="24"/>
              </w:rPr>
              <w:t>3.46</w:t>
            </w:r>
          </w:p>
        </w:tc>
        <w:tc>
          <w:tcPr>
            <w:tcW w:w="1134" w:type="dxa"/>
            <w:tcBorders>
              <w:top w:val="nil"/>
              <w:left w:val="nil"/>
              <w:bottom w:val="single" w:sz="4" w:space="0" w:color="auto"/>
              <w:right w:val="nil"/>
            </w:tcBorders>
            <w:shd w:val="clear" w:color="auto" w:fill="FFFFFF"/>
          </w:tcPr>
          <w:p w14:paraId="7E7C3C2F" w14:textId="77777777" w:rsidR="006419C0" w:rsidRPr="00D072C4" w:rsidRDefault="006419C0" w:rsidP="00E53306">
            <w:pPr>
              <w:spacing w:after="0" w:line="360" w:lineRule="auto"/>
              <w:jc w:val="center"/>
              <w:rPr>
                <w:rFonts w:ascii="Times New Roman" w:hAnsi="Times New Roman" w:cs="Times New Roman"/>
                <w:sz w:val="24"/>
                <w:szCs w:val="24"/>
              </w:rPr>
            </w:pPr>
            <w:r>
              <w:rPr>
                <w:rFonts w:ascii="Times New Roman" w:hAnsi="Times New Roman" w:cs="Times New Roman"/>
                <w:szCs w:val="24"/>
              </w:rPr>
              <w:t>1.426</w:t>
            </w:r>
          </w:p>
        </w:tc>
      </w:tr>
    </w:tbl>
    <w:p w14:paraId="03A72246" w14:textId="2E76BD1C" w:rsidR="00CE0A1B" w:rsidRDefault="00CE0A1B" w:rsidP="00CE0A1B">
      <w:pPr>
        <w:rPr>
          <w:rFonts w:ascii="Times New Roman" w:hAnsi="Times New Roman" w:cs="Times New Roman"/>
          <w:sz w:val="24"/>
          <w:szCs w:val="24"/>
        </w:rPr>
      </w:pPr>
      <w:r w:rsidRPr="00FF57FF">
        <w:rPr>
          <w:rFonts w:ascii="Times New Roman" w:hAnsi="Times New Roman" w:cs="Times New Roman"/>
          <w:sz w:val="24"/>
          <w:szCs w:val="24"/>
        </w:rPr>
        <w:t>Source: Field Data (2025)</w:t>
      </w:r>
    </w:p>
    <w:p w14:paraId="5E9A7436" w14:textId="77777777" w:rsidR="006419C0" w:rsidRPr="006419C0" w:rsidRDefault="006419C0" w:rsidP="006419C0">
      <w:pPr>
        <w:spacing w:line="360" w:lineRule="auto"/>
        <w:jc w:val="both"/>
        <w:rPr>
          <w:rFonts w:ascii="Times New Roman" w:hAnsi="Times New Roman" w:cs="Times New Roman"/>
          <w:sz w:val="24"/>
          <w:szCs w:val="24"/>
        </w:rPr>
      </w:pPr>
      <w:r w:rsidRPr="006419C0">
        <w:rPr>
          <w:rFonts w:ascii="Times New Roman" w:hAnsi="Times New Roman" w:cs="Times New Roman"/>
          <w:sz w:val="24"/>
          <w:szCs w:val="24"/>
        </w:rPr>
        <w:lastRenderedPageBreak/>
        <w:t>The descriptive statistics show a moderate level of savings practices among the respondents, with an overall mean of 3.46 (SD = 1.426). The highest mean scores were recorded for the statements "My business relies on savings as a key source of reinvestment capital" (Mean = 4.03, SD = 1.426) and "Savings have contributed to my business's financial stability and growth" (Mean = 4.00, SD = 1.434). These findings indicate that most respondents recognize the importance of savings in financing business operations, promoting growth, and enhancing financial stability.</w:t>
      </w:r>
    </w:p>
    <w:p w14:paraId="7A9FC42A" w14:textId="0D8DCC06" w:rsidR="006419C0" w:rsidRDefault="006419C0" w:rsidP="00937238">
      <w:pPr>
        <w:spacing w:line="360" w:lineRule="auto"/>
        <w:jc w:val="both"/>
        <w:rPr>
          <w:rFonts w:ascii="Times New Roman" w:hAnsi="Times New Roman" w:cs="Times New Roman"/>
          <w:sz w:val="24"/>
          <w:szCs w:val="24"/>
        </w:rPr>
      </w:pPr>
      <w:r w:rsidRPr="006419C0">
        <w:rPr>
          <w:rFonts w:ascii="Times New Roman" w:hAnsi="Times New Roman" w:cs="Times New Roman"/>
          <w:sz w:val="24"/>
          <w:szCs w:val="24"/>
        </w:rPr>
        <w:t>However, relatively lower mean scores were reported for regularly setting aside business income as savings (Mean = 3.11), understanding the importance of interest rates when choosing a savings account (Mean = 3.10), and having a structured savings plan (Mean = 3.08). This suggests that although respondents appreciate the role of savings in business success, many have yet to adopt consistent saving practices or formal savings strategies. Strengthening financial literacy and encouraging structured savings habits could improve the long-term financial sustainability of their businesses. The findings are in line with those of Aladejebi (2019)</w:t>
      </w:r>
      <w:r w:rsidR="00FE6D1D">
        <w:rPr>
          <w:rFonts w:ascii="Times New Roman" w:hAnsi="Times New Roman" w:cs="Times New Roman"/>
          <w:sz w:val="24"/>
          <w:szCs w:val="24"/>
        </w:rPr>
        <w:t>,</w:t>
      </w:r>
      <w:r w:rsidRPr="006419C0">
        <w:rPr>
          <w:rFonts w:ascii="Times New Roman" w:hAnsi="Times New Roman" w:cs="Times New Roman"/>
          <w:sz w:val="24"/>
          <w:szCs w:val="24"/>
        </w:rPr>
        <w:t xml:space="preserve"> who found that savings have </w:t>
      </w:r>
      <w:r w:rsidR="00FE6D1D">
        <w:rPr>
          <w:rFonts w:ascii="Times New Roman" w:hAnsi="Times New Roman" w:cs="Times New Roman"/>
          <w:sz w:val="24"/>
          <w:szCs w:val="24"/>
        </w:rPr>
        <w:t xml:space="preserve">a </w:t>
      </w:r>
      <w:r w:rsidRPr="006419C0">
        <w:rPr>
          <w:rFonts w:ascii="Times New Roman" w:hAnsi="Times New Roman" w:cs="Times New Roman"/>
          <w:sz w:val="24"/>
          <w:szCs w:val="24"/>
        </w:rPr>
        <w:t>significant effect on the financial performance and</w:t>
      </w:r>
      <w:r w:rsidR="00FE6D1D">
        <w:rPr>
          <w:rFonts w:ascii="Times New Roman" w:hAnsi="Times New Roman" w:cs="Times New Roman"/>
          <w:sz w:val="24"/>
          <w:szCs w:val="24"/>
        </w:rPr>
        <w:t>,</w:t>
      </w:r>
      <w:r w:rsidRPr="006419C0">
        <w:rPr>
          <w:rFonts w:ascii="Times New Roman" w:hAnsi="Times New Roman" w:cs="Times New Roman"/>
          <w:sz w:val="24"/>
          <w:szCs w:val="24"/>
        </w:rPr>
        <w:t xml:space="preserve"> by extension</w:t>
      </w:r>
      <w:r w:rsidR="00FE6D1D">
        <w:rPr>
          <w:rFonts w:ascii="Times New Roman" w:hAnsi="Times New Roman" w:cs="Times New Roman"/>
          <w:sz w:val="24"/>
          <w:szCs w:val="24"/>
        </w:rPr>
        <w:t>,</w:t>
      </w:r>
      <w:r w:rsidRPr="006419C0">
        <w:rPr>
          <w:rFonts w:ascii="Times New Roman" w:hAnsi="Times New Roman" w:cs="Times New Roman"/>
          <w:sz w:val="24"/>
          <w:szCs w:val="24"/>
        </w:rPr>
        <w:t xml:space="preserve"> the financial viability of SMEs.</w:t>
      </w:r>
    </w:p>
    <w:p w14:paraId="326AEA22" w14:textId="0D05DFB0" w:rsidR="00CE0A1B" w:rsidRPr="00F4064E" w:rsidRDefault="00CE0A1B" w:rsidP="00CE0A1B">
      <w:pPr>
        <w:pStyle w:val="Tablez"/>
        <w:rPr>
          <w:lang w:val="en-KE"/>
        </w:rPr>
      </w:pPr>
      <w:bookmarkStart w:id="13" w:name="_Toc228199220"/>
      <w:r>
        <w:rPr>
          <w:lang w:val="en-KE"/>
        </w:rPr>
        <w:t xml:space="preserve">Table </w:t>
      </w:r>
      <w:r w:rsidR="00A34D62">
        <w:rPr>
          <w:lang w:val="en-KE"/>
        </w:rPr>
        <w:t>2</w:t>
      </w:r>
      <w:r>
        <w:rPr>
          <w:lang w:val="en-KE"/>
        </w:rPr>
        <w:t xml:space="preserve">: </w:t>
      </w:r>
      <w:r w:rsidRPr="00D763B4">
        <w:rPr>
          <w:lang w:val="en-KE"/>
        </w:rPr>
        <w:t>Autocorrelation</w:t>
      </w:r>
      <w:bookmarkEnd w:id="13"/>
    </w:p>
    <w:tbl>
      <w:tblPr>
        <w:tblW w:w="76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28"/>
        <w:gridCol w:w="3827"/>
      </w:tblGrid>
      <w:tr w:rsidR="00CE0A1B" w:rsidRPr="00F4064E" w14:paraId="0E4A332A" w14:textId="77777777" w:rsidTr="00554A6E">
        <w:trPr>
          <w:cantSplit/>
        </w:trPr>
        <w:tc>
          <w:tcPr>
            <w:tcW w:w="3828" w:type="dxa"/>
            <w:tcBorders>
              <w:top w:val="single" w:sz="4" w:space="0" w:color="auto"/>
              <w:left w:val="nil"/>
              <w:bottom w:val="single" w:sz="4" w:space="0" w:color="auto"/>
              <w:right w:val="nil"/>
            </w:tcBorders>
            <w:shd w:val="clear" w:color="auto" w:fill="FFFFFF"/>
          </w:tcPr>
          <w:p w14:paraId="4AA4FA7C" w14:textId="77777777" w:rsidR="00CE0A1B" w:rsidRPr="00F4064E" w:rsidRDefault="00CE0A1B" w:rsidP="00554A6E">
            <w:pPr>
              <w:spacing w:line="240" w:lineRule="auto"/>
              <w:jc w:val="both"/>
              <w:rPr>
                <w:rFonts w:ascii="Times New Roman" w:hAnsi="Times New Roman" w:cs="Times New Roman"/>
                <w:sz w:val="24"/>
                <w:szCs w:val="24"/>
              </w:rPr>
            </w:pPr>
            <w:r w:rsidRPr="00F4064E">
              <w:rPr>
                <w:rFonts w:ascii="Times New Roman" w:hAnsi="Times New Roman" w:cs="Times New Roman"/>
                <w:sz w:val="24"/>
                <w:szCs w:val="24"/>
              </w:rPr>
              <w:t>Model</w:t>
            </w:r>
          </w:p>
        </w:tc>
        <w:tc>
          <w:tcPr>
            <w:tcW w:w="3827" w:type="dxa"/>
            <w:tcBorders>
              <w:top w:val="single" w:sz="4" w:space="0" w:color="auto"/>
              <w:left w:val="nil"/>
              <w:bottom w:val="single" w:sz="4" w:space="0" w:color="auto"/>
              <w:right w:val="nil"/>
            </w:tcBorders>
            <w:shd w:val="clear" w:color="auto" w:fill="FFFFFF"/>
          </w:tcPr>
          <w:p w14:paraId="362A429C" w14:textId="77777777" w:rsidR="00CE0A1B" w:rsidRPr="00F4064E" w:rsidRDefault="00CE0A1B" w:rsidP="00554A6E">
            <w:pPr>
              <w:spacing w:line="240" w:lineRule="auto"/>
              <w:jc w:val="both"/>
              <w:rPr>
                <w:rFonts w:ascii="Times New Roman" w:hAnsi="Times New Roman" w:cs="Times New Roman"/>
                <w:sz w:val="24"/>
                <w:szCs w:val="24"/>
              </w:rPr>
            </w:pPr>
            <w:r w:rsidRPr="00F4064E">
              <w:rPr>
                <w:rFonts w:ascii="Times New Roman" w:hAnsi="Times New Roman" w:cs="Times New Roman"/>
                <w:sz w:val="24"/>
                <w:szCs w:val="24"/>
              </w:rPr>
              <w:t>Durbin-Watson</w:t>
            </w:r>
          </w:p>
        </w:tc>
      </w:tr>
      <w:tr w:rsidR="00CE0A1B" w:rsidRPr="00F4064E" w14:paraId="4741F682" w14:textId="77777777" w:rsidTr="00554A6E">
        <w:trPr>
          <w:cantSplit/>
        </w:trPr>
        <w:tc>
          <w:tcPr>
            <w:tcW w:w="3828" w:type="dxa"/>
            <w:tcBorders>
              <w:top w:val="single" w:sz="4" w:space="0" w:color="auto"/>
              <w:left w:val="nil"/>
              <w:bottom w:val="single" w:sz="4" w:space="0" w:color="auto"/>
              <w:right w:val="nil"/>
            </w:tcBorders>
            <w:shd w:val="clear" w:color="auto" w:fill="FFFFFF"/>
            <w:vAlign w:val="center"/>
          </w:tcPr>
          <w:p w14:paraId="4F999997" w14:textId="77777777" w:rsidR="00CE0A1B" w:rsidRPr="00F4064E" w:rsidRDefault="00CE0A1B" w:rsidP="00554A6E">
            <w:pPr>
              <w:spacing w:line="240" w:lineRule="auto"/>
              <w:jc w:val="both"/>
              <w:rPr>
                <w:rFonts w:ascii="Times New Roman" w:hAnsi="Times New Roman" w:cs="Times New Roman"/>
                <w:sz w:val="24"/>
                <w:szCs w:val="24"/>
              </w:rPr>
            </w:pPr>
            <w:r w:rsidRPr="00F4064E">
              <w:rPr>
                <w:rFonts w:ascii="Times New Roman" w:hAnsi="Times New Roman" w:cs="Times New Roman"/>
                <w:sz w:val="24"/>
                <w:szCs w:val="24"/>
              </w:rPr>
              <w:t>1</w:t>
            </w:r>
          </w:p>
        </w:tc>
        <w:tc>
          <w:tcPr>
            <w:tcW w:w="3827" w:type="dxa"/>
            <w:tcBorders>
              <w:top w:val="single" w:sz="4" w:space="0" w:color="auto"/>
              <w:left w:val="nil"/>
              <w:bottom w:val="single" w:sz="4" w:space="0" w:color="auto"/>
              <w:right w:val="nil"/>
            </w:tcBorders>
            <w:shd w:val="clear" w:color="auto" w:fill="FFFFFF"/>
            <w:vAlign w:val="center"/>
          </w:tcPr>
          <w:p w14:paraId="52A60CB2" w14:textId="77777777" w:rsidR="00CE0A1B" w:rsidRPr="00F4064E" w:rsidRDefault="00CE0A1B" w:rsidP="00554A6E">
            <w:pPr>
              <w:spacing w:line="240" w:lineRule="auto"/>
              <w:jc w:val="both"/>
              <w:rPr>
                <w:rFonts w:ascii="Times New Roman" w:hAnsi="Times New Roman" w:cs="Times New Roman"/>
                <w:sz w:val="24"/>
                <w:szCs w:val="24"/>
              </w:rPr>
            </w:pPr>
            <w:r w:rsidRPr="00F4064E">
              <w:rPr>
                <w:rFonts w:ascii="Times New Roman" w:hAnsi="Times New Roman" w:cs="Times New Roman"/>
                <w:sz w:val="24"/>
                <w:szCs w:val="24"/>
              </w:rPr>
              <w:t>1.472</w:t>
            </w:r>
            <w:r w:rsidRPr="00F4064E">
              <w:rPr>
                <w:rFonts w:ascii="Times New Roman" w:hAnsi="Times New Roman" w:cs="Times New Roman"/>
                <w:sz w:val="24"/>
                <w:szCs w:val="24"/>
                <w:vertAlign w:val="superscript"/>
              </w:rPr>
              <w:t>a</w:t>
            </w:r>
          </w:p>
        </w:tc>
      </w:tr>
      <w:tr w:rsidR="00CE0A1B" w:rsidRPr="00F4064E" w14:paraId="737811F7" w14:textId="77777777" w:rsidTr="00554A6E">
        <w:trPr>
          <w:cantSplit/>
        </w:trPr>
        <w:tc>
          <w:tcPr>
            <w:tcW w:w="7655" w:type="dxa"/>
            <w:gridSpan w:val="2"/>
            <w:tcBorders>
              <w:top w:val="single" w:sz="4" w:space="0" w:color="auto"/>
              <w:left w:val="nil"/>
              <w:bottom w:val="nil"/>
              <w:right w:val="nil"/>
            </w:tcBorders>
            <w:shd w:val="clear" w:color="auto" w:fill="FFFFFF"/>
          </w:tcPr>
          <w:p w14:paraId="489ABE01" w14:textId="7229DD51" w:rsidR="00CE0A1B" w:rsidRPr="00F4064E" w:rsidRDefault="00CE0A1B" w:rsidP="00554A6E">
            <w:pPr>
              <w:spacing w:line="240" w:lineRule="auto"/>
              <w:jc w:val="both"/>
              <w:rPr>
                <w:rFonts w:ascii="Times New Roman" w:hAnsi="Times New Roman" w:cs="Times New Roman"/>
                <w:sz w:val="24"/>
                <w:szCs w:val="24"/>
              </w:rPr>
            </w:pPr>
            <w:r w:rsidRPr="00F4064E">
              <w:rPr>
                <w:rFonts w:ascii="Times New Roman" w:hAnsi="Times New Roman" w:cs="Times New Roman"/>
                <w:sz w:val="24"/>
                <w:szCs w:val="24"/>
              </w:rPr>
              <w:t xml:space="preserve">a. Predictors: </w:t>
            </w:r>
            <w:r>
              <w:rPr>
                <w:rFonts w:ascii="Times New Roman" w:hAnsi="Times New Roman" w:cs="Times New Roman"/>
                <w:sz w:val="24"/>
                <w:szCs w:val="24"/>
              </w:rPr>
              <w:t>Savings literacy</w:t>
            </w:r>
          </w:p>
        </w:tc>
      </w:tr>
      <w:tr w:rsidR="00CE0A1B" w:rsidRPr="00F4064E" w14:paraId="61A0C09C" w14:textId="77777777" w:rsidTr="00554A6E">
        <w:trPr>
          <w:cantSplit/>
        </w:trPr>
        <w:tc>
          <w:tcPr>
            <w:tcW w:w="7655" w:type="dxa"/>
            <w:gridSpan w:val="2"/>
            <w:tcBorders>
              <w:top w:val="nil"/>
              <w:left w:val="nil"/>
              <w:bottom w:val="nil"/>
              <w:right w:val="nil"/>
            </w:tcBorders>
            <w:shd w:val="clear" w:color="auto" w:fill="FFFFFF"/>
          </w:tcPr>
          <w:p w14:paraId="60561642" w14:textId="77777777" w:rsidR="00CE0A1B" w:rsidRPr="00F4064E" w:rsidRDefault="00CE0A1B" w:rsidP="00554A6E">
            <w:pPr>
              <w:spacing w:line="240" w:lineRule="auto"/>
              <w:jc w:val="both"/>
              <w:rPr>
                <w:rFonts w:ascii="Times New Roman" w:hAnsi="Times New Roman" w:cs="Times New Roman"/>
                <w:sz w:val="24"/>
                <w:szCs w:val="24"/>
              </w:rPr>
            </w:pPr>
            <w:r w:rsidRPr="00F4064E">
              <w:rPr>
                <w:rFonts w:ascii="Times New Roman" w:hAnsi="Times New Roman" w:cs="Times New Roman"/>
                <w:sz w:val="24"/>
                <w:szCs w:val="24"/>
              </w:rPr>
              <w:t>b. Dependent Variable: Financial Viability</w:t>
            </w:r>
          </w:p>
        </w:tc>
      </w:tr>
    </w:tbl>
    <w:p w14:paraId="6F0A0A51" w14:textId="1BF55AC8" w:rsidR="00CE0A1B" w:rsidRDefault="00CE0A1B" w:rsidP="006419C0">
      <w:pPr>
        <w:tabs>
          <w:tab w:val="center" w:pos="4513"/>
        </w:tabs>
        <w:spacing w:line="480" w:lineRule="auto"/>
        <w:jc w:val="both"/>
        <w:rPr>
          <w:rFonts w:ascii="Times New Roman" w:hAnsi="Times New Roman" w:cs="Times New Roman"/>
          <w:sz w:val="24"/>
          <w:szCs w:val="24"/>
        </w:rPr>
      </w:pPr>
      <w:r>
        <w:rPr>
          <w:rFonts w:ascii="Times New Roman" w:hAnsi="Times New Roman" w:cs="Times New Roman"/>
          <w:sz w:val="24"/>
          <w:szCs w:val="24"/>
        </w:rPr>
        <w:t>Source: Field Data (2025)</w:t>
      </w:r>
      <w:r w:rsidR="006419C0">
        <w:rPr>
          <w:rFonts w:ascii="Times New Roman" w:hAnsi="Times New Roman" w:cs="Times New Roman"/>
          <w:sz w:val="24"/>
          <w:szCs w:val="24"/>
        </w:rPr>
        <w:tab/>
      </w:r>
    </w:p>
    <w:p w14:paraId="6F3AC9F9" w14:textId="2A382474" w:rsidR="00CE0A1B" w:rsidRDefault="00CE0A1B" w:rsidP="00CE0A1B">
      <w:pPr>
        <w:spacing w:line="480" w:lineRule="auto"/>
        <w:jc w:val="both"/>
        <w:rPr>
          <w:rFonts w:ascii="Times New Roman" w:hAnsi="Times New Roman" w:cs="Times New Roman"/>
          <w:sz w:val="24"/>
          <w:szCs w:val="24"/>
        </w:rPr>
      </w:pPr>
      <w:r w:rsidRPr="00F4064E">
        <w:rPr>
          <w:rFonts w:ascii="Times New Roman" w:hAnsi="Times New Roman" w:cs="Times New Roman"/>
          <w:sz w:val="24"/>
          <w:szCs w:val="24"/>
        </w:rPr>
        <w:t xml:space="preserve">The model summary presents the Durbin–Watson statistic, which is used to assess whether </w:t>
      </w:r>
      <w:r w:rsidR="006419C0">
        <w:rPr>
          <w:rFonts w:ascii="Times New Roman" w:hAnsi="Times New Roman" w:cs="Times New Roman"/>
          <w:sz w:val="24"/>
          <w:szCs w:val="24"/>
        </w:rPr>
        <w:t>the regression model's residuals exhibit autocorrelation</w:t>
      </w:r>
      <w:r w:rsidRPr="00F4064E">
        <w:rPr>
          <w:rFonts w:ascii="Times New Roman" w:hAnsi="Times New Roman" w:cs="Times New Roman"/>
          <w:sz w:val="24"/>
          <w:szCs w:val="24"/>
        </w:rPr>
        <w:t xml:space="preserve">. In this study, the model examines the effect of </w:t>
      </w:r>
      <w:r w:rsidR="00861266">
        <w:rPr>
          <w:rFonts w:ascii="Times New Roman" w:hAnsi="Times New Roman" w:cs="Times New Roman"/>
          <w:sz w:val="24"/>
          <w:szCs w:val="24"/>
        </w:rPr>
        <w:t>S</w:t>
      </w:r>
      <w:r>
        <w:rPr>
          <w:rFonts w:ascii="Times New Roman" w:hAnsi="Times New Roman" w:cs="Times New Roman"/>
          <w:sz w:val="24"/>
          <w:szCs w:val="24"/>
        </w:rPr>
        <w:t>avings literacy</w:t>
      </w:r>
      <w:r w:rsidRPr="00F4064E">
        <w:rPr>
          <w:rFonts w:ascii="Times New Roman" w:hAnsi="Times New Roman" w:cs="Times New Roman"/>
          <w:sz w:val="24"/>
          <w:szCs w:val="24"/>
        </w:rPr>
        <w:t xml:space="preserve"> on the financial viability of MSMEs. The reported </w:t>
      </w:r>
      <w:r w:rsidR="006419C0">
        <w:rPr>
          <w:rFonts w:ascii="Times New Roman" w:hAnsi="Times New Roman" w:cs="Times New Roman"/>
          <w:sz w:val="24"/>
          <w:szCs w:val="24"/>
        </w:rPr>
        <w:t>Durbin-Watson</w:t>
      </w:r>
      <w:r w:rsidRPr="00F4064E">
        <w:rPr>
          <w:rFonts w:ascii="Times New Roman" w:hAnsi="Times New Roman" w:cs="Times New Roman"/>
          <w:sz w:val="24"/>
          <w:szCs w:val="24"/>
        </w:rPr>
        <w:t xml:space="preserve"> value is 1.472.</w:t>
      </w:r>
    </w:p>
    <w:p w14:paraId="7F3317DE" w14:textId="77777777" w:rsidR="00937238" w:rsidRDefault="00937238" w:rsidP="00CE0A1B">
      <w:pPr>
        <w:spacing w:line="480" w:lineRule="auto"/>
        <w:jc w:val="both"/>
        <w:rPr>
          <w:rFonts w:ascii="Times New Roman" w:hAnsi="Times New Roman" w:cs="Times New Roman"/>
          <w:sz w:val="24"/>
          <w:szCs w:val="24"/>
        </w:rPr>
      </w:pPr>
    </w:p>
    <w:p w14:paraId="79ADC825" w14:textId="77777777" w:rsidR="00937238" w:rsidRDefault="00937238" w:rsidP="00CE0A1B">
      <w:pPr>
        <w:spacing w:line="480" w:lineRule="auto"/>
        <w:jc w:val="both"/>
        <w:rPr>
          <w:rFonts w:ascii="Times New Roman" w:hAnsi="Times New Roman" w:cs="Times New Roman"/>
          <w:sz w:val="24"/>
          <w:szCs w:val="24"/>
        </w:rPr>
      </w:pPr>
    </w:p>
    <w:p w14:paraId="3F957300" w14:textId="77777777" w:rsidR="00937238" w:rsidRDefault="00937238" w:rsidP="00CE0A1B">
      <w:pPr>
        <w:spacing w:line="480" w:lineRule="auto"/>
        <w:jc w:val="both"/>
        <w:rPr>
          <w:rFonts w:ascii="Times New Roman" w:hAnsi="Times New Roman" w:cs="Times New Roman"/>
          <w:sz w:val="24"/>
          <w:szCs w:val="24"/>
        </w:rPr>
      </w:pPr>
    </w:p>
    <w:p w14:paraId="3168947C" w14:textId="468EDE3B" w:rsidR="00F45A3F" w:rsidRPr="00E85627" w:rsidRDefault="00F45A3F" w:rsidP="00F45A3F">
      <w:pPr>
        <w:spacing w:line="480" w:lineRule="auto"/>
        <w:jc w:val="both"/>
        <w:rPr>
          <w:rFonts w:ascii="Times New Roman" w:hAnsi="Times New Roman" w:cs="Times New Roman"/>
          <w:b/>
          <w:bCs/>
          <w:sz w:val="24"/>
          <w:szCs w:val="24"/>
        </w:rPr>
      </w:pPr>
      <w:r w:rsidRPr="00E85627">
        <w:rPr>
          <w:rFonts w:ascii="Times New Roman" w:hAnsi="Times New Roman" w:cs="Times New Roman"/>
          <w:b/>
          <w:bCs/>
          <w:sz w:val="24"/>
          <w:szCs w:val="24"/>
        </w:rPr>
        <w:lastRenderedPageBreak/>
        <w:t>Table 3: Correlation Analysis</w:t>
      </w:r>
    </w:p>
    <w:tbl>
      <w:tblPr>
        <w:tblW w:w="7533" w:type="dxa"/>
        <w:tblInd w:w="-20" w:type="dxa"/>
        <w:tblBorders>
          <w:top w:val="single" w:sz="4" w:space="0" w:color="auto"/>
        </w:tblBorders>
        <w:tblLayout w:type="fixed"/>
        <w:tblCellMar>
          <w:left w:w="0" w:type="dxa"/>
          <w:right w:w="0" w:type="dxa"/>
        </w:tblCellMar>
        <w:tblLook w:val="0000" w:firstRow="0" w:lastRow="0" w:firstColumn="0" w:lastColumn="0" w:noHBand="0" w:noVBand="0"/>
      </w:tblPr>
      <w:tblGrid>
        <w:gridCol w:w="1714"/>
        <w:gridCol w:w="2275"/>
        <w:gridCol w:w="1276"/>
        <w:gridCol w:w="2268"/>
      </w:tblGrid>
      <w:tr w:rsidR="00F45A3F" w:rsidRPr="00F45A3F" w14:paraId="54A1D1B7" w14:textId="77777777" w:rsidTr="00F45A3F">
        <w:trPr>
          <w:cantSplit/>
        </w:trPr>
        <w:tc>
          <w:tcPr>
            <w:tcW w:w="3989" w:type="dxa"/>
            <w:gridSpan w:val="2"/>
            <w:tcBorders>
              <w:top w:val="single" w:sz="4" w:space="0" w:color="auto"/>
              <w:bottom w:val="single" w:sz="4" w:space="0" w:color="auto"/>
            </w:tcBorders>
            <w:shd w:val="clear" w:color="auto" w:fill="FFFFFF"/>
          </w:tcPr>
          <w:p w14:paraId="3FB02627" w14:textId="77777777" w:rsidR="00F45A3F" w:rsidRPr="00F45A3F" w:rsidRDefault="00F45A3F" w:rsidP="00F45A3F">
            <w:pPr>
              <w:spacing w:line="240" w:lineRule="auto"/>
              <w:jc w:val="both"/>
              <w:rPr>
                <w:rFonts w:ascii="Times New Roman" w:hAnsi="Times New Roman" w:cs="Times New Roman"/>
                <w:sz w:val="24"/>
                <w:szCs w:val="24"/>
              </w:rPr>
            </w:pPr>
          </w:p>
        </w:tc>
        <w:tc>
          <w:tcPr>
            <w:tcW w:w="1276" w:type="dxa"/>
            <w:tcBorders>
              <w:top w:val="single" w:sz="4" w:space="0" w:color="auto"/>
              <w:bottom w:val="single" w:sz="4" w:space="0" w:color="auto"/>
            </w:tcBorders>
            <w:shd w:val="clear" w:color="auto" w:fill="FFFFFF"/>
          </w:tcPr>
          <w:p w14:paraId="63B48B78" w14:textId="2060EF80"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Saving</w:t>
            </w:r>
            <w:r w:rsidR="00E85627">
              <w:rPr>
                <w:rFonts w:ascii="Times New Roman" w:hAnsi="Times New Roman" w:cs="Times New Roman"/>
                <w:sz w:val="24"/>
                <w:szCs w:val="24"/>
              </w:rPr>
              <w:t xml:space="preserve"> Literacy</w:t>
            </w:r>
          </w:p>
        </w:tc>
        <w:tc>
          <w:tcPr>
            <w:tcW w:w="2268" w:type="dxa"/>
            <w:tcBorders>
              <w:top w:val="single" w:sz="4" w:space="0" w:color="auto"/>
              <w:bottom w:val="single" w:sz="4" w:space="0" w:color="auto"/>
            </w:tcBorders>
            <w:shd w:val="clear" w:color="auto" w:fill="FFFFFF"/>
          </w:tcPr>
          <w:p w14:paraId="20576A9D"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Financial Viability</w:t>
            </w:r>
          </w:p>
        </w:tc>
      </w:tr>
      <w:tr w:rsidR="00F45A3F" w:rsidRPr="00F45A3F" w14:paraId="6A9DA4CE" w14:textId="77777777" w:rsidTr="00F45A3F">
        <w:trPr>
          <w:cantSplit/>
        </w:trPr>
        <w:tc>
          <w:tcPr>
            <w:tcW w:w="1714" w:type="dxa"/>
            <w:vMerge w:val="restart"/>
            <w:tcBorders>
              <w:top w:val="single" w:sz="4" w:space="0" w:color="auto"/>
            </w:tcBorders>
            <w:shd w:val="clear" w:color="auto" w:fill="FFFFFF"/>
            <w:vAlign w:val="center"/>
          </w:tcPr>
          <w:p w14:paraId="5EF73AA9"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Savings</w:t>
            </w:r>
          </w:p>
        </w:tc>
        <w:tc>
          <w:tcPr>
            <w:tcW w:w="2275" w:type="dxa"/>
            <w:tcBorders>
              <w:top w:val="single" w:sz="4" w:space="0" w:color="auto"/>
            </w:tcBorders>
            <w:shd w:val="clear" w:color="auto" w:fill="FFFFFF"/>
            <w:vAlign w:val="center"/>
          </w:tcPr>
          <w:p w14:paraId="4D9255C9"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Pearson Correlation</w:t>
            </w:r>
          </w:p>
        </w:tc>
        <w:tc>
          <w:tcPr>
            <w:tcW w:w="1276" w:type="dxa"/>
            <w:tcBorders>
              <w:top w:val="single" w:sz="4" w:space="0" w:color="auto"/>
            </w:tcBorders>
            <w:shd w:val="clear" w:color="auto" w:fill="FFFFFF"/>
            <w:vAlign w:val="center"/>
          </w:tcPr>
          <w:p w14:paraId="01F1EB8C"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1</w:t>
            </w:r>
          </w:p>
        </w:tc>
        <w:tc>
          <w:tcPr>
            <w:tcW w:w="2268" w:type="dxa"/>
            <w:tcBorders>
              <w:top w:val="single" w:sz="4" w:space="0" w:color="auto"/>
            </w:tcBorders>
            <w:shd w:val="clear" w:color="auto" w:fill="FFFFFF"/>
            <w:vAlign w:val="center"/>
          </w:tcPr>
          <w:p w14:paraId="38E60013"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.818</w:t>
            </w:r>
            <w:r w:rsidRPr="00F45A3F">
              <w:rPr>
                <w:rFonts w:ascii="Times New Roman" w:hAnsi="Times New Roman" w:cs="Times New Roman"/>
                <w:sz w:val="24"/>
                <w:szCs w:val="24"/>
                <w:vertAlign w:val="superscript"/>
              </w:rPr>
              <w:t>**</w:t>
            </w:r>
          </w:p>
        </w:tc>
      </w:tr>
      <w:tr w:rsidR="00F45A3F" w:rsidRPr="00F45A3F" w14:paraId="745A8074" w14:textId="77777777" w:rsidTr="00F45A3F">
        <w:trPr>
          <w:cantSplit/>
        </w:trPr>
        <w:tc>
          <w:tcPr>
            <w:tcW w:w="1714" w:type="dxa"/>
            <w:vMerge/>
            <w:shd w:val="clear" w:color="auto" w:fill="FFFFFF"/>
            <w:vAlign w:val="center"/>
          </w:tcPr>
          <w:p w14:paraId="3CC863C1" w14:textId="77777777" w:rsidR="00F45A3F" w:rsidRPr="00F45A3F" w:rsidRDefault="00F45A3F" w:rsidP="00F45A3F">
            <w:pPr>
              <w:spacing w:line="240" w:lineRule="auto"/>
              <w:jc w:val="both"/>
              <w:rPr>
                <w:rFonts w:ascii="Times New Roman" w:hAnsi="Times New Roman" w:cs="Times New Roman"/>
                <w:sz w:val="24"/>
                <w:szCs w:val="24"/>
              </w:rPr>
            </w:pPr>
          </w:p>
        </w:tc>
        <w:tc>
          <w:tcPr>
            <w:tcW w:w="2275" w:type="dxa"/>
            <w:shd w:val="clear" w:color="auto" w:fill="FFFFFF"/>
            <w:vAlign w:val="center"/>
          </w:tcPr>
          <w:p w14:paraId="6EA7B2AF"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Sig. (2-tailed)</w:t>
            </w:r>
          </w:p>
        </w:tc>
        <w:tc>
          <w:tcPr>
            <w:tcW w:w="1276" w:type="dxa"/>
            <w:shd w:val="clear" w:color="auto" w:fill="FFFFFF"/>
          </w:tcPr>
          <w:p w14:paraId="327EE008" w14:textId="77777777" w:rsidR="00F45A3F" w:rsidRPr="00F45A3F" w:rsidRDefault="00F45A3F" w:rsidP="00F45A3F">
            <w:pPr>
              <w:spacing w:line="240" w:lineRule="auto"/>
              <w:jc w:val="both"/>
              <w:rPr>
                <w:rFonts w:ascii="Times New Roman" w:hAnsi="Times New Roman" w:cs="Times New Roman"/>
                <w:sz w:val="24"/>
                <w:szCs w:val="24"/>
              </w:rPr>
            </w:pPr>
          </w:p>
        </w:tc>
        <w:tc>
          <w:tcPr>
            <w:tcW w:w="2268" w:type="dxa"/>
            <w:shd w:val="clear" w:color="auto" w:fill="FFFFFF"/>
            <w:vAlign w:val="center"/>
          </w:tcPr>
          <w:p w14:paraId="48656181"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.000</w:t>
            </w:r>
          </w:p>
        </w:tc>
      </w:tr>
      <w:tr w:rsidR="00F45A3F" w:rsidRPr="00F45A3F" w14:paraId="3E748FEF" w14:textId="77777777" w:rsidTr="00F45A3F">
        <w:trPr>
          <w:cantSplit/>
        </w:trPr>
        <w:tc>
          <w:tcPr>
            <w:tcW w:w="1714" w:type="dxa"/>
            <w:vMerge/>
            <w:tcBorders>
              <w:bottom w:val="nil"/>
            </w:tcBorders>
            <w:shd w:val="clear" w:color="auto" w:fill="FFFFFF"/>
            <w:vAlign w:val="center"/>
          </w:tcPr>
          <w:p w14:paraId="4EFEE63D" w14:textId="77777777" w:rsidR="00F45A3F" w:rsidRPr="00F45A3F" w:rsidRDefault="00F45A3F" w:rsidP="00F45A3F">
            <w:pPr>
              <w:spacing w:line="240" w:lineRule="auto"/>
              <w:jc w:val="both"/>
              <w:rPr>
                <w:rFonts w:ascii="Times New Roman" w:hAnsi="Times New Roman" w:cs="Times New Roman"/>
                <w:sz w:val="24"/>
                <w:szCs w:val="24"/>
              </w:rPr>
            </w:pPr>
          </w:p>
        </w:tc>
        <w:tc>
          <w:tcPr>
            <w:tcW w:w="2275" w:type="dxa"/>
            <w:tcBorders>
              <w:bottom w:val="nil"/>
            </w:tcBorders>
            <w:shd w:val="clear" w:color="auto" w:fill="FFFFFF"/>
            <w:vAlign w:val="center"/>
          </w:tcPr>
          <w:p w14:paraId="23D394FE"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N</w:t>
            </w:r>
          </w:p>
        </w:tc>
        <w:tc>
          <w:tcPr>
            <w:tcW w:w="1276" w:type="dxa"/>
            <w:tcBorders>
              <w:bottom w:val="nil"/>
            </w:tcBorders>
            <w:shd w:val="clear" w:color="auto" w:fill="FFFFFF"/>
            <w:vAlign w:val="center"/>
          </w:tcPr>
          <w:p w14:paraId="07079E28"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284</w:t>
            </w:r>
          </w:p>
        </w:tc>
        <w:tc>
          <w:tcPr>
            <w:tcW w:w="2268" w:type="dxa"/>
            <w:tcBorders>
              <w:bottom w:val="nil"/>
            </w:tcBorders>
            <w:shd w:val="clear" w:color="auto" w:fill="FFFFFF"/>
            <w:vAlign w:val="center"/>
          </w:tcPr>
          <w:p w14:paraId="4A4B1BC1"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284</w:t>
            </w:r>
          </w:p>
        </w:tc>
      </w:tr>
      <w:tr w:rsidR="00F45A3F" w:rsidRPr="00F45A3F" w14:paraId="0BC4681D" w14:textId="77777777" w:rsidTr="00F45A3F">
        <w:trPr>
          <w:cantSplit/>
        </w:trPr>
        <w:tc>
          <w:tcPr>
            <w:tcW w:w="1714" w:type="dxa"/>
            <w:vMerge w:val="restart"/>
            <w:tcBorders>
              <w:top w:val="nil"/>
            </w:tcBorders>
            <w:shd w:val="clear" w:color="auto" w:fill="FFFFFF"/>
            <w:vAlign w:val="center"/>
          </w:tcPr>
          <w:p w14:paraId="18C28EFB"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Financial Viability</w:t>
            </w:r>
          </w:p>
        </w:tc>
        <w:tc>
          <w:tcPr>
            <w:tcW w:w="2275" w:type="dxa"/>
            <w:tcBorders>
              <w:top w:val="nil"/>
            </w:tcBorders>
            <w:shd w:val="clear" w:color="auto" w:fill="FFFFFF"/>
            <w:vAlign w:val="center"/>
          </w:tcPr>
          <w:p w14:paraId="7AF3EDC6"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Pearson Correlation</w:t>
            </w:r>
          </w:p>
        </w:tc>
        <w:tc>
          <w:tcPr>
            <w:tcW w:w="1276" w:type="dxa"/>
            <w:tcBorders>
              <w:top w:val="nil"/>
            </w:tcBorders>
            <w:shd w:val="clear" w:color="auto" w:fill="FFFFFF"/>
            <w:vAlign w:val="center"/>
          </w:tcPr>
          <w:p w14:paraId="7AF5C6C7"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.818</w:t>
            </w:r>
            <w:r w:rsidRPr="00F45A3F">
              <w:rPr>
                <w:rFonts w:ascii="Times New Roman" w:hAnsi="Times New Roman" w:cs="Times New Roman"/>
                <w:sz w:val="24"/>
                <w:szCs w:val="24"/>
                <w:vertAlign w:val="superscript"/>
              </w:rPr>
              <w:t>**</w:t>
            </w:r>
          </w:p>
        </w:tc>
        <w:tc>
          <w:tcPr>
            <w:tcW w:w="2268" w:type="dxa"/>
            <w:tcBorders>
              <w:top w:val="nil"/>
            </w:tcBorders>
            <w:shd w:val="clear" w:color="auto" w:fill="FFFFFF"/>
            <w:vAlign w:val="center"/>
          </w:tcPr>
          <w:p w14:paraId="41D7B841"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1</w:t>
            </w:r>
          </w:p>
        </w:tc>
      </w:tr>
      <w:tr w:rsidR="00F45A3F" w:rsidRPr="00F45A3F" w14:paraId="01C2B691" w14:textId="77777777" w:rsidTr="00F45A3F">
        <w:trPr>
          <w:cantSplit/>
        </w:trPr>
        <w:tc>
          <w:tcPr>
            <w:tcW w:w="1714" w:type="dxa"/>
            <w:vMerge/>
            <w:tcBorders>
              <w:top w:val="nil"/>
            </w:tcBorders>
            <w:shd w:val="clear" w:color="auto" w:fill="FFFFFF"/>
            <w:vAlign w:val="center"/>
          </w:tcPr>
          <w:p w14:paraId="08DAD37D" w14:textId="77777777" w:rsidR="00F45A3F" w:rsidRPr="00F45A3F" w:rsidRDefault="00F45A3F" w:rsidP="00F45A3F">
            <w:pPr>
              <w:spacing w:line="240" w:lineRule="auto"/>
              <w:jc w:val="both"/>
              <w:rPr>
                <w:rFonts w:ascii="Times New Roman" w:hAnsi="Times New Roman" w:cs="Times New Roman"/>
                <w:sz w:val="24"/>
                <w:szCs w:val="24"/>
              </w:rPr>
            </w:pPr>
          </w:p>
        </w:tc>
        <w:tc>
          <w:tcPr>
            <w:tcW w:w="2275" w:type="dxa"/>
            <w:tcBorders>
              <w:top w:val="nil"/>
            </w:tcBorders>
            <w:shd w:val="clear" w:color="auto" w:fill="FFFFFF"/>
            <w:vAlign w:val="center"/>
          </w:tcPr>
          <w:p w14:paraId="4DF029AB"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Sig. (2-tailed)</w:t>
            </w:r>
          </w:p>
        </w:tc>
        <w:tc>
          <w:tcPr>
            <w:tcW w:w="1276" w:type="dxa"/>
            <w:tcBorders>
              <w:top w:val="nil"/>
            </w:tcBorders>
            <w:shd w:val="clear" w:color="auto" w:fill="FFFFFF"/>
            <w:vAlign w:val="center"/>
          </w:tcPr>
          <w:p w14:paraId="117B54FF"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.000</w:t>
            </w:r>
          </w:p>
        </w:tc>
        <w:tc>
          <w:tcPr>
            <w:tcW w:w="2268" w:type="dxa"/>
            <w:tcBorders>
              <w:top w:val="nil"/>
            </w:tcBorders>
            <w:shd w:val="clear" w:color="auto" w:fill="FFFFFF"/>
          </w:tcPr>
          <w:p w14:paraId="4378863D" w14:textId="77777777" w:rsidR="00F45A3F" w:rsidRPr="00F45A3F" w:rsidRDefault="00F45A3F" w:rsidP="00F45A3F">
            <w:pPr>
              <w:spacing w:line="240" w:lineRule="auto"/>
              <w:jc w:val="both"/>
              <w:rPr>
                <w:rFonts w:ascii="Times New Roman" w:hAnsi="Times New Roman" w:cs="Times New Roman"/>
                <w:sz w:val="24"/>
                <w:szCs w:val="24"/>
              </w:rPr>
            </w:pPr>
          </w:p>
        </w:tc>
      </w:tr>
      <w:tr w:rsidR="00F45A3F" w:rsidRPr="00F45A3F" w14:paraId="7BA912BF" w14:textId="77777777" w:rsidTr="00F45A3F">
        <w:trPr>
          <w:cantSplit/>
        </w:trPr>
        <w:tc>
          <w:tcPr>
            <w:tcW w:w="1714" w:type="dxa"/>
            <w:vMerge/>
            <w:tcBorders>
              <w:top w:val="nil"/>
              <w:bottom w:val="single" w:sz="4" w:space="0" w:color="auto"/>
            </w:tcBorders>
            <w:shd w:val="clear" w:color="auto" w:fill="FFFFFF"/>
            <w:vAlign w:val="center"/>
          </w:tcPr>
          <w:p w14:paraId="25E29B70" w14:textId="77777777" w:rsidR="00F45A3F" w:rsidRPr="00F45A3F" w:rsidRDefault="00F45A3F" w:rsidP="00F45A3F">
            <w:pPr>
              <w:spacing w:line="240" w:lineRule="auto"/>
              <w:jc w:val="both"/>
              <w:rPr>
                <w:rFonts w:ascii="Times New Roman" w:hAnsi="Times New Roman" w:cs="Times New Roman"/>
                <w:sz w:val="24"/>
                <w:szCs w:val="24"/>
              </w:rPr>
            </w:pPr>
          </w:p>
        </w:tc>
        <w:tc>
          <w:tcPr>
            <w:tcW w:w="2275" w:type="dxa"/>
            <w:tcBorders>
              <w:top w:val="nil"/>
              <w:bottom w:val="single" w:sz="4" w:space="0" w:color="auto"/>
            </w:tcBorders>
            <w:shd w:val="clear" w:color="auto" w:fill="FFFFFF"/>
            <w:vAlign w:val="center"/>
          </w:tcPr>
          <w:p w14:paraId="0171EB77"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N</w:t>
            </w:r>
          </w:p>
        </w:tc>
        <w:tc>
          <w:tcPr>
            <w:tcW w:w="1276" w:type="dxa"/>
            <w:tcBorders>
              <w:top w:val="nil"/>
              <w:bottom w:val="single" w:sz="4" w:space="0" w:color="auto"/>
            </w:tcBorders>
            <w:shd w:val="clear" w:color="auto" w:fill="FFFFFF"/>
            <w:vAlign w:val="center"/>
          </w:tcPr>
          <w:p w14:paraId="0A62DB32"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284</w:t>
            </w:r>
          </w:p>
        </w:tc>
        <w:tc>
          <w:tcPr>
            <w:tcW w:w="2268" w:type="dxa"/>
            <w:tcBorders>
              <w:top w:val="nil"/>
              <w:bottom w:val="single" w:sz="4" w:space="0" w:color="auto"/>
            </w:tcBorders>
            <w:shd w:val="clear" w:color="auto" w:fill="FFFFFF"/>
            <w:vAlign w:val="center"/>
          </w:tcPr>
          <w:p w14:paraId="0D7FD207"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284</w:t>
            </w:r>
          </w:p>
        </w:tc>
      </w:tr>
      <w:tr w:rsidR="00F45A3F" w:rsidRPr="00F45A3F" w14:paraId="7BB94C2C" w14:textId="77777777" w:rsidTr="00F45A3F">
        <w:trPr>
          <w:cantSplit/>
        </w:trPr>
        <w:tc>
          <w:tcPr>
            <w:tcW w:w="7533" w:type="dxa"/>
            <w:gridSpan w:val="4"/>
            <w:tcBorders>
              <w:top w:val="single" w:sz="4" w:space="0" w:color="auto"/>
            </w:tcBorders>
            <w:shd w:val="clear" w:color="auto" w:fill="FFFFFF"/>
          </w:tcPr>
          <w:p w14:paraId="2041146D" w14:textId="77777777" w:rsidR="00F45A3F" w:rsidRPr="00F45A3F" w:rsidRDefault="00F45A3F" w:rsidP="00F45A3F">
            <w:pPr>
              <w:spacing w:line="240" w:lineRule="auto"/>
              <w:jc w:val="both"/>
              <w:rPr>
                <w:rFonts w:ascii="Times New Roman" w:hAnsi="Times New Roman" w:cs="Times New Roman"/>
                <w:sz w:val="24"/>
                <w:szCs w:val="24"/>
              </w:rPr>
            </w:pPr>
            <w:r w:rsidRPr="00F45A3F">
              <w:rPr>
                <w:rFonts w:ascii="Times New Roman" w:hAnsi="Times New Roman" w:cs="Times New Roman"/>
                <w:sz w:val="24"/>
                <w:szCs w:val="24"/>
              </w:rPr>
              <w:t>**. Correlation is significant at the 0.01 level (2-tailed).</w:t>
            </w:r>
          </w:p>
        </w:tc>
      </w:tr>
    </w:tbl>
    <w:p w14:paraId="0EAC2521" w14:textId="1DE9586A" w:rsidR="00F45A3F" w:rsidRPr="00F45A3F" w:rsidRDefault="00F45A3F" w:rsidP="00F45A3F">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Data (2025)</w:t>
      </w:r>
    </w:p>
    <w:p w14:paraId="081CD21B" w14:textId="44C43C77" w:rsidR="000E2EB2" w:rsidRDefault="000E2EB2" w:rsidP="000E2EB2">
      <w:pPr>
        <w:spacing w:line="360" w:lineRule="auto"/>
        <w:jc w:val="both"/>
        <w:rPr>
          <w:rFonts w:ascii="Times New Roman" w:hAnsi="Times New Roman" w:cs="Times New Roman"/>
          <w:sz w:val="24"/>
          <w:szCs w:val="24"/>
        </w:rPr>
      </w:pPr>
      <w:bookmarkStart w:id="14" w:name="_Toc231854443"/>
      <w:r>
        <w:rPr>
          <w:rFonts w:ascii="Times New Roman" w:hAnsi="Times New Roman" w:cs="Times New Roman"/>
          <w:sz w:val="24"/>
          <w:szCs w:val="24"/>
        </w:rPr>
        <w:t>A Pearson correlation analysis was conducted to assess the relationship between savings literacy and financial viability among MSMEs. The results indicate a strong, positive, and statistically significant association between savings literacy and financial viability (r = 0.818, p &lt; 0.001, n = 284). The positive correlation coefficient indicates that higher levels of savings literacy are associated with higher levels of financial viability. Because the p-value is less than 0.01 (2-tailed), the relationship is statistically significant, implying that the observed association is unlikely to have occurred by chance. The findings suggest that improving savings literacy among MSME owners or managers is likely to enhance the financial viability of their enterprise.</w:t>
      </w:r>
    </w:p>
    <w:p w14:paraId="591799BE" w14:textId="35C2AABD" w:rsidR="00CE0A1B" w:rsidRPr="001266AC" w:rsidRDefault="008D2A36" w:rsidP="008D2A36">
      <w:pPr>
        <w:jc w:val="both"/>
        <w:rPr>
          <w:rFonts w:ascii="Times" w:hAnsi="Times" w:cs="Times"/>
          <w:b/>
          <w:bCs/>
          <w:sz w:val="24"/>
          <w:szCs w:val="24"/>
        </w:rPr>
      </w:pPr>
      <w:r w:rsidRPr="001266AC">
        <w:rPr>
          <w:rFonts w:ascii="Times" w:hAnsi="Times" w:cs="Times"/>
          <w:b/>
          <w:bCs/>
          <w:sz w:val="24"/>
          <w:szCs w:val="24"/>
        </w:rPr>
        <w:t xml:space="preserve">REGRESSION </w:t>
      </w:r>
      <w:r>
        <w:rPr>
          <w:rFonts w:ascii="Times" w:hAnsi="Times" w:cs="Times"/>
          <w:b/>
          <w:bCs/>
          <w:sz w:val="24"/>
          <w:szCs w:val="24"/>
        </w:rPr>
        <w:t>A</w:t>
      </w:r>
      <w:r w:rsidRPr="001266AC">
        <w:rPr>
          <w:rFonts w:ascii="Times" w:hAnsi="Times" w:cs="Times"/>
          <w:b/>
          <w:bCs/>
          <w:sz w:val="24"/>
          <w:szCs w:val="24"/>
        </w:rPr>
        <w:t xml:space="preserve">NALYSIS OF </w:t>
      </w:r>
      <w:r>
        <w:rPr>
          <w:rFonts w:ascii="Times" w:hAnsi="Times" w:cs="Times"/>
          <w:b/>
          <w:bCs/>
          <w:sz w:val="24"/>
          <w:szCs w:val="24"/>
        </w:rPr>
        <w:t>S</w:t>
      </w:r>
      <w:r w:rsidRPr="001266AC">
        <w:rPr>
          <w:rFonts w:ascii="Times" w:hAnsi="Times" w:cs="Times"/>
          <w:b/>
          <w:bCs/>
          <w:sz w:val="24"/>
          <w:szCs w:val="24"/>
        </w:rPr>
        <w:t xml:space="preserve">AVINGS </w:t>
      </w:r>
      <w:r>
        <w:rPr>
          <w:rFonts w:ascii="Times" w:hAnsi="Times" w:cs="Times"/>
          <w:b/>
          <w:bCs/>
          <w:sz w:val="24"/>
          <w:szCs w:val="24"/>
        </w:rPr>
        <w:t>L</w:t>
      </w:r>
      <w:r w:rsidRPr="001266AC">
        <w:rPr>
          <w:rFonts w:ascii="Times" w:hAnsi="Times" w:cs="Times"/>
          <w:b/>
          <w:bCs/>
          <w:sz w:val="24"/>
          <w:szCs w:val="24"/>
        </w:rPr>
        <w:t xml:space="preserve">ITERACY AND </w:t>
      </w:r>
      <w:r>
        <w:rPr>
          <w:rFonts w:ascii="Times" w:hAnsi="Times" w:cs="Times"/>
          <w:b/>
          <w:bCs/>
          <w:sz w:val="24"/>
          <w:szCs w:val="24"/>
        </w:rPr>
        <w:t>F</w:t>
      </w:r>
      <w:r w:rsidRPr="001266AC">
        <w:rPr>
          <w:rFonts w:ascii="Times" w:hAnsi="Times" w:cs="Times"/>
          <w:b/>
          <w:bCs/>
          <w:sz w:val="24"/>
          <w:szCs w:val="24"/>
        </w:rPr>
        <w:t xml:space="preserve">INANCIAL </w:t>
      </w:r>
      <w:r>
        <w:rPr>
          <w:rFonts w:ascii="Times" w:hAnsi="Times" w:cs="Times"/>
          <w:b/>
          <w:bCs/>
          <w:sz w:val="24"/>
          <w:szCs w:val="24"/>
        </w:rPr>
        <w:t>V</w:t>
      </w:r>
      <w:r w:rsidRPr="001266AC">
        <w:rPr>
          <w:rFonts w:ascii="Times" w:hAnsi="Times" w:cs="Times"/>
          <w:b/>
          <w:bCs/>
          <w:sz w:val="24"/>
          <w:szCs w:val="24"/>
        </w:rPr>
        <w:t>IABILITY OF MSMES</w:t>
      </w:r>
      <w:bookmarkEnd w:id="14"/>
    </w:p>
    <w:p w14:paraId="7971F545" w14:textId="3644BCBA" w:rsidR="00CE0A1B" w:rsidRPr="003358EA" w:rsidRDefault="00CE0A1B" w:rsidP="00CE0A1B">
      <w:pPr>
        <w:pStyle w:val="Tablez"/>
      </w:pPr>
      <w:bookmarkStart w:id="15" w:name="_Toc228199222"/>
      <w:r>
        <w:t xml:space="preserve">Table </w:t>
      </w:r>
      <w:r w:rsidR="00D87B71">
        <w:t>4</w:t>
      </w:r>
      <w:r w:rsidR="00E531EA">
        <w:t xml:space="preserve">: </w:t>
      </w:r>
      <w:r>
        <w:t xml:space="preserve">Regression </w:t>
      </w:r>
      <w:r w:rsidR="00107F01">
        <w:t>A</w:t>
      </w:r>
      <w:r>
        <w:t xml:space="preserve">nalysis of </w:t>
      </w:r>
      <w:r w:rsidR="00107F01">
        <w:t>S</w:t>
      </w:r>
      <w:r>
        <w:t xml:space="preserve">avings </w:t>
      </w:r>
      <w:r w:rsidR="00107F01">
        <w:t>L</w:t>
      </w:r>
      <w:r>
        <w:t xml:space="preserve">iteracy and </w:t>
      </w:r>
      <w:r w:rsidR="006419C0">
        <w:t>Financial Viability</w:t>
      </w:r>
      <w:r>
        <w:t xml:space="preserve"> of MSMEs</w:t>
      </w:r>
      <w:bookmarkEnd w:id="15"/>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205"/>
        <w:gridCol w:w="17"/>
        <w:gridCol w:w="1469"/>
        <w:gridCol w:w="73"/>
        <w:gridCol w:w="937"/>
        <w:gridCol w:w="906"/>
        <w:gridCol w:w="486"/>
        <w:gridCol w:w="1010"/>
        <w:gridCol w:w="1010"/>
        <w:gridCol w:w="45"/>
      </w:tblGrid>
      <w:tr w:rsidR="00CE0A1B" w:rsidRPr="00AF25AC" w14:paraId="3290CCE6" w14:textId="77777777" w:rsidTr="00697C13">
        <w:trPr>
          <w:cantSplit/>
        </w:trPr>
        <w:tc>
          <w:tcPr>
            <w:tcW w:w="7938" w:type="dxa"/>
            <w:gridSpan w:val="12"/>
            <w:tcBorders>
              <w:top w:val="nil"/>
              <w:left w:val="nil"/>
              <w:bottom w:val="single" w:sz="4" w:space="0" w:color="auto"/>
              <w:right w:val="nil"/>
            </w:tcBorders>
            <w:shd w:val="clear" w:color="auto" w:fill="FFFFFF"/>
          </w:tcPr>
          <w:p w14:paraId="23DB63CF" w14:textId="77777777" w:rsidR="00CE0A1B" w:rsidRPr="00E65227" w:rsidRDefault="00CE0A1B" w:rsidP="00554A6E">
            <w:pPr>
              <w:jc w:val="center"/>
              <w:rPr>
                <w:rFonts w:ascii="Times" w:hAnsi="Times" w:cs="Times"/>
                <w:b/>
                <w:bCs/>
                <w:sz w:val="24"/>
                <w:szCs w:val="24"/>
              </w:rPr>
            </w:pPr>
            <w:r w:rsidRPr="00E65227">
              <w:rPr>
                <w:rFonts w:ascii="Times" w:hAnsi="Times" w:cs="Times"/>
                <w:b/>
                <w:bCs/>
                <w:sz w:val="24"/>
                <w:szCs w:val="24"/>
              </w:rPr>
              <w:t>Model Summary</w:t>
            </w:r>
          </w:p>
        </w:tc>
      </w:tr>
      <w:tr w:rsidR="00CE0A1B" w:rsidRPr="00E65227" w14:paraId="507ACC95" w14:textId="77777777" w:rsidTr="00697C13">
        <w:trPr>
          <w:cantSplit/>
        </w:trPr>
        <w:tc>
          <w:tcPr>
            <w:tcW w:w="780" w:type="dxa"/>
            <w:gridSpan w:val="2"/>
            <w:tcBorders>
              <w:top w:val="single" w:sz="4" w:space="0" w:color="auto"/>
              <w:left w:val="nil"/>
              <w:bottom w:val="single" w:sz="4" w:space="0" w:color="auto"/>
              <w:right w:val="nil"/>
            </w:tcBorders>
            <w:shd w:val="clear" w:color="auto" w:fill="FFFFFF"/>
          </w:tcPr>
          <w:p w14:paraId="78115F14" w14:textId="77777777" w:rsidR="00CE0A1B" w:rsidRPr="00E65227" w:rsidRDefault="00CE0A1B" w:rsidP="00554A6E">
            <w:pPr>
              <w:rPr>
                <w:rFonts w:ascii="Times" w:hAnsi="Times" w:cs="Times"/>
                <w:sz w:val="24"/>
                <w:szCs w:val="24"/>
              </w:rPr>
            </w:pPr>
            <w:r w:rsidRPr="00E65227">
              <w:rPr>
                <w:rFonts w:ascii="Times" w:hAnsi="Times" w:cs="Times"/>
                <w:sz w:val="24"/>
                <w:szCs w:val="24"/>
              </w:rPr>
              <w:t>Model</w:t>
            </w:r>
          </w:p>
        </w:tc>
        <w:tc>
          <w:tcPr>
            <w:tcW w:w="1205" w:type="dxa"/>
            <w:tcBorders>
              <w:top w:val="single" w:sz="4" w:space="0" w:color="auto"/>
              <w:left w:val="nil"/>
              <w:bottom w:val="single" w:sz="4" w:space="0" w:color="auto"/>
              <w:right w:val="nil"/>
            </w:tcBorders>
            <w:shd w:val="clear" w:color="auto" w:fill="FFFFFF"/>
          </w:tcPr>
          <w:p w14:paraId="4D798610" w14:textId="77777777" w:rsidR="00CE0A1B" w:rsidRPr="00E65227" w:rsidRDefault="00CE0A1B" w:rsidP="00554A6E">
            <w:pPr>
              <w:rPr>
                <w:rFonts w:ascii="Times" w:hAnsi="Times" w:cs="Times"/>
                <w:sz w:val="24"/>
                <w:szCs w:val="24"/>
              </w:rPr>
            </w:pPr>
            <w:r w:rsidRPr="00E65227">
              <w:rPr>
                <w:rFonts w:ascii="Times" w:hAnsi="Times" w:cs="Times"/>
                <w:sz w:val="24"/>
                <w:szCs w:val="24"/>
              </w:rPr>
              <w:t>R</w:t>
            </w:r>
          </w:p>
        </w:tc>
        <w:tc>
          <w:tcPr>
            <w:tcW w:w="1559" w:type="dxa"/>
            <w:gridSpan w:val="3"/>
            <w:tcBorders>
              <w:top w:val="single" w:sz="4" w:space="0" w:color="auto"/>
              <w:left w:val="nil"/>
              <w:bottom w:val="single" w:sz="4" w:space="0" w:color="auto"/>
              <w:right w:val="nil"/>
            </w:tcBorders>
            <w:shd w:val="clear" w:color="auto" w:fill="FFFFFF"/>
          </w:tcPr>
          <w:p w14:paraId="4A190122" w14:textId="77777777" w:rsidR="00CE0A1B" w:rsidRPr="00E65227" w:rsidRDefault="00CE0A1B" w:rsidP="00554A6E">
            <w:pPr>
              <w:rPr>
                <w:rFonts w:ascii="Times" w:hAnsi="Times" w:cs="Times"/>
                <w:sz w:val="24"/>
                <w:szCs w:val="24"/>
              </w:rPr>
            </w:pPr>
            <w:r w:rsidRPr="00E65227">
              <w:rPr>
                <w:rFonts w:ascii="Times" w:hAnsi="Times" w:cs="Times"/>
                <w:sz w:val="24"/>
                <w:szCs w:val="24"/>
              </w:rPr>
              <w:t>R Square</w:t>
            </w:r>
          </w:p>
        </w:tc>
        <w:tc>
          <w:tcPr>
            <w:tcW w:w="1843" w:type="dxa"/>
            <w:gridSpan w:val="2"/>
            <w:tcBorders>
              <w:top w:val="single" w:sz="4" w:space="0" w:color="auto"/>
              <w:left w:val="nil"/>
              <w:bottom w:val="single" w:sz="4" w:space="0" w:color="auto"/>
              <w:right w:val="nil"/>
            </w:tcBorders>
            <w:shd w:val="clear" w:color="auto" w:fill="FFFFFF"/>
          </w:tcPr>
          <w:p w14:paraId="3C4D4FB7" w14:textId="77777777" w:rsidR="00CE0A1B" w:rsidRPr="00E65227" w:rsidRDefault="00CE0A1B" w:rsidP="00554A6E">
            <w:pPr>
              <w:rPr>
                <w:rFonts w:ascii="Times" w:hAnsi="Times" w:cs="Times"/>
                <w:sz w:val="24"/>
                <w:szCs w:val="24"/>
              </w:rPr>
            </w:pPr>
            <w:r w:rsidRPr="00E65227">
              <w:rPr>
                <w:rFonts w:ascii="Times" w:hAnsi="Times" w:cs="Times"/>
                <w:sz w:val="24"/>
                <w:szCs w:val="24"/>
              </w:rPr>
              <w:t>Adjusted R Square</w:t>
            </w:r>
          </w:p>
        </w:tc>
        <w:tc>
          <w:tcPr>
            <w:tcW w:w="2551" w:type="dxa"/>
            <w:gridSpan w:val="4"/>
            <w:tcBorders>
              <w:top w:val="single" w:sz="4" w:space="0" w:color="auto"/>
              <w:left w:val="nil"/>
              <w:bottom w:val="single" w:sz="4" w:space="0" w:color="auto"/>
              <w:right w:val="nil"/>
            </w:tcBorders>
            <w:shd w:val="clear" w:color="auto" w:fill="FFFFFF"/>
          </w:tcPr>
          <w:p w14:paraId="7CF7FB90" w14:textId="77777777" w:rsidR="00CE0A1B" w:rsidRPr="00E65227" w:rsidRDefault="00CE0A1B" w:rsidP="00554A6E">
            <w:pPr>
              <w:rPr>
                <w:rFonts w:ascii="Times" w:hAnsi="Times" w:cs="Times"/>
                <w:sz w:val="24"/>
                <w:szCs w:val="24"/>
              </w:rPr>
            </w:pPr>
            <w:r w:rsidRPr="00E65227">
              <w:rPr>
                <w:rFonts w:ascii="Times" w:hAnsi="Times" w:cs="Times"/>
                <w:sz w:val="24"/>
                <w:szCs w:val="24"/>
              </w:rPr>
              <w:t>Std. Error of the Estimate</w:t>
            </w:r>
          </w:p>
        </w:tc>
      </w:tr>
      <w:tr w:rsidR="00CE0A1B" w:rsidRPr="00E65227" w14:paraId="370E32E7" w14:textId="77777777" w:rsidTr="00697C13">
        <w:trPr>
          <w:cantSplit/>
        </w:trPr>
        <w:tc>
          <w:tcPr>
            <w:tcW w:w="780" w:type="dxa"/>
            <w:gridSpan w:val="2"/>
            <w:tcBorders>
              <w:top w:val="single" w:sz="4" w:space="0" w:color="auto"/>
              <w:left w:val="nil"/>
              <w:bottom w:val="single" w:sz="4" w:space="0" w:color="auto"/>
              <w:right w:val="nil"/>
            </w:tcBorders>
            <w:shd w:val="clear" w:color="auto" w:fill="FFFFFF"/>
            <w:vAlign w:val="center"/>
          </w:tcPr>
          <w:p w14:paraId="120740FB" w14:textId="77777777" w:rsidR="00CE0A1B" w:rsidRPr="00E65227" w:rsidRDefault="00CE0A1B" w:rsidP="00554A6E">
            <w:pPr>
              <w:rPr>
                <w:rFonts w:ascii="Times" w:hAnsi="Times" w:cs="Times"/>
                <w:sz w:val="24"/>
                <w:szCs w:val="24"/>
              </w:rPr>
            </w:pPr>
            <w:r w:rsidRPr="00E65227">
              <w:rPr>
                <w:rFonts w:ascii="Times" w:hAnsi="Times" w:cs="Times"/>
                <w:sz w:val="24"/>
                <w:szCs w:val="24"/>
              </w:rPr>
              <w:t>1</w:t>
            </w:r>
          </w:p>
        </w:tc>
        <w:tc>
          <w:tcPr>
            <w:tcW w:w="1205" w:type="dxa"/>
            <w:tcBorders>
              <w:top w:val="single" w:sz="4" w:space="0" w:color="auto"/>
              <w:left w:val="nil"/>
              <w:bottom w:val="single" w:sz="4" w:space="0" w:color="auto"/>
              <w:right w:val="nil"/>
            </w:tcBorders>
            <w:shd w:val="clear" w:color="auto" w:fill="FFFFFF"/>
            <w:vAlign w:val="center"/>
          </w:tcPr>
          <w:p w14:paraId="3B549049" w14:textId="77777777" w:rsidR="00CE0A1B" w:rsidRPr="00E65227" w:rsidRDefault="00CE0A1B" w:rsidP="00554A6E">
            <w:pPr>
              <w:rPr>
                <w:rFonts w:ascii="Times" w:hAnsi="Times" w:cs="Times"/>
                <w:sz w:val="24"/>
                <w:szCs w:val="24"/>
              </w:rPr>
            </w:pPr>
            <w:r w:rsidRPr="00E65227">
              <w:rPr>
                <w:rFonts w:ascii="Times" w:hAnsi="Times" w:cs="Times"/>
                <w:sz w:val="24"/>
                <w:szCs w:val="24"/>
              </w:rPr>
              <w:t>.818</w:t>
            </w:r>
            <w:r w:rsidRPr="00E65227">
              <w:rPr>
                <w:rFonts w:ascii="Times" w:hAnsi="Times" w:cs="Times"/>
                <w:sz w:val="24"/>
                <w:szCs w:val="24"/>
                <w:vertAlign w:val="superscript"/>
              </w:rPr>
              <w:t>a</w:t>
            </w:r>
          </w:p>
        </w:tc>
        <w:tc>
          <w:tcPr>
            <w:tcW w:w="1559" w:type="dxa"/>
            <w:gridSpan w:val="3"/>
            <w:tcBorders>
              <w:top w:val="single" w:sz="4" w:space="0" w:color="auto"/>
              <w:left w:val="nil"/>
              <w:bottom w:val="single" w:sz="4" w:space="0" w:color="auto"/>
              <w:right w:val="nil"/>
            </w:tcBorders>
            <w:shd w:val="clear" w:color="auto" w:fill="FFFFFF"/>
            <w:vAlign w:val="center"/>
          </w:tcPr>
          <w:p w14:paraId="363015B7" w14:textId="77777777" w:rsidR="00CE0A1B" w:rsidRPr="00E65227" w:rsidRDefault="00CE0A1B" w:rsidP="00554A6E">
            <w:pPr>
              <w:rPr>
                <w:rFonts w:ascii="Times" w:hAnsi="Times" w:cs="Times"/>
                <w:sz w:val="24"/>
                <w:szCs w:val="24"/>
              </w:rPr>
            </w:pPr>
            <w:r w:rsidRPr="00E65227">
              <w:rPr>
                <w:rFonts w:ascii="Times" w:hAnsi="Times" w:cs="Times"/>
                <w:sz w:val="24"/>
                <w:szCs w:val="24"/>
              </w:rPr>
              <w:t>.669</w:t>
            </w:r>
          </w:p>
        </w:tc>
        <w:tc>
          <w:tcPr>
            <w:tcW w:w="1843" w:type="dxa"/>
            <w:gridSpan w:val="2"/>
            <w:tcBorders>
              <w:top w:val="single" w:sz="4" w:space="0" w:color="auto"/>
              <w:left w:val="nil"/>
              <w:bottom w:val="single" w:sz="4" w:space="0" w:color="auto"/>
              <w:right w:val="nil"/>
            </w:tcBorders>
            <w:shd w:val="clear" w:color="auto" w:fill="FFFFFF"/>
            <w:vAlign w:val="center"/>
          </w:tcPr>
          <w:p w14:paraId="6DBDD51C" w14:textId="77777777" w:rsidR="00CE0A1B" w:rsidRPr="00E65227" w:rsidRDefault="00CE0A1B" w:rsidP="00554A6E">
            <w:pPr>
              <w:rPr>
                <w:rFonts w:ascii="Times" w:hAnsi="Times" w:cs="Times"/>
                <w:sz w:val="24"/>
                <w:szCs w:val="24"/>
              </w:rPr>
            </w:pPr>
            <w:r w:rsidRPr="00E65227">
              <w:rPr>
                <w:rFonts w:ascii="Times" w:hAnsi="Times" w:cs="Times"/>
                <w:sz w:val="24"/>
                <w:szCs w:val="24"/>
              </w:rPr>
              <w:t>.668</w:t>
            </w:r>
          </w:p>
        </w:tc>
        <w:tc>
          <w:tcPr>
            <w:tcW w:w="2551" w:type="dxa"/>
            <w:gridSpan w:val="4"/>
            <w:tcBorders>
              <w:top w:val="single" w:sz="4" w:space="0" w:color="auto"/>
              <w:left w:val="nil"/>
              <w:bottom w:val="single" w:sz="4" w:space="0" w:color="auto"/>
              <w:right w:val="nil"/>
            </w:tcBorders>
            <w:shd w:val="clear" w:color="auto" w:fill="FFFFFF"/>
            <w:vAlign w:val="center"/>
          </w:tcPr>
          <w:p w14:paraId="26A585E4" w14:textId="77777777" w:rsidR="00CE0A1B" w:rsidRPr="00E65227" w:rsidRDefault="00CE0A1B" w:rsidP="00554A6E">
            <w:pPr>
              <w:rPr>
                <w:rFonts w:ascii="Times" w:hAnsi="Times" w:cs="Times"/>
                <w:sz w:val="24"/>
                <w:szCs w:val="24"/>
              </w:rPr>
            </w:pPr>
            <w:r w:rsidRPr="00E65227">
              <w:rPr>
                <w:rFonts w:ascii="Times" w:hAnsi="Times" w:cs="Times"/>
                <w:sz w:val="24"/>
                <w:szCs w:val="24"/>
              </w:rPr>
              <w:t>1.82315</w:t>
            </w:r>
          </w:p>
        </w:tc>
      </w:tr>
      <w:tr w:rsidR="00CE0A1B" w:rsidRPr="00AF25AC" w14:paraId="486B93B9" w14:textId="77777777" w:rsidTr="00697C13">
        <w:trPr>
          <w:gridAfter w:val="1"/>
          <w:wAfter w:w="45" w:type="dxa"/>
          <w:cantSplit/>
        </w:trPr>
        <w:tc>
          <w:tcPr>
            <w:tcW w:w="7893" w:type="dxa"/>
            <w:gridSpan w:val="11"/>
            <w:tcBorders>
              <w:top w:val="nil"/>
              <w:left w:val="nil"/>
              <w:bottom w:val="single" w:sz="4" w:space="0" w:color="auto"/>
              <w:right w:val="nil"/>
            </w:tcBorders>
            <w:shd w:val="clear" w:color="auto" w:fill="FFFFFF"/>
          </w:tcPr>
          <w:p w14:paraId="66D9B116" w14:textId="77777777" w:rsidR="00CE0A1B" w:rsidRPr="00E65227" w:rsidRDefault="00CE0A1B" w:rsidP="00554A6E">
            <w:pPr>
              <w:jc w:val="center"/>
              <w:rPr>
                <w:rFonts w:ascii="Times" w:hAnsi="Times" w:cs="Times"/>
                <w:b/>
                <w:bCs/>
                <w:sz w:val="24"/>
                <w:szCs w:val="24"/>
              </w:rPr>
            </w:pPr>
            <w:r w:rsidRPr="00E65227">
              <w:rPr>
                <w:rFonts w:ascii="Times" w:hAnsi="Times" w:cs="Times"/>
                <w:b/>
                <w:bCs/>
                <w:sz w:val="24"/>
                <w:szCs w:val="24"/>
              </w:rPr>
              <w:t>ANOVA</w:t>
            </w:r>
            <w:r w:rsidRPr="00E65227">
              <w:rPr>
                <w:rFonts w:ascii="Times" w:hAnsi="Times" w:cs="Times"/>
                <w:b/>
                <w:bCs/>
                <w:sz w:val="24"/>
                <w:szCs w:val="24"/>
                <w:vertAlign w:val="superscript"/>
              </w:rPr>
              <w:t>a</w:t>
            </w:r>
          </w:p>
        </w:tc>
      </w:tr>
      <w:tr w:rsidR="00CE0A1B" w:rsidRPr="00AF25AC" w14:paraId="24249737" w14:textId="77777777" w:rsidTr="00697C13">
        <w:trPr>
          <w:gridAfter w:val="1"/>
          <w:wAfter w:w="45" w:type="dxa"/>
          <w:cantSplit/>
        </w:trPr>
        <w:tc>
          <w:tcPr>
            <w:tcW w:w="2002" w:type="dxa"/>
            <w:gridSpan w:val="4"/>
            <w:tcBorders>
              <w:top w:val="single" w:sz="4" w:space="0" w:color="auto"/>
              <w:left w:val="nil"/>
              <w:bottom w:val="single" w:sz="4" w:space="0" w:color="auto"/>
              <w:right w:val="nil"/>
            </w:tcBorders>
            <w:shd w:val="clear" w:color="auto" w:fill="FFFFFF"/>
          </w:tcPr>
          <w:p w14:paraId="620F0E46" w14:textId="77777777" w:rsidR="00CE0A1B" w:rsidRPr="00E65227" w:rsidRDefault="00CE0A1B" w:rsidP="00554A6E">
            <w:pPr>
              <w:rPr>
                <w:rFonts w:ascii="Times" w:hAnsi="Times" w:cs="Times"/>
                <w:sz w:val="24"/>
                <w:szCs w:val="24"/>
              </w:rPr>
            </w:pPr>
            <w:r w:rsidRPr="00E65227">
              <w:rPr>
                <w:rFonts w:ascii="Times" w:hAnsi="Times" w:cs="Times"/>
                <w:sz w:val="24"/>
                <w:szCs w:val="24"/>
              </w:rPr>
              <w:t>Model</w:t>
            </w:r>
          </w:p>
        </w:tc>
        <w:tc>
          <w:tcPr>
            <w:tcW w:w="1469" w:type="dxa"/>
            <w:tcBorders>
              <w:top w:val="single" w:sz="4" w:space="0" w:color="auto"/>
              <w:left w:val="nil"/>
              <w:bottom w:val="single" w:sz="4" w:space="0" w:color="auto"/>
              <w:right w:val="nil"/>
            </w:tcBorders>
            <w:shd w:val="clear" w:color="auto" w:fill="FFFFFF"/>
          </w:tcPr>
          <w:p w14:paraId="76A38D1C" w14:textId="77777777" w:rsidR="00CE0A1B" w:rsidRPr="00E65227" w:rsidRDefault="00CE0A1B" w:rsidP="00554A6E">
            <w:pPr>
              <w:rPr>
                <w:rFonts w:ascii="Times" w:hAnsi="Times" w:cs="Times"/>
                <w:sz w:val="24"/>
                <w:szCs w:val="24"/>
              </w:rPr>
            </w:pPr>
            <w:r w:rsidRPr="00E65227">
              <w:rPr>
                <w:rFonts w:ascii="Times" w:hAnsi="Times" w:cs="Times"/>
                <w:sz w:val="24"/>
                <w:szCs w:val="24"/>
              </w:rPr>
              <w:t>Sum of Squares</w:t>
            </w:r>
          </w:p>
        </w:tc>
        <w:tc>
          <w:tcPr>
            <w:tcW w:w="1010" w:type="dxa"/>
            <w:gridSpan w:val="2"/>
            <w:tcBorders>
              <w:top w:val="single" w:sz="4" w:space="0" w:color="auto"/>
              <w:left w:val="nil"/>
              <w:bottom w:val="single" w:sz="4" w:space="0" w:color="auto"/>
              <w:right w:val="nil"/>
            </w:tcBorders>
            <w:shd w:val="clear" w:color="auto" w:fill="FFFFFF"/>
          </w:tcPr>
          <w:p w14:paraId="7B696AC5" w14:textId="77777777" w:rsidR="00CE0A1B" w:rsidRPr="00E65227" w:rsidRDefault="00CE0A1B" w:rsidP="00554A6E">
            <w:pPr>
              <w:rPr>
                <w:rFonts w:ascii="Times" w:hAnsi="Times" w:cs="Times"/>
                <w:sz w:val="24"/>
                <w:szCs w:val="24"/>
              </w:rPr>
            </w:pPr>
            <w:r w:rsidRPr="00E65227">
              <w:rPr>
                <w:rFonts w:ascii="Times" w:hAnsi="Times" w:cs="Times"/>
                <w:sz w:val="24"/>
                <w:szCs w:val="24"/>
              </w:rPr>
              <w:t>df</w:t>
            </w:r>
          </w:p>
        </w:tc>
        <w:tc>
          <w:tcPr>
            <w:tcW w:w="1392" w:type="dxa"/>
            <w:gridSpan w:val="2"/>
            <w:tcBorders>
              <w:top w:val="single" w:sz="4" w:space="0" w:color="auto"/>
              <w:left w:val="nil"/>
              <w:bottom w:val="single" w:sz="4" w:space="0" w:color="auto"/>
              <w:right w:val="nil"/>
            </w:tcBorders>
            <w:shd w:val="clear" w:color="auto" w:fill="FFFFFF"/>
          </w:tcPr>
          <w:p w14:paraId="163214A9" w14:textId="77777777" w:rsidR="00CE0A1B" w:rsidRPr="00E65227" w:rsidRDefault="00CE0A1B" w:rsidP="00554A6E">
            <w:pPr>
              <w:rPr>
                <w:rFonts w:ascii="Times" w:hAnsi="Times" w:cs="Times"/>
                <w:sz w:val="24"/>
                <w:szCs w:val="24"/>
              </w:rPr>
            </w:pPr>
            <w:r w:rsidRPr="00E65227">
              <w:rPr>
                <w:rFonts w:ascii="Times" w:hAnsi="Times" w:cs="Times"/>
                <w:sz w:val="24"/>
                <w:szCs w:val="24"/>
              </w:rPr>
              <w:t>Mean Square</w:t>
            </w:r>
          </w:p>
        </w:tc>
        <w:tc>
          <w:tcPr>
            <w:tcW w:w="1010" w:type="dxa"/>
            <w:tcBorders>
              <w:top w:val="single" w:sz="4" w:space="0" w:color="auto"/>
              <w:left w:val="nil"/>
              <w:bottom w:val="single" w:sz="4" w:space="0" w:color="auto"/>
              <w:right w:val="nil"/>
            </w:tcBorders>
            <w:shd w:val="clear" w:color="auto" w:fill="FFFFFF"/>
          </w:tcPr>
          <w:p w14:paraId="1A4F4C12" w14:textId="77777777" w:rsidR="00CE0A1B" w:rsidRPr="00E65227" w:rsidRDefault="00CE0A1B" w:rsidP="00554A6E">
            <w:pPr>
              <w:rPr>
                <w:rFonts w:ascii="Times" w:hAnsi="Times" w:cs="Times"/>
                <w:sz w:val="24"/>
                <w:szCs w:val="24"/>
              </w:rPr>
            </w:pPr>
            <w:r w:rsidRPr="00E65227">
              <w:rPr>
                <w:rFonts w:ascii="Times" w:hAnsi="Times" w:cs="Times"/>
                <w:sz w:val="24"/>
                <w:szCs w:val="24"/>
              </w:rPr>
              <w:t>F</w:t>
            </w:r>
          </w:p>
        </w:tc>
        <w:tc>
          <w:tcPr>
            <w:tcW w:w="1010" w:type="dxa"/>
            <w:tcBorders>
              <w:top w:val="single" w:sz="4" w:space="0" w:color="auto"/>
              <w:left w:val="nil"/>
              <w:bottom w:val="single" w:sz="4" w:space="0" w:color="auto"/>
              <w:right w:val="nil"/>
            </w:tcBorders>
            <w:shd w:val="clear" w:color="auto" w:fill="FFFFFF"/>
          </w:tcPr>
          <w:p w14:paraId="6F261C9D" w14:textId="77777777" w:rsidR="00CE0A1B" w:rsidRPr="00E65227" w:rsidRDefault="00CE0A1B" w:rsidP="00554A6E">
            <w:pPr>
              <w:rPr>
                <w:rFonts w:ascii="Times" w:hAnsi="Times" w:cs="Times"/>
                <w:sz w:val="24"/>
                <w:szCs w:val="24"/>
              </w:rPr>
            </w:pPr>
            <w:r w:rsidRPr="00E65227">
              <w:rPr>
                <w:rFonts w:ascii="Times" w:hAnsi="Times" w:cs="Times"/>
                <w:sz w:val="24"/>
                <w:szCs w:val="24"/>
              </w:rPr>
              <w:t>Sig.</w:t>
            </w:r>
          </w:p>
        </w:tc>
      </w:tr>
      <w:tr w:rsidR="00CE0A1B" w:rsidRPr="00AF25AC" w14:paraId="7BC6F49E" w14:textId="77777777" w:rsidTr="00697C13">
        <w:trPr>
          <w:gridAfter w:val="1"/>
          <w:wAfter w:w="45" w:type="dxa"/>
          <w:cantSplit/>
        </w:trPr>
        <w:tc>
          <w:tcPr>
            <w:tcW w:w="733" w:type="dxa"/>
            <w:vMerge w:val="restart"/>
            <w:tcBorders>
              <w:top w:val="single" w:sz="4" w:space="0" w:color="auto"/>
              <w:left w:val="nil"/>
              <w:bottom w:val="nil"/>
              <w:right w:val="nil"/>
            </w:tcBorders>
            <w:shd w:val="clear" w:color="auto" w:fill="FFFFFF"/>
            <w:vAlign w:val="center"/>
          </w:tcPr>
          <w:p w14:paraId="2AC9ED47" w14:textId="77777777" w:rsidR="00CE0A1B" w:rsidRPr="00AF25AC" w:rsidRDefault="00CE0A1B" w:rsidP="00554A6E">
            <w:pPr>
              <w:rPr>
                <w:b/>
                <w:bCs/>
              </w:rPr>
            </w:pPr>
            <w:r w:rsidRPr="00AF25AC">
              <w:rPr>
                <w:b/>
                <w:bCs/>
              </w:rPr>
              <w:t>1</w:t>
            </w:r>
          </w:p>
        </w:tc>
        <w:tc>
          <w:tcPr>
            <w:tcW w:w="1269" w:type="dxa"/>
            <w:gridSpan w:val="3"/>
            <w:tcBorders>
              <w:top w:val="single" w:sz="4" w:space="0" w:color="auto"/>
              <w:left w:val="nil"/>
              <w:bottom w:val="nil"/>
              <w:right w:val="nil"/>
            </w:tcBorders>
            <w:shd w:val="clear" w:color="auto" w:fill="FFFFFF"/>
            <w:vAlign w:val="center"/>
          </w:tcPr>
          <w:p w14:paraId="1FA07D89" w14:textId="77777777" w:rsidR="00CE0A1B" w:rsidRPr="00E65227" w:rsidRDefault="00CE0A1B" w:rsidP="00554A6E">
            <w:pPr>
              <w:rPr>
                <w:rFonts w:ascii="Times" w:hAnsi="Times" w:cs="Times"/>
                <w:sz w:val="24"/>
                <w:szCs w:val="24"/>
              </w:rPr>
            </w:pPr>
            <w:r w:rsidRPr="00E65227">
              <w:rPr>
                <w:rFonts w:ascii="Times" w:hAnsi="Times" w:cs="Times"/>
                <w:sz w:val="24"/>
                <w:szCs w:val="24"/>
              </w:rPr>
              <w:t>Regression</w:t>
            </w:r>
          </w:p>
        </w:tc>
        <w:tc>
          <w:tcPr>
            <w:tcW w:w="1469" w:type="dxa"/>
            <w:tcBorders>
              <w:top w:val="single" w:sz="4" w:space="0" w:color="auto"/>
              <w:left w:val="nil"/>
              <w:bottom w:val="nil"/>
              <w:right w:val="nil"/>
            </w:tcBorders>
            <w:shd w:val="clear" w:color="auto" w:fill="FFFFFF"/>
            <w:vAlign w:val="center"/>
          </w:tcPr>
          <w:p w14:paraId="6AFCA1D8" w14:textId="77777777" w:rsidR="00CE0A1B" w:rsidRPr="00E65227" w:rsidRDefault="00CE0A1B" w:rsidP="00554A6E">
            <w:pPr>
              <w:rPr>
                <w:rFonts w:ascii="Times" w:hAnsi="Times" w:cs="Times"/>
                <w:sz w:val="24"/>
                <w:szCs w:val="24"/>
              </w:rPr>
            </w:pPr>
            <w:r w:rsidRPr="00E65227">
              <w:rPr>
                <w:rFonts w:ascii="Times" w:hAnsi="Times" w:cs="Times"/>
                <w:sz w:val="24"/>
                <w:szCs w:val="24"/>
              </w:rPr>
              <w:t>1896.707</w:t>
            </w:r>
          </w:p>
        </w:tc>
        <w:tc>
          <w:tcPr>
            <w:tcW w:w="1010" w:type="dxa"/>
            <w:gridSpan w:val="2"/>
            <w:tcBorders>
              <w:top w:val="single" w:sz="4" w:space="0" w:color="auto"/>
              <w:left w:val="nil"/>
              <w:bottom w:val="nil"/>
              <w:right w:val="nil"/>
            </w:tcBorders>
            <w:shd w:val="clear" w:color="auto" w:fill="FFFFFF"/>
            <w:vAlign w:val="center"/>
          </w:tcPr>
          <w:p w14:paraId="78D9DAB2" w14:textId="77777777" w:rsidR="00CE0A1B" w:rsidRPr="00E65227" w:rsidRDefault="00CE0A1B" w:rsidP="00554A6E">
            <w:pPr>
              <w:rPr>
                <w:rFonts w:ascii="Times" w:hAnsi="Times" w:cs="Times"/>
                <w:sz w:val="24"/>
                <w:szCs w:val="24"/>
              </w:rPr>
            </w:pPr>
            <w:r w:rsidRPr="00E65227">
              <w:rPr>
                <w:rFonts w:ascii="Times" w:hAnsi="Times" w:cs="Times"/>
                <w:sz w:val="24"/>
                <w:szCs w:val="24"/>
              </w:rPr>
              <w:t>1</w:t>
            </w:r>
          </w:p>
        </w:tc>
        <w:tc>
          <w:tcPr>
            <w:tcW w:w="1392" w:type="dxa"/>
            <w:gridSpan w:val="2"/>
            <w:tcBorders>
              <w:top w:val="single" w:sz="4" w:space="0" w:color="auto"/>
              <w:left w:val="nil"/>
              <w:bottom w:val="nil"/>
              <w:right w:val="nil"/>
            </w:tcBorders>
            <w:shd w:val="clear" w:color="auto" w:fill="FFFFFF"/>
            <w:vAlign w:val="center"/>
          </w:tcPr>
          <w:p w14:paraId="58A7C8FC" w14:textId="77777777" w:rsidR="00CE0A1B" w:rsidRPr="00E65227" w:rsidRDefault="00CE0A1B" w:rsidP="00554A6E">
            <w:pPr>
              <w:rPr>
                <w:rFonts w:ascii="Times" w:hAnsi="Times" w:cs="Times"/>
                <w:sz w:val="24"/>
                <w:szCs w:val="24"/>
              </w:rPr>
            </w:pPr>
            <w:r w:rsidRPr="00E65227">
              <w:rPr>
                <w:rFonts w:ascii="Times" w:hAnsi="Times" w:cs="Times"/>
                <w:sz w:val="24"/>
                <w:szCs w:val="24"/>
              </w:rPr>
              <w:t>1896.707</w:t>
            </w:r>
          </w:p>
        </w:tc>
        <w:tc>
          <w:tcPr>
            <w:tcW w:w="1010" w:type="dxa"/>
            <w:tcBorders>
              <w:top w:val="single" w:sz="4" w:space="0" w:color="auto"/>
              <w:left w:val="nil"/>
              <w:bottom w:val="nil"/>
              <w:right w:val="nil"/>
            </w:tcBorders>
            <w:shd w:val="clear" w:color="auto" w:fill="FFFFFF"/>
            <w:vAlign w:val="center"/>
          </w:tcPr>
          <w:p w14:paraId="37D66229" w14:textId="77777777" w:rsidR="00CE0A1B" w:rsidRPr="00E65227" w:rsidRDefault="00CE0A1B" w:rsidP="00554A6E">
            <w:pPr>
              <w:rPr>
                <w:rFonts w:ascii="Times" w:hAnsi="Times" w:cs="Times"/>
                <w:sz w:val="24"/>
                <w:szCs w:val="24"/>
              </w:rPr>
            </w:pPr>
            <w:r w:rsidRPr="00E65227">
              <w:rPr>
                <w:rFonts w:ascii="Times" w:hAnsi="Times" w:cs="Times"/>
                <w:sz w:val="24"/>
                <w:szCs w:val="24"/>
              </w:rPr>
              <w:t>570.632</w:t>
            </w:r>
          </w:p>
        </w:tc>
        <w:tc>
          <w:tcPr>
            <w:tcW w:w="1010" w:type="dxa"/>
            <w:tcBorders>
              <w:top w:val="single" w:sz="4" w:space="0" w:color="auto"/>
              <w:left w:val="nil"/>
              <w:bottom w:val="nil"/>
              <w:right w:val="nil"/>
            </w:tcBorders>
            <w:shd w:val="clear" w:color="auto" w:fill="FFFFFF"/>
            <w:vAlign w:val="center"/>
          </w:tcPr>
          <w:p w14:paraId="368086FA" w14:textId="77777777" w:rsidR="00CE0A1B" w:rsidRPr="00E65227" w:rsidRDefault="00CE0A1B" w:rsidP="00554A6E">
            <w:pPr>
              <w:rPr>
                <w:rFonts w:ascii="Times" w:hAnsi="Times" w:cs="Times"/>
                <w:sz w:val="24"/>
                <w:szCs w:val="24"/>
              </w:rPr>
            </w:pPr>
            <w:r w:rsidRPr="00E65227">
              <w:rPr>
                <w:rFonts w:ascii="Times" w:hAnsi="Times" w:cs="Times"/>
                <w:sz w:val="24"/>
                <w:szCs w:val="24"/>
              </w:rPr>
              <w:t>.000</w:t>
            </w:r>
            <w:r w:rsidRPr="00E65227">
              <w:rPr>
                <w:rFonts w:ascii="Times" w:hAnsi="Times" w:cs="Times"/>
                <w:sz w:val="24"/>
                <w:szCs w:val="24"/>
                <w:vertAlign w:val="superscript"/>
              </w:rPr>
              <w:t>b</w:t>
            </w:r>
          </w:p>
        </w:tc>
      </w:tr>
      <w:tr w:rsidR="00CE0A1B" w:rsidRPr="00AF25AC" w14:paraId="60B46A0D" w14:textId="77777777" w:rsidTr="00697C13">
        <w:trPr>
          <w:gridAfter w:val="1"/>
          <w:wAfter w:w="45" w:type="dxa"/>
          <w:cantSplit/>
        </w:trPr>
        <w:tc>
          <w:tcPr>
            <w:tcW w:w="733" w:type="dxa"/>
            <w:vMerge/>
            <w:tcBorders>
              <w:top w:val="nil"/>
              <w:left w:val="nil"/>
              <w:bottom w:val="nil"/>
              <w:right w:val="nil"/>
            </w:tcBorders>
            <w:shd w:val="clear" w:color="auto" w:fill="FFFFFF"/>
            <w:vAlign w:val="center"/>
          </w:tcPr>
          <w:p w14:paraId="1AA33C66" w14:textId="77777777" w:rsidR="00CE0A1B" w:rsidRPr="00AF25AC" w:rsidRDefault="00CE0A1B" w:rsidP="00554A6E">
            <w:pPr>
              <w:rPr>
                <w:b/>
                <w:bCs/>
              </w:rPr>
            </w:pPr>
          </w:p>
        </w:tc>
        <w:tc>
          <w:tcPr>
            <w:tcW w:w="1269" w:type="dxa"/>
            <w:gridSpan w:val="3"/>
            <w:tcBorders>
              <w:top w:val="nil"/>
              <w:left w:val="nil"/>
              <w:bottom w:val="nil"/>
              <w:right w:val="nil"/>
            </w:tcBorders>
            <w:shd w:val="clear" w:color="auto" w:fill="FFFFFF"/>
            <w:vAlign w:val="center"/>
          </w:tcPr>
          <w:p w14:paraId="0350D738" w14:textId="77777777" w:rsidR="00CE0A1B" w:rsidRPr="00E65227" w:rsidRDefault="00CE0A1B" w:rsidP="00554A6E">
            <w:pPr>
              <w:rPr>
                <w:rFonts w:ascii="Times" w:hAnsi="Times" w:cs="Times"/>
                <w:sz w:val="24"/>
                <w:szCs w:val="24"/>
              </w:rPr>
            </w:pPr>
            <w:r w:rsidRPr="00E65227">
              <w:rPr>
                <w:rFonts w:ascii="Times" w:hAnsi="Times" w:cs="Times"/>
                <w:sz w:val="24"/>
                <w:szCs w:val="24"/>
              </w:rPr>
              <w:t>Residual</w:t>
            </w:r>
          </w:p>
        </w:tc>
        <w:tc>
          <w:tcPr>
            <w:tcW w:w="1469" w:type="dxa"/>
            <w:tcBorders>
              <w:top w:val="nil"/>
              <w:left w:val="nil"/>
              <w:bottom w:val="nil"/>
              <w:right w:val="nil"/>
            </w:tcBorders>
            <w:shd w:val="clear" w:color="auto" w:fill="FFFFFF"/>
            <w:vAlign w:val="center"/>
          </w:tcPr>
          <w:p w14:paraId="4F5D41BB" w14:textId="77777777" w:rsidR="00CE0A1B" w:rsidRPr="00E65227" w:rsidRDefault="00CE0A1B" w:rsidP="00554A6E">
            <w:pPr>
              <w:rPr>
                <w:rFonts w:ascii="Times" w:hAnsi="Times" w:cs="Times"/>
                <w:sz w:val="24"/>
                <w:szCs w:val="24"/>
              </w:rPr>
            </w:pPr>
            <w:r w:rsidRPr="00E65227">
              <w:rPr>
                <w:rFonts w:ascii="Times" w:hAnsi="Times" w:cs="Times"/>
                <w:sz w:val="24"/>
                <w:szCs w:val="24"/>
              </w:rPr>
              <w:t>937.332</w:t>
            </w:r>
          </w:p>
        </w:tc>
        <w:tc>
          <w:tcPr>
            <w:tcW w:w="1010" w:type="dxa"/>
            <w:gridSpan w:val="2"/>
            <w:tcBorders>
              <w:top w:val="nil"/>
              <w:left w:val="nil"/>
              <w:bottom w:val="nil"/>
              <w:right w:val="nil"/>
            </w:tcBorders>
            <w:shd w:val="clear" w:color="auto" w:fill="FFFFFF"/>
            <w:vAlign w:val="center"/>
          </w:tcPr>
          <w:p w14:paraId="47AF7A3A" w14:textId="77777777" w:rsidR="00CE0A1B" w:rsidRPr="00E65227" w:rsidRDefault="00CE0A1B" w:rsidP="00554A6E">
            <w:pPr>
              <w:rPr>
                <w:rFonts w:ascii="Times" w:hAnsi="Times" w:cs="Times"/>
                <w:sz w:val="24"/>
                <w:szCs w:val="24"/>
              </w:rPr>
            </w:pPr>
            <w:r w:rsidRPr="00E65227">
              <w:rPr>
                <w:rFonts w:ascii="Times" w:hAnsi="Times" w:cs="Times"/>
                <w:sz w:val="24"/>
                <w:szCs w:val="24"/>
              </w:rPr>
              <w:t>282</w:t>
            </w:r>
          </w:p>
        </w:tc>
        <w:tc>
          <w:tcPr>
            <w:tcW w:w="1392" w:type="dxa"/>
            <w:gridSpan w:val="2"/>
            <w:tcBorders>
              <w:top w:val="nil"/>
              <w:left w:val="nil"/>
              <w:bottom w:val="nil"/>
              <w:right w:val="nil"/>
            </w:tcBorders>
            <w:shd w:val="clear" w:color="auto" w:fill="FFFFFF"/>
            <w:vAlign w:val="center"/>
          </w:tcPr>
          <w:p w14:paraId="31F0E501" w14:textId="77777777" w:rsidR="00CE0A1B" w:rsidRPr="00E65227" w:rsidRDefault="00CE0A1B" w:rsidP="00554A6E">
            <w:pPr>
              <w:rPr>
                <w:rFonts w:ascii="Times" w:hAnsi="Times" w:cs="Times"/>
                <w:sz w:val="24"/>
                <w:szCs w:val="24"/>
              </w:rPr>
            </w:pPr>
            <w:r w:rsidRPr="00E65227">
              <w:rPr>
                <w:rFonts w:ascii="Times" w:hAnsi="Times" w:cs="Times"/>
                <w:sz w:val="24"/>
                <w:szCs w:val="24"/>
              </w:rPr>
              <w:t>3.324</w:t>
            </w:r>
          </w:p>
        </w:tc>
        <w:tc>
          <w:tcPr>
            <w:tcW w:w="1010" w:type="dxa"/>
            <w:tcBorders>
              <w:top w:val="nil"/>
              <w:left w:val="nil"/>
              <w:bottom w:val="nil"/>
              <w:right w:val="nil"/>
            </w:tcBorders>
            <w:shd w:val="clear" w:color="auto" w:fill="FFFFFF"/>
          </w:tcPr>
          <w:p w14:paraId="018E1A5A" w14:textId="77777777" w:rsidR="00CE0A1B" w:rsidRPr="00E65227" w:rsidRDefault="00CE0A1B" w:rsidP="00554A6E">
            <w:pPr>
              <w:rPr>
                <w:rFonts w:ascii="Times" w:hAnsi="Times" w:cs="Times"/>
                <w:sz w:val="24"/>
                <w:szCs w:val="24"/>
              </w:rPr>
            </w:pPr>
          </w:p>
        </w:tc>
        <w:tc>
          <w:tcPr>
            <w:tcW w:w="1010" w:type="dxa"/>
            <w:tcBorders>
              <w:top w:val="nil"/>
              <w:left w:val="nil"/>
              <w:bottom w:val="nil"/>
              <w:right w:val="nil"/>
            </w:tcBorders>
            <w:shd w:val="clear" w:color="auto" w:fill="FFFFFF"/>
          </w:tcPr>
          <w:p w14:paraId="4395B102" w14:textId="77777777" w:rsidR="00CE0A1B" w:rsidRPr="00E65227" w:rsidRDefault="00CE0A1B" w:rsidP="00554A6E">
            <w:pPr>
              <w:rPr>
                <w:rFonts w:ascii="Times" w:hAnsi="Times" w:cs="Times"/>
                <w:sz w:val="24"/>
                <w:szCs w:val="24"/>
              </w:rPr>
            </w:pPr>
          </w:p>
        </w:tc>
      </w:tr>
      <w:tr w:rsidR="00CE0A1B" w:rsidRPr="00AF25AC" w14:paraId="03BB2388" w14:textId="77777777" w:rsidTr="00697C13">
        <w:trPr>
          <w:gridAfter w:val="1"/>
          <w:wAfter w:w="45" w:type="dxa"/>
          <w:cantSplit/>
        </w:trPr>
        <w:tc>
          <w:tcPr>
            <w:tcW w:w="733" w:type="dxa"/>
            <w:vMerge/>
            <w:tcBorders>
              <w:top w:val="nil"/>
              <w:left w:val="nil"/>
              <w:bottom w:val="single" w:sz="4" w:space="0" w:color="auto"/>
              <w:right w:val="nil"/>
            </w:tcBorders>
            <w:shd w:val="clear" w:color="auto" w:fill="FFFFFF"/>
            <w:vAlign w:val="center"/>
          </w:tcPr>
          <w:p w14:paraId="04554F3D" w14:textId="77777777" w:rsidR="00CE0A1B" w:rsidRPr="00AF25AC" w:rsidRDefault="00CE0A1B" w:rsidP="00554A6E">
            <w:pPr>
              <w:rPr>
                <w:b/>
                <w:bCs/>
              </w:rPr>
            </w:pPr>
          </w:p>
        </w:tc>
        <w:tc>
          <w:tcPr>
            <w:tcW w:w="1269" w:type="dxa"/>
            <w:gridSpan w:val="3"/>
            <w:tcBorders>
              <w:top w:val="nil"/>
              <w:left w:val="nil"/>
              <w:bottom w:val="single" w:sz="4" w:space="0" w:color="auto"/>
              <w:right w:val="nil"/>
            </w:tcBorders>
            <w:shd w:val="clear" w:color="auto" w:fill="FFFFFF"/>
            <w:vAlign w:val="center"/>
          </w:tcPr>
          <w:p w14:paraId="57CD9AD2" w14:textId="77777777" w:rsidR="00CE0A1B" w:rsidRPr="00E65227" w:rsidRDefault="00CE0A1B" w:rsidP="00554A6E">
            <w:pPr>
              <w:rPr>
                <w:rFonts w:ascii="Times" w:hAnsi="Times" w:cs="Times"/>
                <w:sz w:val="24"/>
                <w:szCs w:val="24"/>
              </w:rPr>
            </w:pPr>
            <w:r w:rsidRPr="00E65227">
              <w:rPr>
                <w:rFonts w:ascii="Times" w:hAnsi="Times" w:cs="Times"/>
                <w:sz w:val="24"/>
                <w:szCs w:val="24"/>
              </w:rPr>
              <w:t>Total</w:t>
            </w:r>
          </w:p>
        </w:tc>
        <w:tc>
          <w:tcPr>
            <w:tcW w:w="1469" w:type="dxa"/>
            <w:tcBorders>
              <w:top w:val="nil"/>
              <w:left w:val="nil"/>
              <w:bottom w:val="single" w:sz="4" w:space="0" w:color="auto"/>
              <w:right w:val="nil"/>
            </w:tcBorders>
            <w:shd w:val="clear" w:color="auto" w:fill="FFFFFF"/>
            <w:vAlign w:val="center"/>
          </w:tcPr>
          <w:p w14:paraId="05B944F5" w14:textId="77777777" w:rsidR="00CE0A1B" w:rsidRPr="00E65227" w:rsidRDefault="00CE0A1B" w:rsidP="00554A6E">
            <w:pPr>
              <w:rPr>
                <w:rFonts w:ascii="Times" w:hAnsi="Times" w:cs="Times"/>
                <w:sz w:val="24"/>
                <w:szCs w:val="24"/>
              </w:rPr>
            </w:pPr>
            <w:r w:rsidRPr="00E65227">
              <w:rPr>
                <w:rFonts w:ascii="Times" w:hAnsi="Times" w:cs="Times"/>
                <w:sz w:val="24"/>
                <w:szCs w:val="24"/>
              </w:rPr>
              <w:t>2834.039</w:t>
            </w:r>
          </w:p>
        </w:tc>
        <w:tc>
          <w:tcPr>
            <w:tcW w:w="1010" w:type="dxa"/>
            <w:gridSpan w:val="2"/>
            <w:tcBorders>
              <w:top w:val="nil"/>
              <w:left w:val="nil"/>
              <w:bottom w:val="single" w:sz="4" w:space="0" w:color="auto"/>
              <w:right w:val="nil"/>
            </w:tcBorders>
            <w:shd w:val="clear" w:color="auto" w:fill="FFFFFF"/>
            <w:vAlign w:val="center"/>
          </w:tcPr>
          <w:p w14:paraId="2F97163D" w14:textId="77777777" w:rsidR="00CE0A1B" w:rsidRPr="00E65227" w:rsidRDefault="00CE0A1B" w:rsidP="00554A6E">
            <w:pPr>
              <w:rPr>
                <w:rFonts w:ascii="Times" w:hAnsi="Times" w:cs="Times"/>
                <w:sz w:val="24"/>
                <w:szCs w:val="24"/>
              </w:rPr>
            </w:pPr>
            <w:r w:rsidRPr="00E65227">
              <w:rPr>
                <w:rFonts w:ascii="Times" w:hAnsi="Times" w:cs="Times"/>
                <w:sz w:val="24"/>
                <w:szCs w:val="24"/>
              </w:rPr>
              <w:t>283</w:t>
            </w:r>
          </w:p>
        </w:tc>
        <w:tc>
          <w:tcPr>
            <w:tcW w:w="1392" w:type="dxa"/>
            <w:gridSpan w:val="2"/>
            <w:tcBorders>
              <w:top w:val="nil"/>
              <w:left w:val="nil"/>
              <w:bottom w:val="single" w:sz="4" w:space="0" w:color="auto"/>
              <w:right w:val="nil"/>
            </w:tcBorders>
            <w:shd w:val="clear" w:color="auto" w:fill="FFFFFF"/>
          </w:tcPr>
          <w:p w14:paraId="523CF495" w14:textId="77777777" w:rsidR="00CE0A1B" w:rsidRPr="00E65227" w:rsidRDefault="00CE0A1B" w:rsidP="00554A6E">
            <w:pPr>
              <w:rPr>
                <w:rFonts w:ascii="Times" w:hAnsi="Times" w:cs="Times"/>
                <w:sz w:val="24"/>
                <w:szCs w:val="24"/>
              </w:rPr>
            </w:pPr>
          </w:p>
        </w:tc>
        <w:tc>
          <w:tcPr>
            <w:tcW w:w="1010" w:type="dxa"/>
            <w:tcBorders>
              <w:top w:val="nil"/>
              <w:left w:val="nil"/>
              <w:bottom w:val="single" w:sz="4" w:space="0" w:color="auto"/>
              <w:right w:val="nil"/>
            </w:tcBorders>
            <w:shd w:val="clear" w:color="auto" w:fill="FFFFFF"/>
          </w:tcPr>
          <w:p w14:paraId="077FCA7B" w14:textId="77777777" w:rsidR="00CE0A1B" w:rsidRPr="00E65227" w:rsidRDefault="00CE0A1B" w:rsidP="00554A6E">
            <w:pPr>
              <w:rPr>
                <w:rFonts w:ascii="Times" w:hAnsi="Times" w:cs="Times"/>
                <w:sz w:val="24"/>
                <w:szCs w:val="24"/>
              </w:rPr>
            </w:pPr>
          </w:p>
        </w:tc>
        <w:tc>
          <w:tcPr>
            <w:tcW w:w="1010" w:type="dxa"/>
            <w:tcBorders>
              <w:top w:val="nil"/>
              <w:left w:val="nil"/>
              <w:bottom w:val="single" w:sz="4" w:space="0" w:color="auto"/>
              <w:right w:val="nil"/>
            </w:tcBorders>
            <w:shd w:val="clear" w:color="auto" w:fill="FFFFFF"/>
          </w:tcPr>
          <w:p w14:paraId="4C8775B3" w14:textId="77777777" w:rsidR="00CE0A1B" w:rsidRPr="00E65227" w:rsidRDefault="00CE0A1B" w:rsidP="00554A6E">
            <w:pPr>
              <w:rPr>
                <w:rFonts w:ascii="Times" w:hAnsi="Times" w:cs="Times"/>
                <w:sz w:val="24"/>
                <w:szCs w:val="24"/>
              </w:rPr>
            </w:pPr>
          </w:p>
        </w:tc>
      </w:tr>
    </w:tbl>
    <w:p w14:paraId="4B186270" w14:textId="77777777" w:rsidR="00CE0A1B" w:rsidRPr="002D54D3" w:rsidRDefault="00CE0A1B" w:rsidP="00CE0A1B">
      <w:pPr>
        <w:rPr>
          <w:rFonts w:ascii="Times" w:hAnsi="Times" w:cs="Times"/>
          <w:sz w:val="24"/>
          <w:szCs w:val="24"/>
        </w:rPr>
      </w:pP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CE0A1B" w:rsidRPr="002D54D3" w14:paraId="71FF3B3A" w14:textId="77777777" w:rsidTr="00554A6E">
        <w:trPr>
          <w:cantSplit/>
        </w:trPr>
        <w:tc>
          <w:tcPr>
            <w:tcW w:w="8046" w:type="dxa"/>
            <w:gridSpan w:val="7"/>
            <w:tcBorders>
              <w:top w:val="nil"/>
              <w:left w:val="nil"/>
              <w:bottom w:val="single" w:sz="4" w:space="0" w:color="auto"/>
              <w:right w:val="nil"/>
            </w:tcBorders>
            <w:shd w:val="clear" w:color="auto" w:fill="FFFFFF"/>
          </w:tcPr>
          <w:p w14:paraId="01854D9D"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Coefficients</w:t>
            </w:r>
            <w:r w:rsidRPr="002D54D3">
              <w:rPr>
                <w:rFonts w:ascii="Times" w:hAnsi="Times" w:cs="Times"/>
                <w:sz w:val="24"/>
                <w:szCs w:val="24"/>
                <w:vertAlign w:val="superscript"/>
              </w:rPr>
              <w:t>a</w:t>
            </w:r>
          </w:p>
        </w:tc>
      </w:tr>
      <w:tr w:rsidR="00CE0A1B" w:rsidRPr="002D54D3" w14:paraId="57643624" w14:textId="77777777" w:rsidTr="00554A6E">
        <w:trPr>
          <w:cantSplit/>
        </w:trPr>
        <w:tc>
          <w:tcPr>
            <w:tcW w:w="1895" w:type="dxa"/>
            <w:gridSpan w:val="2"/>
            <w:vMerge w:val="restart"/>
            <w:tcBorders>
              <w:top w:val="single" w:sz="4" w:space="0" w:color="auto"/>
              <w:left w:val="nil"/>
              <w:bottom w:val="nil"/>
              <w:right w:val="nil"/>
            </w:tcBorders>
            <w:shd w:val="clear" w:color="auto" w:fill="FFFFFF"/>
          </w:tcPr>
          <w:p w14:paraId="67900CF1"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Model</w:t>
            </w:r>
          </w:p>
        </w:tc>
        <w:tc>
          <w:tcPr>
            <w:tcW w:w="2662" w:type="dxa"/>
            <w:gridSpan w:val="2"/>
            <w:tcBorders>
              <w:top w:val="single" w:sz="4" w:space="0" w:color="auto"/>
              <w:left w:val="nil"/>
              <w:bottom w:val="nil"/>
              <w:right w:val="nil"/>
            </w:tcBorders>
            <w:shd w:val="clear" w:color="auto" w:fill="FFFFFF"/>
          </w:tcPr>
          <w:p w14:paraId="1C4D5C16"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Unstandardized Coefficients</w:t>
            </w:r>
          </w:p>
        </w:tc>
        <w:tc>
          <w:tcPr>
            <w:tcW w:w="1469" w:type="dxa"/>
            <w:tcBorders>
              <w:top w:val="single" w:sz="4" w:space="0" w:color="auto"/>
              <w:left w:val="nil"/>
              <w:bottom w:val="nil"/>
              <w:right w:val="nil"/>
            </w:tcBorders>
            <w:shd w:val="clear" w:color="auto" w:fill="FFFFFF"/>
          </w:tcPr>
          <w:p w14:paraId="5ED265FF"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Standardized Coefficients</w:t>
            </w:r>
          </w:p>
        </w:tc>
        <w:tc>
          <w:tcPr>
            <w:tcW w:w="1010" w:type="dxa"/>
            <w:vMerge w:val="restart"/>
            <w:tcBorders>
              <w:top w:val="single" w:sz="4" w:space="0" w:color="auto"/>
              <w:left w:val="nil"/>
              <w:bottom w:val="nil"/>
              <w:right w:val="nil"/>
            </w:tcBorders>
            <w:shd w:val="clear" w:color="auto" w:fill="FFFFFF"/>
          </w:tcPr>
          <w:p w14:paraId="489FD5B5"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t</w:t>
            </w:r>
          </w:p>
        </w:tc>
        <w:tc>
          <w:tcPr>
            <w:tcW w:w="1010" w:type="dxa"/>
            <w:vMerge w:val="restart"/>
            <w:tcBorders>
              <w:top w:val="single" w:sz="4" w:space="0" w:color="auto"/>
              <w:left w:val="nil"/>
              <w:bottom w:val="nil"/>
              <w:right w:val="nil"/>
            </w:tcBorders>
            <w:shd w:val="clear" w:color="auto" w:fill="FFFFFF"/>
          </w:tcPr>
          <w:p w14:paraId="36D65413"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Sig.</w:t>
            </w:r>
          </w:p>
        </w:tc>
      </w:tr>
      <w:tr w:rsidR="00CE0A1B" w:rsidRPr="002D54D3" w14:paraId="668FE59B" w14:textId="77777777" w:rsidTr="00554A6E">
        <w:trPr>
          <w:cantSplit/>
        </w:trPr>
        <w:tc>
          <w:tcPr>
            <w:tcW w:w="1895" w:type="dxa"/>
            <w:gridSpan w:val="2"/>
            <w:vMerge/>
            <w:tcBorders>
              <w:top w:val="nil"/>
              <w:left w:val="nil"/>
              <w:bottom w:val="single" w:sz="4" w:space="0" w:color="auto"/>
              <w:right w:val="nil"/>
            </w:tcBorders>
            <w:shd w:val="clear" w:color="auto" w:fill="FFFFFF"/>
          </w:tcPr>
          <w:p w14:paraId="3A7DE9BB" w14:textId="77777777" w:rsidR="00CE0A1B" w:rsidRPr="002D54D3" w:rsidRDefault="00CE0A1B" w:rsidP="00697C13">
            <w:pPr>
              <w:spacing w:after="0"/>
              <w:rPr>
                <w:rFonts w:ascii="Times" w:hAnsi="Times" w:cs="Times"/>
                <w:sz w:val="24"/>
                <w:szCs w:val="24"/>
              </w:rPr>
            </w:pPr>
          </w:p>
        </w:tc>
        <w:tc>
          <w:tcPr>
            <w:tcW w:w="1331" w:type="dxa"/>
            <w:tcBorders>
              <w:top w:val="nil"/>
              <w:left w:val="nil"/>
              <w:bottom w:val="single" w:sz="4" w:space="0" w:color="auto"/>
              <w:right w:val="nil"/>
            </w:tcBorders>
            <w:shd w:val="clear" w:color="auto" w:fill="FFFFFF"/>
          </w:tcPr>
          <w:p w14:paraId="0B7C7EEF"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B</w:t>
            </w:r>
          </w:p>
        </w:tc>
        <w:tc>
          <w:tcPr>
            <w:tcW w:w="1331" w:type="dxa"/>
            <w:tcBorders>
              <w:top w:val="nil"/>
              <w:left w:val="nil"/>
              <w:bottom w:val="single" w:sz="4" w:space="0" w:color="auto"/>
              <w:right w:val="nil"/>
            </w:tcBorders>
            <w:shd w:val="clear" w:color="auto" w:fill="FFFFFF"/>
          </w:tcPr>
          <w:p w14:paraId="421E3BB0"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Std. Error</w:t>
            </w:r>
          </w:p>
        </w:tc>
        <w:tc>
          <w:tcPr>
            <w:tcW w:w="1469" w:type="dxa"/>
            <w:tcBorders>
              <w:top w:val="nil"/>
              <w:left w:val="nil"/>
              <w:bottom w:val="single" w:sz="4" w:space="0" w:color="auto"/>
              <w:right w:val="nil"/>
            </w:tcBorders>
            <w:shd w:val="clear" w:color="auto" w:fill="FFFFFF"/>
          </w:tcPr>
          <w:p w14:paraId="1CE4B6DE"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Beta</w:t>
            </w:r>
          </w:p>
        </w:tc>
        <w:tc>
          <w:tcPr>
            <w:tcW w:w="1010" w:type="dxa"/>
            <w:vMerge/>
            <w:tcBorders>
              <w:top w:val="nil"/>
              <w:left w:val="nil"/>
              <w:bottom w:val="single" w:sz="4" w:space="0" w:color="auto"/>
              <w:right w:val="nil"/>
            </w:tcBorders>
            <w:shd w:val="clear" w:color="auto" w:fill="FFFFFF"/>
          </w:tcPr>
          <w:p w14:paraId="0D4813A8" w14:textId="77777777" w:rsidR="00CE0A1B" w:rsidRPr="002D54D3" w:rsidRDefault="00CE0A1B" w:rsidP="00697C13">
            <w:pPr>
              <w:spacing w:after="0"/>
              <w:rPr>
                <w:rFonts w:ascii="Times" w:hAnsi="Times" w:cs="Times"/>
                <w:sz w:val="24"/>
                <w:szCs w:val="24"/>
              </w:rPr>
            </w:pPr>
          </w:p>
        </w:tc>
        <w:tc>
          <w:tcPr>
            <w:tcW w:w="1010" w:type="dxa"/>
            <w:vMerge/>
            <w:tcBorders>
              <w:top w:val="nil"/>
              <w:left w:val="nil"/>
              <w:bottom w:val="single" w:sz="4" w:space="0" w:color="auto"/>
              <w:right w:val="nil"/>
            </w:tcBorders>
            <w:shd w:val="clear" w:color="auto" w:fill="FFFFFF"/>
          </w:tcPr>
          <w:p w14:paraId="2126BF91" w14:textId="77777777" w:rsidR="00CE0A1B" w:rsidRPr="002D54D3" w:rsidRDefault="00CE0A1B" w:rsidP="00697C13">
            <w:pPr>
              <w:spacing w:after="0"/>
              <w:rPr>
                <w:rFonts w:ascii="Times" w:hAnsi="Times" w:cs="Times"/>
                <w:sz w:val="24"/>
                <w:szCs w:val="24"/>
              </w:rPr>
            </w:pPr>
          </w:p>
        </w:tc>
      </w:tr>
      <w:tr w:rsidR="00CE0A1B" w:rsidRPr="002D54D3" w14:paraId="3B836C68" w14:textId="77777777" w:rsidTr="00554A6E">
        <w:trPr>
          <w:cantSplit/>
        </w:trPr>
        <w:tc>
          <w:tcPr>
            <w:tcW w:w="733" w:type="dxa"/>
            <w:vMerge w:val="restart"/>
            <w:tcBorders>
              <w:top w:val="single" w:sz="4" w:space="0" w:color="auto"/>
              <w:left w:val="nil"/>
              <w:bottom w:val="nil"/>
              <w:right w:val="nil"/>
            </w:tcBorders>
            <w:shd w:val="clear" w:color="auto" w:fill="FFFFFF"/>
            <w:vAlign w:val="center"/>
          </w:tcPr>
          <w:p w14:paraId="39685389"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1</w:t>
            </w:r>
          </w:p>
        </w:tc>
        <w:tc>
          <w:tcPr>
            <w:tcW w:w="1162" w:type="dxa"/>
            <w:tcBorders>
              <w:top w:val="single" w:sz="4" w:space="0" w:color="auto"/>
              <w:left w:val="nil"/>
              <w:bottom w:val="nil"/>
              <w:right w:val="nil"/>
            </w:tcBorders>
            <w:shd w:val="clear" w:color="auto" w:fill="FFFFFF"/>
            <w:vAlign w:val="center"/>
          </w:tcPr>
          <w:p w14:paraId="72597BA5"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(Constant)</w:t>
            </w:r>
          </w:p>
        </w:tc>
        <w:tc>
          <w:tcPr>
            <w:tcW w:w="1331" w:type="dxa"/>
            <w:tcBorders>
              <w:top w:val="single" w:sz="4" w:space="0" w:color="auto"/>
              <w:left w:val="nil"/>
              <w:bottom w:val="nil"/>
              <w:right w:val="nil"/>
            </w:tcBorders>
            <w:shd w:val="clear" w:color="auto" w:fill="FFFFFF"/>
            <w:vAlign w:val="center"/>
          </w:tcPr>
          <w:p w14:paraId="6DE950B7"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3.028</w:t>
            </w:r>
          </w:p>
        </w:tc>
        <w:tc>
          <w:tcPr>
            <w:tcW w:w="1331" w:type="dxa"/>
            <w:tcBorders>
              <w:top w:val="single" w:sz="4" w:space="0" w:color="auto"/>
              <w:left w:val="nil"/>
              <w:bottom w:val="nil"/>
              <w:right w:val="nil"/>
            </w:tcBorders>
            <w:shd w:val="clear" w:color="auto" w:fill="FFFFFF"/>
            <w:vAlign w:val="center"/>
          </w:tcPr>
          <w:p w14:paraId="2ACA6C5A"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.517</w:t>
            </w:r>
          </w:p>
        </w:tc>
        <w:tc>
          <w:tcPr>
            <w:tcW w:w="1469" w:type="dxa"/>
            <w:tcBorders>
              <w:top w:val="single" w:sz="4" w:space="0" w:color="auto"/>
              <w:left w:val="nil"/>
              <w:bottom w:val="nil"/>
              <w:right w:val="nil"/>
            </w:tcBorders>
            <w:shd w:val="clear" w:color="auto" w:fill="FFFFFF"/>
          </w:tcPr>
          <w:p w14:paraId="32AB7384" w14:textId="77777777" w:rsidR="00CE0A1B" w:rsidRPr="002D54D3" w:rsidRDefault="00CE0A1B" w:rsidP="00697C13">
            <w:pPr>
              <w:spacing w:after="0"/>
              <w:rPr>
                <w:rFonts w:ascii="Times" w:hAnsi="Times" w:cs="Times"/>
                <w:sz w:val="24"/>
                <w:szCs w:val="24"/>
              </w:rPr>
            </w:pPr>
          </w:p>
        </w:tc>
        <w:tc>
          <w:tcPr>
            <w:tcW w:w="1010" w:type="dxa"/>
            <w:tcBorders>
              <w:top w:val="single" w:sz="4" w:space="0" w:color="auto"/>
              <w:left w:val="nil"/>
              <w:bottom w:val="nil"/>
              <w:right w:val="nil"/>
            </w:tcBorders>
            <w:shd w:val="clear" w:color="auto" w:fill="FFFFFF"/>
            <w:vAlign w:val="center"/>
          </w:tcPr>
          <w:p w14:paraId="767B58FB"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5.859</w:t>
            </w:r>
          </w:p>
        </w:tc>
        <w:tc>
          <w:tcPr>
            <w:tcW w:w="1010" w:type="dxa"/>
            <w:tcBorders>
              <w:top w:val="single" w:sz="4" w:space="0" w:color="auto"/>
              <w:left w:val="nil"/>
              <w:bottom w:val="nil"/>
              <w:right w:val="nil"/>
            </w:tcBorders>
            <w:shd w:val="clear" w:color="auto" w:fill="FFFFFF"/>
            <w:vAlign w:val="center"/>
          </w:tcPr>
          <w:p w14:paraId="751180B4"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.000</w:t>
            </w:r>
          </w:p>
        </w:tc>
      </w:tr>
      <w:tr w:rsidR="00CE0A1B" w:rsidRPr="002D54D3" w14:paraId="7BF82802" w14:textId="77777777" w:rsidTr="00554A6E">
        <w:trPr>
          <w:cantSplit/>
        </w:trPr>
        <w:tc>
          <w:tcPr>
            <w:tcW w:w="733" w:type="dxa"/>
            <w:vMerge/>
            <w:tcBorders>
              <w:top w:val="nil"/>
              <w:left w:val="nil"/>
              <w:bottom w:val="single" w:sz="4" w:space="0" w:color="auto"/>
              <w:right w:val="nil"/>
            </w:tcBorders>
            <w:shd w:val="clear" w:color="auto" w:fill="FFFFFF"/>
            <w:vAlign w:val="center"/>
          </w:tcPr>
          <w:p w14:paraId="3BE2A4BA" w14:textId="77777777" w:rsidR="00CE0A1B" w:rsidRPr="002D54D3" w:rsidRDefault="00CE0A1B" w:rsidP="00697C13">
            <w:pPr>
              <w:spacing w:after="0"/>
              <w:rPr>
                <w:rFonts w:ascii="Times" w:hAnsi="Times" w:cs="Times"/>
                <w:sz w:val="24"/>
                <w:szCs w:val="24"/>
              </w:rPr>
            </w:pPr>
          </w:p>
        </w:tc>
        <w:tc>
          <w:tcPr>
            <w:tcW w:w="1162" w:type="dxa"/>
            <w:tcBorders>
              <w:top w:val="nil"/>
              <w:left w:val="nil"/>
              <w:bottom w:val="single" w:sz="4" w:space="0" w:color="auto"/>
              <w:right w:val="nil"/>
            </w:tcBorders>
            <w:shd w:val="clear" w:color="auto" w:fill="FFFFFF"/>
            <w:vAlign w:val="center"/>
          </w:tcPr>
          <w:p w14:paraId="00D65056" w14:textId="77777777" w:rsidR="00CE0A1B" w:rsidRPr="002D54D3" w:rsidRDefault="00CE0A1B" w:rsidP="00697C13">
            <w:pPr>
              <w:spacing w:after="0"/>
              <w:rPr>
                <w:rFonts w:ascii="Times" w:hAnsi="Times" w:cs="Times"/>
                <w:sz w:val="24"/>
                <w:szCs w:val="24"/>
              </w:rPr>
            </w:pPr>
            <w:r>
              <w:rPr>
                <w:rFonts w:ascii="Times" w:hAnsi="Times" w:cs="Times"/>
                <w:sz w:val="24"/>
                <w:szCs w:val="24"/>
              </w:rPr>
              <w:t>Savings literacy</w:t>
            </w:r>
          </w:p>
        </w:tc>
        <w:tc>
          <w:tcPr>
            <w:tcW w:w="1331" w:type="dxa"/>
            <w:tcBorders>
              <w:top w:val="nil"/>
              <w:left w:val="nil"/>
              <w:bottom w:val="single" w:sz="4" w:space="0" w:color="auto"/>
              <w:right w:val="nil"/>
            </w:tcBorders>
            <w:shd w:val="clear" w:color="auto" w:fill="FFFFFF"/>
            <w:vAlign w:val="center"/>
          </w:tcPr>
          <w:p w14:paraId="38D4A1C6"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.788</w:t>
            </w:r>
          </w:p>
        </w:tc>
        <w:tc>
          <w:tcPr>
            <w:tcW w:w="1331" w:type="dxa"/>
            <w:tcBorders>
              <w:top w:val="nil"/>
              <w:left w:val="nil"/>
              <w:bottom w:val="single" w:sz="4" w:space="0" w:color="auto"/>
              <w:right w:val="nil"/>
            </w:tcBorders>
            <w:shd w:val="clear" w:color="auto" w:fill="FFFFFF"/>
            <w:vAlign w:val="center"/>
          </w:tcPr>
          <w:p w14:paraId="504EFB0D"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.033</w:t>
            </w:r>
          </w:p>
        </w:tc>
        <w:tc>
          <w:tcPr>
            <w:tcW w:w="1469" w:type="dxa"/>
            <w:tcBorders>
              <w:top w:val="nil"/>
              <w:left w:val="nil"/>
              <w:bottom w:val="single" w:sz="4" w:space="0" w:color="auto"/>
              <w:right w:val="nil"/>
            </w:tcBorders>
            <w:shd w:val="clear" w:color="auto" w:fill="FFFFFF"/>
            <w:vAlign w:val="center"/>
          </w:tcPr>
          <w:p w14:paraId="01020A07"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.818</w:t>
            </w:r>
          </w:p>
        </w:tc>
        <w:tc>
          <w:tcPr>
            <w:tcW w:w="1010" w:type="dxa"/>
            <w:tcBorders>
              <w:top w:val="nil"/>
              <w:left w:val="nil"/>
              <w:bottom w:val="single" w:sz="4" w:space="0" w:color="auto"/>
              <w:right w:val="nil"/>
            </w:tcBorders>
            <w:shd w:val="clear" w:color="auto" w:fill="FFFFFF"/>
            <w:vAlign w:val="center"/>
          </w:tcPr>
          <w:p w14:paraId="46475C06"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23.888</w:t>
            </w:r>
          </w:p>
        </w:tc>
        <w:tc>
          <w:tcPr>
            <w:tcW w:w="1010" w:type="dxa"/>
            <w:tcBorders>
              <w:top w:val="nil"/>
              <w:left w:val="nil"/>
              <w:bottom w:val="single" w:sz="4" w:space="0" w:color="auto"/>
              <w:right w:val="nil"/>
            </w:tcBorders>
            <w:shd w:val="clear" w:color="auto" w:fill="FFFFFF"/>
            <w:vAlign w:val="center"/>
          </w:tcPr>
          <w:p w14:paraId="3AA235D6"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.000</w:t>
            </w:r>
          </w:p>
        </w:tc>
      </w:tr>
      <w:tr w:rsidR="00CE0A1B" w:rsidRPr="002D54D3" w14:paraId="49FD539B" w14:textId="77777777" w:rsidTr="00554A6E">
        <w:trPr>
          <w:cantSplit/>
        </w:trPr>
        <w:tc>
          <w:tcPr>
            <w:tcW w:w="8046" w:type="dxa"/>
            <w:gridSpan w:val="7"/>
            <w:tcBorders>
              <w:top w:val="single" w:sz="4" w:space="0" w:color="auto"/>
              <w:left w:val="nil"/>
              <w:bottom w:val="nil"/>
              <w:right w:val="nil"/>
            </w:tcBorders>
            <w:shd w:val="clear" w:color="auto" w:fill="FFFFFF"/>
          </w:tcPr>
          <w:p w14:paraId="7A23C9B0" w14:textId="77777777" w:rsidR="00CE0A1B" w:rsidRPr="002D54D3" w:rsidRDefault="00CE0A1B" w:rsidP="00697C13">
            <w:pPr>
              <w:spacing w:after="0"/>
              <w:rPr>
                <w:rFonts w:ascii="Times" w:hAnsi="Times" w:cs="Times"/>
                <w:sz w:val="24"/>
                <w:szCs w:val="24"/>
              </w:rPr>
            </w:pPr>
            <w:r w:rsidRPr="002D54D3">
              <w:rPr>
                <w:rFonts w:ascii="Times" w:hAnsi="Times" w:cs="Times"/>
                <w:sz w:val="24"/>
                <w:szCs w:val="24"/>
              </w:rPr>
              <w:t>a. Dependent Variable: Financial Viability</w:t>
            </w:r>
          </w:p>
        </w:tc>
      </w:tr>
    </w:tbl>
    <w:p w14:paraId="167D4617" w14:textId="77777777" w:rsidR="00CE0A1B" w:rsidRDefault="00CE0A1B" w:rsidP="00CE0A1B">
      <w:pPr>
        <w:rPr>
          <w:b/>
          <w:bCs/>
        </w:rPr>
      </w:pPr>
      <w:r>
        <w:rPr>
          <w:rFonts w:ascii="Times New Roman" w:hAnsi="Times New Roman" w:cs="Times New Roman"/>
          <w:sz w:val="24"/>
          <w:szCs w:val="24"/>
        </w:rPr>
        <w:t>Source: Field Data (2025)</w:t>
      </w:r>
    </w:p>
    <w:p w14:paraId="5EF69F98" w14:textId="77777777" w:rsidR="00CE0A1B" w:rsidRPr="008C3E4A" w:rsidRDefault="00CE0A1B" w:rsidP="00064012">
      <w:pPr>
        <w:spacing w:line="360" w:lineRule="auto"/>
        <w:jc w:val="both"/>
        <w:rPr>
          <w:rFonts w:ascii="Times" w:hAnsi="Times" w:cs="Times"/>
          <w:sz w:val="24"/>
          <w:szCs w:val="24"/>
        </w:rPr>
      </w:pPr>
      <w:r w:rsidRPr="003358EA">
        <w:rPr>
          <w:rFonts w:ascii="Times" w:hAnsi="Times" w:cs="Times"/>
          <w:sz w:val="24"/>
          <w:szCs w:val="24"/>
        </w:rPr>
        <w:t xml:space="preserve">The regression analysis was conducted to determine the effect of </w:t>
      </w:r>
      <w:r>
        <w:rPr>
          <w:rFonts w:ascii="Times" w:hAnsi="Times" w:cs="Times"/>
          <w:sz w:val="24"/>
          <w:szCs w:val="24"/>
        </w:rPr>
        <w:t>Savings literacy</w:t>
      </w:r>
      <w:r w:rsidRPr="003358EA">
        <w:rPr>
          <w:rFonts w:ascii="Times" w:hAnsi="Times" w:cs="Times"/>
          <w:sz w:val="24"/>
          <w:szCs w:val="24"/>
        </w:rPr>
        <w:t xml:space="preserve"> on the Financial Viab</w:t>
      </w:r>
      <w:r w:rsidRPr="008C3E4A">
        <w:rPr>
          <w:rFonts w:ascii="Times" w:hAnsi="Times" w:cs="Times"/>
          <w:sz w:val="24"/>
          <w:szCs w:val="24"/>
        </w:rPr>
        <w:t xml:space="preserve">ility of Micro, Small, and Medium Enterprises (MSMEs). The purpose of this analysis is to understand whether businesses that practice better </w:t>
      </w:r>
      <w:r>
        <w:rPr>
          <w:rFonts w:ascii="Times" w:hAnsi="Times" w:cs="Times"/>
          <w:sz w:val="24"/>
          <w:szCs w:val="24"/>
        </w:rPr>
        <w:t>savings literacy</w:t>
      </w:r>
      <w:r w:rsidRPr="008C3E4A">
        <w:rPr>
          <w:rFonts w:ascii="Times" w:hAnsi="Times" w:cs="Times"/>
          <w:sz w:val="24"/>
          <w:szCs w:val="24"/>
        </w:rPr>
        <w:t xml:space="preserve"> habits are more likely to achieve financial stability and sustainability.</w:t>
      </w:r>
    </w:p>
    <w:p w14:paraId="36556FBF" w14:textId="77777777" w:rsidR="00CE0A1B" w:rsidRPr="008C3E4A" w:rsidRDefault="00CE0A1B" w:rsidP="00064012">
      <w:pPr>
        <w:spacing w:line="360" w:lineRule="auto"/>
        <w:jc w:val="both"/>
        <w:rPr>
          <w:rFonts w:ascii="Times" w:hAnsi="Times" w:cs="Times"/>
          <w:sz w:val="24"/>
          <w:szCs w:val="24"/>
        </w:rPr>
      </w:pPr>
      <w:r w:rsidRPr="008C3E4A">
        <w:rPr>
          <w:rFonts w:ascii="Times" w:hAnsi="Times" w:cs="Times"/>
          <w:sz w:val="24"/>
          <w:szCs w:val="24"/>
        </w:rPr>
        <w:t xml:space="preserve">The model summary shows a correlation coefficient (R) of 0.818, indicating a strong positive relationship between </w:t>
      </w:r>
      <w:r>
        <w:rPr>
          <w:rFonts w:ascii="Times" w:hAnsi="Times" w:cs="Times"/>
          <w:sz w:val="24"/>
          <w:szCs w:val="24"/>
        </w:rPr>
        <w:t>Savings literacy</w:t>
      </w:r>
      <w:r w:rsidRPr="008C3E4A">
        <w:rPr>
          <w:rFonts w:ascii="Times" w:hAnsi="Times" w:cs="Times"/>
          <w:sz w:val="24"/>
          <w:szCs w:val="24"/>
        </w:rPr>
        <w:t xml:space="preserve"> and Financial Viability. This means that as businesses improve their savings practices, their financial viability tends to increase. The R Square value of 0.669 reveals that about 66.9% of the variation in Financial Viability among MSMEs can be explained by their savings practices alone. The Adjusted R Square of 0.668 confirms that the model is reliable and accurately reflects the relationship. The Standard Error of the Estimate is 1.823, which represents the average distance between the actual financial viability scores and those predicted by the model.</w:t>
      </w:r>
    </w:p>
    <w:p w14:paraId="06ACD0F3" w14:textId="77777777" w:rsidR="00CE0A1B" w:rsidRPr="008C3E4A" w:rsidRDefault="00CE0A1B" w:rsidP="00064012">
      <w:pPr>
        <w:spacing w:line="360" w:lineRule="auto"/>
        <w:jc w:val="both"/>
        <w:rPr>
          <w:rFonts w:ascii="Times" w:hAnsi="Times" w:cs="Times"/>
          <w:sz w:val="24"/>
          <w:szCs w:val="24"/>
        </w:rPr>
      </w:pPr>
      <w:r w:rsidRPr="008C3E4A">
        <w:rPr>
          <w:rFonts w:ascii="Times" w:hAnsi="Times" w:cs="Times"/>
          <w:sz w:val="24"/>
          <w:szCs w:val="24"/>
        </w:rPr>
        <w:t>The ANOVA results show an F-value of 570.632 with a p-value of 0.000, which is statistically significant at the 0.01 level. This indicates that the regression model is meaningful and that Savings has a significant effect on Financial Viability. In simpler terms, this confirms that the observed relationship is not due to random chance.</w:t>
      </w:r>
    </w:p>
    <w:p w14:paraId="2ED8B699" w14:textId="77777777" w:rsidR="00CE0A1B" w:rsidRPr="008C3E4A" w:rsidRDefault="00CE0A1B" w:rsidP="00064012">
      <w:pPr>
        <w:spacing w:line="360" w:lineRule="auto"/>
        <w:jc w:val="both"/>
        <w:rPr>
          <w:rFonts w:ascii="Times" w:hAnsi="Times" w:cs="Times"/>
          <w:sz w:val="24"/>
          <w:szCs w:val="24"/>
        </w:rPr>
      </w:pPr>
      <w:r w:rsidRPr="008C3E4A">
        <w:rPr>
          <w:rFonts w:ascii="Times" w:hAnsi="Times" w:cs="Times"/>
          <w:sz w:val="24"/>
          <w:szCs w:val="24"/>
        </w:rPr>
        <w:t xml:space="preserve">The regression coefficients provide more detail about the relationship. The constant (intercept) is 3.028, representing the expected financial viability score when </w:t>
      </w:r>
      <w:r>
        <w:rPr>
          <w:rFonts w:ascii="Times" w:hAnsi="Times" w:cs="Times"/>
          <w:sz w:val="24"/>
          <w:szCs w:val="24"/>
        </w:rPr>
        <w:t>Savings literacy</w:t>
      </w:r>
      <w:r w:rsidRPr="008C3E4A">
        <w:rPr>
          <w:rFonts w:ascii="Times" w:hAnsi="Times" w:cs="Times"/>
          <w:sz w:val="24"/>
          <w:szCs w:val="24"/>
        </w:rPr>
        <w:t xml:space="preserve"> is zero. The coefficient for </w:t>
      </w:r>
      <w:r>
        <w:rPr>
          <w:rFonts w:ascii="Times" w:hAnsi="Times" w:cs="Times"/>
          <w:sz w:val="24"/>
          <w:szCs w:val="24"/>
        </w:rPr>
        <w:t>Savings literacy</w:t>
      </w:r>
      <w:r w:rsidRPr="008C3E4A">
        <w:rPr>
          <w:rFonts w:ascii="Times" w:hAnsi="Times" w:cs="Times"/>
          <w:sz w:val="24"/>
          <w:szCs w:val="24"/>
        </w:rPr>
        <w:t xml:space="preserve"> is 0.788, with a t-value of 23.888 and a p-value of 0.000, showing a positive and statistically significant effect. The standardized coefficient (Beta = 0.818) confirms that </w:t>
      </w:r>
      <w:r>
        <w:rPr>
          <w:rFonts w:ascii="Times" w:hAnsi="Times" w:cs="Times"/>
          <w:sz w:val="24"/>
          <w:szCs w:val="24"/>
        </w:rPr>
        <w:t>Savings literacy</w:t>
      </w:r>
      <w:r w:rsidRPr="008C3E4A">
        <w:rPr>
          <w:rFonts w:ascii="Times" w:hAnsi="Times" w:cs="Times"/>
          <w:sz w:val="24"/>
          <w:szCs w:val="24"/>
        </w:rPr>
        <w:t xml:space="preserve"> is a strong predictor of Financial Viability. This means that for every one-unit increase in Savings, the financial viability of a business is expected to increase by approximately 0.788 units.</w:t>
      </w:r>
    </w:p>
    <w:p w14:paraId="35B681A3" w14:textId="40431EBD" w:rsidR="00CE0A1B" w:rsidRPr="00064012" w:rsidRDefault="00CE0A1B" w:rsidP="00064012">
      <w:pPr>
        <w:spacing w:line="360" w:lineRule="auto"/>
        <w:jc w:val="both"/>
        <w:rPr>
          <w:rFonts w:ascii="Times" w:hAnsi="Times" w:cs="Times"/>
          <w:sz w:val="24"/>
          <w:szCs w:val="24"/>
        </w:rPr>
      </w:pPr>
      <w:r w:rsidRPr="008C3E4A">
        <w:rPr>
          <w:rFonts w:ascii="Times" w:hAnsi="Times" w:cs="Times"/>
          <w:sz w:val="24"/>
          <w:szCs w:val="24"/>
        </w:rPr>
        <w:lastRenderedPageBreak/>
        <w:t xml:space="preserve">In practical terms, these findings suggest that MSMEs that regularly save a portion of their income are more likely to achieve financial stability and long-term sustainability. Savings </w:t>
      </w:r>
      <w:r w:rsidR="00064012">
        <w:rPr>
          <w:rFonts w:ascii="Times" w:hAnsi="Times" w:cs="Times"/>
          <w:sz w:val="24"/>
          <w:szCs w:val="24"/>
        </w:rPr>
        <w:t>allow</w:t>
      </w:r>
      <w:r w:rsidRPr="008C3E4A">
        <w:rPr>
          <w:rFonts w:ascii="Times" w:hAnsi="Times" w:cs="Times"/>
          <w:sz w:val="24"/>
          <w:szCs w:val="24"/>
        </w:rPr>
        <w:t xml:space="preserve"> businesses to reinvest in operations, cover unexpected expenses, avoid financial stress, and plan for future growth. The results indicate that promoting a culture of saving among MSMEs is crucial for improving their financial performance.</w:t>
      </w:r>
    </w:p>
    <w:p w14:paraId="2D220E6F" w14:textId="7E5F7208" w:rsidR="00CE0A1B" w:rsidRPr="00064012" w:rsidRDefault="006E7AA4" w:rsidP="00C07CDF">
      <w:pPr>
        <w:rPr>
          <w:rFonts w:ascii="Times" w:hAnsi="Times" w:cs="Times"/>
          <w:b/>
          <w:bCs/>
          <w:sz w:val="24"/>
          <w:szCs w:val="24"/>
        </w:rPr>
      </w:pPr>
      <w:r w:rsidRPr="00064012">
        <w:rPr>
          <w:rFonts w:ascii="Times" w:hAnsi="Times" w:cs="Times"/>
          <w:b/>
          <w:bCs/>
          <w:sz w:val="24"/>
          <w:szCs w:val="24"/>
        </w:rPr>
        <w:t>CONCLUSION</w:t>
      </w:r>
    </w:p>
    <w:p w14:paraId="0E90807C" w14:textId="77777777" w:rsidR="00CE0A1B" w:rsidRPr="00FC0CFA" w:rsidRDefault="00CE0A1B" w:rsidP="006D7587">
      <w:pPr>
        <w:spacing w:line="360" w:lineRule="auto"/>
        <w:jc w:val="both"/>
        <w:rPr>
          <w:rFonts w:ascii="Times New Roman" w:hAnsi="Times New Roman" w:cs="Times New Roman"/>
          <w:sz w:val="24"/>
          <w:szCs w:val="24"/>
        </w:rPr>
      </w:pPr>
      <w:r w:rsidRPr="00FC0CFA">
        <w:rPr>
          <w:rFonts w:ascii="Times New Roman" w:hAnsi="Times New Roman" w:cs="Times New Roman"/>
          <w:sz w:val="24"/>
          <w:szCs w:val="24"/>
        </w:rPr>
        <w:t>The study concludes that savings have a significant positive effect on the financial viability of MSMEs. Businesses that consistently set aside a portion of their income are better positioned to fund reinvestments, cushion against financial shocks, and sustain operational continuity. Savings serve as a critical source of internal capital, enabling businesses to pursue growth opportunities without relying solely on external financing. Therefore, effective savings practices directly enhance business stability and the capacity for long-term financial sustainability.</w:t>
      </w:r>
    </w:p>
    <w:p w14:paraId="610C9FAD" w14:textId="02F400C7" w:rsidR="00CE0A1B" w:rsidRPr="006D7587" w:rsidRDefault="006E7AA4" w:rsidP="006D7587">
      <w:pPr>
        <w:spacing w:line="360" w:lineRule="auto"/>
        <w:rPr>
          <w:rFonts w:ascii="Times" w:hAnsi="Times" w:cs="Times"/>
          <w:b/>
          <w:bCs/>
          <w:sz w:val="24"/>
          <w:szCs w:val="24"/>
        </w:rPr>
      </w:pPr>
      <w:bookmarkStart w:id="16" w:name="_Toc231854462"/>
      <w:r w:rsidRPr="006D7587">
        <w:rPr>
          <w:rFonts w:ascii="Times" w:hAnsi="Times" w:cs="Times"/>
          <w:b/>
          <w:bCs/>
          <w:sz w:val="24"/>
          <w:szCs w:val="24"/>
        </w:rPr>
        <w:t>RECOMMENDATIONS</w:t>
      </w:r>
      <w:bookmarkEnd w:id="16"/>
    </w:p>
    <w:p w14:paraId="3C569BD2" w14:textId="77777777" w:rsidR="00CE0A1B" w:rsidRPr="0055597F" w:rsidRDefault="00CE0A1B" w:rsidP="006D7587">
      <w:pPr>
        <w:spacing w:line="360" w:lineRule="auto"/>
        <w:jc w:val="both"/>
        <w:rPr>
          <w:rFonts w:ascii="Times New Roman" w:hAnsi="Times New Roman" w:cs="Times New Roman"/>
          <w:sz w:val="24"/>
          <w:szCs w:val="24"/>
        </w:rPr>
      </w:pPr>
      <w:r w:rsidRPr="0055597F">
        <w:rPr>
          <w:rFonts w:ascii="Times New Roman" w:hAnsi="Times New Roman" w:cs="Times New Roman"/>
          <w:sz w:val="24"/>
          <w:szCs w:val="24"/>
        </w:rPr>
        <w:t>Based on the findings and conclusions of this study, several recommendations are proposed to enhance the financial viability of MSMEs in Kitui County, Kenya, focusing on the development and application of financial literacy skills.</w:t>
      </w:r>
    </w:p>
    <w:p w14:paraId="61A49750" w14:textId="77777777" w:rsidR="00CE0A1B" w:rsidRPr="0055597F" w:rsidRDefault="00CE0A1B" w:rsidP="006D7587">
      <w:pPr>
        <w:spacing w:line="360" w:lineRule="auto"/>
        <w:jc w:val="both"/>
        <w:rPr>
          <w:rFonts w:ascii="Times New Roman" w:hAnsi="Times New Roman" w:cs="Times New Roman"/>
          <w:sz w:val="24"/>
          <w:szCs w:val="24"/>
        </w:rPr>
      </w:pPr>
      <w:r w:rsidRPr="0055597F">
        <w:rPr>
          <w:rFonts w:ascii="Times New Roman" w:hAnsi="Times New Roman" w:cs="Times New Roman"/>
          <w:sz w:val="24"/>
          <w:szCs w:val="24"/>
        </w:rPr>
        <w:t>First, it is recommended that MSME owners develop structured savings practices. Businesses should consistently set aside a portion of their income as savings to serve as a buffer against unexpected expenses and as a source of reinvestment capital. By prioritizing savings, business owners can strengthen financial resilience, reduce dependence on external financing, and support sustainable growth.</w:t>
      </w:r>
    </w:p>
    <w:p w14:paraId="2C7C06EA" w14:textId="32B280F9" w:rsidR="00CE0A1B" w:rsidRDefault="00CE0A1B" w:rsidP="006E7AA4">
      <w:pPr>
        <w:spacing w:line="360" w:lineRule="auto"/>
        <w:jc w:val="both"/>
        <w:rPr>
          <w:rFonts w:ascii="Times New Roman" w:hAnsi="Times New Roman" w:cs="Times New Roman"/>
          <w:sz w:val="24"/>
          <w:szCs w:val="24"/>
        </w:rPr>
      </w:pPr>
      <w:r w:rsidRPr="0055597F">
        <w:rPr>
          <w:rFonts w:ascii="Times New Roman" w:hAnsi="Times New Roman" w:cs="Times New Roman"/>
          <w:sz w:val="24"/>
          <w:szCs w:val="24"/>
        </w:rPr>
        <w:t>Second, accurate and systematic bookkeeping practices should be emphasized. MSMEs should maintain detailed records of all financial transactions, whether through manual systems or digital accounting tools. Effective bookkeeping enables owners to monitor business performance, identify opportunities for improvement, and make informed financial decisions. Training in modern accounting practices and software use can further enhance these skills and contribute to operational efficiency.</w:t>
      </w:r>
    </w:p>
    <w:p w14:paraId="68153536" w14:textId="77777777" w:rsidR="00937238" w:rsidRDefault="00937238" w:rsidP="006E7AA4">
      <w:pPr>
        <w:spacing w:line="360" w:lineRule="auto"/>
        <w:jc w:val="both"/>
        <w:rPr>
          <w:rFonts w:ascii="Times New Roman" w:hAnsi="Times New Roman" w:cs="Times New Roman"/>
          <w:sz w:val="24"/>
          <w:szCs w:val="24"/>
        </w:rPr>
      </w:pPr>
    </w:p>
    <w:p w14:paraId="7E802809" w14:textId="77777777" w:rsidR="00937238" w:rsidRPr="006E7AA4" w:rsidRDefault="00937238" w:rsidP="006E7AA4">
      <w:pPr>
        <w:spacing w:line="360" w:lineRule="auto"/>
        <w:jc w:val="both"/>
        <w:rPr>
          <w:rFonts w:ascii="Times New Roman" w:hAnsi="Times New Roman" w:cs="Times New Roman"/>
          <w:sz w:val="24"/>
          <w:szCs w:val="24"/>
        </w:rPr>
      </w:pPr>
    </w:p>
    <w:p w14:paraId="5BCBC4DE" w14:textId="42C1C990" w:rsidR="00CE0A1B" w:rsidRDefault="00CE0A1B" w:rsidP="000F43F4">
      <w:pPr>
        <w:pStyle w:val="FIGAX"/>
      </w:pPr>
      <w:r>
        <w:lastRenderedPageBreak/>
        <w:t>REFERENCES</w:t>
      </w:r>
    </w:p>
    <w:p w14:paraId="20D2840F" w14:textId="26549EDF" w:rsidR="00FA5A71" w:rsidRPr="00FA5A71" w:rsidRDefault="005E6638" w:rsidP="004E63BC">
      <w:pPr>
        <w:widowControl w:val="0"/>
        <w:autoSpaceDE w:val="0"/>
        <w:autoSpaceDN w:val="0"/>
        <w:adjustRightInd w:val="0"/>
        <w:spacing w:line="360" w:lineRule="auto"/>
        <w:ind w:left="480" w:hanging="480"/>
        <w:jc w:val="both"/>
        <w:rPr>
          <w:rFonts w:ascii="Times" w:hAnsi="Times" w:cs="Times"/>
          <w:noProof/>
          <w:sz w:val="24"/>
        </w:rPr>
      </w:pPr>
      <w:r>
        <w:rPr>
          <w:lang w:val="en-US"/>
        </w:rPr>
        <w:fldChar w:fldCharType="begin" w:fldLock="1"/>
      </w:r>
      <w:r>
        <w:rPr>
          <w:lang w:val="en-US"/>
        </w:rPr>
        <w:instrText xml:space="preserve">ADDIN Mendeley Bibliography CSL_BIBLIOGRAPHY </w:instrText>
      </w:r>
      <w:r>
        <w:rPr>
          <w:lang w:val="en-US"/>
        </w:rPr>
        <w:fldChar w:fldCharType="separate"/>
      </w:r>
      <w:r w:rsidR="00FA5A71" w:rsidRPr="00FA5A71">
        <w:rPr>
          <w:rFonts w:ascii="Times" w:hAnsi="Times" w:cs="Times"/>
          <w:noProof/>
          <w:sz w:val="24"/>
        </w:rPr>
        <w:t xml:space="preserve">Assifuah-Nunoo, E. (2023). Access to finance, financial literacy and small and medium-scale enterprises sustainable performance. </w:t>
      </w:r>
      <w:r w:rsidR="00FA5A71" w:rsidRPr="00FA5A71">
        <w:rPr>
          <w:rFonts w:ascii="Times" w:hAnsi="Times" w:cs="Times"/>
          <w:i/>
          <w:iCs/>
          <w:noProof/>
          <w:sz w:val="24"/>
        </w:rPr>
        <w:t>Journal of Engineering Applied Science and Humanities</w:t>
      </w:r>
      <w:r w:rsidR="00FA5A71" w:rsidRPr="00FA5A71">
        <w:rPr>
          <w:rFonts w:ascii="Times" w:hAnsi="Times" w:cs="Times"/>
          <w:noProof/>
          <w:sz w:val="24"/>
        </w:rPr>
        <w:t xml:space="preserve">, </w:t>
      </w:r>
      <w:r w:rsidR="00FA5A71" w:rsidRPr="00FA5A71">
        <w:rPr>
          <w:rFonts w:ascii="Times" w:hAnsi="Times" w:cs="Times"/>
          <w:i/>
          <w:iCs/>
          <w:noProof/>
          <w:sz w:val="24"/>
        </w:rPr>
        <w:t>8</w:t>
      </w:r>
      <w:r w:rsidR="00FA5A71" w:rsidRPr="00FA5A71">
        <w:rPr>
          <w:rFonts w:ascii="Times" w:hAnsi="Times" w:cs="Times"/>
          <w:noProof/>
          <w:sz w:val="24"/>
        </w:rPr>
        <w:t>(2), 118–142.</w:t>
      </w:r>
    </w:p>
    <w:p w14:paraId="4721002D"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Association, K. B. (2023). </w:t>
      </w:r>
      <w:r w:rsidRPr="00FA5A71">
        <w:rPr>
          <w:rFonts w:ascii="Times" w:hAnsi="Times" w:cs="Times"/>
          <w:i/>
          <w:iCs/>
          <w:noProof/>
          <w:sz w:val="24"/>
        </w:rPr>
        <w:t>STATE OF THE BANKING INDUSTRY REPORT 2023 STATE OF THE BANKING</w:t>
      </w:r>
      <w:r w:rsidRPr="00FA5A71">
        <w:rPr>
          <w:rFonts w:ascii="Times" w:hAnsi="Times" w:cs="Times"/>
          <w:noProof/>
          <w:sz w:val="24"/>
        </w:rPr>
        <w:t xml:space="preserve">. </w:t>
      </w:r>
      <w:r w:rsidRPr="00FA5A71">
        <w:rPr>
          <w:rFonts w:ascii="Times" w:hAnsi="Times" w:cs="Times"/>
          <w:i/>
          <w:iCs/>
          <w:noProof/>
          <w:sz w:val="24"/>
        </w:rPr>
        <w:t>August</w:t>
      </w:r>
      <w:r w:rsidRPr="00FA5A71">
        <w:rPr>
          <w:rFonts w:ascii="Times" w:hAnsi="Times" w:cs="Times"/>
          <w:noProof/>
          <w:sz w:val="24"/>
        </w:rPr>
        <w:t>.</w:t>
      </w:r>
    </w:p>
    <w:p w14:paraId="5810982F"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Chibueze, T., Taiwo Adeshina, L. U. C., Ewubajo, S. D., &amp; Ebere, L. (2025). Access to credit and financial inclusion of MSMEs in sub-Saharan Africa: Challenges and opportunities. </w:t>
      </w:r>
      <w:r w:rsidRPr="00FA5A71">
        <w:rPr>
          <w:rFonts w:ascii="Times" w:hAnsi="Times" w:cs="Times"/>
          <w:i/>
          <w:iCs/>
          <w:noProof/>
          <w:sz w:val="24"/>
        </w:rPr>
        <w:t>International Journal of Financial Management and Economics</w:t>
      </w:r>
      <w:r w:rsidRPr="00FA5A71">
        <w:rPr>
          <w:rFonts w:ascii="Times" w:hAnsi="Times" w:cs="Times"/>
          <w:noProof/>
          <w:sz w:val="24"/>
        </w:rPr>
        <w:t xml:space="preserve">, </w:t>
      </w:r>
      <w:r w:rsidRPr="00FA5A71">
        <w:rPr>
          <w:rFonts w:ascii="Times" w:hAnsi="Times" w:cs="Times"/>
          <w:i/>
          <w:iCs/>
          <w:noProof/>
          <w:sz w:val="24"/>
        </w:rPr>
        <w:t>8</w:t>
      </w:r>
      <w:r w:rsidRPr="00FA5A71">
        <w:rPr>
          <w:rFonts w:ascii="Times" w:hAnsi="Times" w:cs="Times"/>
          <w:noProof/>
          <w:sz w:val="24"/>
        </w:rPr>
        <w:t>(2), 12.</w:t>
      </w:r>
    </w:p>
    <w:p w14:paraId="0FAB3B1D"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Creswell, J. W., Hanson, W. E., Clark Plano, V. L., &amp; Morales, A. (2007). Qualitative Research Designs: Selection and Implementation. </w:t>
      </w:r>
      <w:r w:rsidRPr="00FA5A71">
        <w:rPr>
          <w:rFonts w:ascii="Times" w:hAnsi="Times" w:cs="Times"/>
          <w:i/>
          <w:iCs/>
          <w:noProof/>
          <w:sz w:val="24"/>
        </w:rPr>
        <w:t>The Counseling Psychologist</w:t>
      </w:r>
      <w:r w:rsidRPr="00FA5A71">
        <w:rPr>
          <w:rFonts w:ascii="Times" w:hAnsi="Times" w:cs="Times"/>
          <w:noProof/>
          <w:sz w:val="24"/>
        </w:rPr>
        <w:t xml:space="preserve">, </w:t>
      </w:r>
      <w:r w:rsidRPr="00FA5A71">
        <w:rPr>
          <w:rFonts w:ascii="Times" w:hAnsi="Times" w:cs="Times"/>
          <w:i/>
          <w:iCs/>
          <w:noProof/>
          <w:sz w:val="24"/>
        </w:rPr>
        <w:t>35</w:t>
      </w:r>
      <w:r w:rsidRPr="00FA5A71">
        <w:rPr>
          <w:rFonts w:ascii="Times" w:hAnsi="Times" w:cs="Times"/>
          <w:noProof/>
          <w:sz w:val="24"/>
        </w:rPr>
        <w:t>(2), 236–264. https://doi.org/10.1177/0011000006287390</w:t>
      </w:r>
    </w:p>
    <w:p w14:paraId="37077A90"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Dwyanti, D. (2024). The importance of financial literacy in financial management in micro, small and medium enterprises (MSMEs). </w:t>
      </w:r>
      <w:r w:rsidRPr="00FA5A71">
        <w:rPr>
          <w:rFonts w:ascii="Times" w:hAnsi="Times" w:cs="Times"/>
          <w:i/>
          <w:iCs/>
          <w:noProof/>
          <w:sz w:val="24"/>
        </w:rPr>
        <w:t>Journal of Applied Management and Business</w:t>
      </w:r>
      <w:r w:rsidRPr="00FA5A71">
        <w:rPr>
          <w:rFonts w:ascii="Times" w:hAnsi="Times" w:cs="Times"/>
          <w:noProof/>
          <w:sz w:val="24"/>
        </w:rPr>
        <w:t xml:space="preserve">, </w:t>
      </w:r>
      <w:r w:rsidRPr="00FA5A71">
        <w:rPr>
          <w:rFonts w:ascii="Times" w:hAnsi="Times" w:cs="Times"/>
          <w:i/>
          <w:iCs/>
          <w:noProof/>
          <w:sz w:val="24"/>
        </w:rPr>
        <w:t>5</w:t>
      </w:r>
      <w:r w:rsidRPr="00FA5A71">
        <w:rPr>
          <w:rFonts w:ascii="Times" w:hAnsi="Times" w:cs="Times"/>
          <w:noProof/>
          <w:sz w:val="24"/>
        </w:rPr>
        <w:t>(1), 1–6.</w:t>
      </w:r>
    </w:p>
    <w:p w14:paraId="34F5B48A"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Hammerton, J., Osborne, M., Armstrong, S., &amp; Daelemans, W. (2002). Introduction to Special Issue on Machine Learning Approaches to Shallow Parsing. </w:t>
      </w:r>
      <w:r w:rsidRPr="00FA5A71">
        <w:rPr>
          <w:rFonts w:ascii="Times" w:hAnsi="Times" w:cs="Times"/>
          <w:i/>
          <w:iCs/>
          <w:noProof/>
          <w:sz w:val="24"/>
        </w:rPr>
        <w:t>Journal of Machine Learning Research</w:t>
      </w:r>
      <w:r w:rsidRPr="00FA5A71">
        <w:rPr>
          <w:rFonts w:ascii="Times" w:hAnsi="Times" w:cs="Times"/>
          <w:noProof/>
          <w:sz w:val="24"/>
        </w:rPr>
        <w:t xml:space="preserve">, </w:t>
      </w:r>
      <w:r w:rsidRPr="00FA5A71">
        <w:rPr>
          <w:rFonts w:ascii="Times" w:hAnsi="Times" w:cs="Times"/>
          <w:i/>
          <w:iCs/>
          <w:noProof/>
          <w:sz w:val="24"/>
        </w:rPr>
        <w:t>2</w:t>
      </w:r>
      <w:r w:rsidRPr="00FA5A71">
        <w:rPr>
          <w:rFonts w:ascii="Times" w:hAnsi="Times" w:cs="Times"/>
          <w:noProof/>
          <w:sz w:val="24"/>
        </w:rPr>
        <w:t>(4), 551–558. https://doi.org/10.1162/153244302320884533</w:t>
      </w:r>
    </w:p>
    <w:p w14:paraId="511BDDE2"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Hardyansah, R., &amp; Putra, A. R. (2023). Building Regional Economic Stability Through Effective Legal Protection for Micro, Small, and Medium Enterprises in Indonesia. </w:t>
      </w:r>
      <w:r w:rsidRPr="00FA5A71">
        <w:rPr>
          <w:rFonts w:ascii="Times" w:hAnsi="Times" w:cs="Times"/>
          <w:i/>
          <w:iCs/>
          <w:noProof/>
          <w:sz w:val="24"/>
        </w:rPr>
        <w:t>Journal of Social Science Studies</w:t>
      </w:r>
      <w:r w:rsidRPr="00FA5A71">
        <w:rPr>
          <w:rFonts w:ascii="Times" w:hAnsi="Times" w:cs="Times"/>
          <w:noProof/>
          <w:sz w:val="24"/>
        </w:rPr>
        <w:t xml:space="preserve">, </w:t>
      </w:r>
      <w:r w:rsidRPr="00FA5A71">
        <w:rPr>
          <w:rFonts w:ascii="Times" w:hAnsi="Times" w:cs="Times"/>
          <w:i/>
          <w:iCs/>
          <w:noProof/>
          <w:sz w:val="24"/>
        </w:rPr>
        <w:t>3</w:t>
      </w:r>
      <w:r w:rsidRPr="00FA5A71">
        <w:rPr>
          <w:rFonts w:ascii="Times" w:hAnsi="Times" w:cs="Times"/>
          <w:noProof/>
          <w:sz w:val="24"/>
        </w:rPr>
        <w:t>(1), 15–22.</w:t>
      </w:r>
    </w:p>
    <w:p w14:paraId="351C1971"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Kumari, D. A. T. (2020). The Impact of Financial Literacy on Investment Decisions: With Special Reference to Undergraduates in Western Province, Sri Lanka. </w:t>
      </w:r>
      <w:r w:rsidRPr="00FA5A71">
        <w:rPr>
          <w:rFonts w:ascii="Times" w:hAnsi="Times" w:cs="Times"/>
          <w:i/>
          <w:iCs/>
          <w:noProof/>
          <w:sz w:val="24"/>
        </w:rPr>
        <w:t>Asian Journal of Contemporary Education</w:t>
      </w:r>
      <w:r w:rsidRPr="00FA5A71">
        <w:rPr>
          <w:rFonts w:ascii="Times" w:hAnsi="Times" w:cs="Times"/>
          <w:noProof/>
          <w:sz w:val="24"/>
        </w:rPr>
        <w:t xml:space="preserve">, </w:t>
      </w:r>
      <w:r w:rsidRPr="00FA5A71">
        <w:rPr>
          <w:rFonts w:ascii="Times" w:hAnsi="Times" w:cs="Times"/>
          <w:i/>
          <w:iCs/>
          <w:noProof/>
          <w:sz w:val="24"/>
        </w:rPr>
        <w:t>4</w:t>
      </w:r>
      <w:r w:rsidRPr="00FA5A71">
        <w:rPr>
          <w:rFonts w:ascii="Times" w:hAnsi="Times" w:cs="Times"/>
          <w:noProof/>
          <w:sz w:val="24"/>
        </w:rPr>
        <w:t>(2), 110–126.</w:t>
      </w:r>
    </w:p>
    <w:p w14:paraId="1208E4F0"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Mhanganya, S., Kamuzora, A., &amp; Utouh, H. (2024). Maximizing Returns: A Deep Dive into the Financial Strategies of SMEs in Morogoro Municipality. </w:t>
      </w:r>
      <w:r w:rsidRPr="00FA5A71">
        <w:rPr>
          <w:rFonts w:ascii="Times" w:hAnsi="Times" w:cs="Times"/>
          <w:i/>
          <w:iCs/>
          <w:noProof/>
          <w:sz w:val="24"/>
        </w:rPr>
        <w:t>NG Journal of Social Development</w:t>
      </w:r>
      <w:r w:rsidRPr="00FA5A71">
        <w:rPr>
          <w:rFonts w:ascii="Times" w:hAnsi="Times" w:cs="Times"/>
          <w:noProof/>
          <w:sz w:val="24"/>
        </w:rPr>
        <w:t xml:space="preserve">, </w:t>
      </w:r>
      <w:r w:rsidRPr="00FA5A71">
        <w:rPr>
          <w:rFonts w:ascii="Times" w:hAnsi="Times" w:cs="Times"/>
          <w:i/>
          <w:iCs/>
          <w:noProof/>
          <w:sz w:val="24"/>
        </w:rPr>
        <w:t>14</w:t>
      </w:r>
      <w:r w:rsidRPr="00FA5A71">
        <w:rPr>
          <w:rFonts w:ascii="Times" w:hAnsi="Times" w:cs="Times"/>
          <w:noProof/>
          <w:sz w:val="24"/>
        </w:rPr>
        <w:t>(1), 79–90.</w:t>
      </w:r>
    </w:p>
    <w:p w14:paraId="7A437957"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Molosiwa, T., &amp; Molosiwa, J. (2025). The impact of financial literacy on the performance of Small and Medium-sized Enterprises (SMEs): A review of literature. </w:t>
      </w:r>
      <w:r w:rsidRPr="00FA5A71">
        <w:rPr>
          <w:rFonts w:ascii="Times" w:hAnsi="Times" w:cs="Times"/>
          <w:i/>
          <w:iCs/>
          <w:noProof/>
          <w:sz w:val="24"/>
        </w:rPr>
        <w:t>International Journal of Research in Business and Social Science</w:t>
      </w:r>
      <w:r w:rsidRPr="00FA5A71">
        <w:rPr>
          <w:rFonts w:ascii="Times" w:hAnsi="Times" w:cs="Times"/>
          <w:noProof/>
          <w:sz w:val="24"/>
        </w:rPr>
        <w:t xml:space="preserve">, </w:t>
      </w:r>
      <w:r w:rsidRPr="00FA5A71">
        <w:rPr>
          <w:rFonts w:ascii="Times" w:hAnsi="Times" w:cs="Times"/>
          <w:i/>
          <w:iCs/>
          <w:noProof/>
          <w:sz w:val="24"/>
        </w:rPr>
        <w:t>14</w:t>
      </w:r>
      <w:r w:rsidRPr="00FA5A71">
        <w:rPr>
          <w:rFonts w:ascii="Times" w:hAnsi="Times" w:cs="Times"/>
          <w:noProof/>
          <w:sz w:val="24"/>
        </w:rPr>
        <w:t>(3), 320–332.</w:t>
      </w:r>
    </w:p>
    <w:p w14:paraId="0992FA9E"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lastRenderedPageBreak/>
        <w:t xml:space="preserve">Musau, S. M., Muathe, S., &amp; Mwangi, L. W. (2022). Financial literacy and consumer protection: A road map to digital financial access by SMEs in Kenya. </w:t>
      </w:r>
      <w:r w:rsidRPr="00FA5A71">
        <w:rPr>
          <w:rFonts w:ascii="Times" w:hAnsi="Times" w:cs="Times"/>
          <w:i/>
          <w:iCs/>
          <w:noProof/>
          <w:sz w:val="24"/>
        </w:rPr>
        <w:t>The Journal of Entrepreneurial Finance (JEF)</w:t>
      </w:r>
      <w:r w:rsidRPr="00FA5A71">
        <w:rPr>
          <w:rFonts w:ascii="Times" w:hAnsi="Times" w:cs="Times"/>
          <w:noProof/>
          <w:sz w:val="24"/>
        </w:rPr>
        <w:t xml:space="preserve">, </w:t>
      </w:r>
      <w:r w:rsidRPr="00FA5A71">
        <w:rPr>
          <w:rFonts w:ascii="Times" w:hAnsi="Times" w:cs="Times"/>
          <w:i/>
          <w:iCs/>
          <w:noProof/>
          <w:sz w:val="24"/>
        </w:rPr>
        <w:t>24</w:t>
      </w:r>
      <w:r w:rsidRPr="00FA5A71">
        <w:rPr>
          <w:rFonts w:ascii="Times" w:hAnsi="Times" w:cs="Times"/>
          <w:noProof/>
          <w:sz w:val="24"/>
        </w:rPr>
        <w:t>(2), 1–25.</w:t>
      </w:r>
    </w:p>
    <w:p w14:paraId="66A52430"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Njoki, D. M. (2024). Effect of financial literacy on the growth of micro and small enterprises in Kenya. </w:t>
      </w:r>
      <w:r w:rsidRPr="00FA5A71">
        <w:rPr>
          <w:rFonts w:ascii="Times" w:hAnsi="Times" w:cs="Times"/>
          <w:i/>
          <w:iCs/>
          <w:noProof/>
          <w:sz w:val="24"/>
        </w:rPr>
        <w:t>African Journal of Commercial Studies</w:t>
      </w:r>
      <w:r w:rsidRPr="00FA5A71">
        <w:rPr>
          <w:rFonts w:ascii="Times" w:hAnsi="Times" w:cs="Times"/>
          <w:noProof/>
          <w:sz w:val="24"/>
        </w:rPr>
        <w:t xml:space="preserve">, </w:t>
      </w:r>
      <w:r w:rsidRPr="00FA5A71">
        <w:rPr>
          <w:rFonts w:ascii="Times" w:hAnsi="Times" w:cs="Times"/>
          <w:i/>
          <w:iCs/>
          <w:noProof/>
          <w:sz w:val="24"/>
        </w:rPr>
        <w:t>4</w:t>
      </w:r>
      <w:r w:rsidRPr="00FA5A71">
        <w:rPr>
          <w:rFonts w:ascii="Times" w:hAnsi="Times" w:cs="Times"/>
          <w:noProof/>
          <w:sz w:val="24"/>
        </w:rPr>
        <w:t>(1), 31–37.</w:t>
      </w:r>
    </w:p>
    <w:p w14:paraId="686A2664"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Onyango, O. T. (2023). </w:t>
      </w:r>
      <w:r w:rsidRPr="00FA5A71">
        <w:rPr>
          <w:rFonts w:ascii="Times" w:hAnsi="Times" w:cs="Times"/>
          <w:i/>
          <w:iCs/>
          <w:noProof/>
          <w:sz w:val="24"/>
        </w:rPr>
        <w:t>Accounting Practices , Financial Literacy And Financial Performance Of Micro , Small And Medium Enterprises</w:t>
      </w:r>
      <w:r w:rsidRPr="00FA5A71">
        <w:rPr>
          <w:rFonts w:ascii="Times" w:hAnsi="Times" w:cs="Times"/>
          <w:noProof/>
          <w:sz w:val="24"/>
        </w:rPr>
        <w:t xml:space="preserve">. </w:t>
      </w:r>
      <w:r w:rsidRPr="00FA5A71">
        <w:rPr>
          <w:rFonts w:ascii="Times" w:hAnsi="Times" w:cs="Times"/>
          <w:i/>
          <w:iCs/>
          <w:noProof/>
          <w:sz w:val="24"/>
        </w:rPr>
        <w:t>4</w:t>
      </w:r>
      <w:r w:rsidRPr="00FA5A71">
        <w:rPr>
          <w:rFonts w:ascii="Times" w:hAnsi="Times" w:cs="Times"/>
          <w:noProof/>
          <w:sz w:val="24"/>
        </w:rPr>
        <w:t>(9), 700–719. https://doi.org/10.47153/jbmr49.7942023</w:t>
      </w:r>
    </w:p>
    <w:p w14:paraId="4B4FCC2E"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Selvi, S., Pakaya, A. R., &amp; Nahar, F. H. (2024). Management behavior: The role of financial literacy and financial knowledge of MSME actors. </w:t>
      </w:r>
      <w:r w:rsidRPr="00FA5A71">
        <w:rPr>
          <w:rFonts w:ascii="Times" w:hAnsi="Times" w:cs="Times"/>
          <w:i/>
          <w:iCs/>
          <w:noProof/>
          <w:sz w:val="24"/>
        </w:rPr>
        <w:t>Jurnal Aplikasi Manajemen</w:t>
      </w:r>
      <w:r w:rsidRPr="00FA5A71">
        <w:rPr>
          <w:rFonts w:ascii="Times" w:hAnsi="Times" w:cs="Times"/>
          <w:noProof/>
          <w:sz w:val="24"/>
        </w:rPr>
        <w:t xml:space="preserve">, </w:t>
      </w:r>
      <w:r w:rsidRPr="00FA5A71">
        <w:rPr>
          <w:rFonts w:ascii="Times" w:hAnsi="Times" w:cs="Times"/>
          <w:i/>
          <w:iCs/>
          <w:noProof/>
          <w:sz w:val="24"/>
        </w:rPr>
        <w:t>22</w:t>
      </w:r>
      <w:r w:rsidRPr="00FA5A71">
        <w:rPr>
          <w:rFonts w:ascii="Times" w:hAnsi="Times" w:cs="Times"/>
          <w:noProof/>
          <w:sz w:val="24"/>
        </w:rPr>
        <w:t>(3), 909–919.</w:t>
      </w:r>
    </w:p>
    <w:p w14:paraId="4F58D23B"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Sibanyoni, B. (2021). </w:t>
      </w:r>
      <w:r w:rsidRPr="00FA5A71">
        <w:rPr>
          <w:rFonts w:ascii="Times" w:hAnsi="Times" w:cs="Times"/>
          <w:i/>
          <w:iCs/>
          <w:noProof/>
          <w:sz w:val="24"/>
        </w:rPr>
        <w:t>Investigating non-compliance with corporate governance principles on material losses in selected business organizations</w:t>
      </w:r>
      <w:r w:rsidRPr="00FA5A71">
        <w:rPr>
          <w:rFonts w:ascii="Times" w:hAnsi="Times" w:cs="Times"/>
          <w:noProof/>
          <w:sz w:val="24"/>
        </w:rPr>
        <w:t>. North-West University (South Africa).</w:t>
      </w:r>
    </w:p>
    <w:p w14:paraId="1D861341"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Sinha, K. J., Sinha, S., &amp; Sinha, B. J. (2024). Micro, Small, and Medium-Sized Enterprises (MSMEs): The significant role and challenges in Indonesia’s economy. </w:t>
      </w:r>
      <w:r w:rsidRPr="00FA5A71">
        <w:rPr>
          <w:rFonts w:ascii="Times" w:hAnsi="Times" w:cs="Times"/>
          <w:i/>
          <w:iCs/>
          <w:noProof/>
          <w:sz w:val="24"/>
        </w:rPr>
        <w:t>International Journal For Multidisciplinary Research</w:t>
      </w:r>
      <w:r w:rsidRPr="00FA5A71">
        <w:rPr>
          <w:rFonts w:ascii="Times" w:hAnsi="Times" w:cs="Times"/>
          <w:noProof/>
          <w:sz w:val="24"/>
        </w:rPr>
        <w:t xml:space="preserve">, </w:t>
      </w:r>
      <w:r w:rsidRPr="00FA5A71">
        <w:rPr>
          <w:rFonts w:ascii="Times" w:hAnsi="Times" w:cs="Times"/>
          <w:i/>
          <w:iCs/>
          <w:noProof/>
          <w:sz w:val="24"/>
        </w:rPr>
        <w:t>6</w:t>
      </w:r>
      <w:r w:rsidRPr="00FA5A71">
        <w:rPr>
          <w:rFonts w:ascii="Times" w:hAnsi="Times" w:cs="Times"/>
          <w:noProof/>
          <w:sz w:val="24"/>
        </w:rPr>
        <w:t>(3), 20824.</w:t>
      </w:r>
    </w:p>
    <w:p w14:paraId="3B9D54B8"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Varga, J. (2021). Defining the economic role and benefits of micro, small and medium-sized enterprises in the 21st century with a systematic review of the literature. </w:t>
      </w:r>
      <w:r w:rsidRPr="00FA5A71">
        <w:rPr>
          <w:rFonts w:ascii="Times" w:hAnsi="Times" w:cs="Times"/>
          <w:i/>
          <w:iCs/>
          <w:noProof/>
          <w:sz w:val="24"/>
        </w:rPr>
        <w:t>Acta Polytechnica Hungarica</w:t>
      </w:r>
      <w:r w:rsidRPr="00FA5A71">
        <w:rPr>
          <w:rFonts w:ascii="Times" w:hAnsi="Times" w:cs="Times"/>
          <w:noProof/>
          <w:sz w:val="24"/>
        </w:rPr>
        <w:t xml:space="preserve">, </w:t>
      </w:r>
      <w:r w:rsidRPr="00FA5A71">
        <w:rPr>
          <w:rFonts w:ascii="Times" w:hAnsi="Times" w:cs="Times"/>
          <w:i/>
          <w:iCs/>
          <w:noProof/>
          <w:sz w:val="24"/>
        </w:rPr>
        <w:t>18</w:t>
      </w:r>
      <w:r w:rsidRPr="00FA5A71">
        <w:rPr>
          <w:rFonts w:ascii="Times" w:hAnsi="Times" w:cs="Times"/>
          <w:noProof/>
          <w:sz w:val="24"/>
        </w:rPr>
        <w:t>(11), 209–228.</w:t>
      </w:r>
    </w:p>
    <w:p w14:paraId="1DC7E1D9" w14:textId="77777777" w:rsidR="00FA5A71" w:rsidRPr="00FA5A71" w:rsidRDefault="00FA5A71" w:rsidP="004E63BC">
      <w:pPr>
        <w:widowControl w:val="0"/>
        <w:autoSpaceDE w:val="0"/>
        <w:autoSpaceDN w:val="0"/>
        <w:adjustRightInd w:val="0"/>
        <w:spacing w:line="360" w:lineRule="auto"/>
        <w:ind w:left="480" w:hanging="480"/>
        <w:jc w:val="both"/>
        <w:rPr>
          <w:rFonts w:ascii="Times" w:hAnsi="Times" w:cs="Times"/>
          <w:noProof/>
          <w:sz w:val="24"/>
        </w:rPr>
      </w:pPr>
      <w:r w:rsidRPr="00FA5A71">
        <w:rPr>
          <w:rFonts w:ascii="Times" w:hAnsi="Times" w:cs="Times"/>
          <w:noProof/>
          <w:sz w:val="24"/>
        </w:rPr>
        <w:t xml:space="preserve">Velmurugan, R., Thirumalaisamy, R., Paquibut, R., &amp; Abouraia, M. (2024). An integrated framework for the financial sustainability and entrepreneurial success of micro, small, and medium enterprises. In </w:t>
      </w:r>
      <w:r w:rsidRPr="00FA5A71">
        <w:rPr>
          <w:rFonts w:ascii="Times" w:hAnsi="Times" w:cs="Times"/>
          <w:i/>
          <w:iCs/>
          <w:noProof/>
          <w:sz w:val="24"/>
        </w:rPr>
        <w:t>The AI Revolution: Driving Business Innovation and Research: Volume 2</w:t>
      </w:r>
      <w:r w:rsidRPr="00FA5A71">
        <w:rPr>
          <w:rFonts w:ascii="Times" w:hAnsi="Times" w:cs="Times"/>
          <w:noProof/>
          <w:sz w:val="24"/>
        </w:rPr>
        <w:t xml:space="preserve"> (pp. 233–246). Springer.</w:t>
      </w:r>
    </w:p>
    <w:p w14:paraId="5F47CE99" w14:textId="5F951E01" w:rsidR="00A151C2" w:rsidRPr="00CE0A1B" w:rsidRDefault="005E6638" w:rsidP="000F43F4">
      <w:pPr>
        <w:pStyle w:val="FIGAX"/>
      </w:pPr>
      <w:r>
        <w:fldChar w:fldCharType="end"/>
      </w:r>
    </w:p>
    <w:p w14:paraId="4078AE8D" w14:textId="75F6F2F0" w:rsidR="00CA148C" w:rsidRDefault="00CA148C"/>
    <w:sectPr w:rsidR="00CA148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A3F5F" w14:textId="77777777" w:rsidR="000C28DB" w:rsidRDefault="000C28DB" w:rsidP="006E7AA4">
      <w:pPr>
        <w:spacing w:after="0" w:line="240" w:lineRule="auto"/>
      </w:pPr>
      <w:r>
        <w:separator/>
      </w:r>
    </w:p>
  </w:endnote>
  <w:endnote w:type="continuationSeparator" w:id="0">
    <w:p w14:paraId="15774F62" w14:textId="77777777" w:rsidR="000C28DB" w:rsidRDefault="000C28DB" w:rsidP="006E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39410"/>
      <w:docPartObj>
        <w:docPartGallery w:val="Page Numbers (Bottom of Page)"/>
        <w:docPartUnique/>
      </w:docPartObj>
    </w:sdtPr>
    <w:sdtEndPr>
      <w:rPr>
        <w:color w:val="7F7F7F" w:themeColor="background1" w:themeShade="7F"/>
        <w:spacing w:val="60"/>
      </w:rPr>
    </w:sdtEndPr>
    <w:sdtContent>
      <w:p w14:paraId="5984DFF6" w14:textId="059061A0" w:rsidR="006E7AA4" w:rsidRDefault="006E7AA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C94E9F8" w14:textId="77777777" w:rsidR="006E7AA4" w:rsidRDefault="006E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3D0C" w14:textId="77777777" w:rsidR="000C28DB" w:rsidRDefault="000C28DB" w:rsidP="006E7AA4">
      <w:pPr>
        <w:spacing w:after="0" w:line="240" w:lineRule="auto"/>
      </w:pPr>
      <w:r>
        <w:separator/>
      </w:r>
    </w:p>
  </w:footnote>
  <w:footnote w:type="continuationSeparator" w:id="0">
    <w:p w14:paraId="359F3C49" w14:textId="77777777" w:rsidR="000C28DB" w:rsidRDefault="000C28DB" w:rsidP="006E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E0595"/>
    <w:multiLevelType w:val="hybridMultilevel"/>
    <w:tmpl w:val="CCB8545E"/>
    <w:lvl w:ilvl="0" w:tplc="0809001B">
      <w:start w:val="1"/>
      <w:numFmt w:val="lowerRoman"/>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895957"/>
    <w:multiLevelType w:val="hybridMultilevel"/>
    <w:tmpl w:val="42DA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A7005"/>
    <w:multiLevelType w:val="hybridMultilevel"/>
    <w:tmpl w:val="8492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22637"/>
    <w:multiLevelType w:val="hybridMultilevel"/>
    <w:tmpl w:val="7FAC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D449A"/>
    <w:multiLevelType w:val="hybridMultilevel"/>
    <w:tmpl w:val="360A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0B64CE"/>
    <w:multiLevelType w:val="hybridMultilevel"/>
    <w:tmpl w:val="100E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463314">
    <w:abstractNumId w:val="0"/>
  </w:num>
  <w:num w:numId="2" w16cid:durableId="1286307631">
    <w:abstractNumId w:val="5"/>
  </w:num>
  <w:num w:numId="3" w16cid:durableId="1847792564">
    <w:abstractNumId w:val="1"/>
  </w:num>
  <w:num w:numId="4" w16cid:durableId="1305938054">
    <w:abstractNumId w:val="2"/>
  </w:num>
  <w:num w:numId="5" w16cid:durableId="1638796977">
    <w:abstractNumId w:val="3"/>
  </w:num>
  <w:num w:numId="6" w16cid:durableId="1898514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8C"/>
    <w:rsid w:val="00032184"/>
    <w:rsid w:val="00047662"/>
    <w:rsid w:val="00064012"/>
    <w:rsid w:val="000A7E40"/>
    <w:rsid w:val="000C28DB"/>
    <w:rsid w:val="000E2EB2"/>
    <w:rsid w:val="000F43F4"/>
    <w:rsid w:val="00100D14"/>
    <w:rsid w:val="00107F01"/>
    <w:rsid w:val="001266AC"/>
    <w:rsid w:val="00144121"/>
    <w:rsid w:val="001A4017"/>
    <w:rsid w:val="00315A07"/>
    <w:rsid w:val="00317847"/>
    <w:rsid w:val="00392C6F"/>
    <w:rsid w:val="003D3B82"/>
    <w:rsid w:val="003D4C8A"/>
    <w:rsid w:val="003E6361"/>
    <w:rsid w:val="00425B22"/>
    <w:rsid w:val="00474DCF"/>
    <w:rsid w:val="0047577D"/>
    <w:rsid w:val="00477C72"/>
    <w:rsid w:val="004B4D2D"/>
    <w:rsid w:val="004E63BC"/>
    <w:rsid w:val="004F2393"/>
    <w:rsid w:val="005863D4"/>
    <w:rsid w:val="005D6DC4"/>
    <w:rsid w:val="005E6638"/>
    <w:rsid w:val="00603F9E"/>
    <w:rsid w:val="006201E7"/>
    <w:rsid w:val="006419C0"/>
    <w:rsid w:val="006470DF"/>
    <w:rsid w:val="0068134E"/>
    <w:rsid w:val="00697C13"/>
    <w:rsid w:val="006D7587"/>
    <w:rsid w:val="006E240A"/>
    <w:rsid w:val="006E7AA4"/>
    <w:rsid w:val="007B25CA"/>
    <w:rsid w:val="008044E6"/>
    <w:rsid w:val="008171FC"/>
    <w:rsid w:val="00835C78"/>
    <w:rsid w:val="00861266"/>
    <w:rsid w:val="008850AB"/>
    <w:rsid w:val="00887DCA"/>
    <w:rsid w:val="008C4DAC"/>
    <w:rsid w:val="008C5E0B"/>
    <w:rsid w:val="008D2A36"/>
    <w:rsid w:val="00937238"/>
    <w:rsid w:val="009378E1"/>
    <w:rsid w:val="00986809"/>
    <w:rsid w:val="00986A42"/>
    <w:rsid w:val="009A0300"/>
    <w:rsid w:val="009B599E"/>
    <w:rsid w:val="009D5660"/>
    <w:rsid w:val="00A04743"/>
    <w:rsid w:val="00A05E55"/>
    <w:rsid w:val="00A1512E"/>
    <w:rsid w:val="00A151C2"/>
    <w:rsid w:val="00A34D62"/>
    <w:rsid w:val="00A34F77"/>
    <w:rsid w:val="00A3663D"/>
    <w:rsid w:val="00A633D6"/>
    <w:rsid w:val="00A71B3C"/>
    <w:rsid w:val="00AA5C1F"/>
    <w:rsid w:val="00AA787E"/>
    <w:rsid w:val="00B12E35"/>
    <w:rsid w:val="00B31240"/>
    <w:rsid w:val="00B3426E"/>
    <w:rsid w:val="00B46FB1"/>
    <w:rsid w:val="00B5540E"/>
    <w:rsid w:val="00B76037"/>
    <w:rsid w:val="00BF26F5"/>
    <w:rsid w:val="00C07CDF"/>
    <w:rsid w:val="00C32453"/>
    <w:rsid w:val="00CA148C"/>
    <w:rsid w:val="00CE0A1B"/>
    <w:rsid w:val="00D05172"/>
    <w:rsid w:val="00D06A60"/>
    <w:rsid w:val="00D51AB4"/>
    <w:rsid w:val="00D80F46"/>
    <w:rsid w:val="00D87B71"/>
    <w:rsid w:val="00DE564E"/>
    <w:rsid w:val="00E531EA"/>
    <w:rsid w:val="00E550A0"/>
    <w:rsid w:val="00E6059F"/>
    <w:rsid w:val="00E85627"/>
    <w:rsid w:val="00EA5A4A"/>
    <w:rsid w:val="00F323B9"/>
    <w:rsid w:val="00F45A3F"/>
    <w:rsid w:val="00F47359"/>
    <w:rsid w:val="00F50C8E"/>
    <w:rsid w:val="00F61308"/>
    <w:rsid w:val="00FA5A71"/>
    <w:rsid w:val="00FB3171"/>
    <w:rsid w:val="00FC0FCC"/>
    <w:rsid w:val="00FC29BA"/>
    <w:rsid w:val="00FE316A"/>
    <w:rsid w:val="00FE3EEB"/>
    <w:rsid w:val="00FE6D1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3E52B"/>
  <w15:chartTrackingRefBased/>
  <w15:docId w15:val="{6B7D90EB-616F-4365-90B6-7B2E9522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A1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A14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14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14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1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4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A14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A14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14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14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1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48C"/>
    <w:rPr>
      <w:rFonts w:eastAsiaTheme="majorEastAsia" w:cstheme="majorBidi"/>
      <w:color w:val="272727" w:themeColor="text1" w:themeTint="D8"/>
    </w:rPr>
  </w:style>
  <w:style w:type="paragraph" w:styleId="Title">
    <w:name w:val="Title"/>
    <w:basedOn w:val="Normal"/>
    <w:next w:val="Normal"/>
    <w:link w:val="TitleChar"/>
    <w:uiPriority w:val="10"/>
    <w:qFormat/>
    <w:rsid w:val="00CA1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48C"/>
    <w:pPr>
      <w:spacing w:before="160"/>
      <w:jc w:val="center"/>
    </w:pPr>
    <w:rPr>
      <w:i/>
      <w:iCs/>
      <w:color w:val="404040" w:themeColor="text1" w:themeTint="BF"/>
    </w:rPr>
  </w:style>
  <w:style w:type="character" w:customStyle="1" w:styleId="QuoteChar">
    <w:name w:val="Quote Char"/>
    <w:basedOn w:val="DefaultParagraphFont"/>
    <w:link w:val="Quote"/>
    <w:uiPriority w:val="29"/>
    <w:rsid w:val="00CA148C"/>
    <w:rPr>
      <w:i/>
      <w:iCs/>
      <w:color w:val="404040" w:themeColor="text1" w:themeTint="BF"/>
    </w:rPr>
  </w:style>
  <w:style w:type="paragraph" w:styleId="ListParagraph">
    <w:name w:val="List Paragraph"/>
    <w:basedOn w:val="Normal"/>
    <w:link w:val="ListParagraphChar"/>
    <w:uiPriority w:val="34"/>
    <w:qFormat/>
    <w:rsid w:val="00CA148C"/>
    <w:pPr>
      <w:ind w:left="720"/>
      <w:contextualSpacing/>
    </w:pPr>
  </w:style>
  <w:style w:type="character" w:styleId="IntenseEmphasis">
    <w:name w:val="Intense Emphasis"/>
    <w:basedOn w:val="DefaultParagraphFont"/>
    <w:uiPriority w:val="21"/>
    <w:qFormat/>
    <w:rsid w:val="00CA148C"/>
    <w:rPr>
      <w:i/>
      <w:iCs/>
      <w:color w:val="2F5496" w:themeColor="accent1" w:themeShade="BF"/>
    </w:rPr>
  </w:style>
  <w:style w:type="paragraph" w:styleId="IntenseQuote">
    <w:name w:val="Intense Quote"/>
    <w:basedOn w:val="Normal"/>
    <w:next w:val="Normal"/>
    <w:link w:val="IntenseQuoteChar"/>
    <w:uiPriority w:val="30"/>
    <w:qFormat/>
    <w:rsid w:val="00CA1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148C"/>
    <w:rPr>
      <w:i/>
      <w:iCs/>
      <w:color w:val="2F5496" w:themeColor="accent1" w:themeShade="BF"/>
    </w:rPr>
  </w:style>
  <w:style w:type="character" w:styleId="IntenseReference">
    <w:name w:val="Intense Reference"/>
    <w:basedOn w:val="DefaultParagraphFont"/>
    <w:uiPriority w:val="32"/>
    <w:qFormat/>
    <w:rsid w:val="00CA148C"/>
    <w:rPr>
      <w:b/>
      <w:bCs/>
      <w:smallCaps/>
      <w:color w:val="2F5496" w:themeColor="accent1" w:themeShade="BF"/>
      <w:spacing w:val="5"/>
    </w:rPr>
  </w:style>
  <w:style w:type="paragraph" w:styleId="NormalWeb">
    <w:name w:val="Normal (Web)"/>
    <w:basedOn w:val="Normal"/>
    <w:uiPriority w:val="99"/>
    <w:unhideWhenUsed/>
    <w:qFormat/>
    <w:rsid w:val="00CA14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basedOn w:val="DefaultParagraphFont"/>
    <w:link w:val="ListParagraph"/>
    <w:qFormat/>
    <w:locked/>
    <w:rsid w:val="00047662"/>
  </w:style>
  <w:style w:type="paragraph" w:styleId="TOC3">
    <w:name w:val="toc 3"/>
    <w:basedOn w:val="Normal"/>
    <w:next w:val="Normal"/>
    <w:autoRedefine/>
    <w:uiPriority w:val="39"/>
    <w:unhideWhenUsed/>
    <w:rsid w:val="00CE0A1B"/>
    <w:pPr>
      <w:spacing w:after="100"/>
      <w:ind w:left="440"/>
    </w:pPr>
    <w:rPr>
      <w:lang w:val="en-GB"/>
    </w:rPr>
  </w:style>
  <w:style w:type="paragraph" w:customStyle="1" w:styleId="FIGAX">
    <w:name w:val="FIGAX"/>
    <w:basedOn w:val="Normal"/>
    <w:link w:val="FIGAXChar"/>
    <w:autoRedefine/>
    <w:qFormat/>
    <w:rsid w:val="000F43F4"/>
    <w:pPr>
      <w:jc w:val="center"/>
    </w:pPr>
    <w:rPr>
      <w:rFonts w:ascii="Times" w:hAnsi="Times"/>
      <w:b/>
      <w:sz w:val="24"/>
      <w:lang w:val="en-GB"/>
    </w:rPr>
  </w:style>
  <w:style w:type="character" w:customStyle="1" w:styleId="FIGAXChar">
    <w:name w:val="FIGAX Char"/>
    <w:basedOn w:val="DefaultParagraphFont"/>
    <w:link w:val="FIGAX"/>
    <w:rsid w:val="000F43F4"/>
    <w:rPr>
      <w:rFonts w:ascii="Times" w:hAnsi="Times"/>
      <w:b/>
      <w:sz w:val="24"/>
      <w:lang w:val="en-GB"/>
    </w:rPr>
  </w:style>
  <w:style w:type="paragraph" w:customStyle="1" w:styleId="Default">
    <w:name w:val="Default"/>
    <w:rsid w:val="00CE0A1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Tablez">
    <w:name w:val="Tablez"/>
    <w:basedOn w:val="Normal"/>
    <w:link w:val="TablezChar"/>
    <w:autoRedefine/>
    <w:qFormat/>
    <w:rsid w:val="00CE0A1B"/>
    <w:rPr>
      <w:rFonts w:ascii="Times" w:hAnsi="Times"/>
      <w:b/>
      <w:sz w:val="24"/>
      <w:lang w:val="en-GB"/>
    </w:rPr>
  </w:style>
  <w:style w:type="character" w:customStyle="1" w:styleId="TablezChar">
    <w:name w:val="Tablez Char"/>
    <w:basedOn w:val="DefaultParagraphFont"/>
    <w:link w:val="Tablez"/>
    <w:rsid w:val="00CE0A1B"/>
    <w:rPr>
      <w:rFonts w:ascii="Times" w:hAnsi="Times"/>
      <w:b/>
      <w:sz w:val="24"/>
      <w:lang w:val="en-GB"/>
    </w:rPr>
  </w:style>
  <w:style w:type="paragraph" w:styleId="Header">
    <w:name w:val="header"/>
    <w:basedOn w:val="Normal"/>
    <w:link w:val="HeaderChar"/>
    <w:uiPriority w:val="99"/>
    <w:unhideWhenUsed/>
    <w:rsid w:val="006E7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AA4"/>
  </w:style>
  <w:style w:type="paragraph" w:styleId="Footer">
    <w:name w:val="footer"/>
    <w:basedOn w:val="Normal"/>
    <w:link w:val="FooterChar"/>
    <w:uiPriority w:val="99"/>
    <w:unhideWhenUsed/>
    <w:rsid w:val="006E7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AA4"/>
  </w:style>
  <w:style w:type="character" w:styleId="Hyperlink">
    <w:name w:val="Hyperlink"/>
    <w:basedOn w:val="DefaultParagraphFont"/>
    <w:uiPriority w:val="99"/>
    <w:unhideWhenUsed/>
    <w:rsid w:val="00AA787E"/>
    <w:rPr>
      <w:color w:val="0563C1" w:themeColor="hyperlink"/>
      <w:u w:val="single"/>
    </w:rPr>
  </w:style>
  <w:style w:type="character" w:styleId="UnresolvedMention">
    <w:name w:val="Unresolved Mention"/>
    <w:basedOn w:val="DefaultParagraphFont"/>
    <w:uiPriority w:val="99"/>
    <w:semiHidden/>
    <w:unhideWhenUsed/>
    <w:rsid w:val="00AA7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kunzumwalim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6561-A29D-40F7-9938-B5889744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13</Pages>
  <Words>7337</Words>
  <Characters>41823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92</cp:revision>
  <dcterms:created xsi:type="dcterms:W3CDTF">2026-06-24T18:56:00Z</dcterms:created>
  <dcterms:modified xsi:type="dcterms:W3CDTF">2026-07-07T15:34:00Z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a9185ac6-13e5-4571-bd01-b017135ed7da</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4a543ad4-0044-3faa-b38a-22f600a2111f</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18th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 (in-text citations)</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