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787" w:rsidRDefault="00193236" w:rsidP="00193236">
      <w:pPr>
        <w:jc w:val="both"/>
        <w:rPr>
          <w:lang w:val="en-GB"/>
        </w:rPr>
      </w:pPr>
      <w:r w:rsidRPr="00193236">
        <w:rPr>
          <w:rFonts w:ascii="Times New Roman" w:eastAsia="Times New Roman" w:hAnsi="Times New Roman" w:cs="Times New Roman"/>
          <w:b/>
          <w:iCs/>
          <w:sz w:val="32"/>
          <w:szCs w:val="32"/>
        </w:rPr>
        <w:t>The Impact of T</w:t>
      </w:r>
      <w:r>
        <w:rPr>
          <w:rFonts w:ascii="Times New Roman" w:eastAsia="Times New Roman" w:hAnsi="Times New Roman" w:cs="Times New Roman"/>
          <w:b/>
          <w:iCs/>
          <w:sz w:val="32"/>
          <w:szCs w:val="32"/>
        </w:rPr>
        <w:t xml:space="preserve">otal </w:t>
      </w:r>
      <w:r w:rsidRPr="00193236">
        <w:rPr>
          <w:rFonts w:ascii="Times New Roman" w:eastAsia="Times New Roman" w:hAnsi="Times New Roman" w:cs="Times New Roman"/>
          <w:b/>
          <w:iCs/>
          <w:sz w:val="32"/>
          <w:szCs w:val="32"/>
        </w:rPr>
        <w:t>Q</w:t>
      </w:r>
      <w:r>
        <w:rPr>
          <w:rFonts w:ascii="Times New Roman" w:eastAsia="Times New Roman" w:hAnsi="Times New Roman" w:cs="Times New Roman"/>
          <w:b/>
          <w:iCs/>
          <w:sz w:val="32"/>
          <w:szCs w:val="32"/>
        </w:rPr>
        <w:t xml:space="preserve">uality </w:t>
      </w:r>
      <w:r w:rsidRPr="00193236">
        <w:rPr>
          <w:rFonts w:ascii="Times New Roman" w:eastAsia="Times New Roman" w:hAnsi="Times New Roman" w:cs="Times New Roman"/>
          <w:b/>
          <w:iCs/>
          <w:sz w:val="32"/>
          <w:szCs w:val="32"/>
        </w:rPr>
        <w:t>M</w:t>
      </w:r>
      <w:r>
        <w:rPr>
          <w:rFonts w:ascii="Times New Roman" w:eastAsia="Times New Roman" w:hAnsi="Times New Roman" w:cs="Times New Roman"/>
          <w:b/>
          <w:iCs/>
          <w:sz w:val="32"/>
          <w:szCs w:val="32"/>
        </w:rPr>
        <w:t>anagement</w:t>
      </w:r>
      <w:r w:rsidRPr="00193236">
        <w:rPr>
          <w:rFonts w:ascii="Times New Roman" w:eastAsia="Times New Roman" w:hAnsi="Times New Roman" w:cs="Times New Roman"/>
          <w:b/>
          <w:iCs/>
          <w:sz w:val="32"/>
          <w:szCs w:val="32"/>
        </w:rPr>
        <w:t xml:space="preserve"> Practices and Flexibility Performance on Non-Financial Organisational Performance: Evidenc</w:t>
      </w:r>
      <w:r>
        <w:rPr>
          <w:rFonts w:ascii="Times New Roman" w:eastAsia="Times New Roman" w:hAnsi="Times New Roman" w:cs="Times New Roman"/>
          <w:b/>
          <w:iCs/>
          <w:sz w:val="32"/>
          <w:szCs w:val="32"/>
        </w:rPr>
        <w:t>e from Zambia’s Service Sector.</w:t>
      </w:r>
    </w:p>
    <w:p w:rsidR="00263787" w:rsidRDefault="00263787" w:rsidP="00263787">
      <w:pPr>
        <w:rPr>
          <w:lang w:val="en-GB"/>
        </w:rPr>
      </w:pPr>
    </w:p>
    <w:p w:rsidR="00263787" w:rsidRDefault="00263787" w:rsidP="00263787">
      <w:pPr>
        <w:rPr>
          <w:lang w:val="en-GB"/>
        </w:rPr>
      </w:pPr>
    </w:p>
    <w:p w:rsidR="00263787" w:rsidRPr="0001668F" w:rsidRDefault="00263787" w:rsidP="00263787">
      <w:pPr>
        <w:jc w:val="center"/>
        <w:rPr>
          <w:rFonts w:ascii="Times New Roman" w:hAnsi="Times New Roman" w:cs="Times New Roman"/>
          <w:sz w:val="24"/>
          <w:szCs w:val="24"/>
          <w:vertAlign w:val="superscript"/>
          <w:lang w:val="en-GB"/>
        </w:rPr>
      </w:pPr>
      <w:r w:rsidRPr="00D87981">
        <w:rPr>
          <w:rFonts w:ascii="Times New Roman" w:hAnsi="Times New Roman" w:cs="Times New Roman"/>
          <w:sz w:val="24"/>
          <w:szCs w:val="24"/>
          <w:lang w:val="en-GB"/>
        </w:rPr>
        <w:t/>
      </w:r>
      <w:r>
        <w:rPr>
          <w:rFonts w:ascii="Times New Roman" w:hAnsi="Times New Roman" w:cs="Times New Roman"/>
          <w:sz w:val="24"/>
          <w:szCs w:val="24"/>
          <w:lang w:val="en-GB"/>
        </w:rPr>
        <w:t/>
      </w:r>
      <w:r w:rsidRPr="00D87981">
        <w:rPr>
          <w:rFonts w:ascii="Times New Roman" w:hAnsi="Times New Roman" w:cs="Times New Roman"/>
          <w:sz w:val="24"/>
          <w:szCs w:val="24"/>
          <w:lang w:val="en-GB"/>
        </w:rPr>
        <w:t xml:space="preserve"/>
      </w:r>
      <w:r>
        <w:rPr>
          <w:rFonts w:ascii="Times New Roman" w:hAnsi="Times New Roman" w:cs="Times New Roman"/>
          <w:sz w:val="24"/>
          <w:szCs w:val="24"/>
          <w:vertAlign w:val="superscript"/>
          <w:lang w:val="en-GB"/>
        </w:rPr>
        <w:t/>
      </w:r>
    </w:p>
    <w:p w:rsidR="00263787" w:rsidRPr="00D87981" w:rsidRDefault="00263787" w:rsidP="00263787">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r>
      <w:r w:rsidRPr="00D87981">
        <w:rPr>
          <w:rFonts w:ascii="Times New Roman" w:hAnsi="Times New Roman" w:cs="Times New Roman"/>
          <w:sz w:val="24"/>
          <w:szCs w:val="24"/>
          <w:lang w:val="en-GB"/>
        </w:rPr>
        <w:t/>
      </w:r>
    </w:p>
    <w:p w:rsidR="00263787" w:rsidRPr="00D87981" w:rsidRDefault="001B23E3" w:rsidP="00263787">
      <w:pPr>
        <w:jc w:val="center"/>
        <w:rPr>
          <w:rFonts w:ascii="Times New Roman" w:hAnsi="Times New Roman" w:cs="Times New Roman"/>
          <w:sz w:val="24"/>
          <w:szCs w:val="24"/>
          <w:lang w:val="en-GB"/>
        </w:rPr>
      </w:pPr>
      <w:hyperlink r:id="rId5" w:history="1">
        <w:r w:rsidR="00263787" w:rsidRPr="00D87981">
          <w:rPr>
            <w:rStyle w:val="Hyperlink"/>
            <w:rFonts w:ascii="Times New Roman" w:hAnsi="Times New Roman" w:cs="Times New Roman"/>
            <w:sz w:val="24"/>
            <w:szCs w:val="24"/>
            <w:lang w:val="en-GB"/>
          </w:rPr>
          <w:t/>
        </w:r>
      </w:hyperlink>
    </w:p>
    <w:p w:rsidR="00263787" w:rsidRDefault="00263787" w:rsidP="00263787">
      <w:pPr>
        <w:jc w:val="center"/>
        <w:rPr>
          <w:rFonts w:ascii="Times New Roman" w:hAnsi="Times New Roman" w:cs="Times New Roman"/>
          <w:sz w:val="24"/>
          <w:szCs w:val="24"/>
          <w:lang w:val="en-GB"/>
        </w:rPr>
      </w:pPr>
    </w:p>
    <w:p w:rsidR="00263787" w:rsidRDefault="00263787" w:rsidP="00263787">
      <w:pPr>
        <w:jc w:val="center"/>
        <w:rPr>
          <w:rFonts w:ascii="Times New Roman" w:hAnsi="Times New Roman" w:cs="Times New Roman"/>
          <w:sz w:val="24"/>
          <w:szCs w:val="24"/>
          <w:lang w:val="en-GB"/>
        </w:rPr>
      </w:pPr>
    </w:p>
    <w:p w:rsidR="00263787" w:rsidRPr="0001668F" w:rsidRDefault="00263787" w:rsidP="00263787">
      <w:pPr>
        <w:jc w:val="center"/>
        <w:rPr>
          <w:rFonts w:ascii="Times New Roman" w:hAnsi="Times New Roman" w:cs="Times New Roman"/>
          <w:sz w:val="24"/>
          <w:szCs w:val="24"/>
          <w:vertAlign w:val="superscript"/>
          <w:lang w:val="en-GB"/>
        </w:rPr>
      </w:pPr>
      <w:r w:rsidRPr="00D87981">
        <w:rPr>
          <w:rFonts w:ascii="Times New Roman" w:hAnsi="Times New Roman" w:cs="Times New Roman"/>
          <w:sz w:val="24"/>
          <w:szCs w:val="24"/>
          <w:lang w:val="en-GB"/>
        </w:rPr>
        <w:t/>
      </w:r>
      <w:r>
        <w:rPr>
          <w:rFonts w:ascii="Times New Roman" w:hAnsi="Times New Roman" w:cs="Times New Roman"/>
          <w:sz w:val="24"/>
          <w:szCs w:val="24"/>
          <w:vertAlign w:val="superscript"/>
          <w:lang w:val="en-GB"/>
        </w:rPr>
        <w:t/>
      </w:r>
    </w:p>
    <w:p w:rsidR="00263787" w:rsidRDefault="00263787" w:rsidP="00263787">
      <w:pPr>
        <w:jc w:val="center"/>
        <w:rPr>
          <w:rFonts w:ascii="Times New Roman" w:hAnsi="Times New Roman" w:cs="Times New Roman"/>
          <w:sz w:val="24"/>
          <w:szCs w:val="24"/>
          <w:lang w:val="en-GB"/>
        </w:rPr>
      </w:pPr>
      <w:r w:rsidRPr="00D87981">
        <w:rPr>
          <w:rFonts w:ascii="Times New Roman" w:hAnsi="Times New Roman" w:cs="Times New Roman"/>
          <w:sz w:val="24"/>
          <w:szCs w:val="24"/>
          <w:lang w:val="en-GB"/>
        </w:rPr>
        <w:t xml:space="preserve"/>
      </w:r>
      <w:r w:rsidR="00193236">
        <w:rPr>
          <w:rFonts w:ascii="Times New Roman" w:hAnsi="Times New Roman" w:cs="Times New Roman"/>
          <w:sz w:val="24"/>
          <w:szCs w:val="24"/>
          <w:lang w:val="en-GB"/>
        </w:rPr>
        <w:t/>
      </w:r>
      <w:r w:rsidRPr="00D87981">
        <w:rPr>
          <w:rFonts w:ascii="Times New Roman" w:hAnsi="Times New Roman" w:cs="Times New Roman"/>
          <w:sz w:val="24"/>
          <w:szCs w:val="24"/>
          <w:lang w:val="en-GB"/>
        </w:rPr>
        <w:t/>
      </w:r>
    </w:p>
    <w:p w:rsidR="00263787" w:rsidRPr="00D87981" w:rsidRDefault="001B23E3" w:rsidP="00263787">
      <w:pPr>
        <w:jc w:val="center"/>
        <w:rPr>
          <w:rFonts w:ascii="Times New Roman" w:hAnsi="Times New Roman" w:cs="Times New Roman"/>
          <w:sz w:val="24"/>
          <w:szCs w:val="24"/>
          <w:lang w:val="en-GB"/>
        </w:rPr>
      </w:pPr>
      <w:hyperlink r:id="rId6" w:history="1">
        <w:r w:rsidR="00263787" w:rsidRPr="00C1464D">
          <w:rPr>
            <w:rStyle w:val="Hyperlink"/>
            <w:rFonts w:ascii="Times New Roman" w:hAnsi="Times New Roman" w:cs="Times New Roman"/>
            <w:sz w:val="24"/>
            <w:szCs w:val="24"/>
            <w:lang w:val="en-GB"/>
          </w:rPr>
          <w:t/>
        </w:r>
      </w:hyperlink>
      <w:r w:rsidR="00263787">
        <w:rPr>
          <w:rFonts w:ascii="Times New Roman" w:hAnsi="Times New Roman" w:cs="Times New Roman"/>
          <w:sz w:val="24"/>
          <w:szCs w:val="24"/>
          <w:lang w:val="en-GB"/>
        </w:rPr>
        <w:t xml:space="preserve"/>
      </w:r>
    </w:p>
    <w:p w:rsidR="00263787" w:rsidRDefault="00263787" w:rsidP="00263787">
      <w:pPr>
        <w:rPr>
          <w:rFonts w:ascii="Times New Roman" w:hAnsi="Times New Roman" w:cs="Times New Roman"/>
          <w:sz w:val="24"/>
          <w:szCs w:val="24"/>
          <w:lang w:val="en-GB"/>
        </w:rPr>
      </w:pPr>
    </w:p>
    <w:p w:rsidR="00263787" w:rsidRPr="00D87981" w:rsidRDefault="00263787" w:rsidP="00263787">
      <w:pPr>
        <w:jc w:val="center"/>
        <w:rPr>
          <w:rFonts w:ascii="Times New Roman" w:hAnsi="Times New Roman" w:cs="Times New Roman"/>
          <w:sz w:val="24"/>
          <w:szCs w:val="24"/>
          <w:lang w:val="en-GB"/>
        </w:rPr>
      </w:pPr>
    </w:p>
    <w:p w:rsidR="00263787" w:rsidRPr="00D87981" w:rsidRDefault="00263787" w:rsidP="00263787">
      <w:pPr>
        <w:jc w:val="center"/>
        <w:rPr>
          <w:rFonts w:ascii="Times New Roman" w:hAnsi="Times New Roman" w:cs="Times New Roman"/>
          <w:sz w:val="24"/>
          <w:szCs w:val="24"/>
          <w:lang w:val="en-GB"/>
        </w:rPr>
      </w:pPr>
    </w:p>
    <w:p w:rsidR="00263787" w:rsidRPr="0001668F" w:rsidRDefault="00263787" w:rsidP="00263787">
      <w:pPr>
        <w:jc w:val="center"/>
        <w:rPr>
          <w:rFonts w:ascii="Times New Roman" w:hAnsi="Times New Roman" w:cs="Times New Roman"/>
          <w:sz w:val="24"/>
          <w:szCs w:val="24"/>
          <w:vertAlign w:val="superscript"/>
          <w:lang w:val="en-GB"/>
        </w:rPr>
      </w:pPr>
      <w:r w:rsidRPr="00D87981">
        <w:rPr>
          <w:rFonts w:ascii="Times New Roman" w:hAnsi="Times New Roman" w:cs="Times New Roman"/>
          <w:sz w:val="24"/>
          <w:szCs w:val="24"/>
          <w:lang w:val="en-GB"/>
        </w:rPr>
        <w:t/>
      </w:r>
      <w:r>
        <w:rPr>
          <w:rFonts w:ascii="Times New Roman" w:hAnsi="Times New Roman" w:cs="Times New Roman"/>
          <w:sz w:val="24"/>
          <w:szCs w:val="24"/>
          <w:vertAlign w:val="superscript"/>
          <w:lang w:val="en-GB"/>
        </w:rPr>
        <w:t/>
      </w:r>
    </w:p>
    <w:p w:rsidR="00263787" w:rsidRDefault="00263787" w:rsidP="00263787">
      <w:pPr>
        <w:jc w:val="center"/>
        <w:rPr>
          <w:rFonts w:ascii="Times New Roman" w:hAnsi="Times New Roman" w:cs="Times New Roman"/>
          <w:sz w:val="24"/>
          <w:szCs w:val="24"/>
          <w:lang w:val="en-GB"/>
        </w:rPr>
      </w:pPr>
      <w:r w:rsidRPr="00D87981">
        <w:rPr>
          <w:rFonts w:ascii="Times New Roman" w:hAnsi="Times New Roman" w:cs="Times New Roman"/>
          <w:sz w:val="24"/>
          <w:szCs w:val="24"/>
          <w:lang w:val="en-GB"/>
        </w:rPr>
        <w:t/>
      </w:r>
      <w:r w:rsidR="00193236">
        <w:rPr>
          <w:rFonts w:ascii="Times New Roman" w:hAnsi="Times New Roman" w:cs="Times New Roman"/>
          <w:sz w:val="24"/>
          <w:szCs w:val="24"/>
          <w:lang w:val="en-GB"/>
        </w:rPr>
        <w:t xml:space="preserve"/>
      </w:r>
      <w:r w:rsidRPr="00D87981">
        <w:rPr>
          <w:rFonts w:ascii="Times New Roman" w:hAnsi="Times New Roman" w:cs="Times New Roman"/>
          <w:sz w:val="24"/>
          <w:szCs w:val="24"/>
          <w:lang w:val="en-GB"/>
        </w:rPr>
        <w:t xml:space="preserve"/>
      </w:r>
    </w:p>
    <w:p w:rsidR="00263787" w:rsidRDefault="001B23E3" w:rsidP="00263787">
      <w:pPr>
        <w:jc w:val="center"/>
        <w:rPr>
          <w:rFonts w:ascii="Times New Roman" w:hAnsi="Times New Roman" w:cs="Times New Roman"/>
          <w:sz w:val="24"/>
          <w:szCs w:val="24"/>
          <w:lang w:val="en-GB"/>
        </w:rPr>
      </w:pPr>
      <w:hyperlink r:id="rId7" w:history="1">
        <w:r w:rsidR="00263787" w:rsidRPr="00062E88">
          <w:rPr>
            <w:rStyle w:val="Hyperlink"/>
            <w:rFonts w:ascii="Times New Roman" w:hAnsi="Times New Roman" w:cs="Times New Roman"/>
            <w:sz w:val="24"/>
            <w:szCs w:val="24"/>
            <w:lang w:val="en-GB"/>
          </w:rPr>
          <w:t/>
        </w:r>
      </w:hyperlink>
      <w:r w:rsidR="00263787">
        <w:rPr>
          <w:rFonts w:ascii="Times New Roman" w:hAnsi="Times New Roman" w:cs="Times New Roman"/>
          <w:sz w:val="24"/>
          <w:szCs w:val="24"/>
          <w:lang w:val="en-GB"/>
        </w:rPr>
        <w:t xml:space="preserve"/>
      </w:r>
    </w:p>
    <w:p w:rsidR="00263787" w:rsidRPr="00D87981" w:rsidRDefault="00263787" w:rsidP="00263787">
      <w:pPr>
        <w:rPr>
          <w:rFonts w:ascii="Times New Roman" w:hAnsi="Times New Roman" w:cs="Times New Roman"/>
          <w:sz w:val="24"/>
          <w:szCs w:val="24"/>
          <w:lang w:val="en-GB"/>
        </w:rPr>
      </w:pPr>
    </w:p>
    <w:p w:rsidR="00263787" w:rsidRDefault="00263787" w:rsidP="00263787">
      <w:pPr>
        <w:rPr>
          <w:rFonts w:ascii="Times New Roman" w:hAnsi="Times New Roman" w:cs="Times New Roman"/>
          <w:sz w:val="24"/>
          <w:szCs w:val="24"/>
          <w:lang w:val="en-GB"/>
        </w:rPr>
      </w:pPr>
    </w:p>
    <w:p w:rsidR="00263787" w:rsidRDefault="00263787" w:rsidP="00263787">
      <w:pPr>
        <w:rPr>
          <w:rFonts w:ascii="Times New Roman" w:hAnsi="Times New Roman" w:cs="Times New Roman"/>
          <w:sz w:val="24"/>
          <w:szCs w:val="24"/>
          <w:lang w:val="en-GB"/>
        </w:rPr>
      </w:pPr>
    </w:p>
    <w:p w:rsidR="00263787" w:rsidRDefault="00263787" w:rsidP="00263787">
      <w:pPr>
        <w:rPr>
          <w:rFonts w:ascii="Times New Roman" w:hAnsi="Times New Roman" w:cs="Times New Roman"/>
          <w:sz w:val="24"/>
          <w:szCs w:val="24"/>
          <w:lang w:val="en-GB"/>
        </w:rPr>
      </w:pPr>
    </w:p>
    <w:p w:rsidR="00263787" w:rsidRDefault="00263787" w:rsidP="00263787">
      <w:pPr>
        <w:rPr>
          <w:rFonts w:ascii="Times New Roman" w:hAnsi="Times New Roman" w:cs="Times New Roman"/>
          <w:sz w:val="24"/>
          <w:szCs w:val="24"/>
          <w:lang w:val="en-GB"/>
        </w:rPr>
      </w:pPr>
    </w:p>
    <w:p w:rsidR="00263787" w:rsidRDefault="00263787" w:rsidP="00263787">
      <w:pPr>
        <w:rPr>
          <w:rFonts w:ascii="Times New Roman" w:hAnsi="Times New Roman" w:cs="Times New Roman"/>
          <w:sz w:val="24"/>
          <w:szCs w:val="24"/>
          <w:lang w:val="en-GB"/>
        </w:rPr>
      </w:pPr>
    </w:p>
    <w:p w:rsidR="00263787" w:rsidRDefault="00263787" w:rsidP="00152545">
      <w:pPr>
        <w:rPr>
          <w:rFonts w:ascii="Times New Roman" w:hAnsi="Times New Roman" w:cs="Times New Roman"/>
          <w:b/>
          <w:sz w:val="24"/>
          <w:szCs w:val="24"/>
          <w:lang w:val="en-GB"/>
        </w:rPr>
      </w:pPr>
      <w:r w:rsidRPr="0001668F">
        <w:rPr>
          <w:rFonts w:ascii="Times New Roman" w:hAnsi="Times New Roman" w:cs="Times New Roman"/>
          <w:b/>
          <w:sz w:val="24"/>
          <w:szCs w:val="24"/>
          <w:lang w:val="en-GB"/>
        </w:rPr>
        <w:t/>
      </w:r>
      <w:r w:rsidR="00037D1F">
        <w:rPr>
          <w:rFonts w:ascii="Times New Roman" w:hAnsi="Times New Roman" w:cs="Times New Roman"/>
          <w:b/>
          <w:sz w:val="24"/>
          <w:szCs w:val="24"/>
          <w:lang w:val="en-GB"/>
        </w:rPr>
        <w:t/>
      </w:r>
      <w:r w:rsidRPr="0001668F">
        <w:rPr>
          <w:rFonts w:ascii="Times New Roman" w:hAnsi="Times New Roman" w:cs="Times New Roman"/>
          <w:b/>
          <w:sz w:val="24"/>
          <w:szCs w:val="24"/>
          <w:lang w:val="en-GB"/>
        </w:rPr>
        <w:t/>
      </w:r>
    </w:p>
    <w:p w:rsidR="001B23E3" w:rsidRDefault="001B23E3" w:rsidP="00152545">
      <w:pPr>
        <w:rPr>
          <w:rFonts w:ascii="Times New Roman" w:hAnsi="Times New Roman" w:cs="Times New Roman"/>
          <w:b/>
          <w:sz w:val="24"/>
          <w:szCs w:val="24"/>
          <w:lang w:val="en-GB"/>
        </w:rPr>
      </w:pPr>
    </w:p>
    <w:p w:rsidR="001B23E3" w:rsidRPr="00152545" w:rsidRDefault="001B23E3" w:rsidP="00152545">
      <w:pPr>
        <w:rPr>
          <w:rFonts w:ascii="Times New Roman" w:hAnsi="Times New Roman" w:cs="Times New Roman"/>
          <w:b/>
          <w:sz w:val="24"/>
          <w:szCs w:val="24"/>
          <w:lang w:val="en-GB"/>
        </w:rPr>
      </w:pPr>
    </w:p>
    <w:p w:rsidR="00C00497" w:rsidRPr="006C7918" w:rsidRDefault="00401AF8" w:rsidP="006C7918">
      <w:pPr>
        <w:spacing w:before="100" w:beforeAutospacing="1" w:after="100" w:afterAutospacing="1" w:line="360" w:lineRule="auto"/>
        <w:jc w:val="center"/>
        <w:rPr>
          <w:rFonts w:ascii="Times New Roman" w:eastAsia="Times New Roman" w:hAnsi="Times New Roman" w:cs="Times New Roman"/>
          <w:sz w:val="32"/>
          <w:szCs w:val="32"/>
        </w:rPr>
      </w:pPr>
      <w:r w:rsidRPr="006C7918">
        <w:rPr>
          <w:rFonts w:ascii="Times New Roman" w:eastAsia="Times New Roman" w:hAnsi="Times New Roman" w:cs="Times New Roman"/>
          <w:b/>
          <w:bCs/>
          <w:sz w:val="32"/>
          <w:szCs w:val="32"/>
        </w:rPr>
        <w:lastRenderedPageBreak/>
        <w:t>ABSTRACT</w:t>
      </w:r>
    </w:p>
    <w:p w:rsidR="00EE384F" w:rsidRDefault="00EE384F" w:rsidP="00EE384F">
      <w:pPr>
        <w:pStyle w:val="NormalWeb"/>
        <w:spacing w:line="360" w:lineRule="auto"/>
        <w:jc w:val="both"/>
      </w:pPr>
      <w:r>
        <w:t>This study investigates the association between Total Quality Management (TQM) practices specifically top management commitment and employee involvement and flexibility performance, and further examines how flexibility performance relates to non</w:t>
      </w:r>
      <w:r>
        <w:noBreakHyphen/>
        <w:t xml:space="preserve">financial organisational outcomes in Zambia’s </w:t>
      </w:r>
      <w:r w:rsidR="00186C96">
        <w:t>Service Sector</w:t>
      </w:r>
      <w:r>
        <w:t>.</w:t>
      </w:r>
    </w:p>
    <w:p w:rsidR="00EE384F" w:rsidRDefault="00EE384F" w:rsidP="00EE384F">
      <w:pPr>
        <w:pStyle w:val="NormalWeb"/>
        <w:spacing w:line="360" w:lineRule="auto"/>
        <w:jc w:val="both"/>
      </w:pPr>
      <w:r>
        <w:t>A quantitative, cross</w:t>
      </w:r>
      <w:r>
        <w:noBreakHyphen/>
        <w:t>sectional design was employed, with data collected from 240 service organisations across hospitality, wholesale and retail</w:t>
      </w:r>
      <w:r w:rsidR="00186C96">
        <w:t xml:space="preserve"> trade</w:t>
      </w:r>
      <w:r>
        <w:t>, financial, and energy sub</w:t>
      </w:r>
      <w:r>
        <w:noBreakHyphen/>
        <w:t>sectors. Partial Least Squares Structural Equation Modelling (PLS</w:t>
      </w:r>
      <w:r>
        <w:noBreakHyphen/>
        <w:t>SEM) was used to validate the measurement and structural models, with reliability and validity confirmed through composite reliability, Average Variance Extracted (AVE), and discriminant validity tests.</w:t>
      </w:r>
    </w:p>
    <w:p w:rsidR="00EE384F" w:rsidRDefault="00EE384F" w:rsidP="00EE384F">
      <w:pPr>
        <w:pStyle w:val="NormalWeb"/>
        <w:spacing w:line="360" w:lineRule="auto"/>
        <w:jc w:val="both"/>
      </w:pPr>
      <w:r>
        <w:t>Results suggest that leadership commitment and employee involvement are positively associated with flexibility performance, which in turn shows a strong relationship with non</w:t>
      </w:r>
      <w:r>
        <w:noBreakHyphen/>
        <w:t xml:space="preserve">financial outcomes such as customer satisfaction, employee morale, and continuous improvement. </w:t>
      </w:r>
      <w:r w:rsidRPr="00EE384F">
        <w:t>As a cross</w:t>
      </w:r>
      <w:r w:rsidRPr="00EE384F">
        <w:noBreakHyphen/>
        <w:t>sectional study, the findings are limited to associations observed at a single point in time, and future longitudinal research is recommended to establish temporal dynamics.</w:t>
      </w:r>
    </w:p>
    <w:p w:rsidR="00EE384F" w:rsidRDefault="00EE384F" w:rsidP="00EE384F">
      <w:pPr>
        <w:pStyle w:val="NormalWeb"/>
        <w:spacing w:line="360" w:lineRule="auto"/>
        <w:jc w:val="both"/>
      </w:pPr>
      <w:r>
        <w:t>This research advances TQM literature by empirically validating the mediating role of flexibility performance, contributes contextually by providing evidence from Zambia’s under</w:t>
      </w:r>
      <w:r>
        <w:noBreakHyphen/>
        <w:t xml:space="preserve">researched </w:t>
      </w:r>
      <w:r w:rsidR="00186C96">
        <w:t>Service Sector</w:t>
      </w:r>
      <w:r>
        <w:t>, and offers practical insights for managers seeking to strengthen organisational agility and sustainable non</w:t>
      </w:r>
      <w:r>
        <w:noBreakHyphen/>
        <w:t>financial performance.</w:t>
      </w:r>
    </w:p>
    <w:p w:rsidR="00C00497" w:rsidRPr="00A33EB4" w:rsidRDefault="00C00497" w:rsidP="00EE384F">
      <w:pPr>
        <w:spacing w:before="100" w:beforeAutospacing="1" w:after="100" w:afterAutospacing="1" w:line="360" w:lineRule="auto"/>
        <w:jc w:val="both"/>
        <w:rPr>
          <w:rFonts w:ascii="Times New Roman" w:eastAsia="Times New Roman" w:hAnsi="Times New Roman" w:cs="Times New Roman"/>
          <w:sz w:val="24"/>
          <w:szCs w:val="24"/>
        </w:rPr>
      </w:pPr>
      <w:r w:rsidRPr="00A33EB4">
        <w:rPr>
          <w:rFonts w:ascii="Times New Roman" w:eastAsia="Times New Roman" w:hAnsi="Times New Roman" w:cs="Times New Roman"/>
          <w:b/>
          <w:bCs/>
          <w:sz w:val="24"/>
          <w:szCs w:val="24"/>
        </w:rPr>
        <w:t>Keywords:</w:t>
      </w:r>
      <w:r w:rsidRPr="00A33EB4">
        <w:rPr>
          <w:rFonts w:ascii="Times New Roman" w:eastAsia="Times New Roman" w:hAnsi="Times New Roman" w:cs="Times New Roman"/>
          <w:sz w:val="24"/>
          <w:szCs w:val="24"/>
        </w:rPr>
        <w:t xml:space="preserve"> </w:t>
      </w:r>
      <w:r w:rsidRPr="00A33EB4">
        <w:rPr>
          <w:rFonts w:ascii="Times New Roman" w:eastAsia="Times New Roman" w:hAnsi="Times New Roman" w:cs="Times New Roman"/>
          <w:i/>
          <w:sz w:val="24"/>
          <w:szCs w:val="24"/>
        </w:rPr>
        <w:t>Total Quality Management (TQM), Flexibility Performance, Non-Financial Organisational Performance, Leadership Commitment, Employee Involvement</w:t>
      </w:r>
      <w:r w:rsidR="006C7918" w:rsidRPr="00A33EB4">
        <w:rPr>
          <w:rFonts w:ascii="Times New Roman" w:eastAsia="Times New Roman" w:hAnsi="Times New Roman" w:cs="Times New Roman"/>
          <w:i/>
          <w:sz w:val="24"/>
          <w:szCs w:val="24"/>
        </w:rPr>
        <w:t>.</w:t>
      </w:r>
    </w:p>
    <w:p w:rsidR="00037D1F" w:rsidRPr="00A33EB4" w:rsidRDefault="00037D1F" w:rsidP="00401AF8">
      <w:pPr>
        <w:spacing w:before="100" w:beforeAutospacing="1" w:after="100" w:afterAutospacing="1" w:line="360" w:lineRule="auto"/>
        <w:jc w:val="both"/>
        <w:rPr>
          <w:rFonts w:ascii="Times New Roman" w:eastAsia="Times New Roman" w:hAnsi="Times New Roman" w:cs="Times New Roman"/>
          <w:b/>
          <w:bCs/>
          <w:sz w:val="24"/>
          <w:szCs w:val="24"/>
        </w:rPr>
      </w:pPr>
    </w:p>
    <w:p w:rsidR="00037D1F" w:rsidRPr="00A33EB4" w:rsidRDefault="00037D1F" w:rsidP="00401AF8">
      <w:pPr>
        <w:spacing w:before="100" w:beforeAutospacing="1" w:after="100" w:afterAutospacing="1" w:line="360" w:lineRule="auto"/>
        <w:jc w:val="both"/>
        <w:rPr>
          <w:rFonts w:ascii="Times New Roman" w:eastAsia="Times New Roman" w:hAnsi="Times New Roman" w:cs="Times New Roman"/>
          <w:b/>
          <w:bCs/>
          <w:sz w:val="24"/>
          <w:szCs w:val="24"/>
        </w:rPr>
      </w:pPr>
    </w:p>
    <w:p w:rsidR="00037D1F" w:rsidRDefault="00037D1F" w:rsidP="00401AF8">
      <w:pPr>
        <w:spacing w:before="100" w:beforeAutospacing="1" w:after="100" w:afterAutospacing="1" w:line="360" w:lineRule="auto"/>
        <w:jc w:val="both"/>
        <w:rPr>
          <w:rFonts w:ascii="Times New Roman" w:eastAsia="Times New Roman" w:hAnsi="Times New Roman" w:cs="Times New Roman"/>
          <w:b/>
          <w:bCs/>
          <w:sz w:val="24"/>
          <w:szCs w:val="24"/>
        </w:rPr>
      </w:pPr>
      <w:bookmarkStart w:id="0" w:name="_GoBack"/>
      <w:bookmarkEnd w:id="0"/>
    </w:p>
    <w:p w:rsidR="00EE384F" w:rsidRPr="00A33EB4" w:rsidRDefault="00EE384F" w:rsidP="00401AF8">
      <w:pPr>
        <w:spacing w:before="100" w:beforeAutospacing="1" w:after="100" w:afterAutospacing="1" w:line="360" w:lineRule="auto"/>
        <w:jc w:val="both"/>
        <w:rPr>
          <w:rFonts w:ascii="Times New Roman" w:eastAsia="Times New Roman" w:hAnsi="Times New Roman" w:cs="Times New Roman"/>
          <w:b/>
          <w:bCs/>
          <w:sz w:val="24"/>
          <w:szCs w:val="24"/>
        </w:rPr>
      </w:pPr>
    </w:p>
    <w:p w:rsidR="00050E18" w:rsidRPr="00050E18" w:rsidRDefault="006237AB" w:rsidP="00050E1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1.1 </w:t>
      </w:r>
      <w:r w:rsidRPr="00050E18">
        <w:rPr>
          <w:rFonts w:ascii="Times New Roman" w:eastAsia="Times New Roman" w:hAnsi="Times New Roman" w:cs="Times New Roman"/>
          <w:b/>
          <w:bCs/>
          <w:sz w:val="24"/>
          <w:szCs w:val="24"/>
        </w:rPr>
        <w:t>INTRODUCTION</w:t>
      </w:r>
    </w:p>
    <w:p w:rsidR="00050E18" w:rsidRPr="00050E18" w:rsidRDefault="00050E18" w:rsidP="00050E18">
      <w:pPr>
        <w:spacing w:before="100" w:beforeAutospacing="1" w:after="100" w:afterAutospacing="1" w:line="360"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In today’s dynamic business environment, organisations are under constant pressure to deliver superior performance while adapting to rapid shifts in customer expectations, technological advancements, and competitive pressures. Within this context, Total Quality Management (TQM) has emerged as a strategic framework that integrates leadership commitment, employee involvement, and continuous improvement to enhance organisational outcomes. TQM practices are widely recognised not only for their contribution to financial performance but also for their influence on non</w:t>
      </w:r>
      <w:r w:rsidRPr="00050E18">
        <w:rPr>
          <w:rFonts w:ascii="Times New Roman" w:eastAsia="Times New Roman" w:hAnsi="Times New Roman" w:cs="Times New Roman"/>
          <w:sz w:val="24"/>
          <w:szCs w:val="24"/>
        </w:rPr>
        <w:noBreakHyphen/>
        <w:t xml:space="preserve">financial dimensions such as customer satisfaction, employee morale, and operational efficiency (Prajogo </w:t>
      </w:r>
      <w:r w:rsidR="00850873">
        <w:rPr>
          <w:rFonts w:ascii="Times New Roman" w:eastAsia="Times New Roman" w:hAnsi="Times New Roman" w:cs="Times New Roman"/>
          <w:sz w:val="24"/>
          <w:szCs w:val="24"/>
        </w:rPr>
        <w:t>and</w:t>
      </w:r>
      <w:r w:rsidRPr="00050E18">
        <w:rPr>
          <w:rFonts w:ascii="Times New Roman" w:eastAsia="Times New Roman" w:hAnsi="Times New Roman" w:cs="Times New Roman"/>
          <w:sz w:val="24"/>
          <w:szCs w:val="24"/>
        </w:rPr>
        <w:t xml:space="preserve"> Sohal, 2006; Samson </w:t>
      </w:r>
      <w:r w:rsidR="00850873">
        <w:rPr>
          <w:rFonts w:ascii="Times New Roman" w:eastAsia="Times New Roman" w:hAnsi="Times New Roman" w:cs="Times New Roman"/>
          <w:sz w:val="24"/>
          <w:szCs w:val="24"/>
        </w:rPr>
        <w:t>and</w:t>
      </w:r>
      <w:r w:rsidRPr="00050E18">
        <w:rPr>
          <w:rFonts w:ascii="Times New Roman" w:eastAsia="Times New Roman" w:hAnsi="Times New Roman" w:cs="Times New Roman"/>
          <w:sz w:val="24"/>
          <w:szCs w:val="24"/>
        </w:rPr>
        <w:t xml:space="preserve"> Terziovski, 1999).</w:t>
      </w:r>
    </w:p>
    <w:p w:rsidR="00050E18" w:rsidRPr="00050E18" w:rsidRDefault="00850873" w:rsidP="00050E1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Flexibility performance </w:t>
      </w:r>
      <w:r w:rsidR="00050E18" w:rsidRPr="00050E18">
        <w:rPr>
          <w:rFonts w:ascii="Times New Roman" w:eastAsia="Times New Roman" w:hAnsi="Times New Roman" w:cs="Times New Roman"/>
          <w:sz w:val="24"/>
          <w:szCs w:val="24"/>
        </w:rPr>
        <w:t>defined as an organisation’s ability to adapt processes, respond to market shifts, and</w:t>
      </w:r>
      <w:r>
        <w:rPr>
          <w:rFonts w:ascii="Times New Roman" w:eastAsia="Times New Roman" w:hAnsi="Times New Roman" w:cs="Times New Roman"/>
          <w:sz w:val="24"/>
          <w:szCs w:val="24"/>
        </w:rPr>
        <w:t xml:space="preserve"> innovate operational practices </w:t>
      </w:r>
      <w:r w:rsidR="00050E18" w:rsidRPr="00050E18">
        <w:rPr>
          <w:rFonts w:ascii="Times New Roman" w:eastAsia="Times New Roman" w:hAnsi="Times New Roman" w:cs="Times New Roman"/>
          <w:sz w:val="24"/>
          <w:szCs w:val="24"/>
        </w:rPr>
        <w:t xml:space="preserve">has become a critical determinant of competitiveness in the </w:t>
      </w:r>
      <w:r w:rsidR="00186C96" w:rsidRPr="00050E18">
        <w:rPr>
          <w:rFonts w:ascii="Times New Roman" w:eastAsia="Times New Roman" w:hAnsi="Times New Roman" w:cs="Times New Roman"/>
          <w:sz w:val="24"/>
          <w:szCs w:val="24"/>
        </w:rPr>
        <w:t>Service Sector</w:t>
      </w:r>
      <w:r w:rsidR="00050E18" w:rsidRPr="00050E18">
        <w:rPr>
          <w:rFonts w:ascii="Times New Roman" w:eastAsia="Times New Roman" w:hAnsi="Times New Roman" w:cs="Times New Roman"/>
          <w:sz w:val="24"/>
          <w:szCs w:val="24"/>
        </w:rPr>
        <w:t>. Scholars argue that flexibility serves as a conduit through which TQM practices translate into tangible organisational benefits, particularly in environments characterised by uncertainty and rapid change (Kaynak, 2004). Despite this recognition, empirical evidence linking TQM practices, flexibility performance, and non</w:t>
      </w:r>
      <w:r w:rsidR="00050E18" w:rsidRPr="00050E18">
        <w:rPr>
          <w:rFonts w:ascii="Times New Roman" w:eastAsia="Times New Roman" w:hAnsi="Times New Roman" w:cs="Times New Roman"/>
          <w:sz w:val="24"/>
          <w:szCs w:val="24"/>
        </w:rPr>
        <w:noBreakHyphen/>
        <w:t xml:space="preserve">financial organisational outcomes remains limited, especially in emerging economies such as Zambia. The Zambian </w:t>
      </w:r>
      <w:r w:rsidR="00186C96" w:rsidRPr="00050E18">
        <w:rPr>
          <w:rFonts w:ascii="Times New Roman" w:eastAsia="Times New Roman" w:hAnsi="Times New Roman" w:cs="Times New Roman"/>
          <w:sz w:val="24"/>
          <w:szCs w:val="24"/>
        </w:rPr>
        <w:t>Service Sector</w:t>
      </w:r>
      <w:r w:rsidR="00050E18" w:rsidRPr="00050E18">
        <w:rPr>
          <w:rFonts w:ascii="Times New Roman" w:eastAsia="Times New Roman" w:hAnsi="Times New Roman" w:cs="Times New Roman"/>
          <w:sz w:val="24"/>
          <w:szCs w:val="24"/>
        </w:rPr>
        <w:t>, encompassing hospitality, wholesale and retail</w:t>
      </w:r>
      <w:r w:rsidR="00186C96">
        <w:rPr>
          <w:rFonts w:ascii="Times New Roman" w:eastAsia="Times New Roman" w:hAnsi="Times New Roman" w:cs="Times New Roman"/>
          <w:sz w:val="24"/>
          <w:szCs w:val="24"/>
        </w:rPr>
        <w:t xml:space="preserve"> trade</w:t>
      </w:r>
      <w:r w:rsidR="00050E18" w:rsidRPr="00050E18">
        <w:rPr>
          <w:rFonts w:ascii="Times New Roman" w:eastAsia="Times New Roman" w:hAnsi="Times New Roman" w:cs="Times New Roman"/>
          <w:sz w:val="24"/>
          <w:szCs w:val="24"/>
        </w:rPr>
        <w:t>, financial, and energy sub</w:t>
      </w:r>
      <w:r w:rsidR="00050E18" w:rsidRPr="00050E18">
        <w:rPr>
          <w:rFonts w:ascii="Times New Roman" w:eastAsia="Times New Roman" w:hAnsi="Times New Roman" w:cs="Times New Roman"/>
          <w:sz w:val="24"/>
          <w:szCs w:val="24"/>
        </w:rPr>
        <w:noBreakHyphen/>
        <w:t>sectors, plays a pivotal role in economic growth and employment creation, yet remains under</w:t>
      </w:r>
      <w:r w:rsidR="00050E18" w:rsidRPr="00050E18">
        <w:rPr>
          <w:rFonts w:ascii="Times New Roman" w:eastAsia="Times New Roman" w:hAnsi="Times New Roman" w:cs="Times New Roman"/>
          <w:sz w:val="24"/>
          <w:szCs w:val="24"/>
        </w:rPr>
        <w:noBreakHyphen/>
        <w:t>studied in the quality management literature. This originality underscores the importance of examining how human</w:t>
      </w:r>
      <w:r w:rsidR="00050E18" w:rsidRPr="00050E18">
        <w:rPr>
          <w:rFonts w:ascii="Times New Roman" w:eastAsia="Times New Roman" w:hAnsi="Times New Roman" w:cs="Times New Roman"/>
          <w:sz w:val="24"/>
          <w:szCs w:val="24"/>
        </w:rPr>
        <w:noBreakHyphen/>
        <w:t>centred TQM practices operate in this context.</w:t>
      </w:r>
    </w:p>
    <w:p w:rsidR="00050E18" w:rsidRPr="00050E18" w:rsidRDefault="00050E18" w:rsidP="00050E18">
      <w:pPr>
        <w:spacing w:before="100" w:beforeAutospacing="1" w:after="100" w:afterAutospacing="1" w:line="360"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xml:space="preserve">The theoretical foundation of this study draws on the </w:t>
      </w:r>
      <w:r w:rsidRPr="00850873">
        <w:rPr>
          <w:rFonts w:ascii="Times New Roman" w:eastAsia="Times New Roman" w:hAnsi="Times New Roman" w:cs="Times New Roman"/>
          <w:bCs/>
          <w:sz w:val="24"/>
          <w:szCs w:val="24"/>
        </w:rPr>
        <w:t>Resource</w:t>
      </w:r>
      <w:r w:rsidRPr="00850873">
        <w:rPr>
          <w:rFonts w:ascii="Times New Roman" w:eastAsia="Times New Roman" w:hAnsi="Times New Roman" w:cs="Times New Roman"/>
          <w:bCs/>
          <w:sz w:val="24"/>
          <w:szCs w:val="24"/>
        </w:rPr>
        <w:noBreakHyphen/>
        <w:t>Based View (RBV)</w:t>
      </w:r>
      <w:r w:rsidRPr="00050E18">
        <w:rPr>
          <w:rFonts w:ascii="Times New Roman" w:eastAsia="Times New Roman" w:hAnsi="Times New Roman" w:cs="Times New Roman"/>
          <w:sz w:val="24"/>
          <w:szCs w:val="24"/>
        </w:rPr>
        <w:t xml:space="preserve">, which positions organisational capabilities such as flexibility as strategic assets; </w:t>
      </w:r>
      <w:r w:rsidRPr="00850873">
        <w:rPr>
          <w:rFonts w:ascii="Times New Roman" w:eastAsia="Times New Roman" w:hAnsi="Times New Roman" w:cs="Times New Roman"/>
          <w:bCs/>
          <w:sz w:val="24"/>
          <w:szCs w:val="24"/>
        </w:rPr>
        <w:t>Social Exchange Theory (SET)</w:t>
      </w:r>
      <w:r w:rsidRPr="00050E18">
        <w:rPr>
          <w:rFonts w:ascii="Times New Roman" w:eastAsia="Times New Roman" w:hAnsi="Times New Roman" w:cs="Times New Roman"/>
          <w:sz w:val="24"/>
          <w:szCs w:val="24"/>
        </w:rPr>
        <w:t xml:space="preserve">, which highlights the reciprocal value of leadership commitment and employee involvement; and </w:t>
      </w:r>
      <w:r w:rsidRPr="00850873">
        <w:rPr>
          <w:rFonts w:ascii="Times New Roman" w:eastAsia="Times New Roman" w:hAnsi="Times New Roman" w:cs="Times New Roman"/>
          <w:bCs/>
          <w:sz w:val="24"/>
          <w:szCs w:val="24"/>
        </w:rPr>
        <w:t>Service Quality Theory (SERVQUAL)</w:t>
      </w:r>
      <w:r w:rsidRPr="00850873">
        <w:rPr>
          <w:rFonts w:ascii="Times New Roman" w:eastAsia="Times New Roman" w:hAnsi="Times New Roman" w:cs="Times New Roman"/>
          <w:sz w:val="24"/>
          <w:szCs w:val="24"/>
        </w:rPr>
        <w:t>,</w:t>
      </w:r>
      <w:r w:rsidRPr="00050E18">
        <w:rPr>
          <w:rFonts w:ascii="Times New Roman" w:eastAsia="Times New Roman" w:hAnsi="Times New Roman" w:cs="Times New Roman"/>
          <w:sz w:val="24"/>
          <w:szCs w:val="24"/>
        </w:rPr>
        <w:t xml:space="preserve"> which emphasises the role of continuous improvement in shaping customer</w:t>
      </w:r>
      <w:r w:rsidRPr="00050E18">
        <w:rPr>
          <w:rFonts w:ascii="Times New Roman" w:eastAsia="Times New Roman" w:hAnsi="Times New Roman" w:cs="Times New Roman"/>
          <w:sz w:val="24"/>
          <w:szCs w:val="24"/>
        </w:rPr>
        <w:noBreakHyphen/>
        <w:t xml:space="preserve">focused outcomes. By integrating these perspectives, the study conceptualises flexibility performance as a mediating mechanism that explains how leadership commitment and employee involvement </w:t>
      </w:r>
      <w:r w:rsidR="00186C96">
        <w:rPr>
          <w:rFonts w:ascii="Times New Roman" w:eastAsia="Times New Roman" w:hAnsi="Times New Roman" w:cs="Times New Roman"/>
          <w:sz w:val="24"/>
          <w:szCs w:val="24"/>
        </w:rPr>
        <w:t>relates to</w:t>
      </w:r>
      <w:r w:rsidRPr="00050E18">
        <w:rPr>
          <w:rFonts w:ascii="Times New Roman" w:eastAsia="Times New Roman" w:hAnsi="Times New Roman" w:cs="Times New Roman"/>
          <w:sz w:val="24"/>
          <w:szCs w:val="24"/>
        </w:rPr>
        <w:t xml:space="preserve"> non</w:t>
      </w:r>
      <w:r w:rsidRPr="00050E18">
        <w:rPr>
          <w:rFonts w:ascii="Times New Roman" w:eastAsia="Times New Roman" w:hAnsi="Times New Roman" w:cs="Times New Roman"/>
          <w:sz w:val="24"/>
          <w:szCs w:val="24"/>
        </w:rPr>
        <w:noBreakHyphen/>
        <w:t>financial organisational performance.</w:t>
      </w:r>
    </w:p>
    <w:p w:rsidR="00050E18" w:rsidRPr="00050E18" w:rsidRDefault="00050E18" w:rsidP="00050E18">
      <w:pPr>
        <w:spacing w:before="100" w:beforeAutospacing="1" w:after="100" w:afterAutospacing="1" w:line="360"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lastRenderedPageBreak/>
        <w:t>Using a quantitative, cross</w:t>
      </w:r>
      <w:r w:rsidRPr="00050E18">
        <w:rPr>
          <w:rFonts w:ascii="Times New Roman" w:eastAsia="Times New Roman" w:hAnsi="Times New Roman" w:cs="Times New Roman"/>
          <w:sz w:val="24"/>
          <w:szCs w:val="24"/>
        </w:rPr>
        <w:noBreakHyphen/>
        <w:t>sectional design and data from 240 service organisations, the study employs Partial Least Squares Structural Equation Modelling (PLS</w:t>
      </w:r>
      <w:r w:rsidRPr="00050E18">
        <w:rPr>
          <w:rFonts w:ascii="Times New Roman" w:eastAsia="Times New Roman" w:hAnsi="Times New Roman" w:cs="Times New Roman"/>
          <w:sz w:val="24"/>
          <w:szCs w:val="24"/>
        </w:rPr>
        <w:noBreakHyphen/>
        <w:t>SEM) to provide robust empirical insights into these structural relationships. Control variables such as position, education, tenure, sector, and organisation size are incorporated to ensure a nuanced understanding of contextual factors shaping organisational outcomes.</w:t>
      </w:r>
    </w:p>
    <w:p w:rsidR="00050E18" w:rsidRPr="00050E18" w:rsidRDefault="00050E18" w:rsidP="00050E18">
      <w:pPr>
        <w:spacing w:before="100" w:beforeAutospacing="1" w:after="100" w:afterAutospacing="1" w:line="360" w:lineRule="auto"/>
        <w:jc w:val="both"/>
        <w:rPr>
          <w:rFonts w:ascii="Times New Roman" w:eastAsia="Times New Roman" w:hAnsi="Times New Roman" w:cs="Times New Roman"/>
          <w:sz w:val="24"/>
          <w:szCs w:val="24"/>
        </w:rPr>
      </w:pPr>
      <w:r w:rsidRPr="00050E18">
        <w:rPr>
          <w:rFonts w:ascii="Times New Roman" w:eastAsia="Times New Roman" w:hAnsi="Times New Roman" w:cs="Times New Roman"/>
          <w:sz w:val="24"/>
          <w:szCs w:val="24"/>
        </w:rPr>
        <w:t xml:space="preserve">Beyond its theoretical contribution, the study offers actionable insights for managers and policymakers in Zambia’s </w:t>
      </w:r>
      <w:r w:rsidR="00186C96" w:rsidRPr="00050E18">
        <w:rPr>
          <w:rFonts w:ascii="Times New Roman" w:eastAsia="Times New Roman" w:hAnsi="Times New Roman" w:cs="Times New Roman"/>
          <w:sz w:val="24"/>
          <w:szCs w:val="24"/>
        </w:rPr>
        <w:t>Service Sector</w:t>
      </w:r>
      <w:r w:rsidRPr="00050E18">
        <w:rPr>
          <w:rFonts w:ascii="Times New Roman" w:eastAsia="Times New Roman" w:hAnsi="Times New Roman" w:cs="Times New Roman"/>
          <w:sz w:val="24"/>
          <w:szCs w:val="24"/>
        </w:rPr>
        <w:t>. It demonstrates that investing in leadership commitment and employee engagement can strengthen organisational agility, enabling firms to respond more effectively to market volatility and customer demands. By recognising flexibility performance as a strategic lever, service organisations can enhance non</w:t>
      </w:r>
      <w:r w:rsidRPr="00050E18">
        <w:rPr>
          <w:rFonts w:ascii="Times New Roman" w:eastAsia="Times New Roman" w:hAnsi="Times New Roman" w:cs="Times New Roman"/>
          <w:sz w:val="24"/>
          <w:szCs w:val="24"/>
        </w:rPr>
        <w:noBreakHyphen/>
        <w:t>financial outcomes such as customer satisfaction, employee mor</w:t>
      </w:r>
      <w:r w:rsidR="00850873">
        <w:rPr>
          <w:rFonts w:ascii="Times New Roman" w:eastAsia="Times New Roman" w:hAnsi="Times New Roman" w:cs="Times New Roman"/>
          <w:sz w:val="24"/>
          <w:szCs w:val="24"/>
        </w:rPr>
        <w:t xml:space="preserve">ale, and continuous improvement </w:t>
      </w:r>
      <w:r w:rsidRPr="00050E18">
        <w:rPr>
          <w:rFonts w:ascii="Times New Roman" w:eastAsia="Times New Roman" w:hAnsi="Times New Roman" w:cs="Times New Roman"/>
          <w:sz w:val="24"/>
          <w:szCs w:val="24"/>
        </w:rPr>
        <w:t>factors essential for long</w:t>
      </w:r>
      <w:r w:rsidRPr="00050E18">
        <w:rPr>
          <w:rFonts w:ascii="Times New Roman" w:eastAsia="Times New Roman" w:hAnsi="Times New Roman" w:cs="Times New Roman"/>
          <w:sz w:val="24"/>
          <w:szCs w:val="24"/>
        </w:rPr>
        <w:noBreakHyphen/>
        <w:t>term sustainability and competitiveness in emerging economies.</w:t>
      </w:r>
    </w:p>
    <w:p w:rsidR="00184F1A" w:rsidRPr="00B26C85" w:rsidRDefault="00184F1A" w:rsidP="00184F1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2.0 LITERATURE REVIEW</w:t>
      </w:r>
    </w:p>
    <w:p w:rsidR="00184F1A" w:rsidRPr="00B26C85" w:rsidRDefault="00184F1A" w:rsidP="00184F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2.1 Clustering of Practices and Theoretical Lens</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sz w:val="24"/>
          <w:szCs w:val="24"/>
        </w:rPr>
        <w:t>Total Quality Management (TQM) is widely conceptualised as a multidimensional construct encompassing leadership commitment, employee involvement, customer focus, and continuous improvement (</w:t>
      </w:r>
      <w:r w:rsidR="00131003">
        <w:rPr>
          <w:rFonts w:ascii="Times New Roman" w:eastAsia="Times New Roman" w:hAnsi="Times New Roman" w:cs="Times New Roman"/>
          <w:sz w:val="24"/>
          <w:szCs w:val="24"/>
        </w:rPr>
        <w:t>Alzoubi et al. 2019; Anil et al. 2017; Kanji, 2012</w:t>
      </w:r>
      <w:r w:rsidRPr="00B26C85">
        <w:rPr>
          <w:rFonts w:ascii="Times New Roman" w:eastAsia="Times New Roman" w:hAnsi="Times New Roman" w:cs="Times New Roman"/>
          <w:sz w:val="24"/>
          <w:szCs w:val="24"/>
        </w:rPr>
        <w:t xml:space="preserve">). Scholars often cluster these practices into </w:t>
      </w:r>
      <w:r w:rsidRPr="00B26C85">
        <w:rPr>
          <w:rFonts w:ascii="Times New Roman" w:eastAsia="Times New Roman" w:hAnsi="Times New Roman" w:cs="Times New Roman"/>
          <w:bCs/>
          <w:sz w:val="24"/>
          <w:szCs w:val="24"/>
        </w:rPr>
        <w:t>human</w:t>
      </w:r>
      <w:r w:rsidRPr="00B26C85">
        <w:rPr>
          <w:rFonts w:ascii="Times New Roman" w:eastAsia="Times New Roman" w:hAnsi="Times New Roman" w:cs="Times New Roman"/>
          <w:bCs/>
          <w:sz w:val="24"/>
          <w:szCs w:val="24"/>
        </w:rPr>
        <w:noBreakHyphen/>
        <w:t>centred dimensions</w:t>
      </w:r>
      <w:r w:rsidRPr="00B26C85">
        <w:rPr>
          <w:rFonts w:ascii="Times New Roman" w:eastAsia="Times New Roman" w:hAnsi="Times New Roman" w:cs="Times New Roman"/>
          <w:sz w:val="24"/>
          <w:szCs w:val="24"/>
        </w:rPr>
        <w:t xml:space="preserve"> (e.g., top management commitment and employee involvement) and </w:t>
      </w:r>
      <w:r w:rsidRPr="00B26C85">
        <w:rPr>
          <w:rFonts w:ascii="Times New Roman" w:eastAsia="Times New Roman" w:hAnsi="Times New Roman" w:cs="Times New Roman"/>
          <w:bCs/>
          <w:sz w:val="24"/>
          <w:szCs w:val="24"/>
        </w:rPr>
        <w:t>process</w:t>
      </w:r>
      <w:r w:rsidRPr="00B26C85">
        <w:rPr>
          <w:rFonts w:ascii="Times New Roman" w:eastAsia="Times New Roman" w:hAnsi="Times New Roman" w:cs="Times New Roman"/>
          <w:bCs/>
          <w:sz w:val="24"/>
          <w:szCs w:val="24"/>
        </w:rPr>
        <w:noBreakHyphen/>
        <w:t>centred dimensions</w:t>
      </w:r>
      <w:r w:rsidRPr="00B26C85">
        <w:rPr>
          <w:rFonts w:ascii="Times New Roman" w:eastAsia="Times New Roman" w:hAnsi="Times New Roman" w:cs="Times New Roman"/>
          <w:sz w:val="24"/>
          <w:szCs w:val="24"/>
        </w:rPr>
        <w:t xml:space="preserve"> (e.g., continuous improvement and customer focus). This clustering reflects the dual emphasis of TQM on organisational culture and operational systems.</w:t>
      </w:r>
      <w:r>
        <w:rPr>
          <w:rFonts w:ascii="Times New Roman" w:eastAsia="Times New Roman" w:hAnsi="Times New Roman" w:cs="Times New Roman"/>
          <w:sz w:val="24"/>
          <w:szCs w:val="24"/>
        </w:rPr>
        <w:t xml:space="preserve"> </w:t>
      </w:r>
      <w:r w:rsidRPr="00B26C85">
        <w:rPr>
          <w:rFonts w:ascii="Times New Roman" w:eastAsia="Times New Roman" w:hAnsi="Times New Roman" w:cs="Times New Roman"/>
          <w:sz w:val="24"/>
          <w:szCs w:val="24"/>
        </w:rPr>
        <w:t>In African contexts, human</w:t>
      </w:r>
      <w:r w:rsidRPr="00B26C85">
        <w:rPr>
          <w:rFonts w:ascii="Times New Roman" w:eastAsia="Times New Roman" w:hAnsi="Times New Roman" w:cs="Times New Roman"/>
          <w:sz w:val="24"/>
          <w:szCs w:val="24"/>
        </w:rPr>
        <w:noBreakHyphen/>
        <w:t>centred practices are particularly critical due to resource constraints, institutional weaknesses, and the reliance on leadership credibility and workforce participation to sustain organisational performance (</w:t>
      </w:r>
      <w:r w:rsidR="005A14EC" w:rsidRPr="00B26C85">
        <w:rPr>
          <w:rFonts w:ascii="Times New Roman" w:eastAsia="Times New Roman" w:hAnsi="Times New Roman" w:cs="Times New Roman"/>
          <w:sz w:val="24"/>
          <w:szCs w:val="24"/>
        </w:rPr>
        <w:t>Agyeman et al., 2020</w:t>
      </w:r>
      <w:r w:rsidR="005A14EC">
        <w:rPr>
          <w:rFonts w:ascii="Times New Roman" w:eastAsia="Times New Roman" w:hAnsi="Times New Roman" w:cs="Times New Roman"/>
          <w:sz w:val="24"/>
          <w:szCs w:val="24"/>
        </w:rPr>
        <w:t xml:space="preserve">; </w:t>
      </w:r>
      <w:r w:rsidRPr="00B26C85">
        <w:rPr>
          <w:rFonts w:ascii="Times New Roman" w:eastAsia="Times New Roman" w:hAnsi="Times New Roman" w:cs="Times New Roman"/>
          <w:sz w:val="24"/>
          <w:szCs w:val="24"/>
        </w:rPr>
        <w:t>Adebanjo et al., 2016; Kuye and Sulaimon, 2011;; Sichinsambwe, 2011). Leadership commitment provides strategic direction and legitimacy, while employee involvement ensures adaptability and innovation in environments characterised by volatility.</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sz w:val="24"/>
          <w:szCs w:val="24"/>
        </w:rPr>
        <w:t xml:space="preserve">Theoretical lenses such as the </w:t>
      </w:r>
      <w:r w:rsidRPr="00B26C85">
        <w:rPr>
          <w:rFonts w:ascii="Times New Roman" w:eastAsia="Times New Roman" w:hAnsi="Times New Roman" w:cs="Times New Roman"/>
          <w:bCs/>
          <w:sz w:val="24"/>
          <w:szCs w:val="24"/>
        </w:rPr>
        <w:t>Resource</w:t>
      </w:r>
      <w:r w:rsidRPr="00B26C85">
        <w:rPr>
          <w:rFonts w:ascii="Times New Roman" w:eastAsia="Times New Roman" w:hAnsi="Times New Roman" w:cs="Times New Roman"/>
          <w:bCs/>
          <w:sz w:val="24"/>
          <w:szCs w:val="24"/>
        </w:rPr>
        <w:noBreakHyphen/>
        <w:t>Based View (RBV)</w:t>
      </w:r>
      <w:r w:rsidRPr="00B26C85">
        <w:rPr>
          <w:rFonts w:ascii="Times New Roman" w:eastAsia="Times New Roman" w:hAnsi="Times New Roman" w:cs="Times New Roman"/>
          <w:sz w:val="24"/>
          <w:szCs w:val="24"/>
        </w:rPr>
        <w:t xml:space="preserve"> and </w:t>
      </w:r>
      <w:r w:rsidRPr="00B26C85">
        <w:rPr>
          <w:rFonts w:ascii="Times New Roman" w:eastAsia="Times New Roman" w:hAnsi="Times New Roman" w:cs="Times New Roman"/>
          <w:bCs/>
          <w:sz w:val="24"/>
          <w:szCs w:val="24"/>
        </w:rPr>
        <w:t>Social Exchange Theory (SET)</w:t>
      </w:r>
      <w:r w:rsidRPr="00B26C85">
        <w:rPr>
          <w:rFonts w:ascii="Times New Roman" w:eastAsia="Times New Roman" w:hAnsi="Times New Roman" w:cs="Times New Roman"/>
          <w:sz w:val="24"/>
          <w:szCs w:val="24"/>
        </w:rPr>
        <w:t xml:space="preserve"> provide explanatory power for these dynamics. RBV positions leadership commitment and </w:t>
      </w:r>
      <w:r w:rsidRPr="00B26C85">
        <w:rPr>
          <w:rFonts w:ascii="Times New Roman" w:eastAsia="Times New Roman" w:hAnsi="Times New Roman" w:cs="Times New Roman"/>
          <w:sz w:val="24"/>
          <w:szCs w:val="24"/>
        </w:rPr>
        <w:lastRenderedPageBreak/>
        <w:t>employee engagement as intangible resources that enhance organisational agility and resilience (Barney, 1991). SET highlights reciprocal exchanges between management and employees, suggesting that involvement in quality initiatives fosters trust, motivation, and innovation (Blau, 1964). Together, these frameworks justify a focus on human</w:t>
      </w:r>
      <w:r w:rsidRPr="00B26C85">
        <w:rPr>
          <w:rFonts w:ascii="Times New Roman" w:eastAsia="Times New Roman" w:hAnsi="Times New Roman" w:cs="Times New Roman"/>
          <w:sz w:val="24"/>
          <w:szCs w:val="24"/>
        </w:rPr>
        <w:noBreakHyphen/>
        <w:t>centred practices as strategic levers for operational flexibility and non</w:t>
      </w:r>
      <w:r w:rsidRPr="00B26C85">
        <w:rPr>
          <w:rFonts w:ascii="Times New Roman" w:eastAsia="Times New Roman" w:hAnsi="Times New Roman" w:cs="Times New Roman"/>
          <w:sz w:val="24"/>
          <w:szCs w:val="24"/>
        </w:rPr>
        <w:noBreakHyphen/>
        <w:t>financial outcomes in service organisations.</w:t>
      </w:r>
    </w:p>
    <w:p w:rsidR="00184F1A" w:rsidRPr="00B26C85" w:rsidRDefault="00184F1A" w:rsidP="00184F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2.2 Linkage with Organisational Performance</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sz w:val="24"/>
          <w:szCs w:val="24"/>
        </w:rPr>
        <w:t xml:space="preserve">Empirical studies consistently demonstrate associations between TQM practices and organisational performance. </w:t>
      </w:r>
      <w:r w:rsidR="0083359B" w:rsidRPr="00D22EA8">
        <w:rPr>
          <w:rFonts w:ascii="Times New Roman" w:eastAsia="Times New Roman" w:hAnsi="Times New Roman" w:cs="Times New Roman"/>
          <w:sz w:val="24"/>
          <w:szCs w:val="24"/>
        </w:rPr>
        <w:t>While many studies report positive associations with productivity, customer satisfaction, and competitiveness (Anil et al., 2019; Al</w:t>
      </w:r>
      <w:r w:rsidR="0083359B" w:rsidRPr="00D22EA8">
        <w:rPr>
          <w:rFonts w:ascii="Times New Roman" w:eastAsia="Times New Roman" w:hAnsi="Times New Roman" w:cs="Times New Roman"/>
          <w:sz w:val="24"/>
          <w:szCs w:val="24"/>
        </w:rPr>
        <w:noBreakHyphen/>
        <w:t>Dhaafri et al., 2020; Puthanveettil et al., 202</w:t>
      </w:r>
      <w:r w:rsidR="0083359B">
        <w:rPr>
          <w:rFonts w:ascii="Times New Roman" w:eastAsia="Times New Roman" w:hAnsi="Times New Roman" w:cs="Times New Roman"/>
          <w:sz w:val="24"/>
          <w:szCs w:val="24"/>
        </w:rPr>
        <w:t>1</w:t>
      </w:r>
      <w:r w:rsidR="0083359B" w:rsidRPr="00D22EA8">
        <w:rPr>
          <w:rFonts w:ascii="Times New Roman" w:eastAsia="Times New Roman" w:hAnsi="Times New Roman" w:cs="Times New Roman"/>
          <w:sz w:val="24"/>
          <w:szCs w:val="24"/>
        </w:rPr>
        <w:t>), others identify weak or negative relationships (Shafiq et al., 2019; Qasrawi et al., 2017; Singh, 2015). These inconsistencies underscore the importance of mediating mechanisms.</w:t>
      </w:r>
      <w:r w:rsidR="0083359B">
        <w:rPr>
          <w:rFonts w:ascii="Times New Roman" w:eastAsia="Times New Roman" w:hAnsi="Times New Roman" w:cs="Times New Roman"/>
          <w:sz w:val="24"/>
          <w:szCs w:val="24"/>
        </w:rPr>
        <w:t xml:space="preserve"> </w:t>
      </w:r>
      <w:r w:rsidRPr="00B26C85">
        <w:rPr>
          <w:rFonts w:ascii="Times New Roman" w:eastAsia="Times New Roman" w:hAnsi="Times New Roman" w:cs="Times New Roman"/>
          <w:sz w:val="24"/>
          <w:szCs w:val="24"/>
        </w:rPr>
        <w:t>Flexibility performance has emerged as a critical mediating construct in this linkage. Defined as the ability of organisations to adapt processes and respond to environmental changes, flexibility enables service firms to translate leadership commitment and employee involvement into operational resilience and customer</w:t>
      </w:r>
      <w:r w:rsidRPr="00B26C85">
        <w:rPr>
          <w:rFonts w:ascii="Times New Roman" w:eastAsia="Times New Roman" w:hAnsi="Times New Roman" w:cs="Times New Roman"/>
          <w:sz w:val="24"/>
          <w:szCs w:val="24"/>
        </w:rPr>
        <w:noBreakHyphen/>
        <w:t>centric outcomes (Kaynak, 2004). Evidence from African service organisations suggests that visible leadership support fosters adaptability, while employee involvement enhances problem</w:t>
      </w:r>
      <w:r w:rsidRPr="00B26C85">
        <w:rPr>
          <w:rFonts w:ascii="Times New Roman" w:eastAsia="Times New Roman" w:hAnsi="Times New Roman" w:cs="Times New Roman"/>
          <w:sz w:val="24"/>
          <w:szCs w:val="24"/>
        </w:rPr>
        <w:noBreakHyphen/>
        <w:t>solving and innovation, both of which strengthen non</w:t>
      </w:r>
      <w:r w:rsidRPr="00B26C85">
        <w:rPr>
          <w:rFonts w:ascii="Times New Roman" w:eastAsia="Times New Roman" w:hAnsi="Times New Roman" w:cs="Times New Roman"/>
          <w:sz w:val="24"/>
          <w:szCs w:val="24"/>
        </w:rPr>
        <w:noBreakHyphen/>
        <w:t>financial organisational performance (Adebanjo et al., 2016; Agyeman et al., 2020).</w:t>
      </w:r>
    </w:p>
    <w:p w:rsidR="00184F1A" w:rsidRPr="00DD39A5" w:rsidRDefault="00184F1A" w:rsidP="00184F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D39A5">
        <w:rPr>
          <w:rFonts w:ascii="Times New Roman" w:eastAsia="Times New Roman" w:hAnsi="Times New Roman" w:cs="Times New Roman"/>
          <w:b/>
          <w:bCs/>
          <w:sz w:val="24"/>
          <w:szCs w:val="24"/>
        </w:rPr>
        <w:t>2.3 Synthesis and Research Gaps</w:t>
      </w:r>
    </w:p>
    <w:p w:rsidR="00184F1A" w:rsidRPr="00DD39A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DD39A5">
        <w:rPr>
          <w:rFonts w:ascii="Times New Roman" w:eastAsia="Times New Roman" w:hAnsi="Times New Roman" w:cs="Times New Roman"/>
          <w:sz w:val="24"/>
          <w:szCs w:val="24"/>
        </w:rPr>
        <w:t>The literature reviewed highlights the centrality</w:t>
      </w:r>
      <w:r>
        <w:rPr>
          <w:rFonts w:ascii="Times New Roman" w:eastAsia="Times New Roman" w:hAnsi="Times New Roman" w:cs="Times New Roman"/>
          <w:sz w:val="24"/>
          <w:szCs w:val="24"/>
        </w:rPr>
        <w:t xml:space="preserve"> of human</w:t>
      </w:r>
      <w:r>
        <w:rPr>
          <w:rFonts w:ascii="Times New Roman" w:eastAsia="Times New Roman" w:hAnsi="Times New Roman" w:cs="Times New Roman"/>
          <w:sz w:val="24"/>
          <w:szCs w:val="24"/>
        </w:rPr>
        <w:noBreakHyphen/>
        <w:t xml:space="preserve">centred TQM practices </w:t>
      </w:r>
      <w:r w:rsidRPr="00DD39A5">
        <w:rPr>
          <w:rFonts w:ascii="Times New Roman" w:eastAsia="Times New Roman" w:hAnsi="Times New Roman" w:cs="Times New Roman"/>
          <w:sz w:val="24"/>
          <w:szCs w:val="24"/>
        </w:rPr>
        <w:t>particularly leadership comm</w:t>
      </w:r>
      <w:r>
        <w:rPr>
          <w:rFonts w:ascii="Times New Roman" w:eastAsia="Times New Roman" w:hAnsi="Times New Roman" w:cs="Times New Roman"/>
          <w:sz w:val="24"/>
          <w:szCs w:val="24"/>
        </w:rPr>
        <w:t xml:space="preserve">itment and employee involvement </w:t>
      </w:r>
      <w:r w:rsidRPr="00DD39A5">
        <w:rPr>
          <w:rFonts w:ascii="Times New Roman" w:eastAsia="Times New Roman" w:hAnsi="Times New Roman" w:cs="Times New Roman"/>
          <w:sz w:val="24"/>
          <w:szCs w:val="24"/>
        </w:rPr>
        <w:t>in shaping organisational outcomes. These practices, when interpreted through the Resource</w:t>
      </w:r>
      <w:r w:rsidRPr="00DD39A5">
        <w:rPr>
          <w:rFonts w:ascii="Times New Roman" w:eastAsia="Times New Roman" w:hAnsi="Times New Roman" w:cs="Times New Roman"/>
          <w:sz w:val="24"/>
          <w:szCs w:val="24"/>
        </w:rPr>
        <w:noBreakHyphen/>
        <w:t>Based View (RBV) and Social Exchange Theory (SET), are consistently associated with enhanced organisational agility and adaptability. Leadership commitment provides strategic direction and legitimacy, while employee involvement fosters reciprocal trust and innovation, together forming the foundation for flexibility performance. Flexibility, in turn, has been conceptually recognised as a mechanism through which organisations respond to uncertainty and deliver improved non</w:t>
      </w:r>
      <w:r w:rsidRPr="00DD39A5">
        <w:rPr>
          <w:rFonts w:ascii="Times New Roman" w:eastAsia="Times New Roman" w:hAnsi="Times New Roman" w:cs="Times New Roman"/>
          <w:sz w:val="24"/>
          <w:szCs w:val="24"/>
        </w:rPr>
        <w:noBreakHyphen/>
        <w:t>financial outcomes such as customer satisfaction, employee morale, and continuous improvement.</w:t>
      </w:r>
    </w:p>
    <w:p w:rsidR="00184F1A" w:rsidRPr="00DD39A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DD39A5">
        <w:rPr>
          <w:rFonts w:ascii="Times New Roman" w:eastAsia="Times New Roman" w:hAnsi="Times New Roman" w:cs="Times New Roman"/>
          <w:sz w:val="24"/>
          <w:szCs w:val="24"/>
        </w:rPr>
        <w:lastRenderedPageBreak/>
        <w:t>Despite these insights, several gaps remain evident in the literature. Much of the empirical evidence has been drawn from manufacturing contexts, leaving service organisations underrepresented. This sectoral bias limits the applicability of findings to environments where human interaction and service delivery are central to organisational success. Furthermore, geographical gaps persist, with</w:t>
      </w:r>
      <w:r>
        <w:rPr>
          <w:rFonts w:ascii="Times New Roman" w:eastAsia="Times New Roman" w:hAnsi="Times New Roman" w:cs="Times New Roman"/>
          <w:sz w:val="24"/>
          <w:szCs w:val="24"/>
        </w:rPr>
        <w:t xml:space="preserve"> research in emerging economies and particularly in Africa </w:t>
      </w:r>
      <w:r w:rsidRPr="00DD39A5">
        <w:rPr>
          <w:rFonts w:ascii="Times New Roman" w:eastAsia="Times New Roman" w:hAnsi="Times New Roman" w:cs="Times New Roman"/>
          <w:sz w:val="24"/>
          <w:szCs w:val="24"/>
        </w:rPr>
        <w:t>remaining sparse. The limited focus on African service organisations constrains the generalisability of TQM frameworks across diverse cultural and institutional contexts, even though leadership credibility and employee participation are especially critical in resource</w:t>
      </w:r>
      <w:r w:rsidRPr="00DD39A5">
        <w:rPr>
          <w:rFonts w:ascii="Times New Roman" w:eastAsia="Times New Roman" w:hAnsi="Times New Roman" w:cs="Times New Roman"/>
          <w:sz w:val="24"/>
          <w:szCs w:val="24"/>
        </w:rPr>
        <w:noBreakHyphen/>
        <w:t>constrained environments.</w:t>
      </w:r>
    </w:p>
    <w:p w:rsidR="00184F1A" w:rsidRPr="00DD39A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DD39A5">
        <w:rPr>
          <w:rFonts w:ascii="Times New Roman" w:eastAsia="Times New Roman" w:hAnsi="Times New Roman" w:cs="Times New Roman"/>
          <w:sz w:val="24"/>
          <w:szCs w:val="24"/>
        </w:rPr>
        <w:t>Another gap lies in the operational mediation of flexibility performance. While flexibility has been conceptually acknowledged as a conduit linking TQM practices to organisational outcomes, its empirical role as a mediating construct has not been sufficiently validated. This omission weakens theoretical integration and leaves unanswered questions about how human</w:t>
      </w:r>
      <w:r w:rsidRPr="00DD39A5">
        <w:rPr>
          <w:rFonts w:ascii="Times New Roman" w:eastAsia="Times New Roman" w:hAnsi="Times New Roman" w:cs="Times New Roman"/>
          <w:sz w:val="24"/>
          <w:szCs w:val="24"/>
        </w:rPr>
        <w:noBreakHyphen/>
        <w:t>centred practices translate into non</w:t>
      </w:r>
      <w:r w:rsidRPr="00DD39A5">
        <w:rPr>
          <w:rFonts w:ascii="Times New Roman" w:eastAsia="Times New Roman" w:hAnsi="Times New Roman" w:cs="Times New Roman"/>
          <w:sz w:val="24"/>
          <w:szCs w:val="24"/>
        </w:rPr>
        <w:noBreakHyphen/>
        <w:t>financial performance. Finally, existing studies often prioritise financial metrics, overlooking the growing importance of non</w:t>
      </w:r>
      <w:r w:rsidRPr="00DD39A5">
        <w:rPr>
          <w:rFonts w:ascii="Times New Roman" w:eastAsia="Times New Roman" w:hAnsi="Times New Roman" w:cs="Times New Roman"/>
          <w:sz w:val="24"/>
          <w:szCs w:val="24"/>
        </w:rPr>
        <w:noBreakHyphen/>
        <w:t>financial indicators such as customer satisfaction, employee morale, and continuous improvement, which are increasin</w:t>
      </w:r>
      <w:r>
        <w:rPr>
          <w:rFonts w:ascii="Times New Roman" w:eastAsia="Times New Roman" w:hAnsi="Times New Roman" w:cs="Times New Roman"/>
          <w:sz w:val="24"/>
          <w:szCs w:val="24"/>
        </w:rPr>
        <w:t xml:space="preserve">gly recognised as essential for </w:t>
      </w:r>
      <w:r w:rsidRPr="00DD39A5">
        <w:rPr>
          <w:rFonts w:ascii="Times New Roman" w:eastAsia="Times New Roman" w:hAnsi="Times New Roman" w:cs="Times New Roman"/>
          <w:sz w:val="24"/>
          <w:szCs w:val="24"/>
        </w:rPr>
        <w:t>long</w:t>
      </w:r>
      <w:r w:rsidRPr="00DD39A5">
        <w:rPr>
          <w:rFonts w:ascii="Times New Roman" w:eastAsia="Times New Roman" w:hAnsi="Times New Roman" w:cs="Times New Roman"/>
          <w:sz w:val="24"/>
          <w:szCs w:val="24"/>
        </w:rPr>
        <w:noBreakHyphen/>
        <w:t>term sustainability.</w:t>
      </w:r>
    </w:p>
    <w:p w:rsidR="00184F1A" w:rsidRPr="00DD39A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DD39A5">
        <w:rPr>
          <w:rFonts w:ascii="Times New Roman" w:eastAsia="Times New Roman" w:hAnsi="Times New Roman" w:cs="Times New Roman"/>
          <w:sz w:val="24"/>
          <w:szCs w:val="24"/>
        </w:rPr>
        <w:t>Against this backdrop, the present study positions flexibility performance as a mediating mechanism that clarifies the pathways between leadership commitment, employee involvement, and non</w:t>
      </w:r>
      <w:r w:rsidRPr="00DD39A5">
        <w:rPr>
          <w:rFonts w:ascii="Times New Roman" w:eastAsia="Times New Roman" w:hAnsi="Times New Roman" w:cs="Times New Roman"/>
          <w:sz w:val="24"/>
          <w:szCs w:val="24"/>
        </w:rPr>
        <w:noBreakHyphen/>
        <w:t>financial organisational outcomes. By extending TQM research into Zambia’s Service Sector, the study addresses sectoral and geographical gaps, empirically validates the mediating role of flexibility, and re</w:t>
      </w:r>
      <w:r w:rsidRPr="00DD39A5">
        <w:rPr>
          <w:rFonts w:ascii="Times New Roman" w:eastAsia="Times New Roman" w:hAnsi="Times New Roman" w:cs="Times New Roman"/>
          <w:sz w:val="24"/>
          <w:szCs w:val="24"/>
        </w:rPr>
        <w:noBreakHyphen/>
        <w:t>centres attention on non</w:t>
      </w:r>
      <w:r w:rsidRPr="00DD39A5">
        <w:rPr>
          <w:rFonts w:ascii="Times New Roman" w:eastAsia="Times New Roman" w:hAnsi="Times New Roman" w:cs="Times New Roman"/>
          <w:sz w:val="24"/>
          <w:szCs w:val="24"/>
        </w:rPr>
        <w:noBreakHyphen/>
        <w:t>financial outcomes as critical indicators of organisational success in emerging economies.</w:t>
      </w:r>
    </w:p>
    <w:p w:rsidR="00315080" w:rsidRPr="00315080" w:rsidRDefault="00315080" w:rsidP="0031508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15080">
        <w:rPr>
          <w:rFonts w:ascii="Times New Roman" w:eastAsia="Times New Roman" w:hAnsi="Times New Roman" w:cs="Times New Roman"/>
          <w:b/>
          <w:bCs/>
          <w:sz w:val="24"/>
          <w:szCs w:val="24"/>
        </w:rPr>
        <w:t>2.4 Theoretical and Conceptual Framework</w:t>
      </w:r>
    </w:p>
    <w:p w:rsidR="00315080" w:rsidRPr="00315080" w:rsidRDefault="00315080" w:rsidP="00315080">
      <w:pPr>
        <w:spacing w:before="100" w:beforeAutospacing="1" w:after="100" w:afterAutospacing="1" w:line="360" w:lineRule="auto"/>
        <w:jc w:val="both"/>
        <w:rPr>
          <w:rFonts w:ascii="Times New Roman" w:eastAsia="Times New Roman" w:hAnsi="Times New Roman" w:cs="Times New Roman"/>
          <w:sz w:val="24"/>
          <w:szCs w:val="24"/>
        </w:rPr>
      </w:pPr>
      <w:r w:rsidRPr="00315080">
        <w:rPr>
          <w:rFonts w:ascii="Times New Roman" w:eastAsia="Times New Roman" w:hAnsi="Times New Roman" w:cs="Times New Roman"/>
          <w:sz w:val="24"/>
          <w:szCs w:val="24"/>
        </w:rPr>
        <w:t>This study is grounded in two complementary theoretical perspectives</w:t>
      </w:r>
      <w:r>
        <w:rPr>
          <w:rFonts w:ascii="Times New Roman" w:eastAsia="Times New Roman" w:hAnsi="Times New Roman" w:cs="Times New Roman"/>
          <w:sz w:val="24"/>
          <w:szCs w:val="24"/>
        </w:rPr>
        <w:t xml:space="preserve"> </w:t>
      </w:r>
      <w:r w:rsidRPr="00315080">
        <w:rPr>
          <w:rFonts w:ascii="Times New Roman" w:eastAsia="Times New Roman" w:hAnsi="Times New Roman" w:cs="Times New Roman"/>
          <w:bCs/>
          <w:sz w:val="24"/>
          <w:szCs w:val="24"/>
        </w:rPr>
        <w:t>Resource</w:t>
      </w:r>
      <w:r w:rsidRPr="00315080">
        <w:rPr>
          <w:rFonts w:ascii="Times New Roman" w:eastAsia="Times New Roman" w:hAnsi="Times New Roman" w:cs="Times New Roman"/>
          <w:bCs/>
          <w:sz w:val="24"/>
          <w:szCs w:val="24"/>
        </w:rPr>
        <w:noBreakHyphen/>
        <w:t>Based View (RBV)</w:t>
      </w:r>
      <w:r w:rsidRPr="00315080">
        <w:rPr>
          <w:rFonts w:ascii="Times New Roman" w:eastAsia="Times New Roman" w:hAnsi="Times New Roman" w:cs="Times New Roman"/>
          <w:sz w:val="24"/>
          <w:szCs w:val="24"/>
        </w:rPr>
        <w:t xml:space="preserve"> and </w:t>
      </w:r>
      <w:r w:rsidRPr="00315080">
        <w:rPr>
          <w:rFonts w:ascii="Times New Roman" w:eastAsia="Times New Roman" w:hAnsi="Times New Roman" w:cs="Times New Roman"/>
          <w:bCs/>
          <w:sz w:val="24"/>
          <w:szCs w:val="24"/>
        </w:rPr>
        <w:t>Social Exchange Theory (SET)</w:t>
      </w:r>
      <w:r>
        <w:rPr>
          <w:rFonts w:ascii="Times New Roman" w:eastAsia="Times New Roman" w:hAnsi="Times New Roman" w:cs="Times New Roman"/>
          <w:sz w:val="24"/>
          <w:szCs w:val="24"/>
        </w:rPr>
        <w:t xml:space="preserve"> </w:t>
      </w:r>
      <w:r w:rsidRPr="00315080">
        <w:rPr>
          <w:rFonts w:ascii="Times New Roman" w:eastAsia="Times New Roman" w:hAnsi="Times New Roman" w:cs="Times New Roman"/>
          <w:sz w:val="24"/>
          <w:szCs w:val="24"/>
        </w:rPr>
        <w:t>to justify the centrality of human</w:t>
      </w:r>
      <w:r w:rsidRPr="00315080">
        <w:rPr>
          <w:rFonts w:ascii="Times New Roman" w:eastAsia="Times New Roman" w:hAnsi="Times New Roman" w:cs="Times New Roman"/>
          <w:sz w:val="24"/>
          <w:szCs w:val="24"/>
        </w:rPr>
        <w:noBreakHyphen/>
        <w:t xml:space="preserve">centred TQM practices in service organisations. RBV positions </w:t>
      </w:r>
      <w:r w:rsidRPr="00315080">
        <w:rPr>
          <w:rFonts w:ascii="Times New Roman" w:eastAsia="Times New Roman" w:hAnsi="Times New Roman" w:cs="Times New Roman"/>
          <w:bCs/>
          <w:sz w:val="24"/>
          <w:szCs w:val="24"/>
        </w:rPr>
        <w:t xml:space="preserve">Top Management Commitment </w:t>
      </w:r>
      <w:r w:rsidRPr="00315080">
        <w:rPr>
          <w:rFonts w:ascii="Times New Roman" w:eastAsia="Times New Roman" w:hAnsi="Times New Roman" w:cs="Times New Roman"/>
          <w:sz w:val="24"/>
          <w:szCs w:val="24"/>
        </w:rPr>
        <w:t xml:space="preserve">and </w:t>
      </w:r>
      <w:r w:rsidRPr="00315080">
        <w:rPr>
          <w:rFonts w:ascii="Times New Roman" w:eastAsia="Times New Roman" w:hAnsi="Times New Roman" w:cs="Times New Roman"/>
          <w:bCs/>
          <w:sz w:val="24"/>
          <w:szCs w:val="24"/>
        </w:rPr>
        <w:t xml:space="preserve">Employee Involvement </w:t>
      </w:r>
      <w:r w:rsidRPr="00315080">
        <w:rPr>
          <w:rFonts w:ascii="Times New Roman" w:eastAsia="Times New Roman" w:hAnsi="Times New Roman" w:cs="Times New Roman"/>
          <w:sz w:val="24"/>
          <w:szCs w:val="24"/>
        </w:rPr>
        <w:t xml:space="preserve">as intangible strategic resources that enhance organisational agility and resilience </w:t>
      </w:r>
      <w:r w:rsidRPr="00315080">
        <w:rPr>
          <w:rFonts w:ascii="Times New Roman" w:eastAsia="Times New Roman" w:hAnsi="Times New Roman" w:cs="Times New Roman"/>
          <w:sz w:val="24"/>
          <w:szCs w:val="24"/>
        </w:rPr>
        <w:lastRenderedPageBreak/>
        <w:t>(Barney, 1991; Powell, 1995). Leadership commitment provides rare and inimitable capabilities in directing organisational culture, while employee involvement represents a valuable resource that strengthens adaptability and innovation.</w:t>
      </w:r>
      <w:r>
        <w:rPr>
          <w:rFonts w:ascii="Times New Roman" w:eastAsia="Times New Roman" w:hAnsi="Times New Roman" w:cs="Times New Roman"/>
          <w:sz w:val="24"/>
          <w:szCs w:val="24"/>
        </w:rPr>
        <w:t xml:space="preserve"> </w:t>
      </w:r>
      <w:r w:rsidRPr="00315080">
        <w:rPr>
          <w:rFonts w:ascii="Times New Roman" w:eastAsia="Times New Roman" w:hAnsi="Times New Roman" w:cs="Times New Roman"/>
          <w:sz w:val="24"/>
          <w:szCs w:val="24"/>
        </w:rPr>
        <w:t>SET frames employee involvement as reciprocal engagement, where organisational support and empowerment are associated with enhanced trust, motivation, and discretionary effort (Blau, 1964; Abbas and Kumari, 2023). In this perspective, leadership commitment signals managerial trust and investment, which employees reciprocate through greater participation in problem</w:t>
      </w:r>
      <w:r w:rsidRPr="00315080">
        <w:rPr>
          <w:rFonts w:ascii="Times New Roman" w:eastAsia="Times New Roman" w:hAnsi="Times New Roman" w:cs="Times New Roman"/>
          <w:sz w:val="24"/>
          <w:szCs w:val="24"/>
        </w:rPr>
        <w:noBreakHyphen/>
        <w:t>solving and responsiveness to customer needs. Together, RBV and SET provide a robust theoretical foundation for examining how human</w:t>
      </w:r>
      <w:r w:rsidRPr="00315080">
        <w:rPr>
          <w:rFonts w:ascii="Times New Roman" w:eastAsia="Times New Roman" w:hAnsi="Times New Roman" w:cs="Times New Roman"/>
          <w:sz w:val="24"/>
          <w:szCs w:val="24"/>
        </w:rPr>
        <w:noBreakHyphen/>
        <w:t>centred practices are linked with organisational flexibility and non</w:t>
      </w:r>
      <w:r w:rsidRPr="00315080">
        <w:rPr>
          <w:rFonts w:ascii="Times New Roman" w:eastAsia="Times New Roman" w:hAnsi="Times New Roman" w:cs="Times New Roman"/>
          <w:sz w:val="24"/>
          <w:szCs w:val="24"/>
        </w:rPr>
        <w:noBreakHyphen/>
        <w:t>financial outcomes.</w:t>
      </w:r>
    </w:p>
    <w:p w:rsidR="00315080" w:rsidRPr="00315080" w:rsidRDefault="00315080" w:rsidP="00315080">
      <w:pPr>
        <w:spacing w:before="100" w:beforeAutospacing="1" w:after="100" w:afterAutospacing="1" w:line="360" w:lineRule="auto"/>
        <w:jc w:val="both"/>
        <w:rPr>
          <w:rFonts w:ascii="Times New Roman" w:eastAsia="Times New Roman" w:hAnsi="Times New Roman" w:cs="Times New Roman"/>
          <w:sz w:val="24"/>
          <w:szCs w:val="24"/>
        </w:rPr>
      </w:pPr>
      <w:r w:rsidRPr="00315080">
        <w:rPr>
          <w:rFonts w:ascii="Times New Roman" w:eastAsia="Times New Roman" w:hAnsi="Times New Roman" w:cs="Times New Roman"/>
          <w:sz w:val="24"/>
          <w:szCs w:val="24"/>
        </w:rPr>
        <w:t>African TQM scholarship reinforces this human</w:t>
      </w:r>
      <w:r w:rsidRPr="00315080">
        <w:rPr>
          <w:rFonts w:ascii="Times New Roman" w:eastAsia="Times New Roman" w:hAnsi="Times New Roman" w:cs="Times New Roman"/>
          <w:sz w:val="24"/>
          <w:szCs w:val="24"/>
        </w:rPr>
        <w:noBreakHyphen/>
        <w:t>centred orientation. Studies in Nigeria, Ghana, and Zambia emphasise that managerial support and workforce participation are strongly associated with embedding a quality culture, particularly in resource</w:t>
      </w:r>
      <w:r w:rsidRPr="00315080">
        <w:rPr>
          <w:rFonts w:ascii="Times New Roman" w:eastAsia="Times New Roman" w:hAnsi="Times New Roman" w:cs="Times New Roman"/>
          <w:sz w:val="24"/>
          <w:szCs w:val="24"/>
        </w:rPr>
        <w:noBreakHyphen/>
        <w:t>constrained environments where financial and technological resources are limited (Adebanjo et al., 2016; Kuye and Sulaimon, 2011; Agyeman et al., 2020; Sichinsambwe, 2011). These perspectives collectively justify the focus on leadership commitment and employee involvement as critical practices that predict service sector competitiveness in African settings.</w:t>
      </w:r>
      <w:r>
        <w:rPr>
          <w:rFonts w:ascii="Times New Roman" w:eastAsia="Times New Roman" w:hAnsi="Times New Roman" w:cs="Times New Roman"/>
          <w:sz w:val="24"/>
          <w:szCs w:val="24"/>
        </w:rPr>
        <w:t xml:space="preserve"> </w:t>
      </w:r>
      <w:r w:rsidRPr="00315080">
        <w:rPr>
          <w:rFonts w:ascii="Times New Roman" w:eastAsia="Times New Roman" w:hAnsi="Times New Roman" w:cs="Times New Roman"/>
          <w:sz w:val="24"/>
          <w:szCs w:val="24"/>
        </w:rPr>
        <w:t xml:space="preserve">Flexibility Performance is positioned as a </w:t>
      </w:r>
      <w:r w:rsidRPr="00315080">
        <w:rPr>
          <w:rFonts w:ascii="Times New Roman" w:eastAsia="Times New Roman" w:hAnsi="Times New Roman" w:cs="Times New Roman"/>
          <w:bCs/>
          <w:sz w:val="24"/>
          <w:szCs w:val="24"/>
        </w:rPr>
        <w:t>mediating construct</w:t>
      </w:r>
      <w:r w:rsidRPr="00315080">
        <w:rPr>
          <w:rFonts w:ascii="Times New Roman" w:eastAsia="Times New Roman" w:hAnsi="Times New Roman" w:cs="Times New Roman"/>
          <w:sz w:val="24"/>
          <w:szCs w:val="24"/>
        </w:rPr>
        <w:t xml:space="preserve"> that clarifies the pathways between human</w:t>
      </w:r>
      <w:r w:rsidRPr="00315080">
        <w:rPr>
          <w:rFonts w:ascii="Times New Roman" w:eastAsia="Times New Roman" w:hAnsi="Times New Roman" w:cs="Times New Roman"/>
          <w:sz w:val="24"/>
          <w:szCs w:val="24"/>
        </w:rPr>
        <w:noBreakHyphen/>
        <w:t>centred TQM practices and non</w:t>
      </w:r>
      <w:r w:rsidRPr="00315080">
        <w:rPr>
          <w:rFonts w:ascii="Times New Roman" w:eastAsia="Times New Roman" w:hAnsi="Times New Roman" w:cs="Times New Roman"/>
          <w:sz w:val="24"/>
          <w:szCs w:val="24"/>
        </w:rPr>
        <w:noBreakHyphen/>
        <w:t>financial organisational outcomes. From RBV, flexibility can be interpreted as a strategic capability that enables organisations to adapt and innovate in uncertain environments. From SET, flexibility reflects the reciprocal exchanges between management and employees, where leadership support and employee involvement generate trust and motivation that translate into operational adaptability. In this way, F</w:t>
      </w:r>
      <w:r w:rsidR="00D80414">
        <w:rPr>
          <w:rFonts w:ascii="Times New Roman" w:eastAsia="Times New Roman" w:hAnsi="Times New Roman" w:cs="Times New Roman"/>
          <w:sz w:val="24"/>
          <w:szCs w:val="24"/>
        </w:rPr>
        <w:t xml:space="preserve">lexibility </w:t>
      </w:r>
      <w:r w:rsidRPr="00315080">
        <w:rPr>
          <w:rFonts w:ascii="Times New Roman" w:eastAsia="Times New Roman" w:hAnsi="Times New Roman" w:cs="Times New Roman"/>
          <w:sz w:val="24"/>
          <w:szCs w:val="24"/>
        </w:rPr>
        <w:t>P</w:t>
      </w:r>
      <w:r w:rsidR="00D80414">
        <w:rPr>
          <w:rFonts w:ascii="Times New Roman" w:eastAsia="Times New Roman" w:hAnsi="Times New Roman" w:cs="Times New Roman"/>
          <w:sz w:val="24"/>
          <w:szCs w:val="24"/>
        </w:rPr>
        <w:t>erformance</w:t>
      </w:r>
      <w:r w:rsidRPr="00315080">
        <w:rPr>
          <w:rFonts w:ascii="Times New Roman" w:eastAsia="Times New Roman" w:hAnsi="Times New Roman" w:cs="Times New Roman"/>
          <w:sz w:val="24"/>
          <w:szCs w:val="24"/>
        </w:rPr>
        <w:t xml:space="preserve"> functions as the mechanism through which human</w:t>
      </w:r>
      <w:r w:rsidRPr="00315080">
        <w:rPr>
          <w:rFonts w:ascii="Times New Roman" w:eastAsia="Times New Roman" w:hAnsi="Times New Roman" w:cs="Times New Roman"/>
          <w:sz w:val="24"/>
          <w:szCs w:val="24"/>
        </w:rPr>
        <w:noBreakHyphen/>
        <w:t xml:space="preserve">centred practices are associated with improvements in </w:t>
      </w:r>
      <w:r w:rsidRPr="00315080">
        <w:rPr>
          <w:rFonts w:ascii="Times New Roman" w:eastAsia="Times New Roman" w:hAnsi="Times New Roman" w:cs="Times New Roman"/>
          <w:bCs/>
          <w:sz w:val="24"/>
          <w:szCs w:val="24"/>
        </w:rPr>
        <w:t>Non</w:t>
      </w:r>
      <w:r w:rsidRPr="00315080">
        <w:rPr>
          <w:rFonts w:ascii="Times New Roman" w:eastAsia="Times New Roman" w:hAnsi="Times New Roman" w:cs="Times New Roman"/>
          <w:bCs/>
          <w:sz w:val="24"/>
          <w:szCs w:val="24"/>
        </w:rPr>
        <w:noBreakHyphen/>
        <w:t>Financial Organisational Performance</w:t>
      </w:r>
      <w:r w:rsidRPr="00315080">
        <w:rPr>
          <w:rFonts w:ascii="Times New Roman" w:eastAsia="Times New Roman" w:hAnsi="Times New Roman" w:cs="Times New Roman"/>
          <w:sz w:val="24"/>
          <w:szCs w:val="24"/>
        </w:rPr>
        <w:t>, including customer satisfaction, employee morale, and continuous process improvement.</w:t>
      </w:r>
    </w:p>
    <w:p w:rsidR="00315080" w:rsidRPr="00315080" w:rsidRDefault="00315080" w:rsidP="0031508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15080">
        <w:rPr>
          <w:rFonts w:ascii="Times New Roman" w:eastAsia="Times New Roman" w:hAnsi="Times New Roman" w:cs="Times New Roman"/>
          <w:b/>
          <w:bCs/>
          <w:sz w:val="24"/>
          <w:szCs w:val="24"/>
        </w:rPr>
        <w:t>2.4.1 Conceptual Framework Model</w:t>
      </w:r>
    </w:p>
    <w:p w:rsidR="00315080" w:rsidRPr="00315080" w:rsidRDefault="00315080" w:rsidP="00315080">
      <w:pPr>
        <w:spacing w:before="100" w:beforeAutospacing="1" w:after="100" w:afterAutospacing="1" w:line="360" w:lineRule="auto"/>
        <w:jc w:val="both"/>
        <w:rPr>
          <w:rFonts w:ascii="Times New Roman" w:eastAsia="Times New Roman" w:hAnsi="Times New Roman" w:cs="Times New Roman"/>
          <w:sz w:val="24"/>
          <w:szCs w:val="24"/>
        </w:rPr>
      </w:pPr>
      <w:r w:rsidRPr="00315080">
        <w:rPr>
          <w:rFonts w:ascii="Times New Roman" w:eastAsia="Times New Roman" w:hAnsi="Times New Roman" w:cs="Times New Roman"/>
          <w:sz w:val="24"/>
          <w:szCs w:val="24"/>
        </w:rPr>
        <w:t xml:space="preserve">Figure 2.1 presents the conceptual model underpinning this study. The diagram illustrates the sequential logic whereby </w:t>
      </w:r>
      <w:r w:rsidRPr="00315080">
        <w:rPr>
          <w:rFonts w:ascii="Times New Roman" w:eastAsia="Times New Roman" w:hAnsi="Times New Roman" w:cs="Times New Roman"/>
          <w:bCs/>
          <w:sz w:val="24"/>
          <w:szCs w:val="24"/>
        </w:rPr>
        <w:t>Top Management Commitment</w:t>
      </w:r>
      <w:r w:rsidRPr="00315080">
        <w:rPr>
          <w:rFonts w:ascii="Times New Roman" w:eastAsia="Times New Roman" w:hAnsi="Times New Roman" w:cs="Times New Roman"/>
          <w:sz w:val="24"/>
          <w:szCs w:val="24"/>
        </w:rPr>
        <w:t xml:space="preserve"> and </w:t>
      </w:r>
      <w:r w:rsidRPr="00315080">
        <w:rPr>
          <w:rFonts w:ascii="Times New Roman" w:eastAsia="Times New Roman" w:hAnsi="Times New Roman" w:cs="Times New Roman"/>
          <w:bCs/>
          <w:sz w:val="24"/>
          <w:szCs w:val="24"/>
        </w:rPr>
        <w:t>Employee Involvement</w:t>
      </w:r>
      <w:r w:rsidRPr="00315080">
        <w:rPr>
          <w:rFonts w:ascii="Times New Roman" w:eastAsia="Times New Roman" w:hAnsi="Times New Roman" w:cs="Times New Roman"/>
          <w:sz w:val="24"/>
          <w:szCs w:val="24"/>
        </w:rPr>
        <w:t xml:space="preserve"> are positioned as independent variables. These practices are associated with improvements in </w:t>
      </w:r>
      <w:r w:rsidRPr="00315080">
        <w:rPr>
          <w:rFonts w:ascii="Times New Roman" w:eastAsia="Times New Roman" w:hAnsi="Times New Roman" w:cs="Times New Roman"/>
          <w:bCs/>
          <w:sz w:val="24"/>
          <w:szCs w:val="24"/>
        </w:rPr>
        <w:lastRenderedPageBreak/>
        <w:t>Flexibility Performance</w:t>
      </w:r>
      <w:r w:rsidRPr="00315080">
        <w:rPr>
          <w:rFonts w:ascii="Times New Roman" w:eastAsia="Times New Roman" w:hAnsi="Times New Roman" w:cs="Times New Roman"/>
          <w:sz w:val="24"/>
          <w:szCs w:val="24"/>
        </w:rPr>
        <w:t xml:space="preserve">, which represents organisational adaptability, responsiveness, and innovation. Flexibility Performance subsequently mediates the relationship with </w:t>
      </w:r>
      <w:r w:rsidRPr="00315080">
        <w:rPr>
          <w:rFonts w:ascii="Times New Roman" w:eastAsia="Times New Roman" w:hAnsi="Times New Roman" w:cs="Times New Roman"/>
          <w:bCs/>
          <w:sz w:val="24"/>
          <w:szCs w:val="24"/>
        </w:rPr>
        <w:t>Non</w:t>
      </w:r>
      <w:r w:rsidRPr="00315080">
        <w:rPr>
          <w:rFonts w:ascii="Times New Roman" w:eastAsia="Times New Roman" w:hAnsi="Times New Roman" w:cs="Times New Roman"/>
          <w:bCs/>
          <w:sz w:val="24"/>
          <w:szCs w:val="24"/>
        </w:rPr>
        <w:noBreakHyphen/>
        <w:t>Financial Organisational Performance</w:t>
      </w:r>
      <w:r w:rsidRPr="00315080">
        <w:rPr>
          <w:rFonts w:ascii="Times New Roman" w:eastAsia="Times New Roman" w:hAnsi="Times New Roman" w:cs="Times New Roman"/>
          <w:sz w:val="24"/>
          <w:szCs w:val="24"/>
        </w:rPr>
        <w:t>, encompassing customer satisfaction, employee morale, and continuous improvement.</w:t>
      </w:r>
      <w:r>
        <w:rPr>
          <w:rFonts w:ascii="Times New Roman" w:eastAsia="Times New Roman" w:hAnsi="Times New Roman" w:cs="Times New Roman"/>
          <w:sz w:val="24"/>
          <w:szCs w:val="24"/>
        </w:rPr>
        <w:t xml:space="preserve"> </w:t>
      </w:r>
      <w:r w:rsidRPr="00315080">
        <w:rPr>
          <w:rFonts w:ascii="Times New Roman" w:eastAsia="Times New Roman" w:hAnsi="Times New Roman" w:cs="Times New Roman"/>
          <w:sz w:val="24"/>
          <w:szCs w:val="24"/>
        </w:rPr>
        <w:t>The arrows in the model highlight both direct and mediated pathways, demonstrating that leadership commitment and employee involvement achieve their greatest impact when channelled through operational flexibility. This framing aligns with RBV and SET, which together explain how human</w:t>
      </w:r>
      <w:r w:rsidRPr="00315080">
        <w:rPr>
          <w:rFonts w:ascii="Times New Roman" w:eastAsia="Times New Roman" w:hAnsi="Times New Roman" w:cs="Times New Roman"/>
          <w:sz w:val="24"/>
          <w:szCs w:val="24"/>
        </w:rPr>
        <w:noBreakHyphen/>
        <w:t>centred practices function as strategic resources and reciprocal exchanges that strengthen organisational agility and non</w:t>
      </w:r>
      <w:r w:rsidRPr="00315080">
        <w:rPr>
          <w:rFonts w:ascii="Times New Roman" w:eastAsia="Times New Roman" w:hAnsi="Times New Roman" w:cs="Times New Roman"/>
          <w:sz w:val="24"/>
          <w:szCs w:val="24"/>
        </w:rPr>
        <w:noBreakHyphen/>
        <w:t>financial outcomes in service organisations (Adebanjo et al., 2016; Sichinsambwe, 2011).</w:t>
      </w:r>
    </w:p>
    <w:p w:rsidR="00043D0A" w:rsidRPr="00091EB9" w:rsidRDefault="00043D0A" w:rsidP="00043D0A">
      <w:pPr>
        <w:jc w:val="center"/>
        <w:rPr>
          <w:rFonts w:ascii="Times New Roman" w:hAnsi="Times New Roman" w:cs="Times New Roman"/>
          <w:b/>
          <w:bCs/>
        </w:rPr>
      </w:pPr>
      <w:r w:rsidRPr="00091EB9">
        <w:rPr>
          <w:b/>
          <w:bCs/>
          <w:noProof/>
        </w:rPr>
        <mc:AlternateContent>
          <mc:Choice Requires="wpg">
            <w:drawing>
              <wp:anchor distT="0" distB="0" distL="114300" distR="114300" simplePos="0" relativeHeight="251659264" behindDoc="0" locked="0" layoutInCell="1" allowOverlap="1" wp14:anchorId="1FF05896" wp14:editId="62833E2B">
                <wp:simplePos x="0" y="0"/>
                <wp:positionH relativeFrom="margin">
                  <wp:posOffset>-66675</wp:posOffset>
                </wp:positionH>
                <wp:positionV relativeFrom="paragraph">
                  <wp:posOffset>267970</wp:posOffset>
                </wp:positionV>
                <wp:extent cx="6176010" cy="2714625"/>
                <wp:effectExtent l="0" t="0" r="15240" b="28575"/>
                <wp:wrapNone/>
                <wp:docPr id="443950905" name="Group 8"/>
                <wp:cNvGraphicFramePr/>
                <a:graphic xmlns:a="http://schemas.openxmlformats.org/drawingml/2006/main">
                  <a:graphicData uri="http://schemas.microsoft.com/office/word/2010/wordprocessingGroup">
                    <wpg:wgp>
                      <wpg:cNvGrpSpPr/>
                      <wpg:grpSpPr>
                        <a:xfrm>
                          <a:off x="0" y="0"/>
                          <a:ext cx="6176010" cy="2714625"/>
                          <a:chOff x="0" y="0"/>
                          <a:chExt cx="6290310" cy="3196425"/>
                        </a:xfrm>
                      </wpg:grpSpPr>
                      <wpg:grpSp>
                        <wpg:cNvPr id="1158382020" name="Group 6"/>
                        <wpg:cNvGrpSpPr/>
                        <wpg:grpSpPr>
                          <a:xfrm>
                            <a:off x="0" y="0"/>
                            <a:ext cx="6290310" cy="2793365"/>
                            <a:chOff x="0" y="0"/>
                            <a:chExt cx="6290310" cy="2793365"/>
                          </a:xfrm>
                        </wpg:grpSpPr>
                        <wps:wsp>
                          <wps:cNvPr id="1354145250" name="Straight Arrow Connector 4"/>
                          <wps:cNvCnPr/>
                          <wps:spPr>
                            <a:xfrm>
                              <a:off x="3803450" y="1447686"/>
                              <a:ext cx="760178" cy="0"/>
                            </a:xfrm>
                            <a:prstGeom prst="straightConnector1">
                              <a:avLst/>
                            </a:prstGeom>
                            <a:noFill/>
                            <a:ln w="28575" cap="flat" cmpd="sng" algn="ctr">
                              <a:solidFill>
                                <a:sysClr val="windowText" lastClr="000000"/>
                              </a:solidFill>
                              <a:prstDash val="solid"/>
                              <a:miter lim="800000"/>
                              <a:tailEnd type="triangle"/>
                            </a:ln>
                            <a:effectLst/>
                          </wps:spPr>
                          <wps:bodyPr/>
                        </wps:wsp>
                        <wpg:grpSp>
                          <wpg:cNvPr id="531539820" name="Group 5"/>
                          <wpg:cNvGrpSpPr/>
                          <wpg:grpSpPr>
                            <a:xfrm>
                              <a:off x="0" y="0"/>
                              <a:ext cx="6290310" cy="2793365"/>
                              <a:chOff x="0" y="0"/>
                              <a:chExt cx="6290890" cy="2793934"/>
                            </a:xfrm>
                          </wpg:grpSpPr>
                          <wps:wsp>
                            <wps:cNvPr id="202104439" name="Oval 2"/>
                            <wps:cNvSpPr/>
                            <wps:spPr>
                              <a:xfrm>
                                <a:off x="4564049" y="357809"/>
                                <a:ext cx="1452880" cy="243586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646048" name="Rectangle 1"/>
                            <wps:cNvSpPr/>
                            <wps:spPr>
                              <a:xfrm>
                                <a:off x="4667416" y="1129086"/>
                                <a:ext cx="1199543" cy="787179"/>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324B9" w:rsidRDefault="00D25429" w:rsidP="00043D0A">
                                  <w:pPr>
                                    <w:spacing w:after="0" w:line="240" w:lineRule="auto"/>
                                    <w:jc w:val="center"/>
                                    <w:rPr>
                                      <w:rFonts w:ascii="Times New Roman" w:hAnsi="Times New Roman" w:cs="Times New Roman"/>
                                      <w:b/>
                                      <w:bCs/>
                                    </w:rPr>
                                  </w:pPr>
                                  <w:r w:rsidRPr="004324B9">
                                    <w:rPr>
                                      <w:rFonts w:ascii="Times New Roman" w:hAnsi="Times New Roman" w:cs="Times New Roman"/>
                                      <w:b/>
                                      <w:bCs/>
                                    </w:rPr>
                                    <w:t xml:space="preserve">Non-Financial Organisational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632849" name="Oval 2"/>
                            <wps:cNvSpPr/>
                            <wps:spPr>
                              <a:xfrm>
                                <a:off x="0" y="357809"/>
                                <a:ext cx="1453487" cy="243612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3939" name="Rectangle 1"/>
                            <wps:cNvSpPr/>
                            <wps:spPr>
                              <a:xfrm>
                                <a:off x="174929" y="1733385"/>
                                <a:ext cx="1070070" cy="4762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324B9" w:rsidRDefault="00D25429" w:rsidP="00043D0A">
                                  <w:pPr>
                                    <w:spacing w:after="0" w:line="240" w:lineRule="auto"/>
                                    <w:jc w:val="center"/>
                                    <w:rPr>
                                      <w:rFonts w:ascii="Times New Roman" w:hAnsi="Times New Roman" w:cs="Times New Roman"/>
                                      <w:b/>
                                      <w:bCs/>
                                    </w:rPr>
                                  </w:pPr>
                                  <w:r w:rsidRPr="004324B9">
                                    <w:rPr>
                                      <w:rFonts w:ascii="Times New Roman" w:hAnsi="Times New Roman" w:cs="Times New Roman"/>
                                      <w:b/>
                                      <w:bCs/>
                                    </w:rPr>
                                    <w:t xml:space="preserve">Employee Investment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316244" name="Rectangle 1"/>
                            <wps:cNvSpPr/>
                            <wps:spPr>
                              <a:xfrm>
                                <a:off x="79513" y="0"/>
                                <a:ext cx="1343025" cy="35242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D6878" w:rsidRDefault="00D25429" w:rsidP="00043D0A">
                                  <w:pPr>
                                    <w:jc w:val="center"/>
                                    <w:rPr>
                                      <w:rFonts w:ascii="Times New Roman" w:hAnsi="Times New Roman" w:cs="Times New Roman"/>
                                      <w:b/>
                                      <w:bCs/>
                                      <w:sz w:val="24"/>
                                      <w:szCs w:val="24"/>
                                    </w:rPr>
                                  </w:pPr>
                                  <w:r w:rsidRPr="004D6878">
                                    <w:rPr>
                                      <w:rFonts w:ascii="Times New Roman" w:hAnsi="Times New Roman" w:cs="Times New Roman"/>
                                      <w:b/>
                                      <w:bCs/>
                                      <w:sz w:val="24"/>
                                      <w:szCs w:val="24"/>
                                    </w:rPr>
                                    <w:t>TQM Practice</w:t>
                                  </w:r>
                                  <w:r>
                                    <w:rPr>
                                      <w:rFonts w:ascii="Times New Roman" w:hAnsi="Times New Roman" w:cs="Times New Roman"/>
                                      <w:b/>
                                      <w:bC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543790" name="Rectangle 1"/>
                            <wps:cNvSpPr/>
                            <wps:spPr>
                              <a:xfrm>
                                <a:off x="2076126" y="31796"/>
                                <a:ext cx="1927832" cy="31432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D6878" w:rsidRDefault="00D25429" w:rsidP="00043D0A">
                                  <w:pPr>
                                    <w:spacing w:after="0" w:line="240" w:lineRule="auto"/>
                                    <w:jc w:val="center"/>
                                    <w:rPr>
                                      <w:rFonts w:ascii="Times New Roman" w:hAnsi="Times New Roman" w:cs="Times New Roman"/>
                                      <w:b/>
                                      <w:bCs/>
                                      <w:sz w:val="24"/>
                                      <w:szCs w:val="24"/>
                                    </w:rPr>
                                  </w:pPr>
                                  <w:r w:rsidRPr="004D6878">
                                    <w:rPr>
                                      <w:rFonts w:ascii="Times New Roman" w:hAnsi="Times New Roman" w:cs="Times New Roman"/>
                                      <w:b/>
                                      <w:bCs/>
                                      <w:sz w:val="24"/>
                                      <w:szCs w:val="24"/>
                                    </w:rPr>
                                    <w:t>Operational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682145" name="Rectangle 1"/>
                            <wps:cNvSpPr/>
                            <wps:spPr>
                              <a:xfrm>
                                <a:off x="4185207" y="15897"/>
                                <a:ext cx="2105683" cy="3333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D6878" w:rsidRDefault="00D25429" w:rsidP="00043D0A">
                                  <w:pPr>
                                    <w:spacing w:after="0" w:line="240" w:lineRule="auto"/>
                                    <w:jc w:val="center"/>
                                    <w:rPr>
                                      <w:rFonts w:ascii="Times New Roman" w:hAnsi="Times New Roman" w:cs="Times New Roman"/>
                                      <w:b/>
                                      <w:bCs/>
                                      <w:sz w:val="24"/>
                                      <w:szCs w:val="24"/>
                                    </w:rPr>
                                  </w:pPr>
                                  <w:r w:rsidRPr="004D6878">
                                    <w:rPr>
                                      <w:rFonts w:ascii="Times New Roman" w:hAnsi="Times New Roman" w:cs="Times New Roman"/>
                                      <w:b/>
                                      <w:bCs/>
                                      <w:sz w:val="24"/>
                                      <w:szCs w:val="24"/>
                                    </w:rPr>
                                    <w:t>Organisational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341848" name="Rectangle 1"/>
                            <wps:cNvSpPr/>
                            <wps:spPr>
                              <a:xfrm>
                                <a:off x="159026" y="881629"/>
                                <a:ext cx="1139588" cy="691889"/>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324B9" w:rsidRDefault="00D25429" w:rsidP="00043D0A">
                                  <w:pPr>
                                    <w:jc w:val="center"/>
                                    <w:rPr>
                                      <w:rFonts w:ascii="Times New Roman" w:hAnsi="Times New Roman" w:cs="Times New Roman"/>
                                      <w:b/>
                                      <w:bCs/>
                                    </w:rPr>
                                  </w:pPr>
                                  <w:r w:rsidRPr="004324B9">
                                    <w:rPr>
                                      <w:rFonts w:ascii="Times New Roman" w:hAnsi="Times New Roman" w:cs="Times New Roman"/>
                                      <w:b/>
                                      <w:bCs/>
                                    </w:rPr>
                                    <w:t>Top Management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433013" name="Oval 2"/>
                            <wps:cNvSpPr/>
                            <wps:spPr>
                              <a:xfrm>
                                <a:off x="2345635" y="357809"/>
                                <a:ext cx="1452880" cy="243586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540695" name="Rectangle 1"/>
                            <wps:cNvSpPr/>
                            <wps:spPr>
                              <a:xfrm>
                                <a:off x="2504661" y="1280160"/>
                                <a:ext cx="1160145" cy="47625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D25429" w:rsidRPr="004324B9" w:rsidRDefault="00D25429" w:rsidP="00043D0A">
                                  <w:pPr>
                                    <w:spacing w:after="0" w:line="240" w:lineRule="auto"/>
                                    <w:jc w:val="center"/>
                                    <w:rPr>
                                      <w:rFonts w:ascii="Times New Roman" w:hAnsi="Times New Roman" w:cs="Times New Roman"/>
                                      <w:b/>
                                      <w:bCs/>
                                    </w:rPr>
                                  </w:pPr>
                                  <w:r>
                                    <w:rPr>
                                      <w:rFonts w:ascii="Times New Roman" w:hAnsi="Times New Roman" w:cs="Times New Roman"/>
                                      <w:b/>
                                      <w:bCs/>
                                    </w:rPr>
                                    <w:t>Flexibility</w:t>
                                  </w:r>
                                  <w:r w:rsidRPr="004324B9">
                                    <w:rPr>
                                      <w:rFonts w:ascii="Times New Roman" w:hAnsi="Times New Roman" w:cs="Times New Roman"/>
                                      <w:b/>
                                      <w:bCs/>
                                    </w:rPr>
                                    <w:t xml:space="preserve"> </w:t>
                                  </w:r>
                                </w:p>
                                <w:p w:rsidR="00D25429" w:rsidRPr="004324B9" w:rsidRDefault="00D25429" w:rsidP="00043D0A">
                                  <w:pPr>
                                    <w:spacing w:after="0" w:line="240" w:lineRule="auto"/>
                                    <w:jc w:val="center"/>
                                    <w:rPr>
                                      <w:rFonts w:ascii="Times New Roman" w:hAnsi="Times New Roman" w:cs="Times New Roman"/>
                                      <w:b/>
                                      <w:bCs/>
                                    </w:rPr>
                                  </w:pPr>
                                  <w:r w:rsidRPr="004324B9">
                                    <w:rPr>
                                      <w:rFonts w:ascii="Times New Roman" w:hAnsi="Times New Roman" w:cs="Times New Roman"/>
                                      <w:b/>
                                      <w:bCs/>
                                    </w:rPr>
                                    <w:t xml:space="preserve">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039374" name="Straight Arrow Connector 4"/>
                            <wps:cNvCnPr/>
                            <wps:spPr>
                              <a:xfrm>
                                <a:off x="1402577" y="1076574"/>
                                <a:ext cx="958961" cy="171781"/>
                              </a:xfrm>
                              <a:prstGeom prst="straightConnector1">
                                <a:avLst/>
                              </a:prstGeom>
                              <a:noFill/>
                              <a:ln w="28575" cap="flat" cmpd="sng" algn="ctr">
                                <a:solidFill>
                                  <a:sysClr val="windowText" lastClr="000000"/>
                                </a:solidFill>
                                <a:prstDash val="solid"/>
                                <a:miter lim="800000"/>
                                <a:tailEnd type="triangle"/>
                              </a:ln>
                              <a:effectLst/>
                            </wps:spPr>
                            <wps:bodyPr/>
                          </wps:wsp>
                          <wps:wsp>
                            <wps:cNvPr id="74960068" name="Straight Arrow Connector 4"/>
                            <wps:cNvCnPr/>
                            <wps:spPr>
                              <a:xfrm flipV="1">
                                <a:off x="1426431" y="1623557"/>
                                <a:ext cx="919204" cy="327494"/>
                              </a:xfrm>
                              <a:prstGeom prst="straightConnector1">
                                <a:avLst/>
                              </a:prstGeom>
                              <a:noFill/>
                              <a:ln w="28575" cap="flat" cmpd="sng" algn="ctr">
                                <a:solidFill>
                                  <a:sysClr val="windowText" lastClr="000000"/>
                                </a:solidFill>
                                <a:prstDash val="solid"/>
                                <a:miter lim="800000"/>
                                <a:tailEnd type="triangle"/>
                              </a:ln>
                              <a:effectLst/>
                            </wps:spPr>
                            <wps:bodyPr/>
                          </wps:wsp>
                        </wpg:grpSp>
                      </wpg:grpSp>
                      <wps:wsp>
                        <wps:cNvPr id="1791906444" name="Rectangle 7"/>
                        <wps:cNvSpPr/>
                        <wps:spPr>
                          <a:xfrm>
                            <a:off x="87463" y="2926080"/>
                            <a:ext cx="1658766" cy="270345"/>
                          </a:xfrm>
                          <a:prstGeom prst="rect">
                            <a:avLst/>
                          </a:prstGeom>
                          <a:solidFill>
                            <a:sysClr val="window" lastClr="FFFFFF"/>
                          </a:solidFill>
                          <a:ln w="12700" cap="flat" cmpd="sng" algn="ctr">
                            <a:solidFill>
                              <a:sysClr val="window" lastClr="FFFFFF"/>
                            </a:solidFill>
                            <a:prstDash val="solid"/>
                            <a:miter lim="800000"/>
                          </a:ln>
                          <a:effectLst/>
                        </wps:spPr>
                        <wps:txbx>
                          <w:txbxContent>
                            <w:p w:rsidR="00D25429" w:rsidRPr="00AA0C49" w:rsidRDefault="00D25429" w:rsidP="00043D0A">
                              <w:pPr>
                                <w:jc w:val="center"/>
                                <w:rPr>
                                  <w:rFonts w:ascii="Times New Roman" w:hAnsi="Times New Roman" w:cs="Times New Roman"/>
                                  <w:b/>
                                  <w:i/>
                                  <w:sz w:val="20"/>
                                  <w:szCs w:val="20"/>
                                </w:rPr>
                              </w:pPr>
                              <w:r>
                                <w:rPr>
                                  <w:rFonts w:ascii="Times New Roman" w:hAnsi="Times New Roman" w:cs="Times New Roman"/>
                                  <w:b/>
                                  <w:i/>
                                  <w:sz w:val="20"/>
                                  <w:szCs w:val="20"/>
                                </w:rPr>
                                <w:t>Source: Author, 2025</w:t>
                              </w:r>
                              <w:r w:rsidRPr="00AA0C49">
                                <w:rPr>
                                  <w:rFonts w:ascii="Times New Roman" w:hAnsi="Times New Roman" w:cs="Times New Roman"/>
                                  <w:b/>
                                  <w:i/>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F05896" id="Group 8" o:spid="_x0000_s1026" style="position:absolute;left:0;text-align:left;margin-left:-5.25pt;margin-top:21.1pt;width:486.3pt;height:213.75pt;z-index:251659264;mso-position-horizontal-relative:margin;mso-width-relative:margin;mso-height-relative:margin" coordsize="62903,3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5XlQYAAGszAAAOAAAAZHJzL2Uyb0RvYy54bWzsW9tu2zgQfV9g/0HQ+9aiSFGUUacI0qZY&#10;oGiLTXf7zMiyLUAStZQSJ/v1PaQuvjWIL0FQeGUEjiSK1JA6Z2Y4M3777iHPnPtEV6kqJi5547lO&#10;UsRqmhbzifv3t+s/hOtUtSymMlNFMnEfk8p9d/H7b2+X5Tjx1UJl00Q7GKSoxsty4i7quhyPRlW8&#10;SHJZvVFlUqBxpnQua5zq+Wiq5RKj59nI9zw+Wio9LbWKk6rC1fdNo3thx5/Nkrj+MptVSe1kExey&#10;1fZb2+9b8z26eCvHcy3LRRq3YsgjpMhlWuCh/VDvZS2dO53uDJWnsVaVmtVvYpWP1GyWxomdA2ZD&#10;vK3ZfNTqrrRzmY+X87JfJizt1jodPWz8+f6rdtLpxGWMRoEXeYHrFDLHq7JPd4RZomU5H+POj7q8&#10;Kb/q9sK8OTOzfpjp3PzHfJwHu7iP/eImD7UT4yInIccUXSdGmx8Sxv2gWf54gXe00y9efOh6+pFH&#10;u56URJw1PUfdg0dGvl6c/qSXu50hIYGgwvd8CLE+Rf5iU1wX1A8jSvkxU1zr+eQUwZZqBYjqNEDc&#10;LGSZWJxV5jV3y0UDRljgB/1y3dRapvNF7VxqrZbOlSoKEExphzUraHtfFS1CqnEFsPwEHlR4lJlR&#10;AQTCWMiFfQNy3EHFACWE4jBIsRTtl0GOS13VHxOVO+Zg4latSL0sxNJQ3n+qauAUHbsORpBCXadZ&#10;ZjmfFc4SOBRBCMDHEqpnlskah3kJMlTF3HVkNodOi2tth6xUlk5NdzNQ9VhdZdq5l1Ar0EZTtfwG&#10;4V0nk1WNBohtP2ZZIMJGVyPPe1ktms62qaFBntZQhVmaT1zR95bjWqbZh2Lq1I8lSFnrVBbzLGlH&#10;zgojTWIVXTvjZdktvDm6VdNH+z7AEYuZhhSWLNv8CCgJaASCbNLDQvhFNMBJ9BAR5Gp0R0QjaiHX&#10;42JbA7wCPaBHiGeUZrdaX4AGx19jQq8ruxfS6ateUbKAM49hBACdBqHwogYKHREM/YTo5s1oIPgz&#10;fEiyLC0rQ2Y5foIEG2jcBfIaiK/tp4XaRreGPQTWwgj3y7IH+NiTIY5WjW9QlfF1Cop+ApO/Sg1n&#10;ADOEg1N/wdcsU1Aaqj1ynYXS//3surkfKhmtrrOEcwGF8u+d1AnW9s8CyjqC2sOwtT1hQWgop9db&#10;btdbirv8SkHRELhSZWwPzf111h3OtMq/ww+6NE9FkyxiPLtRXe3JVd04PfCk4uTy0t4GD6SU9afi&#10;pozN4AYyRjl9e/guddnq1xpQ/Kw6A7GDqeZe07NQl3e1mqVW6640D/TfmuJ5DVpSwhn3GMxHY+P/&#10;gomyKtMhh3GT85AR3lgpAtW1baUIiaKA0UYphSIkoWVvr5NWpqddSw1JBmJ2CuxZYtYPtw/W1eys&#10;2MDRM+FoyBinvjCGr+HoEaYTau5po0mZCFtngVFOtrYLO8QcjOa6yzkYzc6C/m+MpvBDuNQ9HY81&#10;mSRkkd94sySklIp299u7s17o4a9hJvZ9ZmvZ7JC6AEK3WRss5vZGcB9WGotpYzm9p9Ns/wbDeSaG&#10;k/gign/rM9ZZzmOpGkYBgevaBVhWsRdCGfVgMO1Wmwb+dqxtx3gOXm0frDmIo32kYODoWW1ABUHc&#10;lIYmWnXaBtT3QriuzQaUYnO5FSQlkR8K6rdEJYw+5+UORD2OqLQLGwxEPSui+sLnwkeI9VSiMiIC&#10;kLWJFAUiCg1gVhYVYeKAizZOBK+YIuMweL37pT8Osqh9Fmog6lkRlXicUpDs9JguCSKvtahCwI/e&#10;TrcQpMBFm3jkERFiiOjum6g8iKltSnEI7J5Z8gUJUfi+1DNby6Mjuz6KAziFVX46vjskRTeysYeV&#10;FOzD1MGCnpUFBSMD5vHoZFcXEVvGORLR4CaCUR5p6hFWzi7BFetSm0qNIcR7UK3PPsTsQ7xt0dpg&#10;Qs/NhDLU+CAZE/Yh3puXqbojDGHdsN2lIrQU4Akb+1S4vpGhtmEuQTWDsFkEgPKJ5Ew1lN4dXnr3&#10;ChUwSMJxVEb3BTCn4MeZoZzsn646qC3vJcznjLZGgPs0CLYiHhFikx7wa5BEfcizWay3k0IYkGTC&#10;RQcVca4KHm2FVVv+bCo6XwFhCEaj9I+zn6WhLBSMFCgkfr4AUoSoBLHehB/53EOp44ZKIjwQIUcI&#10;vKn7NGXDv0zozEcuG4KdXvu4V8Hly7v4vSfRv7HB6X8tp9+yF7/osNXh7a9PzE9G1s8tr1e/kbn4&#10;AQAA//8DAFBLAwQUAAYACAAAACEAeXO4D+EAAAAKAQAADwAAAGRycy9kb3ducmV2LnhtbEyPwU7D&#10;MAyG70i8Q2QkbluawgorTadpAk7TJDYkxM1rvbZak1RN1nZvjznB0fan39+frSbTioF63zirQc0j&#10;EGQLVza20vB5eJs9g/ABbYmts6ThSh5W+e1NhmnpRvtBwz5UgkOsT1FDHUKXSumLmgz6uevI8u3k&#10;eoOBx76SZY8jh5tWxlGUSION5Q81drSpqTjvL0bD+4jj+kG9DtvzaXP9Pix2X1tFWt/fTesXEIGm&#10;8AfDrz6rQ85OR3expRethpmKFoxqeIxjEAwsk1iBOPIiWT6BzDP5v0L+AwAA//8DAFBLAQItABQA&#10;BgAIAAAAIQC2gziS/gAAAOEBAAATAAAAAAAAAAAAAAAAAAAAAABbQ29udGVudF9UeXBlc10ueG1s&#10;UEsBAi0AFAAGAAgAAAAhADj9If/WAAAAlAEAAAsAAAAAAAAAAAAAAAAALwEAAF9yZWxzLy5yZWxz&#10;UEsBAi0AFAAGAAgAAAAhAKyePleVBgAAazMAAA4AAAAAAAAAAAAAAAAALgIAAGRycy9lMm9Eb2Mu&#10;eG1sUEsBAi0AFAAGAAgAAAAhAHlzuA/hAAAACgEAAA8AAAAAAAAAAAAAAAAA7wgAAGRycy9kb3du&#10;cmV2LnhtbFBLBQYAAAAABAAEAPMAAAD9CQAAAAA=&#10;">
                <v:group id="Group 6" o:spid="_x0000_s1027" style="position:absolute;width:62903;height:27933" coordsize="62903,27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X5KcwAAADjAAAADwAAAGRycy9kb3ducmV2LnhtbESPQWvCQBCF74X+h2UK&#10;3uomEUtIXUWkLR5EqBZKb0N2TILZ2ZDdJvHfdw4FjzPz5r33rTaTa9VAfWg8G0jnCSji0tuGKwNf&#10;5/fnHFSIyBZbz2TgRgE268eHFRbWj/xJwylWSkw4FGigjrErtA5lTQ7D3HfEcrv43mGUsa+07XEU&#10;c9fqLEletMOGJaHGjnY1ldfTrzPwMeK4XaRvw+F62d1+zsvj9yElY2ZP0/YVVKQp3sX/33sr9dNl&#10;vsizJBMKYZIF6PU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GVfkp&#10;zAAAAOMAAAAPAAAAAAAAAAAAAAAAAKoCAABkcnMvZG93bnJldi54bWxQSwUGAAAAAAQABAD6AAAA&#10;owMAAAAA&#10;">
                  <v:shapetype id="_x0000_t32" coordsize="21600,21600" o:spt="32" o:oned="t" path="m,l21600,21600e" filled="f">
                    <v:path arrowok="t" fillok="f" o:connecttype="none"/>
                    <o:lock v:ext="edit" shapetype="t"/>
                  </v:shapetype>
                  <v:shape id="Straight Arrow Connector 4" o:spid="_x0000_s1028" type="#_x0000_t32" style="position:absolute;left:38034;top:14476;width:76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6rbMwAAADjAAAADwAAAGRycy9kb3ducmV2LnhtbESPQW/CMAyF70j8h8iTdoMUaCtUCIgx&#10;TdplhzKkaTfTeG1F43RJVsq/Xw6TdrT9/N77tvvRdGIg51vLChbzBARxZXXLtYLz+8tsDcIHZI2d&#10;ZVJwJw/73XSyxULbG5c0nEItogn7AhU0IfSFlL5qyKCf25443r6sMxji6GqpHd6iuenkMklyabDl&#10;mNBgT8eGquvpxyhY5Zd19Zl/l8fncnh7up85vboPpR4fxsMGRKAx/Iv/vl91rL/K0kWaLbNIEZni&#10;AuTu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H+q2zMAAAA4wAAAA8A&#10;AAAAAAAAAAAAAAAAoQIAAGRycy9kb3ducmV2LnhtbFBLBQYAAAAABAAEAPkAAACaAwAAAAA=&#10;" strokecolor="windowText" strokeweight="2.25pt">
                    <v:stroke endarrow="block" joinstyle="miter"/>
                  </v:shape>
                  <v:group id="Group 5" o:spid="_x0000_s1029" style="position:absolute;width:62903;height:27933" coordsize="62908,27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8U18kAAADiAAAADwAAAGRycy9kb3ducmV2LnhtbESPy2rCQBSG9wXfYThC&#10;d3USQ4pGRxGxxYUUvIC4O2SOSTBzJmSmSXx7Z1Ho8ue/8S3Xg6lFR62rLCuIJxEI4tzqigsFl/PX&#10;xwyE88gaa8uk4EkO1qvR2xIzbXs+UnfyhQgj7DJUUHrfZFK6vCSDbmIb4uDdbWvQB9kWUrfYh3FT&#10;y2kUfUqDFYeHEhvalpQ/Tr9GwXeP/SaJd93hcd8+b+f053qISan38bBZgPA0+P/wX3uvFaRJnCbz&#10;2TRABKSAA3L1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0nxTXyQAA&#10;AOIAAAAPAAAAAAAAAAAAAAAAAKoCAABkcnMvZG93bnJldi54bWxQSwUGAAAAAAQABAD6AAAAoAMA&#10;AAAA&#10;">
                    <v:oval id="Oval 2" o:spid="_x0000_s1030" style="position:absolute;left:45640;top:3578;width:14529;height:24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XyMkA&#10;AADiAAAADwAAAGRycy9kb3ducmV2LnhtbESPT0sDMRTE74LfITzBi9hk11batWkpBWnx1j+HHh+b&#10;52Z187Ikabv99kYQPA4z8xtmvhxcJy4UYutZQzFSIIhrb1puNBwP789TEDEhG+w8k4YbRVgu7u/m&#10;WBl/5R1d9qkRGcKxQg02pb6SMtaWHMaR74mz9+mDw5RlaKQJeM1w18lSqVfpsOW8YLGntaX6e392&#10;GuirWW+27qyKKU8+zJMtwurUaf34MKzeQCQa0n/4r701GkpVFmo8fpnB76V8B+Ti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xBXyMkAAADiAAAADwAAAAAAAAAAAAAAAACYAgAA&#10;ZHJzL2Rvd25yZXYueG1sUEsFBgAAAAAEAAQA9QAAAI4DAAAAAA==&#10;" fillcolor="window" strokecolor="windowText" strokeweight="1.5pt">
                      <v:stroke joinstyle="miter"/>
                    </v:oval>
                    <v:rect id="Rectangle 1" o:spid="_x0000_s1031" style="position:absolute;left:46674;top:11290;width:11995;height:78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CmMcA&#10;AADiAAAADwAAAGRycy9kb3ducmV2LnhtbERPz2vCMBS+D/Y/hDfYTVOdlFGNIoqyzYOsKnp8NM+2&#10;W/NSmqxm//1yEHb8+H7PFsE0oqfO1ZYVjIYJCOLC6ppLBcfDZvAKwnlkjY1lUvBLDhbzx4cZZtre&#10;+JP63JcihrDLUEHlfZtJ6YqKDLqhbYkjd7WdQR9hV0rd4S2Gm0aOkySVBmuODRW2tKqo+M5/jAK/&#10;24f3y9d+zTo/Y38yYVt8BKWen8JyCsJT8P/iu/tNKxi/jNJJmkzi5ngp3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4gpjHAAAA4gAAAA8AAAAAAAAAAAAAAAAAmAIAAGRy&#10;cy9kb3ducmV2LnhtbFBLBQYAAAAABAAEAPUAAACMAwAAAAA=&#10;" fillcolor="window" strokecolor="windowText" strokeweight="1.5pt">
                      <v:textbox>
                        <w:txbxContent>
                          <w:p w:rsidR="00D25429" w:rsidRPr="004324B9" w:rsidRDefault="00D25429" w:rsidP="00043D0A">
                            <w:pPr>
                              <w:spacing w:after="0" w:line="240" w:lineRule="auto"/>
                              <w:jc w:val="center"/>
                              <w:rPr>
                                <w:rFonts w:ascii="Times New Roman" w:hAnsi="Times New Roman" w:cs="Times New Roman"/>
                                <w:b/>
                                <w:bCs/>
                              </w:rPr>
                            </w:pPr>
                            <w:r w:rsidRPr="004324B9">
                              <w:rPr>
                                <w:rFonts w:ascii="Times New Roman" w:hAnsi="Times New Roman" w:cs="Times New Roman"/>
                                <w:b/>
                                <w:bCs/>
                              </w:rPr>
                              <w:t xml:space="preserve">Non-Financial Organisational Performance  </w:t>
                            </w:r>
                          </w:p>
                        </w:txbxContent>
                      </v:textbox>
                    </v:rect>
                    <v:oval id="Oval 2" o:spid="_x0000_s1032" style="position:absolute;top:3578;width:14534;height:24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veMoA&#10;AADiAAAADwAAAGRycy9kb3ducmV2LnhtbESPQWsCMRSE74L/ITzBS6nZtavdbo0iQqn0Vu2hx8fm&#10;dbN187IkUbf/vikUPA4z8w2z2gy2ExfyoXWsIJ9lIIhrp1tuFHwcX+5LECEia+wck4IfCrBZj0cr&#10;rLS78jtdDrERCcKhQgUmxr6SMtSGLIaZ64mT9+W8xZikb6T2eE1w28l5li2lxZbTgsGedobq0+Fs&#10;FdB3s3vd23OWl7x403cm99vPTqnpZNg+g4g0xFv4v73XCh6LYvkwL4sn+LuU7oB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X673jKAAAA4gAAAA8AAAAAAAAAAAAAAAAAmAIA&#10;AGRycy9kb3ducmV2LnhtbFBLBQYAAAAABAAEAPUAAACPAwAAAAA=&#10;" fillcolor="window" strokecolor="windowText" strokeweight="1.5pt">
                      <v:stroke joinstyle="miter"/>
                    </v:oval>
                    <v:rect id="Rectangle 1" o:spid="_x0000_s1033" style="position:absolute;left:1749;top:17333;width:10700;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woMkA&#10;AADgAAAADwAAAGRycy9kb3ducmV2LnhtbESPQWvCQBSE7wX/w/KE3uqmClVTV5GKpepBGi3t8ZF9&#10;TWKzb0N2G9d/3xWEHoeZ+YaZLYKpRUetqywreBwkIIhzqysuFBwP64cJCOeRNdaWScGFHCzmvbsZ&#10;ptqe+Z26zBciQtilqKD0vkmldHlJBt3ANsTR+7atQR9lW0jd4jnCTS2HSfIkDVYcF0ps6KWk/Cf7&#10;NQr8bh82X6f9inX2id2HCa/5Nih13w/LZxCegv8P39pvWsFkOB5NR1O4Hopn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6zwoMkAAADgAAAADwAAAAAAAAAAAAAAAACYAgAA&#10;ZHJzL2Rvd25yZXYueG1sUEsFBgAAAAAEAAQA9QAAAI4DAAAAAA==&#10;" fillcolor="window" strokecolor="windowText" strokeweight="1.5pt">
                      <v:textbox>
                        <w:txbxContent>
                          <w:p w:rsidR="00D25429" w:rsidRPr="004324B9" w:rsidRDefault="00D25429" w:rsidP="00043D0A">
                            <w:pPr>
                              <w:spacing w:after="0" w:line="240" w:lineRule="auto"/>
                              <w:jc w:val="center"/>
                              <w:rPr>
                                <w:rFonts w:ascii="Times New Roman" w:hAnsi="Times New Roman" w:cs="Times New Roman"/>
                                <w:b/>
                                <w:bCs/>
                              </w:rPr>
                            </w:pPr>
                            <w:r w:rsidRPr="004324B9">
                              <w:rPr>
                                <w:rFonts w:ascii="Times New Roman" w:hAnsi="Times New Roman" w:cs="Times New Roman"/>
                                <w:b/>
                                <w:bCs/>
                              </w:rPr>
                              <w:t xml:space="preserve">Employee Investment </w:t>
                            </w:r>
                          </w:p>
                        </w:txbxContent>
                      </v:textbox>
                    </v:rect>
                    <v:rect id="Rectangle 1" o:spid="_x0000_s1034" style="position:absolute;left:795;width:1343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QA8gA&#10;AADjAAAADwAAAGRycy9kb3ducmV2LnhtbERPX0/CMBB/N/E7NEfCm3RMQnBSiIFIQB+IU6OPl/XY&#10;put1Wcuo356akPB4v/83XwbTiJ46V1tWMB4lIIgLq2suFXy8P9/NQDiPrLGxTAr+yMFycXszx0zb&#10;E79Rn/tSxBB2GSqovG8zKV1RkUE3si1x5A62M+jj2ZVSd3iK4aaRaZJMpcGaY0OFLa0qKn7zo1Hg&#10;X/dh9/2zX7POv7D/NGFTvASlhoPw9AjCU/BX8cW91XF+Onu4H0/TyQT+f4oAyM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ytADyAAAAOMAAAAPAAAAAAAAAAAAAAAAAJgCAABk&#10;cnMvZG93bnJldi54bWxQSwUGAAAAAAQABAD1AAAAjQMAAAAA&#10;" fillcolor="window" strokecolor="windowText" strokeweight="1.5pt">
                      <v:textbox>
                        <w:txbxContent>
                          <w:p w:rsidR="00D25429" w:rsidRPr="004D6878" w:rsidRDefault="00D25429" w:rsidP="00043D0A">
                            <w:pPr>
                              <w:jc w:val="center"/>
                              <w:rPr>
                                <w:rFonts w:ascii="Times New Roman" w:hAnsi="Times New Roman" w:cs="Times New Roman"/>
                                <w:b/>
                                <w:bCs/>
                                <w:sz w:val="24"/>
                                <w:szCs w:val="24"/>
                              </w:rPr>
                            </w:pPr>
                            <w:r w:rsidRPr="004D6878">
                              <w:rPr>
                                <w:rFonts w:ascii="Times New Roman" w:hAnsi="Times New Roman" w:cs="Times New Roman"/>
                                <w:b/>
                                <w:bCs/>
                                <w:sz w:val="24"/>
                                <w:szCs w:val="24"/>
                              </w:rPr>
                              <w:t>TQM Practice</w:t>
                            </w:r>
                            <w:r>
                              <w:rPr>
                                <w:rFonts w:ascii="Times New Roman" w:hAnsi="Times New Roman" w:cs="Times New Roman"/>
                                <w:b/>
                                <w:bCs/>
                              </w:rPr>
                              <w:t>s</w:t>
                            </w:r>
                          </w:p>
                        </w:txbxContent>
                      </v:textbox>
                    </v:rect>
                    <v:rect id="Rectangle 1" o:spid="_x0000_s1035" style="position:absolute;left:20761;top:317;width:19278;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H+soA&#10;AADiAAAADwAAAGRycy9kb3ducmV2LnhtbESPzU7CQBSF9ya+w+SasJMpoICVgRgIRmBBKBhd3nSu&#10;bbFzp+mMZXx7Z2HC8uT85ZstgqlFR62rLCsY9BMQxLnVFRcKTsf1/RSE88gaa8uk4JccLOa3NzNM&#10;tb3wgbrMFyKOsEtRQel9k0rp8pIMur5tiKP3ZVuDPsq2kLrFSxw3tRwmyVgarDg+lNjQsqT8O/sx&#10;CvxuHzaf5/2KdfaB3bsJr/k2KNW7Cy/PIDwFfw3/t9+0gulg9PgwmjxFiIgUcUD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osB/rKAAAA4gAAAA8AAAAAAAAAAAAAAAAAmAIA&#10;AGRycy9kb3ducmV2LnhtbFBLBQYAAAAABAAEAPUAAACPAwAAAAA=&#10;" fillcolor="window" strokecolor="windowText" strokeweight="1.5pt">
                      <v:textbox>
                        <w:txbxContent>
                          <w:p w:rsidR="00D25429" w:rsidRPr="004D6878" w:rsidRDefault="00D25429" w:rsidP="00043D0A">
                            <w:pPr>
                              <w:spacing w:after="0" w:line="240" w:lineRule="auto"/>
                              <w:jc w:val="center"/>
                              <w:rPr>
                                <w:rFonts w:ascii="Times New Roman" w:hAnsi="Times New Roman" w:cs="Times New Roman"/>
                                <w:b/>
                                <w:bCs/>
                                <w:sz w:val="24"/>
                                <w:szCs w:val="24"/>
                              </w:rPr>
                            </w:pPr>
                            <w:r w:rsidRPr="004D6878">
                              <w:rPr>
                                <w:rFonts w:ascii="Times New Roman" w:hAnsi="Times New Roman" w:cs="Times New Roman"/>
                                <w:b/>
                                <w:bCs/>
                                <w:sz w:val="24"/>
                                <w:szCs w:val="24"/>
                              </w:rPr>
                              <w:t>Operational Performance</w:t>
                            </w:r>
                          </w:p>
                        </w:txbxContent>
                      </v:textbox>
                    </v:rect>
                    <v:rect id="Rectangle 1" o:spid="_x0000_s1036" style="position:absolute;left:41852;top:158;width:21056;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N9ssA&#10;AADiAAAADwAAAGRycy9kb3ducmV2LnhtbESPQUvDQBSE74L/YXlCb3bTYEuI3RaxVNp6KE0VPT6y&#10;zySafRuy23T777uC4HGYmW+Y+TKYVgzUu8aygsk4AUFcWt1wpeDtuL7PQDiPrLG1TAou5GC5uL2Z&#10;Y67tmQ80FL4SEcIuRwW1910upStrMujGtiOO3pftDfoo+0rqHs8RblqZJslMGmw4LtTY0XNN5U9x&#10;Mgr86z5sP7/3K9bFBw7vJryUu6DU6C48PYLwFPx/+K+90QrSLJ1l6eRhCr+X4h2Qiy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qA32ywAAAOIAAAAPAAAAAAAAAAAAAAAAAJgC&#10;AABkcnMvZG93bnJldi54bWxQSwUGAAAAAAQABAD1AAAAkAMAAAAA&#10;" fillcolor="window" strokecolor="windowText" strokeweight="1.5pt">
                      <v:textbox>
                        <w:txbxContent>
                          <w:p w:rsidR="00D25429" w:rsidRPr="004D6878" w:rsidRDefault="00D25429" w:rsidP="00043D0A">
                            <w:pPr>
                              <w:spacing w:after="0" w:line="240" w:lineRule="auto"/>
                              <w:jc w:val="center"/>
                              <w:rPr>
                                <w:rFonts w:ascii="Times New Roman" w:hAnsi="Times New Roman" w:cs="Times New Roman"/>
                                <w:b/>
                                <w:bCs/>
                                <w:sz w:val="24"/>
                                <w:szCs w:val="24"/>
                              </w:rPr>
                            </w:pPr>
                            <w:r w:rsidRPr="004D6878">
                              <w:rPr>
                                <w:rFonts w:ascii="Times New Roman" w:hAnsi="Times New Roman" w:cs="Times New Roman"/>
                                <w:b/>
                                <w:bCs/>
                                <w:sz w:val="24"/>
                                <w:szCs w:val="24"/>
                              </w:rPr>
                              <w:t>Organisational Performance</w:t>
                            </w:r>
                          </w:p>
                        </w:txbxContent>
                      </v:textbox>
                    </v:rect>
                    <v:rect id="Rectangle 1" o:spid="_x0000_s1037" style="position:absolute;left:1590;top:8816;width:11396;height:6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ecwA&#10;AADjAAAADwAAAGRycy9kb3ducmV2LnhtbESPT0/DMAzF70h8h8hI3Fi6P5qmsmxCTCA2DhMFBEer&#10;MW2hcaom67Jvjw+TdrTf83s/L9fJtWqgPjSeDYxHGSji0tuGKwMf7093C1AhIltsPZOBEwVYr66v&#10;lphbf+Q3GopYKQnhkKOBOsYu1zqUNTkMI98Ri/bje4dRxr7StsejhLtWT7Jsrh02LA01dvRYU/lX&#10;HJyB+LpP2+/f/YZt8YXDp0vP5S4Zc3uTHu5BRUrxYj5fv1jBz+bT6Wy8mAm0/CQL0Kt/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qDecwAAADjAAAADwAAAAAAAAAAAAAAAACY&#10;AgAAZHJzL2Rvd25yZXYueG1sUEsFBgAAAAAEAAQA9QAAAJEDAAAAAA==&#10;" fillcolor="window" strokecolor="windowText" strokeweight="1.5pt">
                      <v:textbox>
                        <w:txbxContent>
                          <w:p w:rsidR="00D25429" w:rsidRPr="004324B9" w:rsidRDefault="00D25429" w:rsidP="00043D0A">
                            <w:pPr>
                              <w:jc w:val="center"/>
                              <w:rPr>
                                <w:rFonts w:ascii="Times New Roman" w:hAnsi="Times New Roman" w:cs="Times New Roman"/>
                                <w:b/>
                                <w:bCs/>
                              </w:rPr>
                            </w:pPr>
                            <w:r w:rsidRPr="004324B9">
                              <w:rPr>
                                <w:rFonts w:ascii="Times New Roman" w:hAnsi="Times New Roman" w:cs="Times New Roman"/>
                                <w:b/>
                                <w:bCs/>
                              </w:rPr>
                              <w:t>Top Management Commitment</w:t>
                            </w:r>
                          </w:p>
                        </w:txbxContent>
                      </v:textbox>
                    </v:rect>
                    <v:oval id="Oval 2" o:spid="_x0000_s1038" style="position:absolute;left:23456;top:3578;width:14529;height:24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u/8YA&#10;AADjAAAADwAAAGRycy9kb3ducmV2LnhtbERPzWoCMRC+C32HMAUvUpN1tcjWKCIUpbeqhx6HzXSz&#10;7WayJFHXt28KhR7n+5/VZnCduFKIrWcNxVSBIK69abnRcD69Pi1BxIRssPNMGu4UYbN+GK2wMv7G&#10;73Q9pkbkEI4VarAp9ZWUsbbkME59T5y5Tx8cpnyGRpqAtxzuOjlT6lk6bDk3WOxpZ6n+Pl6cBvpq&#10;dvuDu6hiyYs3M7FF2H50Wo8fh+0LiERD+hf/uQ8mz1fzxbwsVVHC708Z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Uu/8YAAADjAAAADwAAAAAAAAAAAAAAAACYAgAAZHJz&#10;L2Rvd25yZXYueG1sUEsFBgAAAAAEAAQA9QAAAIsDAAAAAA==&#10;" fillcolor="window" strokecolor="windowText" strokeweight="1.5pt">
                      <v:stroke joinstyle="miter"/>
                    </v:oval>
                    <v:rect id="Rectangle 1" o:spid="_x0000_s1039" style="position:absolute;left:25046;top:12801;width:11602;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SDssA&#10;AADiAAAADwAAAGRycy9kb3ducmV2LnhtbESPQUsDMRSE74L/ITzBm01abWnXpkUqiraH0m1Fj4/N&#10;c3d187Js4jb+e1MQehxm5htmvoy2ET11vnasYThQIIgLZ2ouNRz2TzdTED4gG2wck4Zf8rBcXF7M&#10;MTPuyDvq81CKBGGfoYYqhDaT0hcVWfQD1xIn79N1FkOSXSlNh8cEt40cKTWRFmtOCxW2tKqo+M5/&#10;rIaw2cbXj6/tI5v8Hfs3G5+LddT6+io+3IMIFMM5/N9+MRpu1XB8pyazMZwupTsgF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oJIOywAAAOIAAAAPAAAAAAAAAAAAAAAAAJgC&#10;AABkcnMvZG93bnJldi54bWxQSwUGAAAAAAQABAD1AAAAkAMAAAAA&#10;" fillcolor="window" strokecolor="windowText" strokeweight="1.5pt">
                      <v:textbox>
                        <w:txbxContent>
                          <w:p w:rsidR="00D25429" w:rsidRPr="004324B9" w:rsidRDefault="00D25429" w:rsidP="00043D0A">
                            <w:pPr>
                              <w:spacing w:after="0" w:line="240" w:lineRule="auto"/>
                              <w:jc w:val="center"/>
                              <w:rPr>
                                <w:rFonts w:ascii="Times New Roman" w:hAnsi="Times New Roman" w:cs="Times New Roman"/>
                                <w:b/>
                                <w:bCs/>
                              </w:rPr>
                            </w:pPr>
                            <w:r>
                              <w:rPr>
                                <w:rFonts w:ascii="Times New Roman" w:hAnsi="Times New Roman" w:cs="Times New Roman"/>
                                <w:b/>
                                <w:bCs/>
                              </w:rPr>
                              <w:t>Flexibility</w:t>
                            </w:r>
                            <w:r w:rsidRPr="004324B9">
                              <w:rPr>
                                <w:rFonts w:ascii="Times New Roman" w:hAnsi="Times New Roman" w:cs="Times New Roman"/>
                                <w:b/>
                                <w:bCs/>
                              </w:rPr>
                              <w:t xml:space="preserve"> </w:t>
                            </w:r>
                          </w:p>
                          <w:p w:rsidR="00D25429" w:rsidRPr="004324B9" w:rsidRDefault="00D25429" w:rsidP="00043D0A">
                            <w:pPr>
                              <w:spacing w:after="0" w:line="240" w:lineRule="auto"/>
                              <w:jc w:val="center"/>
                              <w:rPr>
                                <w:rFonts w:ascii="Times New Roman" w:hAnsi="Times New Roman" w:cs="Times New Roman"/>
                                <w:b/>
                                <w:bCs/>
                              </w:rPr>
                            </w:pPr>
                            <w:r w:rsidRPr="004324B9">
                              <w:rPr>
                                <w:rFonts w:ascii="Times New Roman" w:hAnsi="Times New Roman" w:cs="Times New Roman"/>
                                <w:b/>
                                <w:bCs/>
                              </w:rPr>
                              <w:t xml:space="preserve">Performance </w:t>
                            </w:r>
                          </w:p>
                        </w:txbxContent>
                      </v:textbox>
                    </v:rect>
                    <v:shape id="Straight Arrow Connector 4" o:spid="_x0000_s1040" type="#_x0000_t32" style="position:absolute;left:14025;top:10765;width:9590;height:1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bvfskAAADjAAAADwAAAGRycy9kb3ducmV2LnhtbERPzUrDQBC+C32HZQre7MYmxBi7LbUi&#10;ePGQWhBvY3ZMQrOzcXdN07d3hYLH+f5ntZlML0ZyvrOs4HaRgCCure64UXB4e74pQPiArLG3TArO&#10;5GGznl2tsNT2xBWN+9CIGMK+RAVtCEMppa9bMugXdiCO3Jd1BkM8XSO1w1MMN71cJkkuDXYcG1oc&#10;aNdSfdz/GAVp/lnUH/l3tXuqxtfH84Gzo3tX6no+bR9ABJrCv/jiftFxflbkSXqf3mXw91MEQK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5W737JAAAA4wAAAA8AAAAA&#10;AAAAAAAAAAAAoQIAAGRycy9kb3ducmV2LnhtbFBLBQYAAAAABAAEAPkAAACXAwAAAAA=&#10;" strokecolor="windowText" strokeweight="2.25pt">
                      <v:stroke endarrow="block" joinstyle="miter"/>
                    </v:shape>
                    <v:shape id="Straight Arrow Connector 4" o:spid="_x0000_s1041" type="#_x0000_t32" style="position:absolute;left:14264;top:16235;width:9192;height:32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fXvMoAAADhAAAADwAAAGRycy9kb3ducmV2LnhtbESPwU7CQBCG7ya+w2ZIvBjZSgxIZSGE&#10;xEi4iOgDjN2xXejO1u6W1rdnDiYcJ//838y3WA2+Vmdqowts4HGcgSIugnVcGvj6fH14BhUTssU6&#10;MBn4owir5e3NAnMbev6g8yGVSiAcczRQpdTkWseiIo9xHBpiyX5C6zHJ2JbattgL3Nd6kmVT7dGx&#10;XKiwoU1FxenQeQPv92+7Y3ecb5z77vaz3/V+O0m9MXejYf0CKtGQrsv/7a01MHuaTwUqL4uR2IBe&#10;X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d9e8ygAAAOEAAAAPAAAA&#10;AAAAAAAAAAAAAKECAABkcnMvZG93bnJldi54bWxQSwUGAAAAAAQABAD5AAAAmAMAAAAA&#10;" strokecolor="windowText" strokeweight="2.25pt">
                      <v:stroke endarrow="block" joinstyle="miter"/>
                    </v:shape>
                  </v:group>
                </v:group>
                <v:rect id="Rectangle 7" o:spid="_x0000_s1042" style="position:absolute;left:874;top:29260;width:16588;height:2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ZDscA&#10;AADjAAAADwAAAGRycy9kb3ducmV2LnhtbERPS4vCMBC+L+x/CLOwl0VTl66PahRZED0JasHr0Ixt&#10;sZl0k6j13xthweN875ktOtOIKzlfW1Yw6CcgiAuray4V5IdVbwzCB2SNjWVScCcPi/n72wwzbW+8&#10;o+s+lCKGsM9QQRVCm0npi4oM+r5tiSN3ss5giKcrpXZ4i+Gmkd9JMpQGa44NFbb0W1Fx3l+MglOR&#10;y/VR/q0Opdvmo2V3+blvv5T6/OiWUxCBuvAS/7s3Os4fTQaTZJimKTx/igDI+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I2Q7HAAAA4wAAAA8AAAAAAAAAAAAAAAAAmAIAAGRy&#10;cy9kb3ducmV2LnhtbFBLBQYAAAAABAAEAPUAAACMAwAAAAA=&#10;" fillcolor="window" strokecolor="window" strokeweight="1pt">
                  <v:textbox>
                    <w:txbxContent>
                      <w:p w:rsidR="00D25429" w:rsidRPr="00AA0C49" w:rsidRDefault="00D25429" w:rsidP="00043D0A">
                        <w:pPr>
                          <w:jc w:val="center"/>
                          <w:rPr>
                            <w:rFonts w:ascii="Times New Roman" w:hAnsi="Times New Roman" w:cs="Times New Roman"/>
                            <w:b/>
                            <w:i/>
                            <w:sz w:val="20"/>
                            <w:szCs w:val="20"/>
                          </w:rPr>
                        </w:pPr>
                        <w:r>
                          <w:rPr>
                            <w:rFonts w:ascii="Times New Roman" w:hAnsi="Times New Roman" w:cs="Times New Roman"/>
                            <w:b/>
                            <w:i/>
                            <w:sz w:val="20"/>
                            <w:szCs w:val="20"/>
                          </w:rPr>
                          <w:t>Source: Author, 2025</w:t>
                        </w:r>
                        <w:r w:rsidRPr="00AA0C49">
                          <w:rPr>
                            <w:rFonts w:ascii="Times New Roman" w:hAnsi="Times New Roman" w:cs="Times New Roman"/>
                            <w:b/>
                            <w:i/>
                            <w:sz w:val="20"/>
                            <w:szCs w:val="20"/>
                          </w:rPr>
                          <w:t xml:space="preserve">  </w:t>
                        </w:r>
                      </w:p>
                    </w:txbxContent>
                  </v:textbox>
                </v:rect>
                <w10:wrap anchorx="margin"/>
              </v:group>
            </w:pict>
          </mc:Fallback>
        </mc:AlternateContent>
      </w:r>
      <w:r w:rsidRPr="00091EB9">
        <w:rPr>
          <w:rFonts w:ascii="Times New Roman" w:hAnsi="Times New Roman" w:cs="Times New Roman"/>
          <w:b/>
          <w:bCs/>
        </w:rPr>
        <w:t>Figure 2.1:  Conceptual Model</w:t>
      </w:r>
    </w:p>
    <w:p w:rsidR="00043D0A" w:rsidRPr="00091EB9" w:rsidRDefault="00043D0A" w:rsidP="00043D0A">
      <w:pPr>
        <w:rPr>
          <w:b/>
          <w:bCs/>
        </w:rPr>
      </w:pPr>
      <w:r w:rsidRPr="00091EB9">
        <w:rPr>
          <w:b/>
          <w:bCs/>
        </w:rPr>
        <w:t xml:space="preserve"> </w:t>
      </w:r>
    </w:p>
    <w:p w:rsidR="00043D0A" w:rsidRPr="00091EB9" w:rsidRDefault="00043D0A" w:rsidP="00043D0A"/>
    <w:p w:rsidR="00043D0A" w:rsidRPr="00091EB9" w:rsidRDefault="00043D0A" w:rsidP="00043D0A"/>
    <w:p w:rsidR="00043D0A" w:rsidRPr="00091EB9" w:rsidRDefault="00043D0A" w:rsidP="00043D0A"/>
    <w:p w:rsidR="00043D0A" w:rsidRPr="00091EB9" w:rsidRDefault="00043D0A" w:rsidP="00043D0A"/>
    <w:p w:rsidR="00043D0A" w:rsidRPr="00091EB9" w:rsidRDefault="00043D0A" w:rsidP="00043D0A"/>
    <w:p w:rsidR="00043D0A" w:rsidRDefault="00043D0A" w:rsidP="00043D0A">
      <w:pPr>
        <w:spacing w:before="100" w:beforeAutospacing="1" w:after="100" w:afterAutospacing="1" w:line="360" w:lineRule="auto"/>
        <w:jc w:val="both"/>
        <w:outlineLvl w:val="2"/>
        <w:rPr>
          <w:rFonts w:ascii="Times New Roman" w:hAnsi="Times New Roman" w:cs="Times New Roman"/>
          <w:sz w:val="24"/>
          <w:szCs w:val="24"/>
        </w:rPr>
      </w:pPr>
    </w:p>
    <w:p w:rsidR="00043D0A" w:rsidRDefault="00043D0A" w:rsidP="00B101EB">
      <w:pPr>
        <w:spacing w:before="100" w:beforeAutospacing="1" w:after="100" w:afterAutospacing="1" w:line="360" w:lineRule="auto"/>
        <w:jc w:val="both"/>
        <w:rPr>
          <w:rFonts w:ascii="Times New Roman" w:eastAsia="Times New Roman" w:hAnsi="Times New Roman" w:cs="Times New Roman"/>
          <w:sz w:val="24"/>
          <w:szCs w:val="24"/>
        </w:rPr>
      </w:pPr>
    </w:p>
    <w:p w:rsidR="00184F1A" w:rsidRDefault="00184F1A" w:rsidP="00184F1A">
      <w:pPr>
        <w:spacing w:before="100" w:beforeAutospacing="1" w:after="100" w:afterAutospacing="1" w:line="360" w:lineRule="auto"/>
        <w:jc w:val="both"/>
        <w:outlineLvl w:val="1"/>
        <w:rPr>
          <w:rFonts w:ascii="Times New Roman" w:eastAsia="Times New Roman" w:hAnsi="Times New Roman" w:cs="Times New Roman"/>
          <w:sz w:val="24"/>
          <w:szCs w:val="24"/>
        </w:rPr>
      </w:pPr>
    </w:p>
    <w:p w:rsidR="00184F1A" w:rsidRPr="00B26C85" w:rsidRDefault="00184F1A" w:rsidP="00184F1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2.5 Hypotheses Development</w:t>
      </w:r>
    </w:p>
    <w:p w:rsidR="00184F1A" w:rsidRPr="00B26C85" w:rsidRDefault="00184F1A" w:rsidP="00184F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2.5.1 Top Management Commitment and Flexibility Performance</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sz w:val="24"/>
          <w:szCs w:val="24"/>
        </w:rPr>
        <w:t>Top Management Commitment is widely recognised as a cornerstone of TQM implementation. When senior leadership provides strategic direction, allocates resources, and reinforces a culture of adaptability, organisations are better positioned to embed flexibility into their operations (Anil et al., 2019; Shafiq et al., 2019). From R</w:t>
      </w:r>
      <w:r>
        <w:rPr>
          <w:rFonts w:ascii="Times New Roman" w:eastAsia="Times New Roman" w:hAnsi="Times New Roman" w:cs="Times New Roman"/>
          <w:sz w:val="24"/>
          <w:szCs w:val="24"/>
        </w:rPr>
        <w:t xml:space="preserve">esource </w:t>
      </w:r>
      <w:r w:rsidRPr="00B26C85">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ased </w:t>
      </w:r>
      <w:r w:rsidRPr="00B26C85">
        <w:rPr>
          <w:rFonts w:ascii="Times New Roman" w:eastAsia="Times New Roman" w:hAnsi="Times New Roman" w:cs="Times New Roman"/>
          <w:sz w:val="24"/>
          <w:szCs w:val="24"/>
        </w:rPr>
        <w:t>V</w:t>
      </w:r>
      <w:r>
        <w:rPr>
          <w:rFonts w:ascii="Times New Roman" w:eastAsia="Times New Roman" w:hAnsi="Times New Roman" w:cs="Times New Roman"/>
          <w:sz w:val="24"/>
          <w:szCs w:val="24"/>
        </w:rPr>
        <w:t>iew theory</w:t>
      </w:r>
      <w:r w:rsidRPr="00B26C85">
        <w:rPr>
          <w:rFonts w:ascii="Times New Roman" w:eastAsia="Times New Roman" w:hAnsi="Times New Roman" w:cs="Times New Roman"/>
          <w:sz w:val="24"/>
          <w:szCs w:val="24"/>
        </w:rPr>
        <w:t xml:space="preserve">, managerial commitment can be understood as a strategic resource associated with rare and inimitable capabilities that </w:t>
      </w:r>
      <w:r w:rsidRPr="00B26C85">
        <w:rPr>
          <w:rFonts w:ascii="Times New Roman" w:eastAsia="Times New Roman" w:hAnsi="Times New Roman" w:cs="Times New Roman"/>
          <w:sz w:val="24"/>
          <w:szCs w:val="24"/>
        </w:rPr>
        <w:lastRenderedPageBreak/>
        <w:t>strengthen organisational agility. In service organisations, visible leadership support fosters responsiveness and reliability, enabling firms to adapt processes and innovate in uncertain environments.</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b/>
          <w:bCs/>
          <w:sz w:val="24"/>
          <w:szCs w:val="24"/>
        </w:rPr>
        <w:t xml:space="preserve">H1: </w:t>
      </w:r>
      <w:r w:rsidRPr="00184F1A">
        <w:rPr>
          <w:rFonts w:ascii="Times New Roman" w:eastAsia="Times New Roman" w:hAnsi="Times New Roman" w:cs="Times New Roman"/>
          <w:bCs/>
          <w:sz w:val="24"/>
          <w:szCs w:val="24"/>
        </w:rPr>
        <w:t>Top Management Commitment is positively associated with Flexibility Performance.</w:t>
      </w:r>
    </w:p>
    <w:p w:rsidR="00184F1A" w:rsidRPr="00B26C85" w:rsidRDefault="00184F1A" w:rsidP="00184F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2.5.2 Employee Involvement and Flexibility Performance</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sz w:val="24"/>
          <w:szCs w:val="24"/>
        </w:rPr>
        <w:t>Employee Involvement ensures that frontline staff actively participate in problem</w:t>
      </w:r>
      <w:r w:rsidRPr="00B26C85">
        <w:rPr>
          <w:rFonts w:ascii="Times New Roman" w:eastAsia="Times New Roman" w:hAnsi="Times New Roman" w:cs="Times New Roman"/>
          <w:sz w:val="24"/>
          <w:szCs w:val="24"/>
        </w:rPr>
        <w:noBreakHyphen/>
        <w:t>solving, innovation, and customer</w:t>
      </w:r>
      <w:r w:rsidRPr="00B26C85">
        <w:rPr>
          <w:rFonts w:ascii="Times New Roman" w:eastAsia="Times New Roman" w:hAnsi="Times New Roman" w:cs="Times New Roman"/>
          <w:sz w:val="24"/>
          <w:szCs w:val="24"/>
        </w:rPr>
        <w:noBreakHyphen/>
        <w:t>focused service delivery. In service organisations, where human interaction is central to performance outcomes, employee engagement is particularly critical (Abbas and Kumari, 2023; Puthanveettil et al., 2021). Drawing on SET, employee involvement can be interpreted as reciprocal engagement, where organisational support is associated with greater effort, adaptability, and responsiveness. Active participation reduces delays, enhances problem</w:t>
      </w:r>
      <w:r w:rsidRPr="00B26C85">
        <w:rPr>
          <w:rFonts w:ascii="Times New Roman" w:eastAsia="Times New Roman" w:hAnsi="Times New Roman" w:cs="Times New Roman"/>
          <w:sz w:val="24"/>
          <w:szCs w:val="24"/>
        </w:rPr>
        <w:noBreakHyphen/>
        <w:t>solving capacity, and strengthens organisational agility.</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b/>
          <w:bCs/>
          <w:sz w:val="24"/>
          <w:szCs w:val="24"/>
        </w:rPr>
        <w:t xml:space="preserve">H2: </w:t>
      </w:r>
      <w:r w:rsidRPr="00184F1A">
        <w:rPr>
          <w:rFonts w:ascii="Times New Roman" w:eastAsia="Times New Roman" w:hAnsi="Times New Roman" w:cs="Times New Roman"/>
          <w:bCs/>
          <w:sz w:val="24"/>
          <w:szCs w:val="24"/>
        </w:rPr>
        <w:t>Employee Involvement is positively associated with Flexibility Performance.</w:t>
      </w:r>
    </w:p>
    <w:p w:rsidR="00184F1A" w:rsidRPr="00B26C85" w:rsidRDefault="00184F1A" w:rsidP="00184F1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26C85">
        <w:rPr>
          <w:rFonts w:ascii="Times New Roman" w:eastAsia="Times New Roman" w:hAnsi="Times New Roman" w:cs="Times New Roman"/>
          <w:b/>
          <w:bCs/>
          <w:sz w:val="24"/>
          <w:szCs w:val="24"/>
        </w:rPr>
        <w:t>2.5.3 Flexibility Performance and Non</w:t>
      </w:r>
      <w:r w:rsidRPr="00B26C85">
        <w:rPr>
          <w:rFonts w:ascii="Times New Roman" w:eastAsia="Times New Roman" w:hAnsi="Times New Roman" w:cs="Times New Roman"/>
          <w:b/>
          <w:bCs/>
          <w:sz w:val="24"/>
          <w:szCs w:val="24"/>
        </w:rPr>
        <w:noBreakHyphen/>
        <w:t>Financial Organisational Performance</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sz w:val="24"/>
          <w:szCs w:val="24"/>
        </w:rPr>
        <w:t>Flexibility Performance, defined as an organisation’s ability to adapt processes, respond to market shifts, and innovate operational practices, is a critical determinant of non</w:t>
      </w:r>
      <w:r w:rsidRPr="00B26C85">
        <w:rPr>
          <w:rFonts w:ascii="Times New Roman" w:eastAsia="Times New Roman" w:hAnsi="Times New Roman" w:cs="Times New Roman"/>
          <w:sz w:val="24"/>
          <w:szCs w:val="24"/>
        </w:rPr>
        <w:noBreakHyphen/>
        <w:t>financial organisational outcomes. Efficient adaptability is associated with service reliability, responsiveness, and resilience, which in turn predict customer satisfaction, employee morale, and organisational reputation (Anil et al., 2019; Abbas and Kumari, 2023). This relationship is consistent with SERVQUAL, which identifies responsiveness and reliability as key dimensions of perceived service quality. Flexibility performance therefore functions both as a mediator and as a direct predictor of non</w:t>
      </w:r>
      <w:r w:rsidRPr="00B26C85">
        <w:rPr>
          <w:rFonts w:ascii="Times New Roman" w:eastAsia="Times New Roman" w:hAnsi="Times New Roman" w:cs="Times New Roman"/>
          <w:sz w:val="24"/>
          <w:szCs w:val="24"/>
        </w:rPr>
        <w:noBreakHyphen/>
        <w:t>financial organisational performance.</w:t>
      </w:r>
    </w:p>
    <w:p w:rsidR="00184F1A" w:rsidRPr="00B26C85" w:rsidRDefault="00184F1A" w:rsidP="00184F1A">
      <w:pPr>
        <w:spacing w:before="100" w:beforeAutospacing="1" w:after="100" w:afterAutospacing="1" w:line="360" w:lineRule="auto"/>
        <w:jc w:val="both"/>
        <w:rPr>
          <w:rFonts w:ascii="Times New Roman" w:eastAsia="Times New Roman" w:hAnsi="Times New Roman" w:cs="Times New Roman"/>
          <w:sz w:val="24"/>
          <w:szCs w:val="24"/>
        </w:rPr>
      </w:pPr>
      <w:r w:rsidRPr="00B26C85">
        <w:rPr>
          <w:rFonts w:ascii="Times New Roman" w:eastAsia="Times New Roman" w:hAnsi="Times New Roman" w:cs="Times New Roman"/>
          <w:b/>
          <w:bCs/>
          <w:sz w:val="24"/>
          <w:szCs w:val="24"/>
        </w:rPr>
        <w:t xml:space="preserve">H3: </w:t>
      </w:r>
      <w:r w:rsidRPr="00184F1A">
        <w:rPr>
          <w:rFonts w:ascii="Times New Roman" w:eastAsia="Times New Roman" w:hAnsi="Times New Roman" w:cs="Times New Roman"/>
          <w:bCs/>
          <w:sz w:val="24"/>
          <w:szCs w:val="24"/>
        </w:rPr>
        <w:t>Flexibility Performance is positively associated with Non</w:t>
      </w:r>
      <w:r w:rsidRPr="00184F1A">
        <w:rPr>
          <w:rFonts w:ascii="Times New Roman" w:eastAsia="Times New Roman" w:hAnsi="Times New Roman" w:cs="Times New Roman"/>
          <w:bCs/>
          <w:sz w:val="24"/>
          <w:szCs w:val="24"/>
        </w:rPr>
        <w:noBreakHyphen/>
        <w:t>Financial Organisational Performance.</w:t>
      </w:r>
    </w:p>
    <w:p w:rsidR="00315080" w:rsidRDefault="00315080" w:rsidP="00D7091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315080" w:rsidRDefault="00315080" w:rsidP="00D7091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D70912" w:rsidRPr="00C95783" w:rsidRDefault="00D70912" w:rsidP="00C9578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95783">
        <w:rPr>
          <w:rFonts w:ascii="Times New Roman" w:eastAsia="Times New Roman" w:hAnsi="Times New Roman" w:cs="Times New Roman"/>
          <w:b/>
          <w:bCs/>
          <w:sz w:val="24"/>
          <w:szCs w:val="24"/>
        </w:rPr>
        <w:t>3.0 STUDY METHODOLOGY</w:t>
      </w:r>
    </w:p>
    <w:p w:rsidR="006B1652" w:rsidRPr="006B1652" w:rsidRDefault="006B1652" w:rsidP="00C9578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1652">
        <w:rPr>
          <w:rFonts w:ascii="Times New Roman" w:eastAsia="Times New Roman" w:hAnsi="Times New Roman" w:cs="Times New Roman"/>
          <w:b/>
          <w:bCs/>
          <w:sz w:val="24"/>
          <w:szCs w:val="24"/>
        </w:rPr>
        <w:t>3.1 Study Design</w:t>
      </w:r>
    </w:p>
    <w:p w:rsidR="006B1652" w:rsidRPr="006B1652" w:rsidRDefault="006B1652" w:rsidP="00C95783">
      <w:pPr>
        <w:spacing w:before="100" w:beforeAutospacing="1" w:after="100" w:afterAutospacing="1" w:line="360" w:lineRule="auto"/>
        <w:jc w:val="both"/>
        <w:rPr>
          <w:rFonts w:ascii="Times New Roman" w:eastAsia="Times New Roman" w:hAnsi="Times New Roman" w:cs="Times New Roman"/>
          <w:sz w:val="24"/>
          <w:szCs w:val="24"/>
        </w:rPr>
      </w:pPr>
      <w:r w:rsidRPr="006B1652">
        <w:rPr>
          <w:rFonts w:ascii="Times New Roman" w:eastAsia="Times New Roman" w:hAnsi="Times New Roman" w:cs="Times New Roman"/>
          <w:sz w:val="24"/>
          <w:szCs w:val="24"/>
        </w:rPr>
        <w:t xml:space="preserve">This study adopts a </w:t>
      </w:r>
      <w:r w:rsidRPr="00C95783">
        <w:rPr>
          <w:rFonts w:ascii="Times New Roman" w:eastAsia="Times New Roman" w:hAnsi="Times New Roman" w:cs="Times New Roman"/>
          <w:bCs/>
          <w:sz w:val="24"/>
          <w:szCs w:val="24"/>
        </w:rPr>
        <w:t>quantitative research design</w:t>
      </w:r>
      <w:r w:rsidRPr="006B1652">
        <w:rPr>
          <w:rFonts w:ascii="Times New Roman" w:eastAsia="Times New Roman" w:hAnsi="Times New Roman" w:cs="Times New Roman"/>
          <w:sz w:val="24"/>
          <w:szCs w:val="24"/>
        </w:rPr>
        <w:t xml:space="preserve"> anchored in the </w:t>
      </w:r>
      <w:r w:rsidRPr="00C95783">
        <w:rPr>
          <w:rFonts w:ascii="Times New Roman" w:eastAsia="Times New Roman" w:hAnsi="Times New Roman" w:cs="Times New Roman"/>
          <w:bCs/>
          <w:sz w:val="24"/>
          <w:szCs w:val="24"/>
        </w:rPr>
        <w:t>positivist paradigm</w:t>
      </w:r>
      <w:r w:rsidRPr="006B1652">
        <w:rPr>
          <w:rFonts w:ascii="Times New Roman" w:eastAsia="Times New Roman" w:hAnsi="Times New Roman" w:cs="Times New Roman"/>
          <w:sz w:val="24"/>
          <w:szCs w:val="24"/>
        </w:rPr>
        <w:t>, which assumes that organisational realities can be objectively measured and explained through observable relationships among variables</w:t>
      </w:r>
      <w:r w:rsidR="00D80414">
        <w:rPr>
          <w:rFonts w:ascii="Times New Roman" w:eastAsia="Times New Roman" w:hAnsi="Times New Roman" w:cs="Times New Roman"/>
          <w:sz w:val="24"/>
          <w:szCs w:val="24"/>
        </w:rPr>
        <w:t xml:space="preserve"> (Mwiya et al. 2024)</w:t>
      </w:r>
      <w:r w:rsidRPr="006B1652">
        <w:rPr>
          <w:rFonts w:ascii="Times New Roman" w:eastAsia="Times New Roman" w:hAnsi="Times New Roman" w:cs="Times New Roman"/>
          <w:sz w:val="24"/>
          <w:szCs w:val="24"/>
        </w:rPr>
        <w:t>. The positivist orientation is appropriate given the study’s focus on testing hypotheses and examining mediation effects between human</w:t>
      </w:r>
      <w:r w:rsidRPr="006B1652">
        <w:rPr>
          <w:rFonts w:ascii="Times New Roman" w:eastAsia="Times New Roman" w:hAnsi="Times New Roman" w:cs="Times New Roman"/>
          <w:sz w:val="24"/>
          <w:szCs w:val="24"/>
        </w:rPr>
        <w:noBreakHyphen/>
        <w:t>centred TQM practices, flexibility performance, and non</w:t>
      </w:r>
      <w:r w:rsidRPr="006B1652">
        <w:rPr>
          <w:rFonts w:ascii="Times New Roman" w:eastAsia="Times New Roman" w:hAnsi="Times New Roman" w:cs="Times New Roman"/>
          <w:sz w:val="24"/>
          <w:szCs w:val="24"/>
        </w:rPr>
        <w:noBreakHyphen/>
        <w:t>financial organisational outcomes.</w:t>
      </w:r>
      <w:r w:rsidR="00C95783">
        <w:rPr>
          <w:rFonts w:ascii="Times New Roman" w:eastAsia="Times New Roman" w:hAnsi="Times New Roman" w:cs="Times New Roman"/>
          <w:sz w:val="24"/>
          <w:szCs w:val="24"/>
        </w:rPr>
        <w:t xml:space="preserve"> </w:t>
      </w:r>
      <w:r w:rsidRPr="006B1652">
        <w:rPr>
          <w:rFonts w:ascii="Times New Roman" w:eastAsia="Times New Roman" w:hAnsi="Times New Roman" w:cs="Times New Roman"/>
          <w:sz w:val="24"/>
          <w:szCs w:val="24"/>
        </w:rPr>
        <w:t xml:space="preserve">The quantitative design enables the use of structured instruments to collect data from a large sample of service organisations, thereby enhancing generalisability, reliability, and replicability of findings. It also facilitates the application of advanced statistical techniques, particularly </w:t>
      </w:r>
      <w:r w:rsidRPr="007D545A">
        <w:rPr>
          <w:rFonts w:ascii="Times New Roman" w:eastAsia="Times New Roman" w:hAnsi="Times New Roman" w:cs="Times New Roman"/>
          <w:bCs/>
          <w:sz w:val="24"/>
          <w:szCs w:val="24"/>
        </w:rPr>
        <w:t>Partial Least Squares Structural Equation Modelling (PLS</w:t>
      </w:r>
      <w:r w:rsidRPr="007D545A">
        <w:rPr>
          <w:rFonts w:ascii="Times New Roman" w:eastAsia="Times New Roman" w:hAnsi="Times New Roman" w:cs="Times New Roman"/>
          <w:bCs/>
          <w:sz w:val="24"/>
          <w:szCs w:val="24"/>
        </w:rPr>
        <w:noBreakHyphen/>
        <w:t>SEM)</w:t>
      </w:r>
      <w:r w:rsidRPr="006B1652">
        <w:rPr>
          <w:rFonts w:ascii="Times New Roman" w:eastAsia="Times New Roman" w:hAnsi="Times New Roman" w:cs="Times New Roman"/>
          <w:sz w:val="24"/>
          <w:szCs w:val="24"/>
        </w:rPr>
        <w:t>, which is well suited for examining complex associations among latent constructs and mediation pathways. PLS</w:t>
      </w:r>
      <w:r w:rsidRPr="006B1652">
        <w:rPr>
          <w:rFonts w:ascii="Times New Roman" w:eastAsia="Times New Roman" w:hAnsi="Times New Roman" w:cs="Times New Roman"/>
          <w:sz w:val="24"/>
          <w:szCs w:val="24"/>
        </w:rPr>
        <w:noBreakHyphen/>
        <w:t>SEM allows simultaneous testing of direct and indirect relationships, providing a robust analytical framework for validating the proposed conceptual model (Hair et al., 2013; Wong, 2013).</w:t>
      </w:r>
      <w:r w:rsidR="00C95783">
        <w:rPr>
          <w:rFonts w:ascii="Times New Roman" w:eastAsia="Times New Roman" w:hAnsi="Times New Roman" w:cs="Times New Roman"/>
          <w:sz w:val="24"/>
          <w:szCs w:val="24"/>
        </w:rPr>
        <w:t xml:space="preserve"> </w:t>
      </w:r>
    </w:p>
    <w:p w:rsidR="006B1652" w:rsidRPr="006B1652" w:rsidRDefault="006B1652" w:rsidP="00C95783">
      <w:pPr>
        <w:spacing w:before="100" w:beforeAutospacing="1" w:after="100" w:afterAutospacing="1" w:line="360" w:lineRule="auto"/>
        <w:jc w:val="both"/>
        <w:rPr>
          <w:rFonts w:ascii="Times New Roman" w:eastAsia="Times New Roman" w:hAnsi="Times New Roman" w:cs="Times New Roman"/>
          <w:sz w:val="24"/>
          <w:szCs w:val="24"/>
        </w:rPr>
      </w:pPr>
      <w:r w:rsidRPr="006B1652">
        <w:rPr>
          <w:rFonts w:ascii="Times New Roman" w:eastAsia="Times New Roman" w:hAnsi="Times New Roman" w:cs="Times New Roman"/>
          <w:sz w:val="24"/>
          <w:szCs w:val="24"/>
        </w:rPr>
        <w:t xml:space="preserve">The research design is </w:t>
      </w:r>
      <w:r w:rsidRPr="007D545A">
        <w:rPr>
          <w:rFonts w:ascii="Times New Roman" w:eastAsia="Times New Roman" w:hAnsi="Times New Roman" w:cs="Times New Roman"/>
          <w:bCs/>
          <w:sz w:val="24"/>
          <w:szCs w:val="24"/>
        </w:rPr>
        <w:t>cross</w:t>
      </w:r>
      <w:r w:rsidRPr="007D545A">
        <w:rPr>
          <w:rFonts w:ascii="Times New Roman" w:eastAsia="Times New Roman" w:hAnsi="Times New Roman" w:cs="Times New Roman"/>
          <w:bCs/>
          <w:sz w:val="24"/>
          <w:szCs w:val="24"/>
        </w:rPr>
        <w:noBreakHyphen/>
        <w:t>sectional</w:t>
      </w:r>
      <w:r w:rsidRPr="006B1652">
        <w:rPr>
          <w:rFonts w:ascii="Times New Roman" w:eastAsia="Times New Roman" w:hAnsi="Times New Roman" w:cs="Times New Roman"/>
          <w:sz w:val="24"/>
          <w:szCs w:val="24"/>
        </w:rPr>
        <w:t xml:space="preserve">, capturing data at a single point in time to provide a snapshot of TQM practices and performance outcomes within Zambia’s </w:t>
      </w:r>
      <w:r w:rsidR="007D545A" w:rsidRPr="006B1652">
        <w:rPr>
          <w:rFonts w:ascii="Times New Roman" w:eastAsia="Times New Roman" w:hAnsi="Times New Roman" w:cs="Times New Roman"/>
          <w:sz w:val="24"/>
          <w:szCs w:val="24"/>
        </w:rPr>
        <w:t>Service Sector</w:t>
      </w:r>
      <w:r w:rsidRPr="006B1652">
        <w:rPr>
          <w:rFonts w:ascii="Times New Roman" w:eastAsia="Times New Roman" w:hAnsi="Times New Roman" w:cs="Times New Roman"/>
          <w:sz w:val="24"/>
          <w:szCs w:val="24"/>
        </w:rPr>
        <w:t>. While longitudinal designs could offer insights into temporal dynamics and evolving organisational practices, the cross</w:t>
      </w:r>
      <w:r w:rsidRPr="006B1652">
        <w:rPr>
          <w:rFonts w:ascii="Times New Roman" w:eastAsia="Times New Roman" w:hAnsi="Times New Roman" w:cs="Times New Roman"/>
          <w:sz w:val="24"/>
          <w:szCs w:val="24"/>
        </w:rPr>
        <w:noBreakHyphen/>
        <w:t>sectional approach is justified by resource constraints and the exploratory nature of examining flexibility performance as a mediating construct. This design therefore provides a practical and theoretically consistent basis for investigating how leadership commitment and employee involvement are associated with organisational agility and non</w:t>
      </w:r>
      <w:r w:rsidRPr="006B1652">
        <w:rPr>
          <w:rFonts w:ascii="Times New Roman" w:eastAsia="Times New Roman" w:hAnsi="Times New Roman" w:cs="Times New Roman"/>
          <w:sz w:val="24"/>
          <w:szCs w:val="24"/>
        </w:rPr>
        <w:noBreakHyphen/>
        <w:t>financial outcomes in an emerging economy context (Saunders et al., 2019).</w:t>
      </w:r>
    </w:p>
    <w:p w:rsidR="006B1652" w:rsidRPr="006B1652" w:rsidRDefault="006B1652" w:rsidP="00C9578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1652">
        <w:rPr>
          <w:rFonts w:ascii="Times New Roman" w:eastAsia="Times New Roman" w:hAnsi="Times New Roman" w:cs="Times New Roman"/>
          <w:b/>
          <w:bCs/>
          <w:sz w:val="24"/>
          <w:szCs w:val="24"/>
        </w:rPr>
        <w:t>3.2 Study Population and Sampling</w:t>
      </w:r>
    </w:p>
    <w:p w:rsidR="006B1652" w:rsidRPr="006B1652" w:rsidRDefault="006B1652" w:rsidP="00C95783">
      <w:pPr>
        <w:spacing w:before="100" w:beforeAutospacing="1" w:after="100" w:afterAutospacing="1" w:line="360" w:lineRule="auto"/>
        <w:jc w:val="both"/>
        <w:rPr>
          <w:rFonts w:ascii="Times New Roman" w:eastAsia="Times New Roman" w:hAnsi="Times New Roman" w:cs="Times New Roman"/>
          <w:sz w:val="24"/>
          <w:szCs w:val="24"/>
        </w:rPr>
      </w:pPr>
      <w:r w:rsidRPr="006B1652">
        <w:rPr>
          <w:rFonts w:ascii="Times New Roman" w:eastAsia="Times New Roman" w:hAnsi="Times New Roman" w:cs="Times New Roman"/>
          <w:sz w:val="24"/>
          <w:szCs w:val="24"/>
        </w:rPr>
        <w:t xml:space="preserve">The target population comprised service sector organisations operating in Zambia. According to the national sampling frame, there are approximately </w:t>
      </w:r>
      <w:r w:rsidRPr="00FA01B8">
        <w:rPr>
          <w:rFonts w:ascii="Times New Roman" w:eastAsia="Times New Roman" w:hAnsi="Times New Roman" w:cs="Times New Roman"/>
          <w:bCs/>
          <w:sz w:val="24"/>
          <w:szCs w:val="24"/>
        </w:rPr>
        <w:t>1,201 registered service organisations</w:t>
      </w:r>
      <w:r w:rsidRPr="006B1652">
        <w:rPr>
          <w:rFonts w:ascii="Times New Roman" w:eastAsia="Times New Roman" w:hAnsi="Times New Roman" w:cs="Times New Roman"/>
          <w:sz w:val="24"/>
          <w:szCs w:val="24"/>
        </w:rPr>
        <w:t xml:space="preserve"> across key sub</w:t>
      </w:r>
      <w:r w:rsidRPr="006B1652">
        <w:rPr>
          <w:rFonts w:ascii="Times New Roman" w:eastAsia="Times New Roman" w:hAnsi="Times New Roman" w:cs="Times New Roman"/>
          <w:sz w:val="24"/>
          <w:szCs w:val="24"/>
        </w:rPr>
        <w:noBreakHyphen/>
        <w:t xml:space="preserve">sectors such as hospitality, financial services, energy, and wholesale and retail trading. </w:t>
      </w:r>
      <w:r w:rsidRPr="006B1652">
        <w:rPr>
          <w:rFonts w:ascii="Times New Roman" w:eastAsia="Times New Roman" w:hAnsi="Times New Roman" w:cs="Times New Roman"/>
          <w:sz w:val="24"/>
          <w:szCs w:val="24"/>
        </w:rPr>
        <w:lastRenderedPageBreak/>
        <w:t>These industries collectively represent some of the largest contributors to national GDP and employment creation, underscoring their relevance to the study’s objectives and the importance of examining quality management practices within them.</w:t>
      </w:r>
    </w:p>
    <w:p w:rsidR="006B1652" w:rsidRPr="006B1652" w:rsidRDefault="006B1652" w:rsidP="00C95783">
      <w:pPr>
        <w:spacing w:before="100" w:beforeAutospacing="1" w:after="100" w:afterAutospacing="1" w:line="360" w:lineRule="auto"/>
        <w:jc w:val="both"/>
        <w:rPr>
          <w:rFonts w:ascii="Times New Roman" w:eastAsia="Times New Roman" w:hAnsi="Times New Roman" w:cs="Times New Roman"/>
          <w:sz w:val="24"/>
          <w:szCs w:val="24"/>
        </w:rPr>
      </w:pPr>
      <w:r w:rsidRPr="006B1652">
        <w:rPr>
          <w:rFonts w:ascii="Times New Roman" w:eastAsia="Times New Roman" w:hAnsi="Times New Roman" w:cs="Times New Roman"/>
          <w:sz w:val="24"/>
          <w:szCs w:val="24"/>
        </w:rPr>
        <w:t xml:space="preserve">To determine an appropriate sample size, the </w:t>
      </w:r>
      <w:r w:rsidRPr="00FA01B8">
        <w:rPr>
          <w:rFonts w:ascii="Times New Roman" w:eastAsia="Times New Roman" w:hAnsi="Times New Roman" w:cs="Times New Roman"/>
          <w:bCs/>
          <w:sz w:val="24"/>
          <w:szCs w:val="24"/>
        </w:rPr>
        <w:t>Cochran formula</w:t>
      </w:r>
      <w:r w:rsidRPr="006B1652">
        <w:rPr>
          <w:rFonts w:ascii="Times New Roman" w:eastAsia="Times New Roman" w:hAnsi="Times New Roman" w:cs="Times New Roman"/>
          <w:sz w:val="24"/>
          <w:szCs w:val="24"/>
        </w:rPr>
        <w:t xml:space="preserve"> was applied, yielding a target of </w:t>
      </w:r>
      <w:r w:rsidRPr="00FA01B8">
        <w:rPr>
          <w:rFonts w:ascii="Times New Roman" w:eastAsia="Times New Roman" w:hAnsi="Times New Roman" w:cs="Times New Roman"/>
          <w:bCs/>
          <w:sz w:val="24"/>
          <w:szCs w:val="24"/>
        </w:rPr>
        <w:t>291 organisations</w:t>
      </w:r>
      <w:r w:rsidRPr="006B1652">
        <w:rPr>
          <w:rFonts w:ascii="Times New Roman" w:eastAsia="Times New Roman" w:hAnsi="Times New Roman" w:cs="Times New Roman"/>
          <w:sz w:val="24"/>
          <w:szCs w:val="24"/>
        </w:rPr>
        <w:t xml:space="preserve">. Out of these, </w:t>
      </w:r>
      <w:r w:rsidRPr="00FA01B8">
        <w:rPr>
          <w:rFonts w:ascii="Times New Roman" w:eastAsia="Times New Roman" w:hAnsi="Times New Roman" w:cs="Times New Roman"/>
          <w:bCs/>
          <w:sz w:val="24"/>
          <w:szCs w:val="24"/>
        </w:rPr>
        <w:t>240 valid responses</w:t>
      </w:r>
      <w:r w:rsidRPr="006B1652">
        <w:rPr>
          <w:rFonts w:ascii="Times New Roman" w:eastAsia="Times New Roman" w:hAnsi="Times New Roman" w:cs="Times New Roman"/>
          <w:sz w:val="24"/>
          <w:szCs w:val="24"/>
        </w:rPr>
        <w:t xml:space="preserve"> were obtained, representing an effective response rate of </w:t>
      </w:r>
      <w:r w:rsidRPr="00FA01B8">
        <w:rPr>
          <w:rFonts w:ascii="Times New Roman" w:eastAsia="Times New Roman" w:hAnsi="Times New Roman" w:cs="Times New Roman"/>
          <w:bCs/>
          <w:sz w:val="24"/>
          <w:szCs w:val="24"/>
        </w:rPr>
        <w:t>82 percent</w:t>
      </w:r>
      <w:r w:rsidRPr="006B1652">
        <w:rPr>
          <w:rFonts w:ascii="Times New Roman" w:eastAsia="Times New Roman" w:hAnsi="Times New Roman" w:cs="Times New Roman"/>
          <w:sz w:val="24"/>
          <w:szCs w:val="24"/>
        </w:rPr>
        <w:t xml:space="preserve">. This sample size is considered sufficient for </w:t>
      </w:r>
      <w:r w:rsidRPr="00FA01B8">
        <w:rPr>
          <w:rFonts w:ascii="Times New Roman" w:eastAsia="Times New Roman" w:hAnsi="Times New Roman" w:cs="Times New Roman"/>
          <w:bCs/>
          <w:sz w:val="24"/>
          <w:szCs w:val="24"/>
        </w:rPr>
        <w:t>PLS</w:t>
      </w:r>
      <w:r w:rsidRPr="00FA01B8">
        <w:rPr>
          <w:rFonts w:ascii="Times New Roman" w:eastAsia="Times New Roman" w:hAnsi="Times New Roman" w:cs="Times New Roman"/>
          <w:bCs/>
          <w:sz w:val="24"/>
          <w:szCs w:val="24"/>
        </w:rPr>
        <w:noBreakHyphen/>
        <w:t>SEM analysis</w:t>
      </w:r>
      <w:r w:rsidRPr="006B1652">
        <w:rPr>
          <w:rFonts w:ascii="Times New Roman" w:eastAsia="Times New Roman" w:hAnsi="Times New Roman" w:cs="Times New Roman"/>
          <w:sz w:val="24"/>
          <w:szCs w:val="24"/>
        </w:rPr>
        <w:t>, balancing statistical reliability with resource feasibility, and ensuring adequate statistical power for testing mediation effects.</w:t>
      </w:r>
      <w:r w:rsidR="00C95783">
        <w:rPr>
          <w:rFonts w:ascii="Times New Roman" w:eastAsia="Times New Roman" w:hAnsi="Times New Roman" w:cs="Times New Roman"/>
          <w:sz w:val="24"/>
          <w:szCs w:val="24"/>
        </w:rPr>
        <w:t xml:space="preserve"> </w:t>
      </w:r>
      <w:r w:rsidRPr="006B1652">
        <w:rPr>
          <w:rFonts w:ascii="Times New Roman" w:eastAsia="Times New Roman" w:hAnsi="Times New Roman" w:cs="Times New Roman"/>
          <w:sz w:val="24"/>
          <w:szCs w:val="24"/>
        </w:rPr>
        <w:t xml:space="preserve">Respondents were purposively selected to ensure informed perspectives on leadership commitment, employee involvement, and organisational performance. The study targeted </w:t>
      </w:r>
      <w:r w:rsidRPr="00FA01B8">
        <w:rPr>
          <w:rFonts w:ascii="Times New Roman" w:eastAsia="Times New Roman" w:hAnsi="Times New Roman" w:cs="Times New Roman"/>
          <w:bCs/>
          <w:sz w:val="24"/>
          <w:szCs w:val="24"/>
        </w:rPr>
        <w:t>Chief Executive Officers, Branch Managers, Operations Managers, Supervisors, and other senior personnel</w:t>
      </w:r>
      <w:r w:rsidRPr="006B1652">
        <w:rPr>
          <w:rFonts w:ascii="Times New Roman" w:eastAsia="Times New Roman" w:hAnsi="Times New Roman" w:cs="Times New Roman"/>
          <w:sz w:val="24"/>
          <w:szCs w:val="24"/>
        </w:rPr>
        <w:t>, as these individuals are directly involved in decision</w:t>
      </w:r>
      <w:r w:rsidRPr="006B1652">
        <w:rPr>
          <w:rFonts w:ascii="Times New Roman" w:eastAsia="Times New Roman" w:hAnsi="Times New Roman" w:cs="Times New Roman"/>
          <w:sz w:val="24"/>
          <w:szCs w:val="24"/>
        </w:rPr>
        <w:noBreakHyphen/>
        <w:t>making and implementation of TQM practices.</w:t>
      </w:r>
    </w:p>
    <w:p w:rsidR="006B1652" w:rsidRPr="006B1652" w:rsidRDefault="006B1652" w:rsidP="00C95783">
      <w:pPr>
        <w:spacing w:before="100" w:beforeAutospacing="1" w:after="100" w:afterAutospacing="1" w:line="360" w:lineRule="auto"/>
        <w:jc w:val="both"/>
        <w:rPr>
          <w:rFonts w:ascii="Times New Roman" w:eastAsia="Times New Roman" w:hAnsi="Times New Roman" w:cs="Times New Roman"/>
          <w:sz w:val="24"/>
          <w:szCs w:val="24"/>
        </w:rPr>
      </w:pPr>
      <w:r w:rsidRPr="006B1652">
        <w:rPr>
          <w:rFonts w:ascii="Times New Roman" w:eastAsia="Times New Roman" w:hAnsi="Times New Roman" w:cs="Times New Roman"/>
          <w:sz w:val="24"/>
          <w:szCs w:val="24"/>
        </w:rPr>
        <w:t xml:space="preserve">Geographical diversity was achieved by including organisations from </w:t>
      </w:r>
      <w:r w:rsidRPr="00C95783">
        <w:rPr>
          <w:rFonts w:ascii="Times New Roman" w:eastAsia="Times New Roman" w:hAnsi="Times New Roman" w:cs="Times New Roman"/>
          <w:bCs/>
          <w:sz w:val="24"/>
          <w:szCs w:val="24"/>
        </w:rPr>
        <w:t>Lusaka, Copperbelt, Central, Southern, and North</w:t>
      </w:r>
      <w:r w:rsidRPr="00C95783">
        <w:rPr>
          <w:rFonts w:ascii="Times New Roman" w:eastAsia="Times New Roman" w:hAnsi="Times New Roman" w:cs="Times New Roman"/>
          <w:bCs/>
          <w:sz w:val="24"/>
          <w:szCs w:val="24"/>
        </w:rPr>
        <w:noBreakHyphen/>
        <w:t>Western province</w:t>
      </w:r>
      <w:r w:rsidRPr="00C95783">
        <w:rPr>
          <w:rFonts w:ascii="Times New Roman" w:eastAsia="Times New Roman" w:hAnsi="Times New Roman" w:cs="Times New Roman"/>
          <w:b/>
          <w:bCs/>
          <w:sz w:val="24"/>
          <w:szCs w:val="24"/>
        </w:rPr>
        <w:t>s</w:t>
      </w:r>
      <w:r w:rsidRPr="006B1652">
        <w:rPr>
          <w:rFonts w:ascii="Times New Roman" w:eastAsia="Times New Roman" w:hAnsi="Times New Roman" w:cs="Times New Roman"/>
          <w:sz w:val="24"/>
          <w:szCs w:val="24"/>
        </w:rPr>
        <w:t>, thereby strengthening representativeness and contextual relevance. This distribution ensured that the sample captured both urban and peri</w:t>
      </w:r>
      <w:r w:rsidRPr="006B1652">
        <w:rPr>
          <w:rFonts w:ascii="Times New Roman" w:eastAsia="Times New Roman" w:hAnsi="Times New Roman" w:cs="Times New Roman"/>
          <w:sz w:val="24"/>
          <w:szCs w:val="24"/>
        </w:rPr>
        <w:noBreakHyphen/>
        <w:t xml:space="preserve">urban service organisations, reflecting the heterogeneity of Zambia’s </w:t>
      </w:r>
      <w:r w:rsidR="00FA01B8" w:rsidRPr="006B1652">
        <w:rPr>
          <w:rFonts w:ascii="Times New Roman" w:eastAsia="Times New Roman" w:hAnsi="Times New Roman" w:cs="Times New Roman"/>
          <w:sz w:val="24"/>
          <w:szCs w:val="24"/>
        </w:rPr>
        <w:t>Service Sector</w:t>
      </w:r>
      <w:r w:rsidRPr="006B1652">
        <w:rPr>
          <w:rFonts w:ascii="Times New Roman" w:eastAsia="Times New Roman" w:hAnsi="Times New Roman" w:cs="Times New Roman"/>
          <w:sz w:val="24"/>
          <w:szCs w:val="24"/>
        </w:rPr>
        <w:t>.</w:t>
      </w:r>
      <w:r w:rsidR="00C95783">
        <w:rPr>
          <w:rFonts w:ascii="Times New Roman" w:eastAsia="Times New Roman" w:hAnsi="Times New Roman" w:cs="Times New Roman"/>
          <w:sz w:val="24"/>
          <w:szCs w:val="24"/>
        </w:rPr>
        <w:t xml:space="preserve"> </w:t>
      </w:r>
      <w:r w:rsidRPr="006B1652">
        <w:rPr>
          <w:rFonts w:ascii="Times New Roman" w:eastAsia="Times New Roman" w:hAnsi="Times New Roman" w:cs="Times New Roman"/>
          <w:sz w:val="24"/>
          <w:szCs w:val="24"/>
        </w:rPr>
        <w:t xml:space="preserve">To account for contextual differences, </w:t>
      </w:r>
      <w:r w:rsidRPr="00FA01B8">
        <w:rPr>
          <w:rFonts w:ascii="Times New Roman" w:eastAsia="Times New Roman" w:hAnsi="Times New Roman" w:cs="Times New Roman"/>
          <w:bCs/>
          <w:sz w:val="24"/>
          <w:szCs w:val="24"/>
        </w:rPr>
        <w:t>control variables</w:t>
      </w:r>
      <w:r w:rsidRPr="006B1652">
        <w:rPr>
          <w:rFonts w:ascii="Times New Roman" w:eastAsia="Times New Roman" w:hAnsi="Times New Roman" w:cs="Times New Roman"/>
          <w:sz w:val="24"/>
          <w:szCs w:val="24"/>
        </w:rPr>
        <w:t xml:space="preserve"> such as position, education, tenure, sector, and organisation size were incorporated into the analysis (Byrne, 2013). This approach enhanced the robustness of findings by isolating the effects of the primary constructs while recognising the influence of organisational and demographic characteristics.</w:t>
      </w:r>
    </w:p>
    <w:p w:rsidR="00D70912" w:rsidRPr="00510F81" w:rsidRDefault="00D70912" w:rsidP="00D709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10F81">
        <w:rPr>
          <w:rFonts w:ascii="Times New Roman" w:eastAsia="Times New Roman" w:hAnsi="Times New Roman" w:cs="Times New Roman"/>
          <w:b/>
          <w:bCs/>
          <w:sz w:val="24"/>
          <w:szCs w:val="24"/>
        </w:rPr>
        <w:t>3.3 Data Collection Methods and Remedies for Common Method Bias</w:t>
      </w:r>
    </w:p>
    <w:p w:rsidR="00D70912" w:rsidRPr="00510F81" w:rsidRDefault="00D70912" w:rsidP="00D70912">
      <w:pPr>
        <w:spacing w:before="100" w:beforeAutospacing="1" w:after="100" w:afterAutospacing="1" w:line="360" w:lineRule="auto"/>
        <w:jc w:val="both"/>
        <w:rPr>
          <w:rFonts w:ascii="Times New Roman" w:eastAsia="Times New Roman" w:hAnsi="Times New Roman" w:cs="Times New Roman"/>
          <w:sz w:val="24"/>
          <w:szCs w:val="24"/>
        </w:rPr>
      </w:pPr>
      <w:r w:rsidRPr="00510F81">
        <w:rPr>
          <w:rFonts w:ascii="Times New Roman" w:eastAsia="Times New Roman" w:hAnsi="Times New Roman" w:cs="Times New Roman"/>
          <w:sz w:val="24"/>
          <w:szCs w:val="24"/>
        </w:rPr>
        <w:t xml:space="preserve">Data were collected using a </w:t>
      </w:r>
      <w:r w:rsidRPr="00510F81">
        <w:rPr>
          <w:rFonts w:ascii="Times New Roman" w:eastAsia="Times New Roman" w:hAnsi="Times New Roman" w:cs="Times New Roman"/>
          <w:bCs/>
          <w:sz w:val="24"/>
          <w:szCs w:val="24"/>
        </w:rPr>
        <w:t>structured questionnaire</w:t>
      </w:r>
      <w:r w:rsidRPr="00510F81">
        <w:rPr>
          <w:rFonts w:ascii="Times New Roman" w:eastAsia="Times New Roman" w:hAnsi="Times New Roman" w:cs="Times New Roman"/>
          <w:sz w:val="24"/>
          <w:szCs w:val="24"/>
        </w:rPr>
        <w:t xml:space="preserve">, designed to measure constructs of Top Management Commitment, Employee Involvement, Flexibility Performance, and Non-Financial Organisational Performance. Items were adapted from validated scales in prior TQM and organisational performance literature (Prajogo and Sohal, 2006; Kaynak, 2004). To mitigate </w:t>
      </w:r>
      <w:r w:rsidRPr="00510F81">
        <w:rPr>
          <w:rFonts w:ascii="Times New Roman" w:eastAsia="Times New Roman" w:hAnsi="Times New Roman" w:cs="Times New Roman"/>
          <w:bCs/>
          <w:sz w:val="24"/>
          <w:szCs w:val="24"/>
        </w:rPr>
        <w:t>Common Method Bias</w:t>
      </w:r>
      <w:r w:rsidRPr="00510F81">
        <w:rPr>
          <w:rFonts w:ascii="Times New Roman" w:eastAsia="Times New Roman" w:hAnsi="Times New Roman" w:cs="Times New Roman"/>
          <w:b/>
          <w:bCs/>
          <w:sz w:val="24"/>
          <w:szCs w:val="24"/>
        </w:rPr>
        <w:t xml:space="preserve"> </w:t>
      </w:r>
      <w:r w:rsidRPr="00510F81">
        <w:rPr>
          <w:rFonts w:ascii="Times New Roman" w:eastAsia="Times New Roman" w:hAnsi="Times New Roman" w:cs="Times New Roman"/>
          <w:bCs/>
          <w:sz w:val="24"/>
          <w:szCs w:val="24"/>
        </w:rPr>
        <w:t>(CMB)</w:t>
      </w:r>
      <w:r w:rsidRPr="00510F81">
        <w:rPr>
          <w:rFonts w:ascii="Times New Roman" w:eastAsia="Times New Roman" w:hAnsi="Times New Roman" w:cs="Times New Roman"/>
          <w:sz w:val="24"/>
          <w:szCs w:val="24"/>
        </w:rPr>
        <w:t xml:space="preserve">, both </w:t>
      </w:r>
      <w:r w:rsidRPr="00510F81">
        <w:rPr>
          <w:rFonts w:ascii="Times New Roman" w:eastAsia="Times New Roman" w:hAnsi="Times New Roman" w:cs="Times New Roman"/>
          <w:bCs/>
          <w:sz w:val="24"/>
          <w:szCs w:val="24"/>
        </w:rPr>
        <w:t>Procedural and Statistical Remedies</w:t>
      </w:r>
      <w:r w:rsidRPr="00510F81">
        <w:rPr>
          <w:rFonts w:ascii="Times New Roman" w:eastAsia="Times New Roman" w:hAnsi="Times New Roman" w:cs="Times New Roman"/>
          <w:sz w:val="24"/>
          <w:szCs w:val="24"/>
        </w:rPr>
        <w:t xml:space="preserve"> were employed:</w:t>
      </w:r>
    </w:p>
    <w:p w:rsidR="00D70912" w:rsidRPr="00510F81" w:rsidRDefault="00D70912" w:rsidP="00D70912">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10F81">
        <w:rPr>
          <w:rFonts w:ascii="Times New Roman" w:eastAsia="Times New Roman" w:hAnsi="Times New Roman" w:cs="Times New Roman"/>
          <w:b/>
          <w:bCs/>
          <w:sz w:val="24"/>
          <w:szCs w:val="24"/>
        </w:rPr>
        <w:lastRenderedPageBreak/>
        <w:t>Procedural remedies</w:t>
      </w:r>
      <w:r w:rsidRPr="00510F81">
        <w:rPr>
          <w:rFonts w:ascii="Times New Roman" w:eastAsia="Times New Roman" w:hAnsi="Times New Roman" w:cs="Times New Roman"/>
          <w:sz w:val="24"/>
          <w:szCs w:val="24"/>
        </w:rPr>
        <w:t xml:space="preserve"> included assuring respondents of anonymity, reducing evaluation apprehension, and varying item formats to minimise response patterns (Podsakoff et al., 2003).</w:t>
      </w:r>
    </w:p>
    <w:p w:rsidR="00D70912" w:rsidRPr="00510F81" w:rsidRDefault="00D70912" w:rsidP="00D70912">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10F81">
        <w:rPr>
          <w:rFonts w:ascii="Times New Roman" w:eastAsia="Times New Roman" w:hAnsi="Times New Roman" w:cs="Times New Roman"/>
          <w:b/>
          <w:bCs/>
          <w:sz w:val="24"/>
          <w:szCs w:val="24"/>
        </w:rPr>
        <w:t>Statistical remedies</w:t>
      </w:r>
      <w:r w:rsidRPr="00510F81">
        <w:rPr>
          <w:rFonts w:ascii="Times New Roman" w:eastAsia="Times New Roman" w:hAnsi="Times New Roman" w:cs="Times New Roman"/>
          <w:sz w:val="24"/>
          <w:szCs w:val="24"/>
        </w:rPr>
        <w:t xml:space="preserve"> involved conducting Harman’s single-factor test and assessing Variance Inflation Factors (VIF). Results confirmed that collinearity was not a concern, with all VIF values below the threshold of 5 (Hair et al., 2013).</w:t>
      </w:r>
    </w:p>
    <w:p w:rsidR="006D63F1" w:rsidRPr="006D63F1" w:rsidRDefault="006D63F1" w:rsidP="00C9578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D63F1">
        <w:rPr>
          <w:rFonts w:ascii="Times New Roman" w:eastAsia="Times New Roman" w:hAnsi="Times New Roman" w:cs="Times New Roman"/>
          <w:b/>
          <w:bCs/>
          <w:sz w:val="24"/>
          <w:szCs w:val="24"/>
        </w:rPr>
        <w:t>3.4 Data Analysis Procedures</w:t>
      </w:r>
    </w:p>
    <w:p w:rsidR="006D63F1" w:rsidRPr="006D63F1" w:rsidRDefault="006D63F1" w:rsidP="00C95783">
      <w:pPr>
        <w:spacing w:before="100" w:beforeAutospacing="1" w:after="100" w:afterAutospacing="1" w:line="360" w:lineRule="auto"/>
        <w:jc w:val="both"/>
        <w:rPr>
          <w:rFonts w:ascii="Times New Roman" w:eastAsia="Times New Roman" w:hAnsi="Times New Roman" w:cs="Times New Roman"/>
          <w:sz w:val="24"/>
          <w:szCs w:val="24"/>
        </w:rPr>
      </w:pPr>
      <w:r w:rsidRPr="006D63F1">
        <w:rPr>
          <w:rFonts w:ascii="Times New Roman" w:eastAsia="Times New Roman" w:hAnsi="Times New Roman" w:cs="Times New Roman"/>
          <w:sz w:val="24"/>
          <w:szCs w:val="24"/>
        </w:rPr>
        <w:t xml:space="preserve">Data analysis combined </w:t>
      </w:r>
      <w:r w:rsidRPr="00C95783">
        <w:rPr>
          <w:rFonts w:ascii="Times New Roman" w:eastAsia="Times New Roman" w:hAnsi="Times New Roman" w:cs="Times New Roman"/>
          <w:bCs/>
          <w:sz w:val="24"/>
          <w:szCs w:val="24"/>
        </w:rPr>
        <w:t>preliminary validation in SPSS</w:t>
      </w:r>
      <w:r w:rsidRPr="006D63F1">
        <w:rPr>
          <w:rFonts w:ascii="Times New Roman" w:eastAsia="Times New Roman" w:hAnsi="Times New Roman" w:cs="Times New Roman"/>
          <w:sz w:val="24"/>
          <w:szCs w:val="24"/>
        </w:rPr>
        <w:t xml:space="preserve"> with hypothesis testing through </w:t>
      </w:r>
      <w:r w:rsidRPr="00C95783">
        <w:rPr>
          <w:rFonts w:ascii="Times New Roman" w:eastAsia="Times New Roman" w:hAnsi="Times New Roman" w:cs="Times New Roman"/>
          <w:bCs/>
          <w:sz w:val="24"/>
          <w:szCs w:val="24"/>
        </w:rPr>
        <w:t>Latent Variable Partial Least Squares (LVPLS)</w:t>
      </w:r>
      <w:r w:rsidRPr="006D63F1">
        <w:rPr>
          <w:rFonts w:ascii="Times New Roman" w:eastAsia="Times New Roman" w:hAnsi="Times New Roman" w:cs="Times New Roman"/>
          <w:sz w:val="24"/>
          <w:szCs w:val="24"/>
        </w:rPr>
        <w:t xml:space="preserve"> using </w:t>
      </w:r>
      <w:r w:rsidRPr="00C95783">
        <w:rPr>
          <w:rFonts w:ascii="Times New Roman" w:eastAsia="Times New Roman" w:hAnsi="Times New Roman" w:cs="Times New Roman"/>
          <w:bCs/>
          <w:sz w:val="24"/>
          <w:szCs w:val="24"/>
        </w:rPr>
        <w:t>SmartPLS 4</w:t>
      </w:r>
      <w:r w:rsidRPr="006D63F1">
        <w:rPr>
          <w:rFonts w:ascii="Times New Roman" w:eastAsia="Times New Roman" w:hAnsi="Times New Roman" w:cs="Times New Roman"/>
          <w:sz w:val="24"/>
          <w:szCs w:val="24"/>
        </w:rPr>
        <w:t xml:space="preserve">. The choice of LVPLS was guided by two methodological considerations. First, the sample size of </w:t>
      </w:r>
      <w:r w:rsidRPr="007D7DB1">
        <w:rPr>
          <w:rFonts w:ascii="Times New Roman" w:eastAsia="Times New Roman" w:hAnsi="Times New Roman" w:cs="Times New Roman"/>
          <w:bCs/>
          <w:sz w:val="24"/>
          <w:szCs w:val="24"/>
        </w:rPr>
        <w:t>240 respondents</w:t>
      </w:r>
      <w:r w:rsidRPr="006D63F1">
        <w:rPr>
          <w:rFonts w:ascii="Times New Roman" w:eastAsia="Times New Roman" w:hAnsi="Times New Roman" w:cs="Times New Roman"/>
          <w:sz w:val="24"/>
          <w:szCs w:val="24"/>
        </w:rPr>
        <w:t xml:space="preserve"> was below the threshold typically recommended for Covariance</w:t>
      </w:r>
      <w:r w:rsidRPr="006D63F1">
        <w:rPr>
          <w:rFonts w:ascii="Times New Roman" w:eastAsia="Times New Roman" w:hAnsi="Times New Roman" w:cs="Times New Roman"/>
          <w:sz w:val="24"/>
          <w:szCs w:val="24"/>
        </w:rPr>
        <w:noBreakHyphen/>
        <w:t>Based Structural Equation Modelling (CB</w:t>
      </w:r>
      <w:r w:rsidRPr="006D63F1">
        <w:rPr>
          <w:rFonts w:ascii="Times New Roman" w:eastAsia="Times New Roman" w:hAnsi="Times New Roman" w:cs="Times New Roman"/>
          <w:sz w:val="24"/>
          <w:szCs w:val="24"/>
        </w:rPr>
        <w:noBreakHyphen/>
        <w:t xml:space="preserve">SEM), which often requires </w:t>
      </w:r>
      <w:r w:rsidRPr="007D7DB1">
        <w:rPr>
          <w:rFonts w:ascii="Times New Roman" w:eastAsia="Times New Roman" w:hAnsi="Times New Roman" w:cs="Times New Roman"/>
          <w:bCs/>
          <w:sz w:val="24"/>
          <w:szCs w:val="24"/>
        </w:rPr>
        <w:t>300 or more cases</w:t>
      </w:r>
      <w:r w:rsidRPr="006D63F1">
        <w:rPr>
          <w:rFonts w:ascii="Times New Roman" w:eastAsia="Times New Roman" w:hAnsi="Times New Roman" w:cs="Times New Roman"/>
          <w:sz w:val="24"/>
          <w:szCs w:val="24"/>
        </w:rPr>
        <w:t xml:space="preserve"> for stable estimation. LVPLS is particularly well suited for small to medium samples, making it an appropriate technique in this context (Hair et al., 2013). Second, the dataset did not meet the assumptions of normality, as confirmed by the </w:t>
      </w:r>
      <w:r w:rsidRPr="007D7DB1">
        <w:rPr>
          <w:rFonts w:ascii="Times New Roman" w:eastAsia="Times New Roman" w:hAnsi="Times New Roman" w:cs="Times New Roman"/>
          <w:bCs/>
          <w:sz w:val="24"/>
          <w:szCs w:val="24"/>
        </w:rPr>
        <w:t>Kolmogorov–Smirnov</w:t>
      </w:r>
      <w:r w:rsidRPr="006D63F1">
        <w:rPr>
          <w:rFonts w:ascii="Times New Roman" w:eastAsia="Times New Roman" w:hAnsi="Times New Roman" w:cs="Times New Roman"/>
          <w:sz w:val="24"/>
          <w:szCs w:val="24"/>
        </w:rPr>
        <w:t xml:space="preserve"> and </w:t>
      </w:r>
      <w:r w:rsidRPr="007D7DB1">
        <w:rPr>
          <w:rFonts w:ascii="Times New Roman" w:eastAsia="Times New Roman" w:hAnsi="Times New Roman" w:cs="Times New Roman"/>
          <w:bCs/>
          <w:sz w:val="24"/>
          <w:szCs w:val="24"/>
        </w:rPr>
        <w:t>Shapiro–Wilk tests</w:t>
      </w:r>
      <w:r w:rsidRPr="006D63F1">
        <w:rPr>
          <w:rFonts w:ascii="Times New Roman" w:eastAsia="Times New Roman" w:hAnsi="Times New Roman" w:cs="Times New Roman"/>
          <w:sz w:val="24"/>
          <w:szCs w:val="24"/>
        </w:rPr>
        <w:t>, both yielding significance values of 0.000, well below the 0.05 alpha level. This result rejected the null hypothesis of normality across all variables, further justifying the use of LVPLS, which does not impose strict distributional assumptions (Field, 2024).</w:t>
      </w:r>
    </w:p>
    <w:p w:rsidR="00FA01B8" w:rsidRDefault="006D63F1" w:rsidP="00C95783">
      <w:pPr>
        <w:spacing w:before="100" w:beforeAutospacing="1" w:after="100" w:afterAutospacing="1" w:line="360" w:lineRule="auto"/>
        <w:jc w:val="both"/>
        <w:rPr>
          <w:rFonts w:ascii="Times New Roman" w:eastAsia="Times New Roman" w:hAnsi="Times New Roman" w:cs="Times New Roman"/>
          <w:sz w:val="24"/>
          <w:szCs w:val="24"/>
        </w:rPr>
      </w:pPr>
      <w:r w:rsidRPr="00C95783">
        <w:rPr>
          <w:rFonts w:ascii="Times New Roman" w:eastAsia="Times New Roman" w:hAnsi="Times New Roman" w:cs="Times New Roman"/>
          <w:b/>
          <w:bCs/>
          <w:sz w:val="24"/>
          <w:szCs w:val="24"/>
        </w:rPr>
        <w:t>Reliability Testing</w:t>
      </w:r>
      <w:r w:rsidRPr="006D63F1">
        <w:rPr>
          <w:rFonts w:ascii="Times New Roman" w:eastAsia="Times New Roman" w:hAnsi="Times New Roman" w:cs="Times New Roman"/>
          <w:sz w:val="24"/>
          <w:szCs w:val="24"/>
        </w:rPr>
        <w:t xml:space="preserve">: Internal consistency was assessed using </w:t>
      </w:r>
      <w:r w:rsidRPr="00FA01B8">
        <w:rPr>
          <w:rFonts w:ascii="Times New Roman" w:eastAsia="Times New Roman" w:hAnsi="Times New Roman" w:cs="Times New Roman"/>
          <w:bCs/>
          <w:sz w:val="24"/>
          <w:szCs w:val="24"/>
        </w:rPr>
        <w:t>Composite Reliability (CR)</w:t>
      </w:r>
      <w:r w:rsidRPr="006D63F1">
        <w:rPr>
          <w:rFonts w:ascii="Times New Roman" w:eastAsia="Times New Roman" w:hAnsi="Times New Roman" w:cs="Times New Roman"/>
          <w:sz w:val="24"/>
          <w:szCs w:val="24"/>
        </w:rPr>
        <w:t>, which is preferred over Cronbach’s alpha in PLS</w:t>
      </w:r>
      <w:r w:rsidRPr="006D63F1">
        <w:rPr>
          <w:rFonts w:ascii="Times New Roman" w:eastAsia="Times New Roman" w:hAnsi="Times New Roman" w:cs="Times New Roman"/>
          <w:sz w:val="24"/>
          <w:szCs w:val="24"/>
        </w:rPr>
        <w:noBreakHyphen/>
        <w:t>SEM due to its robustness and reduced sensitivity to the number of items. All CR values exceeded the recommended threshold of 0.70, confirming construct reliability.</w:t>
      </w:r>
      <w:r w:rsidR="00C95783">
        <w:rPr>
          <w:rFonts w:ascii="Times New Roman" w:eastAsia="Times New Roman" w:hAnsi="Times New Roman" w:cs="Times New Roman"/>
          <w:sz w:val="24"/>
          <w:szCs w:val="24"/>
        </w:rPr>
        <w:t xml:space="preserve"> </w:t>
      </w:r>
    </w:p>
    <w:p w:rsidR="006D63F1" w:rsidRPr="006D63F1" w:rsidRDefault="006D63F1" w:rsidP="00C95783">
      <w:pPr>
        <w:spacing w:before="100" w:beforeAutospacing="1" w:after="100" w:afterAutospacing="1" w:line="360" w:lineRule="auto"/>
        <w:jc w:val="both"/>
        <w:rPr>
          <w:rFonts w:ascii="Times New Roman" w:eastAsia="Times New Roman" w:hAnsi="Times New Roman" w:cs="Times New Roman"/>
          <w:sz w:val="24"/>
          <w:szCs w:val="24"/>
        </w:rPr>
      </w:pPr>
      <w:r w:rsidRPr="00C95783">
        <w:rPr>
          <w:rFonts w:ascii="Times New Roman" w:eastAsia="Times New Roman" w:hAnsi="Times New Roman" w:cs="Times New Roman"/>
          <w:b/>
          <w:bCs/>
          <w:sz w:val="24"/>
          <w:szCs w:val="24"/>
        </w:rPr>
        <w:t>Validity Testing</w:t>
      </w:r>
      <w:r w:rsidRPr="006D63F1">
        <w:rPr>
          <w:rFonts w:ascii="Times New Roman" w:eastAsia="Times New Roman" w:hAnsi="Times New Roman" w:cs="Times New Roman"/>
          <w:sz w:val="24"/>
          <w:szCs w:val="24"/>
        </w:rPr>
        <w:t xml:space="preserve">: Convergent validity was evaluated using </w:t>
      </w:r>
      <w:r w:rsidRPr="007D7DB1">
        <w:rPr>
          <w:rFonts w:ascii="Times New Roman" w:eastAsia="Times New Roman" w:hAnsi="Times New Roman" w:cs="Times New Roman"/>
          <w:bCs/>
          <w:sz w:val="24"/>
          <w:szCs w:val="24"/>
        </w:rPr>
        <w:t>Average Variance Extracted (AVE ≥ 0.50)</w:t>
      </w:r>
      <w:r w:rsidRPr="006D63F1">
        <w:rPr>
          <w:rFonts w:ascii="Times New Roman" w:eastAsia="Times New Roman" w:hAnsi="Times New Roman" w:cs="Times New Roman"/>
          <w:sz w:val="24"/>
          <w:szCs w:val="24"/>
        </w:rPr>
        <w:t xml:space="preserve">, while discriminant validity was assessed using the </w:t>
      </w:r>
      <w:r w:rsidRPr="007D7DB1">
        <w:rPr>
          <w:rFonts w:ascii="Times New Roman" w:eastAsia="Times New Roman" w:hAnsi="Times New Roman" w:cs="Times New Roman"/>
          <w:bCs/>
          <w:sz w:val="24"/>
          <w:szCs w:val="24"/>
        </w:rPr>
        <w:t>Fornell–Larcker criterion</w:t>
      </w:r>
      <w:r w:rsidRPr="006D63F1">
        <w:rPr>
          <w:rFonts w:ascii="Times New Roman" w:eastAsia="Times New Roman" w:hAnsi="Times New Roman" w:cs="Times New Roman"/>
          <w:sz w:val="24"/>
          <w:szCs w:val="24"/>
        </w:rPr>
        <w:t xml:space="preserve"> and </w:t>
      </w:r>
      <w:r w:rsidRPr="007D7DB1">
        <w:rPr>
          <w:rFonts w:ascii="Times New Roman" w:eastAsia="Times New Roman" w:hAnsi="Times New Roman" w:cs="Times New Roman"/>
          <w:bCs/>
          <w:sz w:val="24"/>
          <w:szCs w:val="24"/>
        </w:rPr>
        <w:t>HTMT ratios</w:t>
      </w:r>
      <w:r w:rsidRPr="006D63F1">
        <w:rPr>
          <w:rFonts w:ascii="Times New Roman" w:eastAsia="Times New Roman" w:hAnsi="Times New Roman" w:cs="Times New Roman"/>
          <w:sz w:val="24"/>
          <w:szCs w:val="24"/>
        </w:rPr>
        <w:t>. Both tests confirmed that the constructs were empirically distinct and conceptually coherent (Fornell and Larcker, 1981; Bagozzi and Yi, 1988).</w:t>
      </w:r>
    </w:p>
    <w:p w:rsidR="006D63F1" w:rsidRPr="006D63F1" w:rsidRDefault="006D63F1" w:rsidP="00C95783">
      <w:pPr>
        <w:spacing w:before="100" w:beforeAutospacing="1" w:after="100" w:afterAutospacing="1" w:line="360" w:lineRule="auto"/>
        <w:jc w:val="both"/>
        <w:rPr>
          <w:rFonts w:ascii="Times New Roman" w:eastAsia="Times New Roman" w:hAnsi="Times New Roman" w:cs="Times New Roman"/>
          <w:sz w:val="24"/>
          <w:szCs w:val="24"/>
        </w:rPr>
      </w:pPr>
      <w:r w:rsidRPr="00C95783">
        <w:rPr>
          <w:rFonts w:ascii="Times New Roman" w:eastAsia="Times New Roman" w:hAnsi="Times New Roman" w:cs="Times New Roman"/>
          <w:b/>
          <w:bCs/>
          <w:sz w:val="24"/>
          <w:szCs w:val="24"/>
        </w:rPr>
        <w:t>Structural Model Assessment</w:t>
      </w:r>
      <w:r w:rsidRPr="006D63F1">
        <w:rPr>
          <w:rFonts w:ascii="Times New Roman" w:eastAsia="Times New Roman" w:hAnsi="Times New Roman" w:cs="Times New Roman"/>
          <w:sz w:val="24"/>
          <w:szCs w:val="24"/>
        </w:rPr>
        <w:t xml:space="preserve">: Path coefficients were examined to evaluate hypothesised associations, while mediation effects were assessed using </w:t>
      </w:r>
      <w:r w:rsidRPr="007D7DB1">
        <w:rPr>
          <w:rFonts w:ascii="Times New Roman" w:eastAsia="Times New Roman" w:hAnsi="Times New Roman" w:cs="Times New Roman"/>
          <w:bCs/>
          <w:sz w:val="24"/>
          <w:szCs w:val="24"/>
        </w:rPr>
        <w:t>bootstrapping with 5,000 resamples</w:t>
      </w:r>
      <w:r w:rsidRPr="006D63F1">
        <w:rPr>
          <w:rFonts w:ascii="Times New Roman" w:eastAsia="Times New Roman" w:hAnsi="Times New Roman" w:cs="Times New Roman"/>
          <w:sz w:val="24"/>
          <w:szCs w:val="24"/>
        </w:rPr>
        <w:t xml:space="preserve"> to </w:t>
      </w:r>
      <w:r w:rsidRPr="006D63F1">
        <w:rPr>
          <w:rFonts w:ascii="Times New Roman" w:eastAsia="Times New Roman" w:hAnsi="Times New Roman" w:cs="Times New Roman"/>
          <w:sz w:val="24"/>
          <w:szCs w:val="24"/>
        </w:rPr>
        <w:lastRenderedPageBreak/>
        <w:t xml:space="preserve">generate confidence intervals and significance values. Model fit indices, including </w:t>
      </w:r>
      <w:r w:rsidRPr="007D7DB1">
        <w:rPr>
          <w:rFonts w:ascii="Times New Roman" w:eastAsia="Times New Roman" w:hAnsi="Times New Roman" w:cs="Times New Roman"/>
          <w:bCs/>
          <w:sz w:val="24"/>
          <w:szCs w:val="24"/>
        </w:rPr>
        <w:t>Standardised Root Mean Square Residual (SRMR ≤ 0.08)</w:t>
      </w:r>
      <w:r w:rsidRPr="006D63F1">
        <w:rPr>
          <w:rFonts w:ascii="Times New Roman" w:eastAsia="Times New Roman" w:hAnsi="Times New Roman" w:cs="Times New Roman"/>
          <w:sz w:val="24"/>
          <w:szCs w:val="24"/>
        </w:rPr>
        <w:t xml:space="preserve"> and </w:t>
      </w:r>
      <w:r w:rsidRPr="007D7DB1">
        <w:rPr>
          <w:rFonts w:ascii="Times New Roman" w:eastAsia="Times New Roman" w:hAnsi="Times New Roman" w:cs="Times New Roman"/>
          <w:bCs/>
          <w:sz w:val="24"/>
          <w:szCs w:val="24"/>
        </w:rPr>
        <w:t>R² values</w:t>
      </w:r>
      <w:r w:rsidRPr="006D63F1">
        <w:rPr>
          <w:rFonts w:ascii="Times New Roman" w:eastAsia="Times New Roman" w:hAnsi="Times New Roman" w:cs="Times New Roman"/>
          <w:sz w:val="24"/>
          <w:szCs w:val="24"/>
        </w:rPr>
        <w:t xml:space="preserve">, were reported to evaluate explanatory power. Predictive relevance was further assessed using </w:t>
      </w:r>
      <w:r w:rsidRPr="007D7DB1">
        <w:rPr>
          <w:rFonts w:ascii="Times New Roman" w:eastAsia="Times New Roman" w:hAnsi="Times New Roman" w:cs="Times New Roman"/>
          <w:bCs/>
          <w:sz w:val="24"/>
          <w:szCs w:val="24"/>
        </w:rPr>
        <w:t>Q² statistics</w:t>
      </w:r>
      <w:r w:rsidRPr="006D63F1">
        <w:rPr>
          <w:rFonts w:ascii="Times New Roman" w:eastAsia="Times New Roman" w:hAnsi="Times New Roman" w:cs="Times New Roman"/>
          <w:sz w:val="24"/>
          <w:szCs w:val="24"/>
        </w:rPr>
        <w:t>, confirming the model’s ability to predict variance in endogenous constructs.</w:t>
      </w:r>
    </w:p>
    <w:p w:rsidR="006D63F1" w:rsidRPr="006D63F1" w:rsidRDefault="006D63F1" w:rsidP="00C95783">
      <w:pPr>
        <w:spacing w:before="100" w:beforeAutospacing="1" w:after="100" w:afterAutospacing="1" w:line="360" w:lineRule="auto"/>
        <w:jc w:val="both"/>
        <w:rPr>
          <w:rFonts w:ascii="Times New Roman" w:eastAsia="Times New Roman" w:hAnsi="Times New Roman" w:cs="Times New Roman"/>
          <w:sz w:val="24"/>
          <w:szCs w:val="24"/>
        </w:rPr>
      </w:pPr>
      <w:r w:rsidRPr="00C95783">
        <w:rPr>
          <w:rFonts w:ascii="Times New Roman" w:eastAsia="Times New Roman" w:hAnsi="Times New Roman" w:cs="Times New Roman"/>
          <w:b/>
          <w:bCs/>
          <w:sz w:val="24"/>
          <w:szCs w:val="24"/>
        </w:rPr>
        <w:t>Mediation Logic</w:t>
      </w:r>
      <w:r w:rsidRPr="006D63F1">
        <w:rPr>
          <w:rFonts w:ascii="Times New Roman" w:eastAsia="Times New Roman" w:hAnsi="Times New Roman" w:cs="Times New Roman"/>
          <w:sz w:val="24"/>
          <w:szCs w:val="24"/>
        </w:rPr>
        <w:t xml:space="preserve">: SmartPLS procedures allowed simultaneous testing of direct and indirect pathways, clarifying whether </w:t>
      </w:r>
      <w:r w:rsidRPr="007D7DB1">
        <w:rPr>
          <w:rFonts w:ascii="Times New Roman" w:eastAsia="Times New Roman" w:hAnsi="Times New Roman" w:cs="Times New Roman"/>
          <w:bCs/>
          <w:sz w:val="24"/>
          <w:szCs w:val="24"/>
        </w:rPr>
        <w:t>Flexibility Performance</w:t>
      </w:r>
      <w:r w:rsidRPr="006D63F1">
        <w:rPr>
          <w:rFonts w:ascii="Times New Roman" w:eastAsia="Times New Roman" w:hAnsi="Times New Roman" w:cs="Times New Roman"/>
          <w:sz w:val="24"/>
          <w:szCs w:val="24"/>
        </w:rPr>
        <w:t xml:space="preserve"> functioned as a significant mediator between </w:t>
      </w:r>
      <w:r w:rsidRPr="007D7DB1">
        <w:rPr>
          <w:rFonts w:ascii="Times New Roman" w:eastAsia="Times New Roman" w:hAnsi="Times New Roman" w:cs="Times New Roman"/>
          <w:bCs/>
          <w:sz w:val="24"/>
          <w:szCs w:val="24"/>
        </w:rPr>
        <w:t>Top Management Commitment</w:t>
      </w:r>
      <w:r w:rsidRPr="006D63F1">
        <w:rPr>
          <w:rFonts w:ascii="Times New Roman" w:eastAsia="Times New Roman" w:hAnsi="Times New Roman" w:cs="Times New Roman"/>
          <w:sz w:val="24"/>
          <w:szCs w:val="24"/>
        </w:rPr>
        <w:t xml:space="preserve">, </w:t>
      </w:r>
      <w:r w:rsidRPr="007D7DB1">
        <w:rPr>
          <w:rFonts w:ascii="Times New Roman" w:eastAsia="Times New Roman" w:hAnsi="Times New Roman" w:cs="Times New Roman"/>
          <w:bCs/>
          <w:sz w:val="24"/>
          <w:szCs w:val="24"/>
        </w:rPr>
        <w:t>Employee Involvement</w:t>
      </w:r>
      <w:r w:rsidRPr="006D63F1">
        <w:rPr>
          <w:rFonts w:ascii="Times New Roman" w:eastAsia="Times New Roman" w:hAnsi="Times New Roman" w:cs="Times New Roman"/>
          <w:sz w:val="24"/>
          <w:szCs w:val="24"/>
        </w:rPr>
        <w:t xml:space="preserve">, and </w:t>
      </w:r>
      <w:r w:rsidRPr="007D7DB1">
        <w:rPr>
          <w:rFonts w:ascii="Times New Roman" w:eastAsia="Times New Roman" w:hAnsi="Times New Roman" w:cs="Times New Roman"/>
          <w:bCs/>
          <w:sz w:val="24"/>
          <w:szCs w:val="24"/>
        </w:rPr>
        <w:t>Non</w:t>
      </w:r>
      <w:r w:rsidRPr="007D7DB1">
        <w:rPr>
          <w:rFonts w:ascii="Times New Roman" w:eastAsia="Times New Roman" w:hAnsi="Times New Roman" w:cs="Times New Roman"/>
          <w:bCs/>
          <w:sz w:val="24"/>
          <w:szCs w:val="24"/>
        </w:rPr>
        <w:noBreakHyphen/>
        <w:t>Financial Organisational Performance</w:t>
      </w:r>
      <w:r w:rsidRPr="006D63F1">
        <w:rPr>
          <w:rFonts w:ascii="Times New Roman" w:eastAsia="Times New Roman" w:hAnsi="Times New Roman" w:cs="Times New Roman"/>
          <w:sz w:val="24"/>
          <w:szCs w:val="24"/>
        </w:rPr>
        <w:t>. This integrated approach demonstrates methodological rigor, strengthens validity, and highlights the suitability of SmartPLS 4 for mediation analysis in small</w:t>
      </w:r>
      <w:r w:rsidRPr="006D63F1">
        <w:rPr>
          <w:rFonts w:ascii="Times New Roman" w:eastAsia="Times New Roman" w:hAnsi="Times New Roman" w:cs="Times New Roman"/>
          <w:sz w:val="24"/>
          <w:szCs w:val="24"/>
        </w:rPr>
        <w:noBreakHyphen/>
        <w:t>sample, resource</w:t>
      </w:r>
      <w:r w:rsidRPr="006D63F1">
        <w:rPr>
          <w:rFonts w:ascii="Times New Roman" w:eastAsia="Times New Roman" w:hAnsi="Times New Roman" w:cs="Times New Roman"/>
          <w:sz w:val="24"/>
          <w:szCs w:val="24"/>
        </w:rPr>
        <w:noBreakHyphen/>
        <w:t>constrained service sector research.</w:t>
      </w:r>
    </w:p>
    <w:p w:rsidR="002354F0" w:rsidRPr="002354F0" w:rsidRDefault="002354F0" w:rsidP="002354F0">
      <w:pPr>
        <w:spacing w:after="120" w:line="360" w:lineRule="auto"/>
        <w:jc w:val="both"/>
        <w:rPr>
          <w:rFonts w:ascii="Times New Roman" w:eastAsiaTheme="majorEastAsia" w:hAnsi="Times New Roman" w:cs="Times New Roman"/>
          <w:b/>
          <w:bCs/>
          <w:sz w:val="24"/>
          <w:szCs w:val="24"/>
        </w:rPr>
      </w:pPr>
      <w:r w:rsidRPr="002354F0">
        <w:rPr>
          <w:rFonts w:ascii="Times New Roman" w:eastAsiaTheme="majorEastAsia" w:hAnsi="Times New Roman" w:cs="Times New Roman"/>
          <w:b/>
          <w:bCs/>
          <w:sz w:val="24"/>
          <w:szCs w:val="24"/>
        </w:rPr>
        <w:t>4.0 Study Results</w:t>
      </w:r>
    </w:p>
    <w:p w:rsidR="002354F0" w:rsidRPr="002354F0" w:rsidRDefault="002354F0" w:rsidP="002354F0">
      <w:pPr>
        <w:spacing w:after="120" w:line="360" w:lineRule="auto"/>
        <w:jc w:val="both"/>
        <w:rPr>
          <w:rFonts w:ascii="Times New Roman" w:eastAsiaTheme="majorEastAsia" w:hAnsi="Times New Roman" w:cs="Times New Roman"/>
          <w:sz w:val="24"/>
          <w:szCs w:val="24"/>
        </w:rPr>
      </w:pPr>
      <w:r w:rsidRPr="002354F0">
        <w:rPr>
          <w:rFonts w:ascii="Times New Roman" w:eastAsiaTheme="majorEastAsia" w:hAnsi="Times New Roman" w:cs="Times New Roman"/>
          <w:sz w:val="24"/>
          <w:szCs w:val="24"/>
        </w:rPr>
        <w:t xml:space="preserve">This study investigates the effect of </w:t>
      </w:r>
      <w:r w:rsidRPr="002354F0">
        <w:rPr>
          <w:rFonts w:ascii="Times New Roman" w:eastAsiaTheme="majorEastAsia" w:hAnsi="Times New Roman" w:cs="Times New Roman"/>
          <w:bCs/>
          <w:sz w:val="24"/>
          <w:szCs w:val="24"/>
        </w:rPr>
        <w:t>Total Quality Management (TQM) practices</w:t>
      </w:r>
      <w:r w:rsidRPr="002354F0">
        <w:rPr>
          <w:rFonts w:ascii="Times New Roman" w:eastAsiaTheme="majorEastAsia" w:hAnsi="Times New Roman" w:cs="Times New Roman"/>
          <w:sz w:val="24"/>
          <w:szCs w:val="24"/>
        </w:rPr>
        <w:t xml:space="preserve">, specifically </w:t>
      </w:r>
      <w:r w:rsidRPr="002354F0">
        <w:rPr>
          <w:rFonts w:ascii="Times New Roman" w:eastAsiaTheme="majorEastAsia" w:hAnsi="Times New Roman" w:cs="Times New Roman"/>
          <w:bCs/>
          <w:sz w:val="24"/>
          <w:szCs w:val="24"/>
        </w:rPr>
        <w:t>Top Management Commitment (TMC)</w:t>
      </w:r>
      <w:r w:rsidRPr="002354F0">
        <w:rPr>
          <w:rFonts w:ascii="Times New Roman" w:eastAsiaTheme="majorEastAsia" w:hAnsi="Times New Roman" w:cs="Times New Roman"/>
          <w:sz w:val="24"/>
          <w:szCs w:val="24"/>
        </w:rPr>
        <w:t xml:space="preserve"> and </w:t>
      </w:r>
      <w:r w:rsidRPr="002354F0">
        <w:rPr>
          <w:rFonts w:ascii="Times New Roman" w:eastAsiaTheme="majorEastAsia" w:hAnsi="Times New Roman" w:cs="Times New Roman"/>
          <w:bCs/>
          <w:sz w:val="24"/>
          <w:szCs w:val="24"/>
        </w:rPr>
        <w:t>Employee Involvement (EI)</w:t>
      </w:r>
      <w:r w:rsidRPr="002354F0">
        <w:rPr>
          <w:rFonts w:ascii="Times New Roman" w:eastAsiaTheme="majorEastAsia" w:hAnsi="Times New Roman" w:cs="Times New Roman"/>
          <w:sz w:val="24"/>
          <w:szCs w:val="24"/>
        </w:rPr>
        <w:t xml:space="preserve">, on </w:t>
      </w:r>
      <w:r w:rsidR="00F801F5" w:rsidRPr="002354F0">
        <w:rPr>
          <w:rFonts w:ascii="Times New Roman" w:eastAsiaTheme="majorEastAsia" w:hAnsi="Times New Roman" w:cs="Times New Roman"/>
          <w:bCs/>
          <w:sz w:val="24"/>
          <w:szCs w:val="24"/>
        </w:rPr>
        <w:t>Flexibility Performance</w:t>
      </w:r>
      <w:r w:rsidR="00F801F5">
        <w:rPr>
          <w:rFonts w:ascii="Times New Roman" w:eastAsiaTheme="majorEastAsia" w:hAnsi="Times New Roman" w:cs="Times New Roman"/>
          <w:bCs/>
          <w:sz w:val="24"/>
          <w:szCs w:val="24"/>
        </w:rPr>
        <w:t xml:space="preserve"> (FP)</w:t>
      </w:r>
      <w:r w:rsidRPr="002354F0">
        <w:rPr>
          <w:rFonts w:ascii="Times New Roman" w:eastAsiaTheme="majorEastAsia" w:hAnsi="Times New Roman" w:cs="Times New Roman"/>
          <w:sz w:val="24"/>
          <w:szCs w:val="24"/>
        </w:rPr>
        <w:t xml:space="preserve"> within service sector organisations. It further examines the interrelationships among these TQM practices and flexibility performance, as well as the link between flexibility performance and </w:t>
      </w:r>
      <w:r w:rsidRPr="002354F0">
        <w:rPr>
          <w:rFonts w:ascii="Times New Roman" w:eastAsiaTheme="majorEastAsia" w:hAnsi="Times New Roman" w:cs="Times New Roman"/>
          <w:bCs/>
          <w:sz w:val="24"/>
          <w:szCs w:val="24"/>
        </w:rPr>
        <w:t>non</w:t>
      </w:r>
      <w:r w:rsidRPr="002354F0">
        <w:rPr>
          <w:rFonts w:ascii="Times New Roman" w:eastAsiaTheme="majorEastAsia" w:hAnsi="Times New Roman" w:cs="Times New Roman"/>
          <w:bCs/>
          <w:sz w:val="24"/>
          <w:szCs w:val="24"/>
        </w:rPr>
        <w:noBreakHyphen/>
        <w:t>financial organisational outcomes (NFOP)</w:t>
      </w:r>
      <w:r w:rsidRPr="002354F0">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 xml:space="preserve"> </w:t>
      </w:r>
      <w:r w:rsidRPr="002354F0">
        <w:rPr>
          <w:rFonts w:ascii="Times New Roman" w:eastAsiaTheme="majorEastAsia" w:hAnsi="Times New Roman" w:cs="Times New Roman"/>
          <w:sz w:val="24"/>
          <w:szCs w:val="24"/>
        </w:rPr>
        <w:t xml:space="preserve">Before analysing the hypothesised structural relationships, the study assessed the </w:t>
      </w:r>
      <w:r w:rsidRPr="002354F0">
        <w:rPr>
          <w:rFonts w:ascii="Times New Roman" w:eastAsiaTheme="majorEastAsia" w:hAnsi="Times New Roman" w:cs="Times New Roman"/>
          <w:bCs/>
          <w:sz w:val="24"/>
          <w:szCs w:val="24"/>
        </w:rPr>
        <w:t>measurement model</w:t>
      </w:r>
      <w:r w:rsidRPr="002354F0">
        <w:rPr>
          <w:rFonts w:ascii="Times New Roman" w:eastAsiaTheme="majorEastAsia" w:hAnsi="Times New Roman" w:cs="Times New Roman"/>
          <w:sz w:val="24"/>
          <w:szCs w:val="24"/>
        </w:rPr>
        <w:t xml:space="preserve"> to ensure validity and reliability. This involved evaluating indicator reliability, internal consistency, and both convergent and discriminant validity, consistent with established methodological guidelines (Wong, 2013).</w:t>
      </w:r>
    </w:p>
    <w:p w:rsidR="00D70912" w:rsidRPr="00D70912" w:rsidRDefault="00D70912" w:rsidP="002354F0">
      <w:pPr>
        <w:spacing w:after="120" w:line="360" w:lineRule="auto"/>
        <w:jc w:val="both"/>
        <w:rPr>
          <w:rFonts w:ascii="Times New Roman" w:eastAsiaTheme="majorEastAsia" w:hAnsi="Times New Roman" w:cs="Times New Roman"/>
          <w:b/>
          <w:bCs/>
          <w:sz w:val="8"/>
          <w:szCs w:val="24"/>
        </w:rPr>
      </w:pPr>
    </w:p>
    <w:p w:rsidR="002354F0" w:rsidRPr="002354F0" w:rsidRDefault="002354F0" w:rsidP="002354F0">
      <w:pPr>
        <w:spacing w:after="120" w:line="360" w:lineRule="auto"/>
        <w:jc w:val="both"/>
        <w:rPr>
          <w:rFonts w:ascii="Times New Roman" w:eastAsiaTheme="majorEastAsia" w:hAnsi="Times New Roman" w:cs="Times New Roman"/>
          <w:b/>
          <w:bCs/>
          <w:sz w:val="24"/>
          <w:szCs w:val="24"/>
        </w:rPr>
      </w:pPr>
      <w:r w:rsidRPr="002354F0">
        <w:rPr>
          <w:rFonts w:ascii="Times New Roman" w:eastAsiaTheme="majorEastAsia" w:hAnsi="Times New Roman" w:cs="Times New Roman"/>
          <w:b/>
          <w:bCs/>
          <w:sz w:val="24"/>
          <w:szCs w:val="24"/>
        </w:rPr>
        <w:t>4.1 Measurement Model Results</w:t>
      </w:r>
    </w:p>
    <w:p w:rsidR="003B5500" w:rsidRPr="000956F0" w:rsidRDefault="002354F0" w:rsidP="000956F0">
      <w:pPr>
        <w:spacing w:after="120" w:line="360" w:lineRule="auto"/>
        <w:jc w:val="both"/>
        <w:rPr>
          <w:rFonts w:ascii="Times New Roman" w:eastAsiaTheme="majorEastAsia" w:hAnsi="Times New Roman" w:cs="Times New Roman"/>
          <w:sz w:val="24"/>
          <w:szCs w:val="24"/>
        </w:rPr>
      </w:pPr>
      <w:r w:rsidRPr="002354F0">
        <w:rPr>
          <w:rFonts w:ascii="Times New Roman" w:eastAsiaTheme="majorEastAsia" w:hAnsi="Times New Roman" w:cs="Times New Roman"/>
          <w:sz w:val="24"/>
          <w:szCs w:val="24"/>
        </w:rPr>
        <w:t xml:space="preserve">The measurement model demonstrated satisfactory reliability and validity across all constructs. </w:t>
      </w:r>
      <w:r w:rsidRPr="002354F0">
        <w:rPr>
          <w:rFonts w:ascii="Times New Roman" w:eastAsiaTheme="majorEastAsia" w:hAnsi="Times New Roman" w:cs="Times New Roman"/>
          <w:bCs/>
          <w:sz w:val="24"/>
          <w:szCs w:val="24"/>
        </w:rPr>
        <w:t>Composite reliability (CR)</w:t>
      </w:r>
      <w:r w:rsidRPr="002354F0">
        <w:rPr>
          <w:rFonts w:ascii="Times New Roman" w:eastAsiaTheme="majorEastAsia" w:hAnsi="Times New Roman" w:cs="Times New Roman"/>
          <w:sz w:val="24"/>
          <w:szCs w:val="24"/>
        </w:rPr>
        <w:t xml:space="preserve"> values exceeded the recommended threshold of 0.70, confirming internal consistency. Similarly, </w:t>
      </w:r>
      <w:r w:rsidRPr="002354F0">
        <w:rPr>
          <w:rFonts w:ascii="Times New Roman" w:eastAsiaTheme="majorEastAsia" w:hAnsi="Times New Roman" w:cs="Times New Roman"/>
          <w:bCs/>
          <w:sz w:val="24"/>
          <w:szCs w:val="24"/>
        </w:rPr>
        <w:t>Average Variance Extracted (AVE)</w:t>
      </w:r>
      <w:r w:rsidRPr="002354F0">
        <w:rPr>
          <w:rFonts w:ascii="Times New Roman" w:eastAsiaTheme="majorEastAsia" w:hAnsi="Times New Roman" w:cs="Times New Roman"/>
          <w:sz w:val="24"/>
          <w:szCs w:val="24"/>
        </w:rPr>
        <w:t xml:space="preserve"> values were above 0.50, establishing convergent validity.</w:t>
      </w:r>
      <w:r w:rsidR="00F801F5">
        <w:rPr>
          <w:rFonts w:ascii="Times New Roman" w:eastAsiaTheme="majorEastAsia" w:hAnsi="Times New Roman" w:cs="Times New Roman"/>
          <w:sz w:val="24"/>
          <w:szCs w:val="24"/>
        </w:rPr>
        <w:t xml:space="preserve"> </w:t>
      </w:r>
      <w:r w:rsidRPr="002354F0">
        <w:rPr>
          <w:rFonts w:ascii="Times New Roman" w:eastAsiaTheme="majorEastAsia" w:hAnsi="Times New Roman" w:cs="Times New Roman"/>
          <w:sz w:val="24"/>
          <w:szCs w:val="24"/>
        </w:rPr>
        <w:t xml:space="preserve">Discriminant validity was confirmed using both the </w:t>
      </w:r>
      <w:r w:rsidRPr="002354F0">
        <w:rPr>
          <w:rFonts w:ascii="Times New Roman" w:eastAsiaTheme="majorEastAsia" w:hAnsi="Times New Roman" w:cs="Times New Roman"/>
          <w:bCs/>
          <w:sz w:val="24"/>
          <w:szCs w:val="24"/>
        </w:rPr>
        <w:t>Fornell–Larcker criterion</w:t>
      </w:r>
      <w:r w:rsidRPr="002354F0">
        <w:rPr>
          <w:rFonts w:ascii="Times New Roman" w:eastAsiaTheme="majorEastAsia" w:hAnsi="Times New Roman" w:cs="Times New Roman"/>
          <w:sz w:val="24"/>
          <w:szCs w:val="24"/>
        </w:rPr>
        <w:t xml:space="preserve"> and </w:t>
      </w:r>
      <w:r w:rsidRPr="002354F0">
        <w:rPr>
          <w:rFonts w:ascii="Times New Roman" w:eastAsiaTheme="majorEastAsia" w:hAnsi="Times New Roman" w:cs="Times New Roman"/>
          <w:bCs/>
          <w:sz w:val="24"/>
          <w:szCs w:val="24"/>
        </w:rPr>
        <w:t>HTMT ratios</w:t>
      </w:r>
      <w:r w:rsidRPr="002354F0">
        <w:rPr>
          <w:rFonts w:ascii="Times New Roman" w:eastAsiaTheme="majorEastAsia" w:hAnsi="Times New Roman" w:cs="Times New Roman"/>
          <w:sz w:val="24"/>
          <w:szCs w:val="24"/>
        </w:rPr>
        <w:t>, ensuring that the constructs were empirically distinct and conceptually coherent.</w:t>
      </w:r>
      <w:r w:rsidR="00F801F5">
        <w:rPr>
          <w:rFonts w:ascii="Times New Roman" w:eastAsiaTheme="majorEastAsia" w:hAnsi="Times New Roman" w:cs="Times New Roman"/>
          <w:sz w:val="24"/>
          <w:szCs w:val="24"/>
        </w:rPr>
        <w:t xml:space="preserve"> </w:t>
      </w:r>
      <w:r w:rsidRPr="002354F0">
        <w:rPr>
          <w:rFonts w:ascii="Times New Roman" w:eastAsiaTheme="majorEastAsia" w:hAnsi="Times New Roman" w:cs="Times New Roman"/>
          <w:sz w:val="24"/>
          <w:szCs w:val="24"/>
        </w:rPr>
        <w:t xml:space="preserve">Figure </w:t>
      </w:r>
      <w:r w:rsidRPr="002354F0">
        <w:rPr>
          <w:rFonts w:ascii="Times New Roman" w:eastAsiaTheme="majorEastAsia" w:hAnsi="Times New Roman" w:cs="Times New Roman"/>
          <w:bCs/>
          <w:sz w:val="24"/>
          <w:szCs w:val="24"/>
        </w:rPr>
        <w:t>4.1</w:t>
      </w:r>
      <w:r w:rsidRPr="002354F0">
        <w:rPr>
          <w:rFonts w:ascii="Times New Roman" w:eastAsiaTheme="majorEastAsia" w:hAnsi="Times New Roman" w:cs="Times New Roman"/>
          <w:sz w:val="24"/>
          <w:szCs w:val="24"/>
        </w:rPr>
        <w:t xml:space="preserve"> presents the estimated </w:t>
      </w:r>
      <w:r w:rsidRPr="002354F0">
        <w:rPr>
          <w:rFonts w:ascii="Times New Roman" w:eastAsiaTheme="majorEastAsia" w:hAnsi="Times New Roman" w:cs="Times New Roman"/>
          <w:bCs/>
          <w:sz w:val="24"/>
          <w:szCs w:val="24"/>
        </w:rPr>
        <w:t>PLS measurement model</w:t>
      </w:r>
      <w:r w:rsidRPr="002354F0">
        <w:rPr>
          <w:rFonts w:ascii="Times New Roman" w:eastAsiaTheme="majorEastAsia" w:hAnsi="Times New Roman" w:cs="Times New Roman"/>
          <w:sz w:val="24"/>
          <w:szCs w:val="24"/>
        </w:rPr>
        <w:t>, illustrating the relationships between latent constructs and their observed indicators, thereby providing a robust foundation for subsequent structural model analysis.</w:t>
      </w:r>
    </w:p>
    <w:p w:rsidR="006A696E" w:rsidRPr="00A33EB4" w:rsidRDefault="006A696E" w:rsidP="006A696E">
      <w:pPr>
        <w:spacing w:line="360" w:lineRule="auto"/>
        <w:jc w:val="center"/>
        <w:rPr>
          <w:rFonts w:ascii="Times New Roman" w:eastAsia="Calibri" w:hAnsi="Times New Roman" w:cs="Times New Roman"/>
          <w:b/>
          <w:sz w:val="24"/>
          <w:szCs w:val="24"/>
        </w:rPr>
      </w:pPr>
      <w:r w:rsidRPr="00A33EB4">
        <w:rPr>
          <w:rFonts w:ascii="Times New Roman" w:eastAsia="SimSun" w:hAnsi="Times New Roman" w:cs="Times New Roman"/>
          <w:b/>
          <w:kern w:val="3"/>
          <w:sz w:val="24"/>
          <w:szCs w:val="24"/>
          <w:lang w:val="en-GB"/>
        </w:rPr>
        <w:lastRenderedPageBreak/>
        <w:t>Figure</w:t>
      </w:r>
      <w:r w:rsidRPr="00A33EB4">
        <w:rPr>
          <w:rFonts w:ascii="Times New Roman" w:eastAsia="SimSun" w:hAnsi="Times New Roman" w:cs="Times New Roman"/>
          <w:kern w:val="3"/>
          <w:sz w:val="24"/>
          <w:szCs w:val="24"/>
          <w:lang w:val="en-GB"/>
        </w:rPr>
        <w:t xml:space="preserve"> </w:t>
      </w:r>
      <w:r w:rsidR="00F801F5">
        <w:rPr>
          <w:rFonts w:ascii="Times New Roman" w:eastAsia="SimSun" w:hAnsi="Times New Roman" w:cs="Times New Roman"/>
          <w:b/>
          <w:kern w:val="3"/>
          <w:sz w:val="24"/>
          <w:szCs w:val="24"/>
          <w:lang w:val="en-GB"/>
        </w:rPr>
        <w:t>4.1</w:t>
      </w:r>
      <w:r w:rsidRPr="00A33EB4">
        <w:rPr>
          <w:rFonts w:ascii="Times New Roman" w:eastAsia="SimSun" w:hAnsi="Times New Roman" w:cs="Times New Roman"/>
          <w:b/>
          <w:kern w:val="3"/>
          <w:sz w:val="24"/>
          <w:szCs w:val="24"/>
          <w:lang w:val="en-GB"/>
        </w:rPr>
        <w:t>: PLS Measurement Model Estimation</w:t>
      </w:r>
    </w:p>
    <w:p w:rsidR="006A696E" w:rsidRPr="00A33EB4" w:rsidRDefault="006A696E" w:rsidP="006A696E">
      <w:pPr>
        <w:spacing w:after="120" w:line="360" w:lineRule="auto"/>
        <w:jc w:val="both"/>
        <w:rPr>
          <w:rFonts w:ascii="Times New Roman" w:eastAsia="Times New Roman" w:hAnsi="Times New Roman" w:cs="Times New Roman"/>
          <w:sz w:val="24"/>
          <w:szCs w:val="24"/>
        </w:rPr>
      </w:pPr>
      <w:r w:rsidRPr="00A33EB4">
        <w:rPr>
          <w:rFonts w:ascii="Times New Roman" w:hAnsi="Times New Roman" w:cs="Times New Roman"/>
          <w:noProof/>
          <w:sz w:val="24"/>
          <w:szCs w:val="24"/>
        </w:rPr>
        <w:drawing>
          <wp:inline distT="0" distB="0" distL="0" distR="0" wp14:anchorId="44DBB31D" wp14:editId="3B732D8A">
            <wp:extent cx="5941774" cy="3047315"/>
            <wp:effectExtent l="0" t="0" r="1905" b="1270"/>
            <wp:docPr id="2" name="Picture 2" descr="C:\Users\KENNED~1\AppData\Local\Temp\image181370353551127579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NED~1\AppData\Local\Temp\image181370353551127579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0047" cy="3051558"/>
                    </a:xfrm>
                    <a:prstGeom prst="rect">
                      <a:avLst/>
                    </a:prstGeom>
                    <a:noFill/>
                    <a:ln>
                      <a:noFill/>
                    </a:ln>
                  </pic:spPr>
                </pic:pic>
              </a:graphicData>
            </a:graphic>
          </wp:inline>
        </w:drawing>
      </w:r>
    </w:p>
    <w:p w:rsidR="006A696E" w:rsidRPr="00A33EB4" w:rsidRDefault="006A696E" w:rsidP="006A696E">
      <w:pPr>
        <w:spacing w:after="120" w:line="360" w:lineRule="auto"/>
        <w:jc w:val="both"/>
        <w:rPr>
          <w:rFonts w:ascii="Times New Roman" w:eastAsia="Times New Roman" w:hAnsi="Times New Roman" w:cs="Times New Roman"/>
          <w:b/>
          <w:i/>
          <w:sz w:val="24"/>
          <w:szCs w:val="24"/>
        </w:rPr>
      </w:pPr>
      <w:r w:rsidRPr="00A33EB4">
        <w:rPr>
          <w:rFonts w:ascii="Times New Roman" w:eastAsia="Times New Roman" w:hAnsi="Times New Roman" w:cs="Times New Roman"/>
          <w:b/>
          <w:i/>
          <w:sz w:val="24"/>
          <w:szCs w:val="24"/>
        </w:rPr>
        <w:t>Source: Author, 2025</w:t>
      </w:r>
    </w:p>
    <w:p w:rsidR="005F16F4" w:rsidRPr="005F16F4" w:rsidRDefault="005F16F4" w:rsidP="005F16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F16F4">
        <w:rPr>
          <w:rFonts w:ascii="Times New Roman" w:eastAsia="Times New Roman" w:hAnsi="Times New Roman" w:cs="Times New Roman"/>
          <w:b/>
          <w:bCs/>
          <w:sz w:val="24"/>
          <w:szCs w:val="24"/>
        </w:rPr>
        <w:t>4.1.1 Model’s Outer Loadings and Internal Consistency Reliability</w:t>
      </w:r>
    </w:p>
    <w:p w:rsidR="00D70912" w:rsidRPr="005F16F4" w:rsidRDefault="005F16F4" w:rsidP="005F16F4">
      <w:pPr>
        <w:spacing w:before="100" w:beforeAutospacing="1" w:after="100" w:afterAutospacing="1" w:line="360" w:lineRule="auto"/>
        <w:jc w:val="both"/>
        <w:rPr>
          <w:rFonts w:ascii="Times New Roman" w:eastAsia="Times New Roman" w:hAnsi="Times New Roman" w:cs="Times New Roman"/>
          <w:sz w:val="24"/>
          <w:szCs w:val="24"/>
        </w:rPr>
      </w:pPr>
      <w:r w:rsidRPr="005F16F4">
        <w:rPr>
          <w:rFonts w:ascii="Times New Roman" w:eastAsia="Times New Roman" w:hAnsi="Times New Roman" w:cs="Times New Roman"/>
          <w:sz w:val="24"/>
          <w:szCs w:val="24"/>
        </w:rPr>
        <w:t xml:space="preserve">In assessing internal consistency reliability within </w:t>
      </w:r>
      <w:r w:rsidRPr="005F16F4">
        <w:rPr>
          <w:rFonts w:ascii="Times New Roman" w:eastAsia="Times New Roman" w:hAnsi="Times New Roman" w:cs="Times New Roman"/>
          <w:bCs/>
          <w:sz w:val="24"/>
          <w:szCs w:val="24"/>
        </w:rPr>
        <w:t>Partial Least Squares Structural Equation Modelling (PLS</w:t>
      </w:r>
      <w:r w:rsidRPr="005F16F4">
        <w:rPr>
          <w:rFonts w:ascii="Times New Roman" w:eastAsia="Times New Roman" w:hAnsi="Times New Roman" w:cs="Times New Roman"/>
          <w:bCs/>
          <w:sz w:val="24"/>
          <w:szCs w:val="24"/>
        </w:rPr>
        <w:noBreakHyphen/>
        <w:t>SEM)</w:t>
      </w:r>
      <w:r w:rsidRPr="005F16F4">
        <w:rPr>
          <w:rFonts w:ascii="Times New Roman" w:eastAsia="Times New Roman" w:hAnsi="Times New Roman" w:cs="Times New Roman"/>
          <w:sz w:val="24"/>
          <w:szCs w:val="24"/>
        </w:rPr>
        <w:t xml:space="preserve">, scholars generally regard </w:t>
      </w:r>
      <w:r w:rsidRPr="005F16F4">
        <w:rPr>
          <w:rFonts w:ascii="Times New Roman" w:eastAsia="Times New Roman" w:hAnsi="Times New Roman" w:cs="Times New Roman"/>
          <w:bCs/>
          <w:sz w:val="24"/>
          <w:szCs w:val="24"/>
        </w:rPr>
        <w:t>Composite Reliability</w:t>
      </w:r>
      <w:r w:rsidRPr="005F16F4">
        <w:rPr>
          <w:rFonts w:ascii="Times New Roman" w:eastAsia="Times New Roman" w:hAnsi="Times New Roman" w:cs="Times New Roman"/>
          <w:b/>
          <w:bCs/>
          <w:sz w:val="24"/>
          <w:szCs w:val="24"/>
        </w:rPr>
        <w:t xml:space="preserve"> </w:t>
      </w:r>
      <w:r w:rsidRPr="005F16F4">
        <w:rPr>
          <w:rFonts w:ascii="Times New Roman" w:eastAsia="Times New Roman" w:hAnsi="Times New Roman" w:cs="Times New Roman"/>
          <w:bCs/>
          <w:sz w:val="24"/>
          <w:szCs w:val="24"/>
        </w:rPr>
        <w:t>(CR)</w:t>
      </w:r>
      <w:r w:rsidRPr="005F16F4">
        <w:rPr>
          <w:rFonts w:ascii="Times New Roman" w:eastAsia="Times New Roman" w:hAnsi="Times New Roman" w:cs="Times New Roman"/>
          <w:sz w:val="24"/>
          <w:szCs w:val="24"/>
        </w:rPr>
        <w:t xml:space="preserve"> as a more appropriate measure than </w:t>
      </w:r>
      <w:r w:rsidRPr="005F16F4">
        <w:rPr>
          <w:rFonts w:ascii="Times New Roman" w:eastAsia="Times New Roman" w:hAnsi="Times New Roman" w:cs="Times New Roman"/>
          <w:bCs/>
          <w:sz w:val="24"/>
          <w:szCs w:val="24"/>
        </w:rPr>
        <w:t>Cronbach’s alpha</w:t>
      </w:r>
      <w:r w:rsidRPr="005F16F4">
        <w:rPr>
          <w:rFonts w:ascii="Times New Roman" w:eastAsia="Times New Roman" w:hAnsi="Times New Roman" w:cs="Times New Roman"/>
          <w:sz w:val="24"/>
          <w:szCs w:val="24"/>
        </w:rPr>
        <w:t xml:space="preserve">. While Cronbach’s alpha has traditionally been applied, it tends to be influenced by the number of items in a scale and frequently underestimates reliability (Werts, Linn, </w:t>
      </w:r>
      <w:r>
        <w:rPr>
          <w:rFonts w:ascii="Times New Roman" w:eastAsia="Times New Roman" w:hAnsi="Times New Roman" w:cs="Times New Roman"/>
          <w:sz w:val="24"/>
          <w:szCs w:val="24"/>
        </w:rPr>
        <w:t>and</w:t>
      </w:r>
      <w:r w:rsidRPr="005F16F4">
        <w:rPr>
          <w:rFonts w:ascii="Times New Roman" w:eastAsia="Times New Roman" w:hAnsi="Times New Roman" w:cs="Times New Roman"/>
          <w:sz w:val="24"/>
          <w:szCs w:val="24"/>
        </w:rPr>
        <w:t xml:space="preserve"> Jöreskog, 1974). Accordingly, composite reliability is widely recognised as the preferred metric.</w:t>
      </w:r>
      <w:r>
        <w:rPr>
          <w:rFonts w:ascii="Times New Roman" w:eastAsia="Times New Roman" w:hAnsi="Times New Roman" w:cs="Times New Roman"/>
          <w:sz w:val="24"/>
          <w:szCs w:val="24"/>
        </w:rPr>
        <w:t xml:space="preserve"> </w:t>
      </w:r>
      <w:r w:rsidRPr="005F16F4">
        <w:rPr>
          <w:rFonts w:ascii="Times New Roman" w:eastAsia="Times New Roman" w:hAnsi="Times New Roman" w:cs="Times New Roman"/>
          <w:sz w:val="24"/>
          <w:szCs w:val="24"/>
        </w:rPr>
        <w:t xml:space="preserve">Guidelines indicate that composite reliability values should reach at least </w:t>
      </w:r>
      <w:r w:rsidRPr="005F16F4">
        <w:rPr>
          <w:rFonts w:ascii="Times New Roman" w:eastAsia="Times New Roman" w:hAnsi="Times New Roman" w:cs="Times New Roman"/>
          <w:bCs/>
          <w:sz w:val="24"/>
          <w:szCs w:val="24"/>
        </w:rPr>
        <w:t>0.60</w:t>
      </w:r>
      <w:r w:rsidRPr="005F16F4">
        <w:rPr>
          <w:rFonts w:ascii="Times New Roman" w:eastAsia="Times New Roman" w:hAnsi="Times New Roman" w:cs="Times New Roman"/>
          <w:sz w:val="24"/>
          <w:szCs w:val="24"/>
        </w:rPr>
        <w:t xml:space="preserve"> in exploratory studies but remain below </w:t>
      </w:r>
      <w:r w:rsidRPr="005F16F4">
        <w:rPr>
          <w:rFonts w:ascii="Times New Roman" w:eastAsia="Times New Roman" w:hAnsi="Times New Roman" w:cs="Times New Roman"/>
          <w:bCs/>
          <w:sz w:val="24"/>
          <w:szCs w:val="24"/>
        </w:rPr>
        <w:t>0.95</w:t>
      </w:r>
      <w:r w:rsidRPr="005F16F4">
        <w:rPr>
          <w:rFonts w:ascii="Times New Roman" w:eastAsia="Times New Roman" w:hAnsi="Times New Roman" w:cs="Times New Roman"/>
          <w:sz w:val="24"/>
          <w:szCs w:val="24"/>
        </w:rPr>
        <w:t xml:space="preserve">, as values exceeding this range may be associated with redundancy or excessive similarity among items (Hair et al., 2013; Bagozzi </w:t>
      </w:r>
      <w:r>
        <w:rPr>
          <w:rFonts w:ascii="Times New Roman" w:eastAsia="Times New Roman" w:hAnsi="Times New Roman" w:cs="Times New Roman"/>
          <w:sz w:val="24"/>
          <w:szCs w:val="24"/>
        </w:rPr>
        <w:t>and</w:t>
      </w:r>
      <w:r w:rsidRPr="005F16F4">
        <w:rPr>
          <w:rFonts w:ascii="Times New Roman" w:eastAsia="Times New Roman" w:hAnsi="Times New Roman" w:cs="Times New Roman"/>
          <w:sz w:val="24"/>
          <w:szCs w:val="24"/>
        </w:rPr>
        <w:t xml:space="preserve"> Yi, 1988).</w:t>
      </w:r>
      <w:r>
        <w:rPr>
          <w:rFonts w:ascii="Times New Roman" w:eastAsia="Times New Roman" w:hAnsi="Times New Roman" w:cs="Times New Roman"/>
          <w:sz w:val="24"/>
          <w:szCs w:val="24"/>
        </w:rPr>
        <w:t xml:space="preserve"> </w:t>
      </w:r>
      <w:r w:rsidRPr="005F16F4">
        <w:rPr>
          <w:rFonts w:ascii="Times New Roman" w:eastAsia="Times New Roman" w:hAnsi="Times New Roman" w:cs="Times New Roman"/>
          <w:sz w:val="24"/>
          <w:szCs w:val="24"/>
        </w:rPr>
        <w:t>In this study, the composite reliability values for the four constructs</w:t>
      </w:r>
      <w:r>
        <w:rPr>
          <w:rFonts w:ascii="Times New Roman" w:eastAsia="Times New Roman" w:hAnsi="Times New Roman" w:cs="Times New Roman"/>
          <w:sz w:val="24"/>
          <w:szCs w:val="24"/>
        </w:rPr>
        <w:t xml:space="preserve"> </w:t>
      </w:r>
      <w:r w:rsidRPr="005F16F4">
        <w:rPr>
          <w:rFonts w:ascii="Times New Roman" w:eastAsia="Times New Roman" w:hAnsi="Times New Roman" w:cs="Times New Roman"/>
          <w:bCs/>
          <w:sz w:val="24"/>
          <w:szCs w:val="24"/>
        </w:rPr>
        <w:t>Top Management Commitment (TMC)</w:t>
      </w:r>
      <w:r w:rsidRPr="005F16F4">
        <w:rPr>
          <w:rFonts w:ascii="Times New Roman" w:eastAsia="Times New Roman" w:hAnsi="Times New Roman" w:cs="Times New Roman"/>
          <w:sz w:val="24"/>
          <w:szCs w:val="24"/>
        </w:rPr>
        <w:t xml:space="preserve">, </w:t>
      </w:r>
      <w:r w:rsidRPr="005F16F4">
        <w:rPr>
          <w:rFonts w:ascii="Times New Roman" w:eastAsia="Times New Roman" w:hAnsi="Times New Roman" w:cs="Times New Roman"/>
          <w:bCs/>
          <w:sz w:val="24"/>
          <w:szCs w:val="24"/>
        </w:rPr>
        <w:t>Employee Involvement (EI)</w:t>
      </w:r>
      <w:r w:rsidRPr="005F16F4">
        <w:rPr>
          <w:rFonts w:ascii="Times New Roman" w:eastAsia="Times New Roman" w:hAnsi="Times New Roman" w:cs="Times New Roman"/>
          <w:sz w:val="24"/>
          <w:szCs w:val="24"/>
        </w:rPr>
        <w:t xml:space="preserve">, </w:t>
      </w:r>
      <w:r w:rsidRPr="005F16F4">
        <w:rPr>
          <w:rFonts w:ascii="Times New Roman" w:eastAsia="Times New Roman" w:hAnsi="Times New Roman" w:cs="Times New Roman"/>
          <w:bCs/>
          <w:sz w:val="24"/>
          <w:szCs w:val="24"/>
        </w:rPr>
        <w:t>Flexibility Performance (FP)</w:t>
      </w:r>
      <w:r w:rsidRPr="005F16F4">
        <w:rPr>
          <w:rFonts w:ascii="Times New Roman" w:eastAsia="Times New Roman" w:hAnsi="Times New Roman" w:cs="Times New Roman"/>
          <w:sz w:val="24"/>
          <w:szCs w:val="24"/>
        </w:rPr>
        <w:t xml:space="preserve">, and </w:t>
      </w:r>
      <w:r w:rsidRPr="005F16F4">
        <w:rPr>
          <w:rFonts w:ascii="Times New Roman" w:eastAsia="Times New Roman" w:hAnsi="Times New Roman" w:cs="Times New Roman"/>
          <w:bCs/>
          <w:sz w:val="24"/>
          <w:szCs w:val="24"/>
        </w:rPr>
        <w:t>Non</w:t>
      </w:r>
      <w:r w:rsidRPr="005F16F4">
        <w:rPr>
          <w:rFonts w:ascii="Times New Roman" w:eastAsia="Times New Roman" w:hAnsi="Times New Roman" w:cs="Times New Roman"/>
          <w:bCs/>
          <w:sz w:val="24"/>
          <w:szCs w:val="24"/>
        </w:rPr>
        <w:noBreakHyphen/>
        <w:t>Financial Organisational Performance (NFOP)</w:t>
      </w:r>
      <w:r>
        <w:rPr>
          <w:rFonts w:ascii="Times New Roman" w:eastAsia="Times New Roman" w:hAnsi="Times New Roman" w:cs="Times New Roman"/>
          <w:sz w:val="24"/>
          <w:szCs w:val="24"/>
        </w:rPr>
        <w:t xml:space="preserve"> </w:t>
      </w:r>
      <w:r w:rsidRPr="005F16F4">
        <w:rPr>
          <w:rFonts w:ascii="Times New Roman" w:eastAsia="Times New Roman" w:hAnsi="Times New Roman" w:cs="Times New Roman"/>
          <w:sz w:val="24"/>
          <w:szCs w:val="24"/>
        </w:rPr>
        <w:t xml:space="preserve">are presented in </w:t>
      </w:r>
      <w:r w:rsidRPr="005F16F4">
        <w:rPr>
          <w:rFonts w:ascii="Times New Roman" w:eastAsia="Times New Roman" w:hAnsi="Times New Roman" w:cs="Times New Roman"/>
          <w:bCs/>
          <w:sz w:val="24"/>
          <w:szCs w:val="24"/>
        </w:rPr>
        <w:t>Table 4.1</w:t>
      </w:r>
      <w:r w:rsidRPr="005F16F4">
        <w:rPr>
          <w:rFonts w:ascii="Times New Roman" w:eastAsia="Times New Roman" w:hAnsi="Times New Roman" w:cs="Times New Roman"/>
          <w:sz w:val="24"/>
          <w:szCs w:val="24"/>
        </w:rPr>
        <w:t xml:space="preserve">. All values fall within the recommended range, thereby indicating strong internal consistency reliability (Martinkova </w:t>
      </w:r>
      <w:r>
        <w:rPr>
          <w:rFonts w:ascii="Times New Roman" w:eastAsia="Times New Roman" w:hAnsi="Times New Roman" w:cs="Times New Roman"/>
          <w:sz w:val="24"/>
          <w:szCs w:val="24"/>
        </w:rPr>
        <w:t>and</w:t>
      </w:r>
      <w:r w:rsidRPr="005F16F4">
        <w:rPr>
          <w:rFonts w:ascii="Times New Roman" w:eastAsia="Times New Roman" w:hAnsi="Times New Roman" w:cs="Times New Roman"/>
          <w:sz w:val="24"/>
          <w:szCs w:val="24"/>
        </w:rPr>
        <w:t xml:space="preserve"> Hladka, 2023).</w:t>
      </w:r>
    </w:p>
    <w:p w:rsidR="006A696E" w:rsidRPr="00A33EB4" w:rsidRDefault="006A696E" w:rsidP="006A696E">
      <w:pPr>
        <w:keepNext/>
        <w:widowControl w:val="0"/>
        <w:suppressAutoHyphens/>
        <w:autoSpaceDN w:val="0"/>
        <w:spacing w:after="0" w:line="240" w:lineRule="auto"/>
        <w:jc w:val="center"/>
        <w:rPr>
          <w:rFonts w:ascii="Times New Roman" w:eastAsia="SimSun" w:hAnsi="Times New Roman" w:cs="Times New Roman"/>
          <w:b/>
          <w:iCs/>
          <w:kern w:val="3"/>
          <w:sz w:val="24"/>
          <w:szCs w:val="24"/>
          <w:lang w:val="en-GB"/>
        </w:rPr>
      </w:pPr>
      <w:r w:rsidRPr="00A33EB4">
        <w:rPr>
          <w:rFonts w:ascii="Times New Roman" w:eastAsia="SimSun" w:hAnsi="Times New Roman" w:cs="Times New Roman"/>
          <w:b/>
          <w:iCs/>
          <w:kern w:val="3"/>
          <w:sz w:val="24"/>
          <w:szCs w:val="24"/>
          <w:lang w:val="en-GB"/>
        </w:rPr>
        <w:lastRenderedPageBreak/>
        <w:t>Table</w:t>
      </w:r>
      <w:r w:rsidR="005F16F4">
        <w:rPr>
          <w:rFonts w:ascii="Times New Roman" w:eastAsia="SimSun" w:hAnsi="Times New Roman" w:cs="Times New Roman"/>
          <w:b/>
          <w:iCs/>
          <w:kern w:val="3"/>
          <w:sz w:val="24"/>
          <w:szCs w:val="24"/>
          <w:lang w:val="en-GB"/>
        </w:rPr>
        <w:t xml:space="preserve"> 4.1 Model’s </w:t>
      </w:r>
      <w:r w:rsidRPr="00A33EB4">
        <w:rPr>
          <w:rFonts w:ascii="Times New Roman" w:eastAsia="SimSun" w:hAnsi="Times New Roman" w:cs="Times New Roman"/>
          <w:b/>
          <w:iCs/>
          <w:kern w:val="3"/>
          <w:sz w:val="24"/>
          <w:szCs w:val="24"/>
          <w:lang w:val="en-GB"/>
        </w:rPr>
        <w:t>Outer Loadings and Internal Consistency Reliability</w:t>
      </w:r>
    </w:p>
    <w:tbl>
      <w:tblPr>
        <w:tblStyle w:val="TableGrid"/>
        <w:tblW w:w="0" w:type="auto"/>
        <w:jc w:val="center"/>
        <w:tblLook w:val="04A0" w:firstRow="1" w:lastRow="0" w:firstColumn="1" w:lastColumn="0" w:noHBand="0" w:noVBand="1"/>
      </w:tblPr>
      <w:tblGrid>
        <w:gridCol w:w="3964"/>
        <w:gridCol w:w="2127"/>
        <w:gridCol w:w="1701"/>
      </w:tblGrid>
      <w:tr w:rsidR="006A696E" w:rsidRPr="00A33EB4" w:rsidTr="00416F8B">
        <w:trPr>
          <w:jc w:val="center"/>
        </w:trPr>
        <w:tc>
          <w:tcPr>
            <w:tcW w:w="3964" w:type="dxa"/>
            <w:shd w:val="clear" w:color="auto" w:fill="FFD966" w:themeFill="accent4" w:themeFillTint="99"/>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Constructs (Latent Variables)</w:t>
            </w:r>
          </w:p>
        </w:tc>
        <w:tc>
          <w:tcPr>
            <w:tcW w:w="2127" w:type="dxa"/>
            <w:shd w:val="clear" w:color="auto" w:fill="FFD966" w:themeFill="accent4" w:themeFillTint="99"/>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Composite Reliability</w:t>
            </w:r>
          </w:p>
        </w:tc>
        <w:tc>
          <w:tcPr>
            <w:tcW w:w="1701" w:type="dxa"/>
            <w:shd w:val="clear" w:color="auto" w:fill="FFD966" w:themeFill="accent4" w:themeFillTint="99"/>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Outer Loadings</w:t>
            </w:r>
          </w:p>
        </w:tc>
      </w:tr>
      <w:tr w:rsidR="006A696E" w:rsidRPr="00A33EB4" w:rsidTr="00263787">
        <w:trPr>
          <w:jc w:val="center"/>
        </w:trPr>
        <w:tc>
          <w:tcPr>
            <w:tcW w:w="3964"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Top Management Commitment</w:t>
            </w:r>
          </w:p>
        </w:tc>
        <w:tc>
          <w:tcPr>
            <w:tcW w:w="2127"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0.877</w:t>
            </w:r>
          </w:p>
        </w:tc>
        <w:tc>
          <w:tcPr>
            <w:tcW w:w="1701"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r>
      <w:tr w:rsidR="006A696E" w:rsidRPr="00A33EB4" w:rsidTr="00263787">
        <w:trPr>
          <w:jc w:val="center"/>
        </w:trPr>
        <w:tc>
          <w:tcPr>
            <w:tcW w:w="3964"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TMC1</w:t>
            </w:r>
          </w:p>
        </w:tc>
        <w:tc>
          <w:tcPr>
            <w:tcW w:w="2127"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0.691</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TMC2</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0.720</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TMC4</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0.707</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TMC5</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0.783</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TMC7</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0.706</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TMC8</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0.743</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TMC9</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0.734</w:t>
            </w:r>
          </w:p>
        </w:tc>
      </w:tr>
      <w:tr w:rsidR="006A696E" w:rsidRPr="00A33EB4" w:rsidTr="00263787">
        <w:trPr>
          <w:jc w:val="center"/>
        </w:trPr>
        <w:tc>
          <w:tcPr>
            <w:tcW w:w="3964"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TMC10</w:t>
            </w:r>
          </w:p>
        </w:tc>
        <w:tc>
          <w:tcPr>
            <w:tcW w:w="2127"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0.735</w:t>
            </w:r>
          </w:p>
        </w:tc>
      </w:tr>
      <w:tr w:rsidR="006A696E" w:rsidRPr="00A33EB4" w:rsidTr="00263787">
        <w:trPr>
          <w:jc w:val="center"/>
        </w:trPr>
        <w:tc>
          <w:tcPr>
            <w:tcW w:w="3964"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Employee Involvement</w:t>
            </w:r>
          </w:p>
        </w:tc>
        <w:tc>
          <w:tcPr>
            <w:tcW w:w="2127"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0.908</w:t>
            </w:r>
          </w:p>
        </w:tc>
        <w:tc>
          <w:tcPr>
            <w:tcW w:w="1701"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r>
      <w:tr w:rsidR="006A696E" w:rsidRPr="00A33EB4" w:rsidTr="00263787">
        <w:trPr>
          <w:jc w:val="center"/>
        </w:trPr>
        <w:tc>
          <w:tcPr>
            <w:tcW w:w="3964"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EI1</w:t>
            </w:r>
          </w:p>
        </w:tc>
        <w:tc>
          <w:tcPr>
            <w:tcW w:w="2127"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0.753</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EI2</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0.846</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EI3</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0.826</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EI4</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0.790</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EI5</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0.676</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EI6</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0.824</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EI7</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0.766</w:t>
            </w:r>
          </w:p>
        </w:tc>
      </w:tr>
      <w:tr w:rsidR="006A696E" w:rsidRPr="00A33EB4" w:rsidTr="00263787">
        <w:trPr>
          <w:jc w:val="center"/>
        </w:trPr>
        <w:tc>
          <w:tcPr>
            <w:tcW w:w="3964"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EI8</w:t>
            </w:r>
          </w:p>
        </w:tc>
        <w:tc>
          <w:tcPr>
            <w:tcW w:w="2127"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0.752</w:t>
            </w:r>
          </w:p>
        </w:tc>
      </w:tr>
      <w:tr w:rsidR="006A696E" w:rsidRPr="00A33EB4" w:rsidTr="00263787">
        <w:trPr>
          <w:jc w:val="center"/>
        </w:trPr>
        <w:tc>
          <w:tcPr>
            <w:tcW w:w="3964"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Flexibility Performance</w:t>
            </w:r>
          </w:p>
        </w:tc>
        <w:tc>
          <w:tcPr>
            <w:tcW w:w="2127"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0.843</w:t>
            </w:r>
          </w:p>
        </w:tc>
        <w:tc>
          <w:tcPr>
            <w:tcW w:w="1701"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r>
      <w:tr w:rsidR="006A696E" w:rsidRPr="00A33EB4" w:rsidTr="00263787">
        <w:trPr>
          <w:jc w:val="center"/>
        </w:trPr>
        <w:tc>
          <w:tcPr>
            <w:tcW w:w="3964"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FP1</w:t>
            </w:r>
          </w:p>
        </w:tc>
        <w:tc>
          <w:tcPr>
            <w:tcW w:w="2127"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0.750</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FP2</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0.796</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FP3</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0.817</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FP4</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0.777</w:t>
            </w:r>
          </w:p>
        </w:tc>
      </w:tr>
      <w:tr w:rsidR="006A696E" w:rsidRPr="00A33EB4" w:rsidTr="00263787">
        <w:trPr>
          <w:jc w:val="center"/>
        </w:trPr>
        <w:tc>
          <w:tcPr>
            <w:tcW w:w="3964"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FP5</w:t>
            </w:r>
          </w:p>
        </w:tc>
        <w:tc>
          <w:tcPr>
            <w:tcW w:w="2127"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0.777</w:t>
            </w:r>
          </w:p>
        </w:tc>
      </w:tr>
      <w:tr w:rsidR="006A696E" w:rsidRPr="00A33EB4" w:rsidTr="00263787">
        <w:trPr>
          <w:jc w:val="center"/>
        </w:trPr>
        <w:tc>
          <w:tcPr>
            <w:tcW w:w="3964"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Non-Financial Organisational Performance</w:t>
            </w:r>
          </w:p>
        </w:tc>
        <w:tc>
          <w:tcPr>
            <w:tcW w:w="2127"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b/>
                <w:kern w:val="3"/>
                <w:sz w:val="24"/>
                <w:szCs w:val="24"/>
                <w:lang w:val="en-GB"/>
              </w:rPr>
            </w:pPr>
            <w:r w:rsidRPr="00A33EB4">
              <w:rPr>
                <w:rFonts w:ascii="Times New Roman" w:eastAsia="SimSun" w:hAnsi="Times New Roman" w:cs="Times New Roman"/>
                <w:b/>
                <w:kern w:val="3"/>
                <w:sz w:val="24"/>
                <w:szCs w:val="24"/>
                <w:lang w:val="en-GB"/>
              </w:rPr>
              <w:t>0.865</w:t>
            </w:r>
          </w:p>
        </w:tc>
        <w:tc>
          <w:tcPr>
            <w:tcW w:w="1701" w:type="dxa"/>
            <w:tcBorders>
              <w:bottom w:val="single" w:sz="4" w:space="0" w:color="auto"/>
            </w:tcBorders>
            <w:shd w:val="clear" w:color="auto" w:fill="FFFFFF" w:themeFill="background1"/>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r>
      <w:tr w:rsidR="006A696E" w:rsidRPr="00A33EB4" w:rsidTr="00263787">
        <w:trPr>
          <w:jc w:val="center"/>
        </w:trPr>
        <w:tc>
          <w:tcPr>
            <w:tcW w:w="3964"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NFOP1</w:t>
            </w:r>
          </w:p>
        </w:tc>
        <w:tc>
          <w:tcPr>
            <w:tcW w:w="2127"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0.797</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NFOP2</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0.810</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NFOP3</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0.777</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NFOP4</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0.755</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NFOP5</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0.715</w:t>
            </w:r>
          </w:p>
        </w:tc>
      </w:tr>
      <w:tr w:rsidR="006A696E" w:rsidRPr="00A33EB4" w:rsidTr="00263787">
        <w:trPr>
          <w:jc w:val="center"/>
        </w:trPr>
        <w:tc>
          <w:tcPr>
            <w:tcW w:w="3964"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NFOP7</w:t>
            </w:r>
          </w:p>
        </w:tc>
        <w:tc>
          <w:tcPr>
            <w:tcW w:w="2127"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bottom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0.699</w:t>
            </w:r>
          </w:p>
        </w:tc>
      </w:tr>
      <w:tr w:rsidR="006A696E" w:rsidRPr="00A33EB4" w:rsidTr="00263787">
        <w:trPr>
          <w:jc w:val="center"/>
        </w:trPr>
        <w:tc>
          <w:tcPr>
            <w:tcW w:w="3964"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NFOP8</w:t>
            </w:r>
          </w:p>
        </w:tc>
        <w:tc>
          <w:tcPr>
            <w:tcW w:w="2127"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p>
        </w:tc>
        <w:tc>
          <w:tcPr>
            <w:tcW w:w="1701" w:type="dxa"/>
            <w:tcBorders>
              <w:top w:val="nil"/>
            </w:tcBorders>
          </w:tcPr>
          <w:p w:rsidR="006A696E" w:rsidRPr="00A33EB4" w:rsidRDefault="006A696E" w:rsidP="006A696E">
            <w:pPr>
              <w:widowControl w:val="0"/>
              <w:suppressAutoHyphens/>
              <w:autoSpaceDN w:val="0"/>
              <w:rPr>
                <w:rFonts w:ascii="Times New Roman" w:eastAsia="SimSun" w:hAnsi="Times New Roman" w:cs="Times New Roman"/>
                <w:kern w:val="3"/>
                <w:sz w:val="24"/>
                <w:szCs w:val="24"/>
                <w:lang w:val="en-GB"/>
              </w:rPr>
            </w:pPr>
            <w:r w:rsidRPr="00A33EB4">
              <w:rPr>
                <w:rFonts w:ascii="Times New Roman" w:eastAsia="SimSun" w:hAnsi="Times New Roman" w:cs="Times New Roman"/>
                <w:kern w:val="3"/>
                <w:sz w:val="24"/>
                <w:szCs w:val="24"/>
                <w:lang w:val="en-GB"/>
              </w:rPr>
              <w:t>0.656</w:t>
            </w:r>
          </w:p>
        </w:tc>
      </w:tr>
    </w:tbl>
    <w:p w:rsidR="006A696E" w:rsidRPr="00A33EB4" w:rsidRDefault="00D70912" w:rsidP="006A696E">
      <w:pPr>
        <w:widowControl w:val="0"/>
        <w:suppressAutoHyphens/>
        <w:autoSpaceDN w:val="0"/>
        <w:spacing w:after="200" w:line="276" w:lineRule="auto"/>
        <w:rPr>
          <w:rFonts w:ascii="Times New Roman" w:eastAsia="SimSun" w:hAnsi="Times New Roman" w:cs="Times New Roman"/>
          <w:b/>
          <w:i/>
          <w:kern w:val="3"/>
          <w:sz w:val="24"/>
          <w:szCs w:val="24"/>
          <w:lang w:val="en-GB"/>
        </w:rPr>
      </w:pPr>
      <w:r>
        <w:rPr>
          <w:rFonts w:ascii="Times New Roman" w:eastAsia="SimSun" w:hAnsi="Times New Roman" w:cs="Times New Roman"/>
          <w:b/>
          <w:i/>
          <w:kern w:val="3"/>
          <w:sz w:val="24"/>
          <w:szCs w:val="24"/>
          <w:lang w:val="en-GB"/>
        </w:rPr>
        <w:t xml:space="preserve">             </w:t>
      </w:r>
      <w:r w:rsidR="006A696E" w:rsidRPr="00A33EB4">
        <w:rPr>
          <w:rFonts w:ascii="Times New Roman" w:eastAsia="SimSun" w:hAnsi="Times New Roman" w:cs="Times New Roman"/>
          <w:b/>
          <w:i/>
          <w:kern w:val="3"/>
          <w:sz w:val="24"/>
          <w:szCs w:val="24"/>
          <w:lang w:val="en-GB"/>
        </w:rPr>
        <w:t>Source: Author, 2025</w:t>
      </w:r>
    </w:p>
    <w:p w:rsidR="00206D00" w:rsidRPr="00206D00" w:rsidRDefault="00206D00" w:rsidP="00A6678A">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1" w:name="_Toc225759396"/>
      <w:r w:rsidRPr="00206D00">
        <w:rPr>
          <w:rFonts w:ascii="Times New Roman" w:eastAsia="Times New Roman" w:hAnsi="Times New Roman" w:cs="Times New Roman"/>
          <w:b/>
          <w:bCs/>
          <w:sz w:val="24"/>
          <w:szCs w:val="24"/>
        </w:rPr>
        <w:t>4.1.2 Convergent Validity and Discriminant Validity</w:t>
      </w:r>
    </w:p>
    <w:p w:rsidR="00206D00" w:rsidRPr="00206D00" w:rsidRDefault="00206D00" w:rsidP="00A6678A">
      <w:pPr>
        <w:spacing w:before="100" w:beforeAutospacing="1" w:after="100" w:afterAutospacing="1" w:line="360" w:lineRule="auto"/>
        <w:jc w:val="both"/>
        <w:rPr>
          <w:rFonts w:ascii="Times New Roman" w:eastAsia="Times New Roman" w:hAnsi="Times New Roman" w:cs="Times New Roman"/>
          <w:sz w:val="24"/>
          <w:szCs w:val="24"/>
        </w:rPr>
      </w:pPr>
      <w:r w:rsidRPr="00206D00">
        <w:rPr>
          <w:rFonts w:ascii="Times New Roman" w:eastAsia="Times New Roman" w:hAnsi="Times New Roman" w:cs="Times New Roman"/>
          <w:bCs/>
          <w:sz w:val="24"/>
          <w:szCs w:val="24"/>
        </w:rPr>
        <w:t>Convergent validity</w:t>
      </w:r>
      <w:r w:rsidRPr="00206D00">
        <w:rPr>
          <w:rFonts w:ascii="Times New Roman" w:eastAsia="Times New Roman" w:hAnsi="Times New Roman" w:cs="Times New Roman"/>
          <w:sz w:val="24"/>
          <w:szCs w:val="24"/>
        </w:rPr>
        <w:t xml:space="preserve"> reflects the extent to which a construct explains the variance observed in its indicators. According to Fornell and Larcker (1981), the </w:t>
      </w:r>
      <w:r w:rsidRPr="00206D00">
        <w:rPr>
          <w:rFonts w:ascii="Times New Roman" w:eastAsia="Times New Roman" w:hAnsi="Times New Roman" w:cs="Times New Roman"/>
          <w:bCs/>
          <w:sz w:val="24"/>
          <w:szCs w:val="24"/>
        </w:rPr>
        <w:t>Average Variance Extracted (AVE)</w:t>
      </w:r>
      <w:r w:rsidRPr="00206D00">
        <w:rPr>
          <w:rFonts w:ascii="Times New Roman" w:eastAsia="Times New Roman" w:hAnsi="Times New Roman" w:cs="Times New Roman"/>
          <w:sz w:val="24"/>
          <w:szCs w:val="24"/>
        </w:rPr>
        <w:t xml:space="preserve"> provides a robust metric for this evaluation. In this study, the AVE values for the latent</w:t>
      </w:r>
      <w:r w:rsidR="00A6678A">
        <w:rPr>
          <w:rFonts w:ascii="Times New Roman" w:eastAsia="Times New Roman" w:hAnsi="Times New Roman" w:cs="Times New Roman"/>
          <w:sz w:val="24"/>
          <w:szCs w:val="24"/>
        </w:rPr>
        <w:t xml:space="preserve"> constructs </w:t>
      </w:r>
      <w:r w:rsidRPr="00206D00">
        <w:rPr>
          <w:rFonts w:ascii="Times New Roman" w:eastAsia="Times New Roman" w:hAnsi="Times New Roman" w:cs="Times New Roman"/>
          <w:bCs/>
          <w:sz w:val="24"/>
          <w:szCs w:val="24"/>
        </w:rPr>
        <w:t>Top Management Commitment (0.530)</w:t>
      </w:r>
      <w:r w:rsidRPr="00206D00">
        <w:rPr>
          <w:rFonts w:ascii="Times New Roman" w:eastAsia="Times New Roman" w:hAnsi="Times New Roman" w:cs="Times New Roman"/>
          <w:sz w:val="24"/>
          <w:szCs w:val="24"/>
        </w:rPr>
        <w:t xml:space="preserve">, </w:t>
      </w:r>
      <w:r w:rsidRPr="00206D00">
        <w:rPr>
          <w:rFonts w:ascii="Times New Roman" w:eastAsia="Times New Roman" w:hAnsi="Times New Roman" w:cs="Times New Roman"/>
          <w:bCs/>
          <w:sz w:val="24"/>
          <w:szCs w:val="24"/>
        </w:rPr>
        <w:t>Employee Involvement (0.610)</w:t>
      </w:r>
      <w:r w:rsidRPr="00206D00">
        <w:rPr>
          <w:rFonts w:ascii="Times New Roman" w:eastAsia="Times New Roman" w:hAnsi="Times New Roman" w:cs="Times New Roman"/>
          <w:sz w:val="24"/>
          <w:szCs w:val="24"/>
        </w:rPr>
        <w:t xml:space="preserve">, </w:t>
      </w:r>
      <w:r w:rsidRPr="00206D00">
        <w:rPr>
          <w:rFonts w:ascii="Times New Roman" w:eastAsia="Times New Roman" w:hAnsi="Times New Roman" w:cs="Times New Roman"/>
          <w:bCs/>
          <w:sz w:val="24"/>
          <w:szCs w:val="24"/>
        </w:rPr>
        <w:t xml:space="preserve">Flexibility Performance </w:t>
      </w:r>
      <w:r w:rsidRPr="00206D00">
        <w:rPr>
          <w:rFonts w:ascii="Times New Roman" w:eastAsia="Times New Roman" w:hAnsi="Times New Roman" w:cs="Times New Roman"/>
          <w:bCs/>
          <w:sz w:val="24"/>
          <w:szCs w:val="24"/>
        </w:rPr>
        <w:lastRenderedPageBreak/>
        <w:t>(0.615)</w:t>
      </w:r>
      <w:r w:rsidRPr="00206D00">
        <w:rPr>
          <w:rFonts w:ascii="Times New Roman" w:eastAsia="Times New Roman" w:hAnsi="Times New Roman" w:cs="Times New Roman"/>
          <w:sz w:val="24"/>
          <w:szCs w:val="24"/>
        </w:rPr>
        <w:t xml:space="preserve">, and </w:t>
      </w:r>
      <w:r w:rsidRPr="00206D00">
        <w:rPr>
          <w:rFonts w:ascii="Times New Roman" w:eastAsia="Times New Roman" w:hAnsi="Times New Roman" w:cs="Times New Roman"/>
          <w:bCs/>
          <w:sz w:val="24"/>
          <w:szCs w:val="24"/>
        </w:rPr>
        <w:t>Non</w:t>
      </w:r>
      <w:r w:rsidRPr="00206D00">
        <w:rPr>
          <w:rFonts w:ascii="Times New Roman" w:eastAsia="Times New Roman" w:hAnsi="Times New Roman" w:cs="Times New Roman"/>
          <w:bCs/>
          <w:sz w:val="24"/>
          <w:szCs w:val="24"/>
        </w:rPr>
        <w:noBreakHyphen/>
        <w:t>Financial Organisational Performance (0.557)</w:t>
      </w:r>
      <w:r w:rsidR="00A6678A">
        <w:rPr>
          <w:rFonts w:ascii="Times New Roman" w:eastAsia="Times New Roman" w:hAnsi="Times New Roman" w:cs="Times New Roman"/>
          <w:sz w:val="24"/>
          <w:szCs w:val="24"/>
        </w:rPr>
        <w:t xml:space="preserve"> </w:t>
      </w:r>
      <w:r w:rsidRPr="00206D00">
        <w:rPr>
          <w:rFonts w:ascii="Times New Roman" w:eastAsia="Times New Roman" w:hAnsi="Times New Roman" w:cs="Times New Roman"/>
          <w:sz w:val="24"/>
          <w:szCs w:val="24"/>
        </w:rPr>
        <w:t xml:space="preserve">are reported in </w:t>
      </w:r>
      <w:r w:rsidRPr="00206D00">
        <w:rPr>
          <w:rFonts w:ascii="Times New Roman" w:eastAsia="Times New Roman" w:hAnsi="Times New Roman" w:cs="Times New Roman"/>
          <w:bCs/>
          <w:sz w:val="24"/>
          <w:szCs w:val="24"/>
        </w:rPr>
        <w:t xml:space="preserve">Table </w:t>
      </w:r>
      <w:r w:rsidR="00A6678A">
        <w:rPr>
          <w:rFonts w:ascii="Times New Roman" w:eastAsia="Times New Roman" w:hAnsi="Times New Roman" w:cs="Times New Roman"/>
          <w:bCs/>
          <w:sz w:val="24"/>
          <w:szCs w:val="24"/>
        </w:rPr>
        <w:t>4.2</w:t>
      </w:r>
      <w:r w:rsidRPr="00206D00">
        <w:rPr>
          <w:rFonts w:ascii="Times New Roman" w:eastAsia="Times New Roman" w:hAnsi="Times New Roman" w:cs="Times New Roman"/>
          <w:sz w:val="24"/>
          <w:szCs w:val="24"/>
        </w:rPr>
        <w:t xml:space="preserve">. Each construct exceeds the recommended threshold of </w:t>
      </w:r>
      <w:r w:rsidRPr="00206D00">
        <w:rPr>
          <w:rFonts w:ascii="Times New Roman" w:eastAsia="Times New Roman" w:hAnsi="Times New Roman" w:cs="Times New Roman"/>
          <w:bCs/>
          <w:sz w:val="24"/>
          <w:szCs w:val="24"/>
        </w:rPr>
        <w:t>0.50</w:t>
      </w:r>
      <w:r w:rsidRPr="00206D00">
        <w:rPr>
          <w:rFonts w:ascii="Times New Roman" w:eastAsia="Times New Roman" w:hAnsi="Times New Roman" w:cs="Times New Roman"/>
          <w:sz w:val="24"/>
          <w:szCs w:val="24"/>
        </w:rPr>
        <w:t xml:space="preserve"> (Bagozzi </w:t>
      </w:r>
      <w:r w:rsidR="00A6678A">
        <w:rPr>
          <w:rFonts w:ascii="Times New Roman" w:eastAsia="Times New Roman" w:hAnsi="Times New Roman" w:cs="Times New Roman"/>
          <w:sz w:val="24"/>
          <w:szCs w:val="24"/>
        </w:rPr>
        <w:t>and</w:t>
      </w:r>
      <w:r w:rsidRPr="00206D00">
        <w:rPr>
          <w:rFonts w:ascii="Times New Roman" w:eastAsia="Times New Roman" w:hAnsi="Times New Roman" w:cs="Times New Roman"/>
          <w:sz w:val="24"/>
          <w:szCs w:val="24"/>
        </w:rPr>
        <w:t xml:space="preserve"> Yi, 1988), thereby confirming substantial convergent validity.</w:t>
      </w:r>
      <w:r w:rsidR="00A6678A">
        <w:rPr>
          <w:rFonts w:ascii="Times New Roman" w:eastAsia="Times New Roman" w:hAnsi="Times New Roman" w:cs="Times New Roman"/>
          <w:sz w:val="24"/>
          <w:szCs w:val="24"/>
        </w:rPr>
        <w:t xml:space="preserve"> </w:t>
      </w:r>
      <w:r w:rsidRPr="00206D00">
        <w:rPr>
          <w:rFonts w:ascii="Times New Roman" w:eastAsia="Times New Roman" w:hAnsi="Times New Roman" w:cs="Times New Roman"/>
          <w:sz w:val="24"/>
          <w:szCs w:val="24"/>
        </w:rPr>
        <w:t xml:space="preserve">To assess </w:t>
      </w:r>
      <w:r w:rsidRPr="00206D00">
        <w:rPr>
          <w:rFonts w:ascii="Times New Roman" w:eastAsia="Times New Roman" w:hAnsi="Times New Roman" w:cs="Times New Roman"/>
          <w:bCs/>
          <w:sz w:val="24"/>
          <w:szCs w:val="24"/>
        </w:rPr>
        <w:t>discriminant validity</w:t>
      </w:r>
      <w:r w:rsidRPr="00206D00">
        <w:rPr>
          <w:rFonts w:ascii="Times New Roman" w:eastAsia="Times New Roman" w:hAnsi="Times New Roman" w:cs="Times New Roman"/>
          <w:sz w:val="24"/>
          <w:szCs w:val="24"/>
        </w:rPr>
        <w:t xml:space="preserve">, the </w:t>
      </w:r>
      <w:r w:rsidRPr="00206D00">
        <w:rPr>
          <w:rFonts w:ascii="Times New Roman" w:eastAsia="Times New Roman" w:hAnsi="Times New Roman" w:cs="Times New Roman"/>
          <w:bCs/>
          <w:sz w:val="24"/>
          <w:szCs w:val="24"/>
        </w:rPr>
        <w:t>Fornell–Larcker criterion</w:t>
      </w:r>
      <w:r w:rsidRPr="00206D00">
        <w:rPr>
          <w:rFonts w:ascii="Times New Roman" w:eastAsia="Times New Roman" w:hAnsi="Times New Roman" w:cs="Times New Roman"/>
          <w:sz w:val="24"/>
          <w:szCs w:val="24"/>
        </w:rPr>
        <w:t xml:space="preserve"> was applied, as it remains a widely accepted and conservative approach within PLS</w:t>
      </w:r>
      <w:r w:rsidRPr="00206D00">
        <w:rPr>
          <w:rFonts w:ascii="Times New Roman" w:eastAsia="Times New Roman" w:hAnsi="Times New Roman" w:cs="Times New Roman"/>
          <w:sz w:val="24"/>
          <w:szCs w:val="24"/>
        </w:rPr>
        <w:noBreakHyphen/>
        <w:t xml:space="preserve">SEM. This criterion requires that the square root of the AVE for each construct be greater than its correlations with other constructs. The results presented in </w:t>
      </w:r>
      <w:r w:rsidRPr="00206D00">
        <w:rPr>
          <w:rFonts w:ascii="Times New Roman" w:eastAsia="Times New Roman" w:hAnsi="Times New Roman" w:cs="Times New Roman"/>
          <w:bCs/>
          <w:sz w:val="24"/>
          <w:szCs w:val="24"/>
        </w:rPr>
        <w:t xml:space="preserve">Table </w:t>
      </w:r>
      <w:r w:rsidR="00A6678A" w:rsidRPr="00A6678A">
        <w:rPr>
          <w:rFonts w:ascii="Times New Roman" w:eastAsia="Times New Roman" w:hAnsi="Times New Roman" w:cs="Times New Roman"/>
          <w:bCs/>
          <w:sz w:val="24"/>
          <w:szCs w:val="24"/>
        </w:rPr>
        <w:t>4.2</w:t>
      </w:r>
      <w:r w:rsidRPr="00206D00">
        <w:rPr>
          <w:rFonts w:ascii="Times New Roman" w:eastAsia="Times New Roman" w:hAnsi="Times New Roman" w:cs="Times New Roman"/>
          <w:sz w:val="24"/>
          <w:szCs w:val="24"/>
        </w:rPr>
        <w:t xml:space="preserve"> confirm that this condition is satisfied: the square roots of the AVE for </w:t>
      </w:r>
      <w:r w:rsidRPr="00206D00">
        <w:rPr>
          <w:rFonts w:ascii="Times New Roman" w:eastAsia="Times New Roman" w:hAnsi="Times New Roman" w:cs="Times New Roman"/>
          <w:bCs/>
          <w:sz w:val="24"/>
          <w:szCs w:val="24"/>
        </w:rPr>
        <w:t>Employee Involvement</w:t>
      </w:r>
      <w:r w:rsidR="000956F0">
        <w:rPr>
          <w:rFonts w:ascii="Times New Roman" w:eastAsia="Times New Roman" w:hAnsi="Times New Roman" w:cs="Times New Roman"/>
          <w:bCs/>
          <w:sz w:val="24"/>
          <w:szCs w:val="24"/>
        </w:rPr>
        <w:t xml:space="preserve"> (EI)</w:t>
      </w:r>
      <w:r w:rsidRPr="00206D00">
        <w:rPr>
          <w:rFonts w:ascii="Times New Roman" w:eastAsia="Times New Roman" w:hAnsi="Times New Roman" w:cs="Times New Roman"/>
          <w:bCs/>
          <w:sz w:val="24"/>
          <w:szCs w:val="24"/>
        </w:rPr>
        <w:t xml:space="preserve">, Flexibility </w:t>
      </w:r>
      <w:r w:rsidR="000956F0" w:rsidRPr="00206D00">
        <w:rPr>
          <w:rFonts w:ascii="Times New Roman" w:eastAsia="Times New Roman" w:hAnsi="Times New Roman" w:cs="Times New Roman"/>
          <w:bCs/>
          <w:sz w:val="24"/>
          <w:szCs w:val="24"/>
        </w:rPr>
        <w:t>Performance</w:t>
      </w:r>
      <w:r w:rsidR="000956F0">
        <w:rPr>
          <w:rFonts w:ascii="Times New Roman" w:eastAsia="Times New Roman" w:hAnsi="Times New Roman" w:cs="Times New Roman"/>
          <w:bCs/>
          <w:sz w:val="24"/>
          <w:szCs w:val="24"/>
        </w:rPr>
        <w:t xml:space="preserve"> (FP)</w:t>
      </w:r>
      <w:r w:rsidRPr="00206D00">
        <w:rPr>
          <w:rFonts w:ascii="Times New Roman" w:eastAsia="Times New Roman" w:hAnsi="Times New Roman" w:cs="Times New Roman"/>
          <w:bCs/>
          <w:sz w:val="24"/>
          <w:szCs w:val="24"/>
        </w:rPr>
        <w:t>, Non</w:t>
      </w:r>
      <w:r w:rsidRPr="00206D00">
        <w:rPr>
          <w:rFonts w:ascii="Times New Roman" w:eastAsia="Times New Roman" w:hAnsi="Times New Roman" w:cs="Times New Roman"/>
          <w:bCs/>
          <w:sz w:val="24"/>
          <w:szCs w:val="24"/>
        </w:rPr>
        <w:noBreakHyphen/>
        <w:t>Financial Organisational Performance</w:t>
      </w:r>
      <w:r w:rsidR="000956F0">
        <w:rPr>
          <w:rFonts w:ascii="Times New Roman" w:eastAsia="Times New Roman" w:hAnsi="Times New Roman" w:cs="Times New Roman"/>
          <w:bCs/>
          <w:sz w:val="24"/>
          <w:szCs w:val="24"/>
        </w:rPr>
        <w:t xml:space="preserve"> (NFOP)</w:t>
      </w:r>
      <w:r w:rsidRPr="00206D00">
        <w:rPr>
          <w:rFonts w:ascii="Times New Roman" w:eastAsia="Times New Roman" w:hAnsi="Times New Roman" w:cs="Times New Roman"/>
          <w:bCs/>
          <w:sz w:val="24"/>
          <w:szCs w:val="24"/>
        </w:rPr>
        <w:t>, and Top Management Commitment</w:t>
      </w:r>
      <w:r w:rsidRPr="00206D00">
        <w:rPr>
          <w:rFonts w:ascii="Times New Roman" w:eastAsia="Times New Roman" w:hAnsi="Times New Roman" w:cs="Times New Roman"/>
          <w:sz w:val="24"/>
          <w:szCs w:val="24"/>
        </w:rPr>
        <w:t xml:space="preserve"> </w:t>
      </w:r>
      <w:r w:rsidR="000956F0">
        <w:rPr>
          <w:rFonts w:ascii="Times New Roman" w:eastAsia="Times New Roman" w:hAnsi="Times New Roman" w:cs="Times New Roman"/>
          <w:sz w:val="24"/>
          <w:szCs w:val="24"/>
        </w:rPr>
        <w:t xml:space="preserve">(TMC) </w:t>
      </w:r>
      <w:r w:rsidRPr="00206D00">
        <w:rPr>
          <w:rFonts w:ascii="Times New Roman" w:eastAsia="Times New Roman" w:hAnsi="Times New Roman" w:cs="Times New Roman"/>
          <w:sz w:val="24"/>
          <w:szCs w:val="24"/>
        </w:rPr>
        <w:t>all exceed their respective inter</w:t>
      </w:r>
      <w:r w:rsidRPr="00206D00">
        <w:rPr>
          <w:rFonts w:ascii="Times New Roman" w:eastAsia="Times New Roman" w:hAnsi="Times New Roman" w:cs="Times New Roman"/>
          <w:sz w:val="24"/>
          <w:szCs w:val="24"/>
        </w:rPr>
        <w:noBreakHyphen/>
        <w:t>construct correlations.</w:t>
      </w:r>
      <w:r w:rsidR="00D70912">
        <w:rPr>
          <w:rFonts w:ascii="Times New Roman" w:eastAsia="Times New Roman" w:hAnsi="Times New Roman" w:cs="Times New Roman"/>
          <w:sz w:val="24"/>
          <w:szCs w:val="24"/>
        </w:rPr>
        <w:t xml:space="preserve"> </w:t>
      </w:r>
      <w:r w:rsidRPr="00206D00">
        <w:rPr>
          <w:rFonts w:ascii="Times New Roman" w:eastAsia="Times New Roman" w:hAnsi="Times New Roman" w:cs="Times New Roman"/>
          <w:sz w:val="24"/>
          <w:szCs w:val="24"/>
        </w:rPr>
        <w:t>Collectively, these findings provide strong evidence of both convergent and discriminant validity, affirming the robustness of the measurement model and supporting its suitability for subsequent structural analysis.</w:t>
      </w:r>
    </w:p>
    <w:p w:rsidR="00206D00" w:rsidRDefault="00206D00" w:rsidP="00A6678A">
      <w:pPr>
        <w:spacing w:before="100" w:beforeAutospacing="1" w:after="0" w:line="240" w:lineRule="auto"/>
        <w:jc w:val="center"/>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 xml:space="preserve">Table </w:t>
      </w:r>
      <w:r w:rsidR="00A6678A">
        <w:rPr>
          <w:rFonts w:ascii="Times New Roman" w:eastAsia="Times New Roman" w:hAnsi="Times New Roman" w:cs="Times New Roman"/>
          <w:b/>
          <w:bCs/>
          <w:sz w:val="24"/>
          <w:szCs w:val="24"/>
        </w:rPr>
        <w:t>4.2</w:t>
      </w:r>
      <w:r w:rsidRPr="00206D00">
        <w:rPr>
          <w:rFonts w:ascii="Times New Roman" w:eastAsia="Times New Roman" w:hAnsi="Times New Roman" w:cs="Times New Roman"/>
          <w:b/>
          <w:bCs/>
          <w:sz w:val="24"/>
          <w:szCs w:val="24"/>
        </w:rPr>
        <w:t>: Convergent and Discriminant Validity Results</w:t>
      </w:r>
    </w:p>
    <w:tbl>
      <w:tblPr>
        <w:tblStyle w:val="TableGrid"/>
        <w:tblW w:w="8642" w:type="dxa"/>
        <w:jc w:val="center"/>
        <w:tblLook w:val="04A0" w:firstRow="1" w:lastRow="0" w:firstColumn="1" w:lastColumn="0" w:noHBand="0" w:noVBand="1"/>
      </w:tblPr>
      <w:tblGrid>
        <w:gridCol w:w="4390"/>
        <w:gridCol w:w="850"/>
        <w:gridCol w:w="851"/>
        <w:gridCol w:w="850"/>
        <w:gridCol w:w="870"/>
        <w:gridCol w:w="831"/>
      </w:tblGrid>
      <w:tr w:rsidR="00FB1DEC" w:rsidTr="000956F0">
        <w:trPr>
          <w:jc w:val="center"/>
        </w:trPr>
        <w:tc>
          <w:tcPr>
            <w:tcW w:w="4390" w:type="dxa"/>
            <w:shd w:val="clear" w:color="auto" w:fill="FFD966" w:themeFill="accent4" w:themeFillTint="99"/>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Construct</w:t>
            </w:r>
          </w:p>
        </w:tc>
        <w:tc>
          <w:tcPr>
            <w:tcW w:w="850" w:type="dxa"/>
            <w:shd w:val="clear" w:color="auto" w:fill="FFD966" w:themeFill="accent4" w:themeFillTint="99"/>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AVE</w:t>
            </w:r>
          </w:p>
        </w:tc>
        <w:tc>
          <w:tcPr>
            <w:tcW w:w="851" w:type="dxa"/>
            <w:shd w:val="clear" w:color="auto" w:fill="FFD966" w:themeFill="accent4" w:themeFillTint="99"/>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EI</w:t>
            </w:r>
          </w:p>
        </w:tc>
        <w:tc>
          <w:tcPr>
            <w:tcW w:w="850" w:type="dxa"/>
            <w:shd w:val="clear" w:color="auto" w:fill="FFD966" w:themeFill="accent4" w:themeFillTint="99"/>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FP</w:t>
            </w:r>
          </w:p>
        </w:tc>
        <w:tc>
          <w:tcPr>
            <w:tcW w:w="870" w:type="dxa"/>
            <w:shd w:val="clear" w:color="auto" w:fill="FFD966" w:themeFill="accent4" w:themeFillTint="99"/>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NFOP</w:t>
            </w:r>
          </w:p>
        </w:tc>
        <w:tc>
          <w:tcPr>
            <w:tcW w:w="831" w:type="dxa"/>
            <w:shd w:val="clear" w:color="auto" w:fill="FFD966" w:themeFill="accent4" w:themeFillTint="99"/>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sidRPr="00206D00">
              <w:rPr>
                <w:rFonts w:ascii="Times New Roman" w:eastAsia="Times New Roman" w:hAnsi="Times New Roman" w:cs="Times New Roman"/>
                <w:b/>
                <w:bCs/>
                <w:sz w:val="24"/>
                <w:szCs w:val="24"/>
              </w:rPr>
              <w:t>TMC</w:t>
            </w:r>
          </w:p>
        </w:tc>
      </w:tr>
      <w:tr w:rsidR="00FB1DEC" w:rsidTr="000956F0">
        <w:trPr>
          <w:jc w:val="center"/>
        </w:trPr>
        <w:tc>
          <w:tcPr>
            <w:tcW w:w="4390" w:type="dxa"/>
          </w:tcPr>
          <w:p w:rsidR="00A6678A" w:rsidRPr="00FB1DEC" w:rsidRDefault="003D3496" w:rsidP="000956F0">
            <w:pPr>
              <w:spacing w:before="100" w:beforeAutospacing="1" w:after="100" w:afterAutospacing="1" w:line="360" w:lineRule="auto"/>
              <w:outlineLvl w:val="3"/>
              <w:rPr>
                <w:rFonts w:ascii="Times New Roman" w:eastAsia="Times New Roman" w:hAnsi="Times New Roman" w:cs="Times New Roman"/>
                <w:bCs/>
                <w:sz w:val="24"/>
                <w:szCs w:val="24"/>
              </w:rPr>
            </w:pPr>
            <w:r w:rsidRPr="00206D00">
              <w:rPr>
                <w:rFonts w:ascii="Times New Roman" w:eastAsia="Times New Roman" w:hAnsi="Times New Roman" w:cs="Times New Roman"/>
                <w:bCs/>
                <w:sz w:val="24"/>
                <w:szCs w:val="24"/>
              </w:rPr>
              <w:t xml:space="preserve">Employee Involvement </w:t>
            </w:r>
          </w:p>
        </w:tc>
        <w:tc>
          <w:tcPr>
            <w:tcW w:w="85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sidRPr="003D3496">
              <w:rPr>
                <w:rFonts w:ascii="Times New Roman" w:eastAsia="Times New Roman" w:hAnsi="Times New Roman" w:cs="Times New Roman"/>
                <w:bCs/>
                <w:sz w:val="24"/>
                <w:szCs w:val="24"/>
              </w:rPr>
              <w:t>0.610</w:t>
            </w:r>
          </w:p>
        </w:tc>
        <w:tc>
          <w:tcPr>
            <w:tcW w:w="851" w:type="dxa"/>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0.781</w:t>
            </w:r>
          </w:p>
        </w:tc>
        <w:tc>
          <w:tcPr>
            <w:tcW w:w="850" w:type="dxa"/>
          </w:tcPr>
          <w:p w:rsidR="00A6678A" w:rsidRDefault="00A6678A" w:rsidP="00416F8B">
            <w:pPr>
              <w:spacing w:before="100" w:beforeAutospacing="1" w:after="100" w:afterAutospacing="1" w:line="360" w:lineRule="auto"/>
              <w:outlineLvl w:val="3"/>
              <w:rPr>
                <w:rFonts w:ascii="Times New Roman" w:eastAsia="Times New Roman" w:hAnsi="Times New Roman" w:cs="Times New Roman"/>
                <w:b/>
                <w:bCs/>
                <w:sz w:val="24"/>
                <w:szCs w:val="24"/>
              </w:rPr>
            </w:pPr>
          </w:p>
        </w:tc>
        <w:tc>
          <w:tcPr>
            <w:tcW w:w="870" w:type="dxa"/>
          </w:tcPr>
          <w:p w:rsidR="00A6678A" w:rsidRDefault="00A6678A" w:rsidP="00416F8B">
            <w:pPr>
              <w:spacing w:before="100" w:beforeAutospacing="1" w:after="100" w:afterAutospacing="1" w:line="360" w:lineRule="auto"/>
              <w:outlineLvl w:val="3"/>
              <w:rPr>
                <w:rFonts w:ascii="Times New Roman" w:eastAsia="Times New Roman" w:hAnsi="Times New Roman" w:cs="Times New Roman"/>
                <w:b/>
                <w:bCs/>
                <w:sz w:val="24"/>
                <w:szCs w:val="24"/>
              </w:rPr>
            </w:pPr>
          </w:p>
        </w:tc>
        <w:tc>
          <w:tcPr>
            <w:tcW w:w="831" w:type="dxa"/>
          </w:tcPr>
          <w:p w:rsidR="00A6678A" w:rsidRDefault="00A6678A" w:rsidP="00416F8B">
            <w:pPr>
              <w:spacing w:before="100" w:beforeAutospacing="1" w:after="100" w:afterAutospacing="1" w:line="360" w:lineRule="auto"/>
              <w:outlineLvl w:val="3"/>
              <w:rPr>
                <w:rFonts w:ascii="Times New Roman" w:eastAsia="Times New Roman" w:hAnsi="Times New Roman" w:cs="Times New Roman"/>
                <w:b/>
                <w:bCs/>
                <w:sz w:val="24"/>
                <w:szCs w:val="24"/>
              </w:rPr>
            </w:pPr>
          </w:p>
        </w:tc>
      </w:tr>
      <w:tr w:rsidR="00FB1DEC" w:rsidTr="000956F0">
        <w:trPr>
          <w:jc w:val="center"/>
        </w:trPr>
        <w:tc>
          <w:tcPr>
            <w:tcW w:w="4390" w:type="dxa"/>
          </w:tcPr>
          <w:p w:rsidR="00A6678A" w:rsidRPr="00FB1DEC" w:rsidRDefault="003D3496" w:rsidP="000956F0">
            <w:pPr>
              <w:spacing w:before="100" w:beforeAutospacing="1" w:after="100" w:afterAutospacing="1" w:line="360" w:lineRule="auto"/>
              <w:outlineLvl w:val="3"/>
              <w:rPr>
                <w:rFonts w:ascii="Times New Roman" w:eastAsia="Times New Roman" w:hAnsi="Times New Roman" w:cs="Times New Roman"/>
                <w:bCs/>
                <w:sz w:val="24"/>
                <w:szCs w:val="24"/>
              </w:rPr>
            </w:pPr>
            <w:r w:rsidRPr="00206D00">
              <w:rPr>
                <w:rFonts w:ascii="Times New Roman" w:eastAsia="Times New Roman" w:hAnsi="Times New Roman" w:cs="Times New Roman"/>
                <w:bCs/>
                <w:sz w:val="24"/>
                <w:szCs w:val="24"/>
              </w:rPr>
              <w:t xml:space="preserve">Flexibility Performance </w:t>
            </w:r>
          </w:p>
        </w:tc>
        <w:tc>
          <w:tcPr>
            <w:tcW w:w="85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sidRPr="003D3496">
              <w:rPr>
                <w:rFonts w:ascii="Times New Roman" w:eastAsia="Times New Roman" w:hAnsi="Times New Roman" w:cs="Times New Roman"/>
                <w:bCs/>
                <w:sz w:val="24"/>
                <w:szCs w:val="24"/>
              </w:rPr>
              <w:t>0.615</w:t>
            </w:r>
          </w:p>
        </w:tc>
        <w:tc>
          <w:tcPr>
            <w:tcW w:w="851"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0.495</w:t>
            </w:r>
          </w:p>
        </w:tc>
        <w:tc>
          <w:tcPr>
            <w:tcW w:w="850" w:type="dxa"/>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0.784</w:t>
            </w:r>
          </w:p>
        </w:tc>
        <w:tc>
          <w:tcPr>
            <w:tcW w:w="870" w:type="dxa"/>
          </w:tcPr>
          <w:p w:rsidR="00A6678A" w:rsidRDefault="00A6678A" w:rsidP="00416F8B">
            <w:pPr>
              <w:spacing w:before="100" w:beforeAutospacing="1" w:after="100" w:afterAutospacing="1" w:line="360" w:lineRule="auto"/>
              <w:outlineLvl w:val="3"/>
              <w:rPr>
                <w:rFonts w:ascii="Times New Roman" w:eastAsia="Times New Roman" w:hAnsi="Times New Roman" w:cs="Times New Roman"/>
                <w:b/>
                <w:bCs/>
                <w:sz w:val="24"/>
                <w:szCs w:val="24"/>
              </w:rPr>
            </w:pPr>
          </w:p>
        </w:tc>
        <w:tc>
          <w:tcPr>
            <w:tcW w:w="831" w:type="dxa"/>
          </w:tcPr>
          <w:p w:rsidR="00A6678A" w:rsidRDefault="00A6678A" w:rsidP="00416F8B">
            <w:pPr>
              <w:spacing w:before="100" w:beforeAutospacing="1" w:after="100" w:afterAutospacing="1" w:line="360" w:lineRule="auto"/>
              <w:outlineLvl w:val="3"/>
              <w:rPr>
                <w:rFonts w:ascii="Times New Roman" w:eastAsia="Times New Roman" w:hAnsi="Times New Roman" w:cs="Times New Roman"/>
                <w:b/>
                <w:bCs/>
                <w:sz w:val="24"/>
                <w:szCs w:val="24"/>
              </w:rPr>
            </w:pPr>
          </w:p>
        </w:tc>
      </w:tr>
      <w:tr w:rsidR="00FB1DEC" w:rsidTr="000956F0">
        <w:trPr>
          <w:jc w:val="center"/>
        </w:trPr>
        <w:tc>
          <w:tcPr>
            <w:tcW w:w="4390" w:type="dxa"/>
          </w:tcPr>
          <w:p w:rsidR="00A6678A" w:rsidRPr="00FB1DEC" w:rsidRDefault="003D3496" w:rsidP="000956F0">
            <w:pPr>
              <w:spacing w:before="100" w:beforeAutospacing="1" w:after="100" w:afterAutospacing="1" w:line="360" w:lineRule="auto"/>
              <w:outlineLvl w:val="3"/>
              <w:rPr>
                <w:rFonts w:ascii="Times New Roman" w:eastAsia="Times New Roman" w:hAnsi="Times New Roman" w:cs="Times New Roman"/>
                <w:bCs/>
                <w:sz w:val="24"/>
                <w:szCs w:val="24"/>
              </w:rPr>
            </w:pPr>
            <w:r w:rsidRPr="00206D00">
              <w:rPr>
                <w:rFonts w:ascii="Times New Roman" w:eastAsia="Times New Roman" w:hAnsi="Times New Roman" w:cs="Times New Roman"/>
                <w:bCs/>
                <w:sz w:val="24"/>
                <w:szCs w:val="24"/>
              </w:rPr>
              <w:t>Non</w:t>
            </w:r>
            <w:r w:rsidRPr="00206D00">
              <w:rPr>
                <w:rFonts w:ascii="Times New Roman" w:eastAsia="Times New Roman" w:hAnsi="Times New Roman" w:cs="Times New Roman"/>
                <w:bCs/>
                <w:sz w:val="24"/>
                <w:szCs w:val="24"/>
              </w:rPr>
              <w:noBreakHyphen/>
              <w:t xml:space="preserve">Financial Organisational Performance </w:t>
            </w:r>
          </w:p>
        </w:tc>
        <w:tc>
          <w:tcPr>
            <w:tcW w:w="85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sidRPr="003D3496">
              <w:rPr>
                <w:rFonts w:ascii="Times New Roman" w:eastAsia="Times New Roman" w:hAnsi="Times New Roman" w:cs="Times New Roman"/>
                <w:bCs/>
                <w:sz w:val="24"/>
                <w:szCs w:val="24"/>
              </w:rPr>
              <w:t>0.557</w:t>
            </w:r>
          </w:p>
        </w:tc>
        <w:tc>
          <w:tcPr>
            <w:tcW w:w="851"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0.499</w:t>
            </w:r>
          </w:p>
        </w:tc>
        <w:tc>
          <w:tcPr>
            <w:tcW w:w="85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p>
        </w:tc>
        <w:tc>
          <w:tcPr>
            <w:tcW w:w="870" w:type="dxa"/>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0.746</w:t>
            </w:r>
          </w:p>
        </w:tc>
        <w:tc>
          <w:tcPr>
            <w:tcW w:w="831" w:type="dxa"/>
          </w:tcPr>
          <w:p w:rsidR="00A6678A" w:rsidRDefault="00A6678A" w:rsidP="00416F8B">
            <w:pPr>
              <w:spacing w:before="100" w:beforeAutospacing="1" w:after="100" w:afterAutospacing="1" w:line="360" w:lineRule="auto"/>
              <w:outlineLvl w:val="3"/>
              <w:rPr>
                <w:rFonts w:ascii="Times New Roman" w:eastAsia="Times New Roman" w:hAnsi="Times New Roman" w:cs="Times New Roman"/>
                <w:b/>
                <w:bCs/>
                <w:sz w:val="24"/>
                <w:szCs w:val="24"/>
              </w:rPr>
            </w:pPr>
          </w:p>
        </w:tc>
      </w:tr>
      <w:tr w:rsidR="00FB1DEC" w:rsidTr="000956F0">
        <w:trPr>
          <w:jc w:val="center"/>
        </w:trPr>
        <w:tc>
          <w:tcPr>
            <w:tcW w:w="4390" w:type="dxa"/>
          </w:tcPr>
          <w:p w:rsidR="00A6678A" w:rsidRPr="00FB1DEC" w:rsidRDefault="003D3496" w:rsidP="000956F0">
            <w:pPr>
              <w:spacing w:before="100" w:beforeAutospacing="1" w:after="100" w:afterAutospacing="1" w:line="360" w:lineRule="auto"/>
              <w:outlineLvl w:val="3"/>
              <w:rPr>
                <w:rFonts w:ascii="Times New Roman" w:eastAsia="Times New Roman" w:hAnsi="Times New Roman" w:cs="Times New Roman"/>
                <w:bCs/>
                <w:sz w:val="24"/>
                <w:szCs w:val="24"/>
              </w:rPr>
            </w:pPr>
            <w:r w:rsidRPr="00206D00">
              <w:rPr>
                <w:rFonts w:ascii="Times New Roman" w:eastAsia="Times New Roman" w:hAnsi="Times New Roman" w:cs="Times New Roman"/>
                <w:bCs/>
                <w:sz w:val="24"/>
                <w:szCs w:val="24"/>
              </w:rPr>
              <w:t xml:space="preserve">Top Management Commitment </w:t>
            </w:r>
          </w:p>
        </w:tc>
        <w:tc>
          <w:tcPr>
            <w:tcW w:w="85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sidRPr="003D3496">
              <w:rPr>
                <w:rFonts w:ascii="Times New Roman" w:eastAsia="Times New Roman" w:hAnsi="Times New Roman" w:cs="Times New Roman"/>
                <w:bCs/>
                <w:sz w:val="24"/>
                <w:szCs w:val="24"/>
              </w:rPr>
              <w:t>0.530</w:t>
            </w:r>
          </w:p>
        </w:tc>
        <w:tc>
          <w:tcPr>
            <w:tcW w:w="851"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0.635</w:t>
            </w:r>
          </w:p>
        </w:tc>
        <w:tc>
          <w:tcPr>
            <w:tcW w:w="85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0.518</w:t>
            </w:r>
          </w:p>
        </w:tc>
        <w:tc>
          <w:tcPr>
            <w:tcW w:w="870" w:type="dxa"/>
          </w:tcPr>
          <w:p w:rsidR="00A6678A" w:rsidRPr="003D3496" w:rsidRDefault="003D3496" w:rsidP="00416F8B">
            <w:pPr>
              <w:spacing w:before="100" w:beforeAutospacing="1" w:after="100" w:afterAutospacing="1" w:line="360" w:lineRule="auto"/>
              <w:outlineLvl w:val="3"/>
              <w:rPr>
                <w:rFonts w:ascii="Times New Roman" w:eastAsia="Times New Roman" w:hAnsi="Times New Roman" w:cs="Times New Roman"/>
                <w:bCs/>
                <w:sz w:val="24"/>
                <w:szCs w:val="24"/>
              </w:rPr>
            </w:pPr>
            <w:r w:rsidRPr="003D3496">
              <w:rPr>
                <w:rFonts w:ascii="Times New Roman" w:eastAsia="Times New Roman" w:hAnsi="Times New Roman" w:cs="Times New Roman"/>
                <w:bCs/>
                <w:sz w:val="24"/>
                <w:szCs w:val="24"/>
              </w:rPr>
              <w:t>0.508</w:t>
            </w:r>
          </w:p>
        </w:tc>
        <w:tc>
          <w:tcPr>
            <w:tcW w:w="831" w:type="dxa"/>
          </w:tcPr>
          <w:p w:rsidR="00A6678A" w:rsidRDefault="003D3496" w:rsidP="00416F8B">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0.728</w:t>
            </w:r>
          </w:p>
        </w:tc>
      </w:tr>
    </w:tbl>
    <w:p w:rsidR="00A6678A" w:rsidRPr="00206D00" w:rsidRDefault="000956F0" w:rsidP="003D3496">
      <w:pPr>
        <w:spacing w:after="100" w:afterAutospacing="1" w:line="240" w:lineRule="auto"/>
        <w:outlineLvl w:val="3"/>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 xml:space="preserve">       </w:t>
      </w:r>
      <w:r w:rsidR="00B828B9" w:rsidRPr="003D3496">
        <w:rPr>
          <w:rFonts w:ascii="Times New Roman" w:eastAsia="Times New Roman" w:hAnsi="Times New Roman" w:cs="Times New Roman"/>
          <w:b/>
          <w:bCs/>
          <w:i/>
          <w:sz w:val="20"/>
          <w:szCs w:val="20"/>
        </w:rPr>
        <w:t>Source: Author, 2025</w:t>
      </w:r>
    </w:p>
    <w:p w:rsidR="00206D00" w:rsidRPr="00D70912" w:rsidRDefault="00206D00" w:rsidP="00FB1DEC">
      <w:pPr>
        <w:spacing w:before="100" w:beforeAutospacing="1" w:after="100" w:afterAutospacing="1" w:line="360" w:lineRule="auto"/>
        <w:rPr>
          <w:rFonts w:ascii="Times New Roman" w:eastAsia="Times New Roman" w:hAnsi="Times New Roman" w:cs="Times New Roman"/>
          <w:i/>
          <w:sz w:val="20"/>
          <w:szCs w:val="20"/>
        </w:rPr>
      </w:pPr>
      <w:r w:rsidRPr="00D70912">
        <w:rPr>
          <w:rFonts w:ascii="Times New Roman" w:eastAsia="Times New Roman" w:hAnsi="Times New Roman" w:cs="Times New Roman"/>
          <w:i/>
          <w:iCs/>
          <w:sz w:val="20"/>
          <w:szCs w:val="20"/>
        </w:rPr>
        <w:t>Note: Diagonal values (in bold) represent the square roots of AVE, which are greater than the corresponding inter</w:t>
      </w:r>
      <w:r w:rsidRPr="00D70912">
        <w:rPr>
          <w:rFonts w:ascii="Times New Roman" w:eastAsia="Times New Roman" w:hAnsi="Times New Roman" w:cs="Times New Roman"/>
          <w:i/>
          <w:iCs/>
          <w:sz w:val="20"/>
          <w:szCs w:val="20"/>
        </w:rPr>
        <w:noBreakHyphen/>
        <w:t>construct correlations, thereby confirming discriminant validity.</w:t>
      </w:r>
    </w:p>
    <w:bookmarkEnd w:id="1"/>
    <w:p w:rsidR="00FB1DEC" w:rsidRPr="00FB1DEC" w:rsidRDefault="00FB1DEC" w:rsidP="00FB1DE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B1DEC">
        <w:rPr>
          <w:rFonts w:ascii="Times New Roman" w:eastAsia="Times New Roman" w:hAnsi="Times New Roman" w:cs="Times New Roman"/>
          <w:b/>
          <w:bCs/>
          <w:sz w:val="24"/>
          <w:szCs w:val="24"/>
        </w:rPr>
        <w:t>4.2 Structural Model Results</w:t>
      </w:r>
    </w:p>
    <w:p w:rsidR="00FB1DEC" w:rsidRPr="00FB1DEC" w:rsidRDefault="00FB1DEC" w:rsidP="00FB1DEC">
      <w:p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sz w:val="24"/>
          <w:szCs w:val="24"/>
        </w:rPr>
        <w:t xml:space="preserve">Structural modelling offers a systematic framework for analysing complex relationships between observed and latent variables (Byrne, 2013). Techniques such as </w:t>
      </w:r>
      <w:r w:rsidRPr="00EB05F8">
        <w:rPr>
          <w:rFonts w:ascii="Times New Roman" w:eastAsia="Times New Roman" w:hAnsi="Times New Roman" w:cs="Times New Roman"/>
          <w:bCs/>
          <w:sz w:val="24"/>
          <w:szCs w:val="24"/>
        </w:rPr>
        <w:t>Structural Equation Modelling (SEM)</w:t>
      </w:r>
      <w:r w:rsidRPr="00FB1DEC">
        <w:rPr>
          <w:rFonts w:ascii="Times New Roman" w:eastAsia="Times New Roman" w:hAnsi="Times New Roman" w:cs="Times New Roman"/>
          <w:sz w:val="24"/>
          <w:szCs w:val="24"/>
        </w:rPr>
        <w:t xml:space="preserve"> enable researchers to evaluate theoretical propositions, examine associative links, and assess model fit with empirical data (Kline, 2023). This methodological approach enhances research validity and deepens understanding by uncovering underlying mechanisms (Hair et al., 2019). Accordingly, structural modelling serves as a vital bridge between theory and empirical evidence, advancing knowledge across both social and natural sciences.</w:t>
      </w:r>
    </w:p>
    <w:p w:rsidR="00FB1DEC" w:rsidRPr="00FB1DEC" w:rsidRDefault="00FB1DEC" w:rsidP="00FB1DEC">
      <w:pPr>
        <w:spacing w:before="100" w:beforeAutospacing="1" w:after="100" w:afterAutospacing="1" w:line="360" w:lineRule="auto"/>
        <w:jc w:val="both"/>
        <w:rPr>
          <w:rFonts w:ascii="Times New Roman" w:eastAsia="Times New Roman" w:hAnsi="Times New Roman" w:cs="Times New Roman"/>
          <w:sz w:val="24"/>
          <w:szCs w:val="24"/>
        </w:rPr>
      </w:pPr>
      <w:r w:rsidRPr="00EB05F8">
        <w:rPr>
          <w:rFonts w:ascii="Times New Roman" w:eastAsia="Times New Roman" w:hAnsi="Times New Roman" w:cs="Times New Roman"/>
          <w:bCs/>
          <w:sz w:val="24"/>
          <w:szCs w:val="24"/>
        </w:rPr>
        <w:lastRenderedPageBreak/>
        <w:t>Figure 4.2</w:t>
      </w:r>
      <w:r w:rsidRPr="00FB1DEC">
        <w:rPr>
          <w:rFonts w:ascii="Times New Roman" w:eastAsia="Times New Roman" w:hAnsi="Times New Roman" w:cs="Times New Roman"/>
          <w:sz w:val="24"/>
          <w:szCs w:val="24"/>
        </w:rPr>
        <w:t xml:space="preserve"> presents the estimated structural model, which was designed to investigate the relationships among </w:t>
      </w:r>
      <w:r w:rsidRPr="00EB05F8">
        <w:rPr>
          <w:rFonts w:ascii="Times New Roman" w:eastAsia="Times New Roman" w:hAnsi="Times New Roman" w:cs="Times New Roman"/>
          <w:bCs/>
          <w:sz w:val="24"/>
          <w:szCs w:val="24"/>
        </w:rPr>
        <w:t>Total Quality Management (TQM) practices</w:t>
      </w:r>
      <w:r w:rsidRPr="00FB1DEC">
        <w:rPr>
          <w:rFonts w:ascii="Times New Roman" w:eastAsia="Times New Roman" w:hAnsi="Times New Roman" w:cs="Times New Roman"/>
          <w:sz w:val="24"/>
          <w:szCs w:val="24"/>
        </w:rPr>
        <w:t xml:space="preserve">, </w:t>
      </w:r>
      <w:r w:rsidRPr="00EB05F8">
        <w:rPr>
          <w:rFonts w:ascii="Times New Roman" w:eastAsia="Times New Roman" w:hAnsi="Times New Roman" w:cs="Times New Roman"/>
          <w:bCs/>
          <w:sz w:val="24"/>
          <w:szCs w:val="24"/>
        </w:rPr>
        <w:t>Flexibility Performance (FP)</w:t>
      </w:r>
      <w:r w:rsidRPr="00FB1DEC">
        <w:rPr>
          <w:rFonts w:ascii="Times New Roman" w:eastAsia="Times New Roman" w:hAnsi="Times New Roman" w:cs="Times New Roman"/>
          <w:sz w:val="24"/>
          <w:szCs w:val="24"/>
        </w:rPr>
        <w:t xml:space="preserve">, and </w:t>
      </w:r>
      <w:r w:rsidRPr="00EB05F8">
        <w:rPr>
          <w:rFonts w:ascii="Times New Roman" w:eastAsia="Times New Roman" w:hAnsi="Times New Roman" w:cs="Times New Roman"/>
          <w:bCs/>
          <w:sz w:val="24"/>
          <w:szCs w:val="24"/>
        </w:rPr>
        <w:t>Non</w:t>
      </w:r>
      <w:r w:rsidRPr="00EB05F8">
        <w:rPr>
          <w:rFonts w:ascii="Times New Roman" w:eastAsia="Times New Roman" w:hAnsi="Times New Roman" w:cs="Times New Roman"/>
          <w:bCs/>
          <w:sz w:val="24"/>
          <w:szCs w:val="24"/>
        </w:rPr>
        <w:noBreakHyphen/>
        <w:t>Financial Organisational Performance (NFOP)</w:t>
      </w:r>
      <w:r w:rsidRPr="00FB1DEC">
        <w:rPr>
          <w:rFonts w:ascii="Times New Roman" w:eastAsia="Times New Roman" w:hAnsi="Times New Roman" w:cs="Times New Roman"/>
          <w:sz w:val="24"/>
          <w:szCs w:val="24"/>
        </w:rPr>
        <w:t xml:space="preserve"> within Zambia’s service sector organisations. In this model</w:t>
      </w:r>
      <w:r w:rsidR="00EB05F8">
        <w:rPr>
          <w:rFonts w:ascii="Times New Roman" w:eastAsia="Times New Roman" w:hAnsi="Times New Roman" w:cs="Times New Roman"/>
          <w:sz w:val="24"/>
          <w:szCs w:val="24"/>
        </w:rPr>
        <w:t xml:space="preserve">, TQM practices </w:t>
      </w:r>
      <w:r w:rsidRPr="00FB1DEC">
        <w:rPr>
          <w:rFonts w:ascii="Times New Roman" w:eastAsia="Times New Roman" w:hAnsi="Times New Roman" w:cs="Times New Roman"/>
          <w:sz w:val="24"/>
          <w:szCs w:val="24"/>
        </w:rPr>
        <w:t xml:space="preserve">operationalised through </w:t>
      </w:r>
      <w:r w:rsidRPr="00EB05F8">
        <w:rPr>
          <w:rFonts w:ascii="Times New Roman" w:eastAsia="Times New Roman" w:hAnsi="Times New Roman" w:cs="Times New Roman"/>
          <w:bCs/>
          <w:sz w:val="24"/>
          <w:szCs w:val="24"/>
        </w:rPr>
        <w:t>Top Management Commitment (TMC)</w:t>
      </w:r>
      <w:r w:rsidRPr="00FB1DEC">
        <w:rPr>
          <w:rFonts w:ascii="Times New Roman" w:eastAsia="Times New Roman" w:hAnsi="Times New Roman" w:cs="Times New Roman"/>
          <w:sz w:val="24"/>
          <w:szCs w:val="24"/>
        </w:rPr>
        <w:t xml:space="preserve"> and </w:t>
      </w:r>
      <w:r w:rsidRPr="00EB05F8">
        <w:rPr>
          <w:rFonts w:ascii="Times New Roman" w:eastAsia="Times New Roman" w:hAnsi="Times New Roman" w:cs="Times New Roman"/>
          <w:bCs/>
          <w:sz w:val="24"/>
          <w:szCs w:val="24"/>
        </w:rPr>
        <w:t>Employee Involvement (EI)</w:t>
      </w:r>
      <w:r w:rsidR="00EB05F8">
        <w:rPr>
          <w:rFonts w:ascii="Times New Roman" w:eastAsia="Times New Roman" w:hAnsi="Times New Roman" w:cs="Times New Roman"/>
          <w:sz w:val="24"/>
          <w:szCs w:val="24"/>
        </w:rPr>
        <w:t xml:space="preserve"> </w:t>
      </w:r>
      <w:r w:rsidRPr="00FB1DEC">
        <w:rPr>
          <w:rFonts w:ascii="Times New Roman" w:eastAsia="Times New Roman" w:hAnsi="Times New Roman" w:cs="Times New Roman"/>
          <w:sz w:val="24"/>
          <w:szCs w:val="24"/>
        </w:rPr>
        <w:t>are specified as independent variables, while NFOP functions as the dependent variable. Flexibility Performance is introduced as a mediating construct to clarify the mechanism through which TQM practices are associated with organisational outcomes.</w:t>
      </w:r>
      <w:r w:rsidR="00EB05F8">
        <w:rPr>
          <w:rFonts w:ascii="Times New Roman" w:eastAsia="Times New Roman" w:hAnsi="Times New Roman" w:cs="Times New Roman"/>
          <w:sz w:val="24"/>
          <w:szCs w:val="24"/>
        </w:rPr>
        <w:t xml:space="preserve"> </w:t>
      </w:r>
      <w:r w:rsidRPr="00FB1DEC">
        <w:rPr>
          <w:rFonts w:ascii="Times New Roman" w:eastAsia="Times New Roman" w:hAnsi="Times New Roman" w:cs="Times New Roman"/>
          <w:sz w:val="24"/>
          <w:szCs w:val="24"/>
        </w:rPr>
        <w:t xml:space="preserve">To strengthen robustness and validity, five control variables were incorporated: </w:t>
      </w:r>
      <w:r w:rsidRPr="00EB05F8">
        <w:rPr>
          <w:rFonts w:ascii="Times New Roman" w:eastAsia="Times New Roman" w:hAnsi="Times New Roman" w:cs="Times New Roman"/>
          <w:bCs/>
          <w:sz w:val="24"/>
          <w:szCs w:val="24"/>
        </w:rPr>
        <w:t>position, education, tenure, sector, and organisation size</w:t>
      </w:r>
      <w:r w:rsidRPr="00FB1DEC">
        <w:rPr>
          <w:rFonts w:ascii="Times New Roman" w:eastAsia="Times New Roman" w:hAnsi="Times New Roman" w:cs="Times New Roman"/>
          <w:sz w:val="24"/>
          <w:szCs w:val="24"/>
        </w:rPr>
        <w:t>. Their inclusion allows the model to isolate the effects of the primary independent variables by accounting for potential confounding influences:</w:t>
      </w:r>
    </w:p>
    <w:p w:rsidR="00FB1DEC" w:rsidRPr="00FB1DEC" w:rsidRDefault="00FB1DEC" w:rsidP="00FB1D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b/>
          <w:bCs/>
          <w:sz w:val="24"/>
          <w:szCs w:val="24"/>
        </w:rPr>
        <w:t>Position</w:t>
      </w:r>
      <w:r w:rsidRPr="00FB1DEC">
        <w:rPr>
          <w:rFonts w:ascii="Times New Roman" w:eastAsia="Times New Roman" w:hAnsi="Times New Roman" w:cs="Times New Roman"/>
          <w:sz w:val="24"/>
          <w:szCs w:val="24"/>
        </w:rPr>
        <w:t>: controls for hierarchical differences that may shape perceptions and implementation of TQM practices.</w:t>
      </w:r>
    </w:p>
    <w:p w:rsidR="00FB1DEC" w:rsidRPr="00FB1DEC" w:rsidRDefault="00FB1DEC" w:rsidP="00FB1D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b/>
          <w:bCs/>
          <w:sz w:val="24"/>
          <w:szCs w:val="24"/>
        </w:rPr>
        <w:t>Education</w:t>
      </w:r>
      <w:r w:rsidRPr="00FB1DEC">
        <w:rPr>
          <w:rFonts w:ascii="Times New Roman" w:eastAsia="Times New Roman" w:hAnsi="Times New Roman" w:cs="Times New Roman"/>
          <w:sz w:val="24"/>
          <w:szCs w:val="24"/>
        </w:rPr>
        <w:t>: accounts for variations in knowledge and skill levels among respondents.</w:t>
      </w:r>
    </w:p>
    <w:p w:rsidR="00FB1DEC" w:rsidRPr="00FB1DEC" w:rsidRDefault="00FB1DEC" w:rsidP="00FB1D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b/>
          <w:bCs/>
          <w:sz w:val="24"/>
          <w:szCs w:val="24"/>
        </w:rPr>
        <w:t>Tenure</w:t>
      </w:r>
      <w:r w:rsidRPr="00FB1DEC">
        <w:rPr>
          <w:rFonts w:ascii="Times New Roman" w:eastAsia="Times New Roman" w:hAnsi="Times New Roman" w:cs="Times New Roman"/>
          <w:sz w:val="24"/>
          <w:szCs w:val="24"/>
        </w:rPr>
        <w:t>: reflects the impact of organisational experience.</w:t>
      </w:r>
    </w:p>
    <w:p w:rsidR="00FB1DEC" w:rsidRPr="00FB1DEC" w:rsidRDefault="00FB1DEC" w:rsidP="00FB1D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b/>
          <w:bCs/>
          <w:sz w:val="24"/>
          <w:szCs w:val="24"/>
        </w:rPr>
        <w:t>Sector</w:t>
      </w:r>
      <w:r w:rsidRPr="00FB1DEC">
        <w:rPr>
          <w:rFonts w:ascii="Times New Roman" w:eastAsia="Times New Roman" w:hAnsi="Times New Roman" w:cs="Times New Roman"/>
          <w:sz w:val="24"/>
          <w:szCs w:val="24"/>
        </w:rPr>
        <w:t>: distinguishes between service sub</w:t>
      </w:r>
      <w:r w:rsidRPr="00FB1DEC">
        <w:rPr>
          <w:rFonts w:ascii="Times New Roman" w:eastAsia="Times New Roman" w:hAnsi="Times New Roman" w:cs="Times New Roman"/>
          <w:sz w:val="24"/>
          <w:szCs w:val="24"/>
        </w:rPr>
        <w:noBreakHyphen/>
        <w:t>industries.</w:t>
      </w:r>
    </w:p>
    <w:p w:rsidR="00FB1DEC" w:rsidRPr="00FB1DEC" w:rsidRDefault="00FB1DEC" w:rsidP="00FB1DE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b/>
          <w:bCs/>
          <w:sz w:val="24"/>
          <w:szCs w:val="24"/>
        </w:rPr>
        <w:t>Organisation size</w:t>
      </w:r>
      <w:r w:rsidRPr="00FB1DEC">
        <w:rPr>
          <w:rFonts w:ascii="Times New Roman" w:eastAsia="Times New Roman" w:hAnsi="Times New Roman" w:cs="Times New Roman"/>
          <w:sz w:val="24"/>
          <w:szCs w:val="24"/>
        </w:rPr>
        <w:t>: controls for scale</w:t>
      </w:r>
      <w:r w:rsidRPr="00FB1DEC">
        <w:rPr>
          <w:rFonts w:ascii="Times New Roman" w:eastAsia="Times New Roman" w:hAnsi="Times New Roman" w:cs="Times New Roman"/>
          <w:sz w:val="24"/>
          <w:szCs w:val="24"/>
        </w:rPr>
        <w:noBreakHyphen/>
        <w:t>related effects that may influence both TQM implementation and performance outcomes.</w:t>
      </w:r>
    </w:p>
    <w:p w:rsidR="00FB1DEC" w:rsidRPr="00FB1DEC" w:rsidRDefault="00FB1DEC" w:rsidP="00FB1DEC">
      <w:pPr>
        <w:spacing w:before="100" w:beforeAutospacing="1" w:after="100" w:afterAutospacing="1" w:line="360" w:lineRule="auto"/>
        <w:jc w:val="both"/>
        <w:rPr>
          <w:rFonts w:ascii="Times New Roman" w:eastAsia="Times New Roman" w:hAnsi="Times New Roman" w:cs="Times New Roman"/>
          <w:sz w:val="24"/>
          <w:szCs w:val="24"/>
        </w:rPr>
      </w:pPr>
      <w:r w:rsidRPr="00FB1DEC">
        <w:rPr>
          <w:rFonts w:ascii="Times New Roman" w:eastAsia="Times New Roman" w:hAnsi="Times New Roman" w:cs="Times New Roman"/>
          <w:sz w:val="24"/>
          <w:szCs w:val="24"/>
        </w:rPr>
        <w:t>By accounting for these variables, the model provides a more accurate and generalisable understanding of the relationships under investigation.</w:t>
      </w: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9325BA" w:rsidRDefault="009325BA" w:rsidP="006A696E">
      <w:pPr>
        <w:autoSpaceDN w:val="0"/>
        <w:spacing w:before="80" w:after="0" w:line="360" w:lineRule="auto"/>
        <w:jc w:val="center"/>
        <w:rPr>
          <w:rFonts w:ascii="Times New Roman" w:eastAsia="SimSun" w:hAnsi="Times New Roman" w:cs="Times New Roman"/>
          <w:b/>
          <w:kern w:val="3"/>
          <w:sz w:val="24"/>
          <w:szCs w:val="24"/>
          <w:lang w:val="en-GB"/>
        </w:rPr>
      </w:pPr>
    </w:p>
    <w:p w:rsidR="006A696E" w:rsidRPr="00A33EB4" w:rsidRDefault="006A696E" w:rsidP="006A696E">
      <w:pPr>
        <w:autoSpaceDN w:val="0"/>
        <w:spacing w:before="80" w:after="0" w:line="360" w:lineRule="auto"/>
        <w:jc w:val="center"/>
        <w:rPr>
          <w:rFonts w:ascii="Times New Roman" w:eastAsia="Calibri" w:hAnsi="Times New Roman" w:cs="Times New Roman"/>
          <w:b/>
          <w:sz w:val="24"/>
          <w:szCs w:val="24"/>
        </w:rPr>
      </w:pPr>
      <w:r w:rsidRPr="00A33EB4">
        <w:rPr>
          <w:rFonts w:ascii="Times New Roman" w:eastAsia="SimSun" w:hAnsi="Times New Roman" w:cs="Times New Roman"/>
          <w:b/>
          <w:kern w:val="3"/>
          <w:sz w:val="24"/>
          <w:szCs w:val="24"/>
          <w:lang w:val="en-GB"/>
        </w:rPr>
        <w:lastRenderedPageBreak/>
        <w:t>Figure</w:t>
      </w:r>
      <w:r w:rsidRPr="00A33EB4">
        <w:rPr>
          <w:rFonts w:ascii="Times New Roman" w:eastAsia="SimSun" w:hAnsi="Times New Roman" w:cs="Times New Roman"/>
          <w:kern w:val="3"/>
          <w:sz w:val="24"/>
          <w:szCs w:val="24"/>
          <w:lang w:val="en-GB"/>
        </w:rPr>
        <w:t xml:space="preserve"> </w:t>
      </w:r>
      <w:r w:rsidR="00FB1DEC">
        <w:rPr>
          <w:rFonts w:ascii="Times New Roman" w:eastAsia="SimSun" w:hAnsi="Times New Roman" w:cs="Times New Roman"/>
          <w:b/>
          <w:kern w:val="3"/>
          <w:sz w:val="24"/>
          <w:szCs w:val="24"/>
          <w:lang w:val="en-GB"/>
        </w:rPr>
        <w:t>4.2</w:t>
      </w:r>
      <w:r w:rsidRPr="00A33EB4">
        <w:rPr>
          <w:rFonts w:ascii="Times New Roman" w:eastAsia="SimSun" w:hAnsi="Times New Roman" w:cs="Times New Roman"/>
          <w:b/>
          <w:kern w:val="3"/>
          <w:sz w:val="24"/>
          <w:szCs w:val="24"/>
          <w:lang w:val="en-GB"/>
        </w:rPr>
        <w:t xml:space="preserve">: </w:t>
      </w:r>
      <w:r w:rsidR="008C3DA3">
        <w:rPr>
          <w:rFonts w:ascii="Times New Roman" w:eastAsia="SimSun" w:hAnsi="Times New Roman" w:cs="Times New Roman"/>
          <w:b/>
          <w:kern w:val="3"/>
          <w:sz w:val="24"/>
          <w:szCs w:val="24"/>
          <w:lang w:val="en-GB"/>
        </w:rPr>
        <w:t xml:space="preserve">PLS </w:t>
      </w:r>
      <w:r w:rsidR="00EB05F8" w:rsidRPr="00EB05F8">
        <w:rPr>
          <w:rFonts w:ascii="Times New Roman" w:eastAsia="SimSun" w:hAnsi="Times New Roman" w:cs="Times New Roman"/>
          <w:b/>
          <w:kern w:val="3"/>
          <w:sz w:val="24"/>
          <w:szCs w:val="24"/>
        </w:rPr>
        <w:t>Structural Model</w:t>
      </w:r>
      <w:r w:rsidR="008C3DA3" w:rsidRPr="008C3DA3">
        <w:rPr>
          <w:rFonts w:ascii="Times New Roman" w:eastAsia="SimSun" w:hAnsi="Times New Roman" w:cs="Times New Roman"/>
          <w:b/>
          <w:kern w:val="3"/>
          <w:sz w:val="24"/>
          <w:szCs w:val="24"/>
        </w:rPr>
        <w:t xml:space="preserve"> </w:t>
      </w:r>
      <w:r w:rsidR="008C3DA3">
        <w:rPr>
          <w:rFonts w:ascii="Times New Roman" w:eastAsia="SimSun" w:hAnsi="Times New Roman" w:cs="Times New Roman"/>
          <w:b/>
          <w:kern w:val="3"/>
          <w:sz w:val="24"/>
          <w:szCs w:val="24"/>
        </w:rPr>
        <w:t>Estimation</w:t>
      </w:r>
    </w:p>
    <w:p w:rsidR="006A696E" w:rsidRPr="00A33EB4" w:rsidRDefault="006A696E" w:rsidP="006A696E">
      <w:pPr>
        <w:spacing w:before="80" w:after="0" w:line="360" w:lineRule="auto"/>
        <w:jc w:val="both"/>
        <w:rPr>
          <w:rFonts w:ascii="Times New Roman" w:eastAsia="Times New Roman" w:hAnsi="Times New Roman" w:cs="Times New Roman"/>
          <w:sz w:val="24"/>
          <w:szCs w:val="24"/>
        </w:rPr>
      </w:pPr>
      <w:r w:rsidRPr="00A33EB4">
        <w:rPr>
          <w:rFonts w:ascii="Times New Roman" w:hAnsi="Times New Roman" w:cs="Times New Roman"/>
          <w:noProof/>
          <w:sz w:val="24"/>
          <w:szCs w:val="24"/>
        </w:rPr>
        <w:drawing>
          <wp:inline distT="0" distB="0" distL="0" distR="0" wp14:anchorId="4CA6D4FC" wp14:editId="374596D2">
            <wp:extent cx="5942965" cy="2971800"/>
            <wp:effectExtent l="0" t="0" r="635" b="0"/>
            <wp:docPr id="3" name="Picture 3" descr="C:\Users\KENNED~1\AppData\Local\Temp\image10953957852163353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NED~1\AppData\Local\Temp\image109539578521633532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7513" cy="2979075"/>
                    </a:xfrm>
                    <a:prstGeom prst="rect">
                      <a:avLst/>
                    </a:prstGeom>
                    <a:noFill/>
                    <a:ln>
                      <a:noFill/>
                    </a:ln>
                  </pic:spPr>
                </pic:pic>
              </a:graphicData>
            </a:graphic>
          </wp:inline>
        </w:drawing>
      </w:r>
    </w:p>
    <w:p w:rsidR="00F07B5A" w:rsidRDefault="00F07B5A" w:rsidP="00F07B5A">
      <w:pPr>
        <w:spacing w:before="80" w:after="0" w:line="360" w:lineRule="auto"/>
        <w:jc w:val="both"/>
        <w:rPr>
          <w:rFonts w:ascii="Times New Roman" w:eastAsia="Times New Roman" w:hAnsi="Times New Roman" w:cs="Times New Roman"/>
          <w:b/>
          <w:i/>
          <w:sz w:val="24"/>
          <w:szCs w:val="24"/>
        </w:rPr>
      </w:pPr>
      <w:bookmarkStart w:id="2" w:name="_Toc225759398"/>
      <w:r>
        <w:rPr>
          <w:rFonts w:ascii="Times New Roman" w:eastAsia="Times New Roman" w:hAnsi="Times New Roman" w:cs="Times New Roman"/>
          <w:b/>
          <w:i/>
          <w:sz w:val="24"/>
          <w:szCs w:val="24"/>
        </w:rPr>
        <w:t>Source: Author, 2025</w:t>
      </w:r>
    </w:p>
    <w:p w:rsidR="00F07B5A" w:rsidRDefault="00F07B5A" w:rsidP="00F07B5A">
      <w:pPr>
        <w:spacing w:before="80" w:after="0" w:line="360" w:lineRule="auto"/>
        <w:jc w:val="both"/>
        <w:rPr>
          <w:rFonts w:ascii="Times New Roman" w:eastAsiaTheme="majorEastAsia" w:hAnsi="Times New Roman" w:cs="Times New Roman"/>
          <w:b/>
          <w:bCs/>
          <w:iCs/>
          <w:sz w:val="24"/>
          <w:szCs w:val="24"/>
        </w:rPr>
      </w:pPr>
    </w:p>
    <w:p w:rsidR="00F07B5A" w:rsidRDefault="00FF2A90" w:rsidP="00F07B5A">
      <w:pPr>
        <w:spacing w:before="80" w:after="0" w:line="360" w:lineRule="auto"/>
        <w:jc w:val="both"/>
        <w:rPr>
          <w:rFonts w:ascii="Times New Roman" w:eastAsia="Times New Roman" w:hAnsi="Times New Roman" w:cs="Times New Roman"/>
          <w:b/>
          <w:i/>
          <w:sz w:val="24"/>
          <w:szCs w:val="24"/>
        </w:rPr>
      </w:pPr>
      <w:r w:rsidRPr="00FF2A90">
        <w:rPr>
          <w:rFonts w:ascii="Times New Roman" w:eastAsiaTheme="majorEastAsia" w:hAnsi="Times New Roman" w:cs="Times New Roman"/>
          <w:b/>
          <w:bCs/>
          <w:iCs/>
          <w:sz w:val="24"/>
          <w:szCs w:val="24"/>
        </w:rPr>
        <w:t>4.2.1 Collinearity Assessment</w:t>
      </w:r>
    </w:p>
    <w:p w:rsidR="00F07B5A" w:rsidRPr="00F07B5A" w:rsidRDefault="00FF2A90" w:rsidP="00F07B5A">
      <w:pPr>
        <w:spacing w:before="80" w:after="0" w:line="360" w:lineRule="auto"/>
        <w:jc w:val="both"/>
        <w:rPr>
          <w:rFonts w:ascii="Times New Roman" w:eastAsia="Times New Roman" w:hAnsi="Times New Roman" w:cs="Times New Roman"/>
          <w:b/>
          <w:i/>
          <w:sz w:val="24"/>
          <w:szCs w:val="24"/>
        </w:rPr>
      </w:pPr>
      <w:r w:rsidRPr="00FF2A90">
        <w:rPr>
          <w:rFonts w:ascii="Times New Roman" w:eastAsiaTheme="majorEastAsia" w:hAnsi="Times New Roman" w:cs="Times New Roman"/>
          <w:bCs/>
          <w:iCs/>
          <w:sz w:val="24"/>
          <w:szCs w:val="24"/>
        </w:rPr>
        <w:t>Before drawing substantive conclusions, it is essential to rigorously evaluate both the measurement and structural models. The integrity of the structural model, in particular, depends on a careful assessment of potential collinearity among predictor variables. As Hair et al. (2013) emphasise, a Variance Inflation Factor (VIF) value of 5 or higher typically signals problematic collinearity.</w:t>
      </w:r>
      <w:r>
        <w:rPr>
          <w:rFonts w:ascii="Times New Roman" w:eastAsiaTheme="majorEastAsia" w:hAnsi="Times New Roman" w:cs="Times New Roman"/>
          <w:bCs/>
          <w:iCs/>
          <w:sz w:val="24"/>
          <w:szCs w:val="24"/>
        </w:rPr>
        <w:t xml:space="preserve"> </w:t>
      </w:r>
      <w:r w:rsidRPr="00FF2A90">
        <w:rPr>
          <w:rFonts w:ascii="Times New Roman" w:eastAsiaTheme="majorEastAsia" w:hAnsi="Times New Roman" w:cs="Times New Roman"/>
          <w:bCs/>
          <w:iCs/>
          <w:sz w:val="24"/>
          <w:szCs w:val="24"/>
        </w:rPr>
        <w:t xml:space="preserve">In the present analysis, the collinearity diagnostics summarised in Table </w:t>
      </w:r>
      <w:r>
        <w:rPr>
          <w:rFonts w:ascii="Times New Roman" w:eastAsiaTheme="majorEastAsia" w:hAnsi="Times New Roman" w:cs="Times New Roman"/>
          <w:bCs/>
          <w:iCs/>
          <w:sz w:val="24"/>
          <w:szCs w:val="24"/>
        </w:rPr>
        <w:t>4</w:t>
      </w:r>
      <w:r w:rsidRPr="00FF2A90">
        <w:rPr>
          <w:rFonts w:ascii="Times New Roman" w:eastAsiaTheme="majorEastAsia" w:hAnsi="Times New Roman" w:cs="Times New Roman"/>
          <w:bCs/>
          <w:iCs/>
          <w:sz w:val="24"/>
          <w:szCs w:val="24"/>
        </w:rPr>
        <w:t>.3 indicate that all VIF values fall well below the critical threshold of 5. This outcome provides reassurance that multi-collinearity does not pose a significant concern within the structural model, thereby supporting the robustness and reliability of the analytical results.</w:t>
      </w:r>
    </w:p>
    <w:p w:rsidR="00F07B5A" w:rsidRDefault="00F07B5A" w:rsidP="00F07B5A">
      <w:pPr>
        <w:spacing w:before="80" w:after="0" w:line="360" w:lineRule="auto"/>
        <w:jc w:val="center"/>
        <w:rPr>
          <w:rFonts w:ascii="Times New Roman" w:eastAsiaTheme="majorEastAsia" w:hAnsi="Times New Roman" w:cs="Times New Roman"/>
          <w:b/>
          <w:bCs/>
          <w:iCs/>
          <w:sz w:val="24"/>
          <w:szCs w:val="24"/>
        </w:rPr>
      </w:pPr>
    </w:p>
    <w:p w:rsidR="00F07B5A" w:rsidRDefault="00F07B5A" w:rsidP="00F07B5A">
      <w:pPr>
        <w:spacing w:before="80" w:after="0" w:line="360" w:lineRule="auto"/>
        <w:jc w:val="center"/>
        <w:rPr>
          <w:rFonts w:ascii="Times New Roman" w:eastAsiaTheme="majorEastAsia" w:hAnsi="Times New Roman" w:cs="Times New Roman"/>
          <w:b/>
          <w:bCs/>
          <w:iCs/>
          <w:sz w:val="24"/>
          <w:szCs w:val="24"/>
        </w:rPr>
      </w:pPr>
    </w:p>
    <w:p w:rsidR="00F07B5A" w:rsidRDefault="00F07B5A" w:rsidP="00F07B5A">
      <w:pPr>
        <w:spacing w:before="80" w:after="0" w:line="360" w:lineRule="auto"/>
        <w:jc w:val="center"/>
        <w:rPr>
          <w:rFonts w:ascii="Times New Roman" w:eastAsiaTheme="majorEastAsia" w:hAnsi="Times New Roman" w:cs="Times New Roman"/>
          <w:b/>
          <w:bCs/>
          <w:iCs/>
          <w:sz w:val="24"/>
          <w:szCs w:val="24"/>
        </w:rPr>
      </w:pPr>
    </w:p>
    <w:p w:rsidR="00F07B5A" w:rsidRDefault="00F07B5A" w:rsidP="00F07B5A">
      <w:pPr>
        <w:spacing w:before="80" w:after="0" w:line="360" w:lineRule="auto"/>
        <w:jc w:val="center"/>
        <w:rPr>
          <w:rFonts w:ascii="Times New Roman" w:eastAsiaTheme="majorEastAsia" w:hAnsi="Times New Roman" w:cs="Times New Roman"/>
          <w:b/>
          <w:bCs/>
          <w:iCs/>
          <w:sz w:val="24"/>
          <w:szCs w:val="24"/>
        </w:rPr>
      </w:pPr>
    </w:p>
    <w:p w:rsidR="00F07B5A" w:rsidRDefault="00F07B5A" w:rsidP="00F07B5A">
      <w:pPr>
        <w:spacing w:before="80" w:after="0" w:line="360" w:lineRule="auto"/>
        <w:jc w:val="center"/>
        <w:rPr>
          <w:rFonts w:ascii="Times New Roman" w:eastAsiaTheme="majorEastAsia" w:hAnsi="Times New Roman" w:cs="Times New Roman"/>
          <w:b/>
          <w:bCs/>
          <w:iCs/>
          <w:sz w:val="24"/>
          <w:szCs w:val="24"/>
        </w:rPr>
      </w:pPr>
    </w:p>
    <w:p w:rsidR="00FF2A90" w:rsidRPr="00F07B5A" w:rsidRDefault="00FF2A90" w:rsidP="00F07B5A">
      <w:pPr>
        <w:spacing w:before="80" w:after="0" w:line="360" w:lineRule="auto"/>
        <w:jc w:val="center"/>
        <w:rPr>
          <w:rFonts w:ascii="Times New Roman" w:eastAsia="Times New Roman" w:hAnsi="Times New Roman" w:cs="Times New Roman"/>
          <w:b/>
          <w:i/>
          <w:sz w:val="24"/>
          <w:szCs w:val="24"/>
        </w:rPr>
      </w:pPr>
      <w:r w:rsidRPr="00FF2A90">
        <w:rPr>
          <w:rFonts w:ascii="Times New Roman" w:eastAsiaTheme="majorEastAsia" w:hAnsi="Times New Roman" w:cs="Times New Roman"/>
          <w:b/>
          <w:bCs/>
          <w:iCs/>
          <w:sz w:val="24"/>
          <w:szCs w:val="24"/>
        </w:rPr>
        <w:lastRenderedPageBreak/>
        <w:t xml:space="preserve">Table </w:t>
      </w:r>
      <w:r>
        <w:rPr>
          <w:rFonts w:ascii="Times New Roman" w:eastAsiaTheme="majorEastAsia" w:hAnsi="Times New Roman" w:cs="Times New Roman"/>
          <w:b/>
          <w:bCs/>
          <w:iCs/>
          <w:sz w:val="24"/>
          <w:szCs w:val="24"/>
        </w:rPr>
        <w:t>4</w:t>
      </w:r>
      <w:r w:rsidRPr="00FF2A90">
        <w:rPr>
          <w:rFonts w:ascii="Times New Roman" w:eastAsiaTheme="majorEastAsia" w:hAnsi="Times New Roman" w:cs="Times New Roman"/>
          <w:b/>
          <w:bCs/>
          <w:iCs/>
          <w:sz w:val="24"/>
          <w:szCs w:val="24"/>
        </w:rPr>
        <w:t>.3: Collinearity Statistics Assessment</w:t>
      </w:r>
    </w:p>
    <w:tbl>
      <w:tblPr>
        <w:tblStyle w:val="TableGrid"/>
        <w:tblW w:w="10060" w:type="dxa"/>
        <w:tblLook w:val="04A0" w:firstRow="1" w:lastRow="0" w:firstColumn="1" w:lastColumn="0" w:noHBand="0" w:noVBand="1"/>
      </w:tblPr>
      <w:tblGrid>
        <w:gridCol w:w="6516"/>
        <w:gridCol w:w="831"/>
        <w:gridCol w:w="1270"/>
        <w:gridCol w:w="1443"/>
      </w:tblGrid>
      <w:tr w:rsidR="00FF2A90" w:rsidTr="00D70912">
        <w:trPr>
          <w:trHeight w:val="847"/>
        </w:trPr>
        <w:tc>
          <w:tcPr>
            <w:tcW w:w="6516" w:type="dxa"/>
            <w:shd w:val="clear" w:color="auto" w:fill="FFD966" w:themeFill="accent4" w:themeFillTint="99"/>
          </w:tcPr>
          <w:p w:rsidR="00D70912" w:rsidRDefault="00D70912" w:rsidP="00F07B5A">
            <w:pPr>
              <w:keepNext/>
              <w:keepLines/>
              <w:spacing w:before="240" w:line="276" w:lineRule="auto"/>
              <w:outlineLvl w:val="0"/>
              <w:rPr>
                <w:rFonts w:ascii="Times New Roman" w:eastAsiaTheme="majorEastAsia" w:hAnsi="Times New Roman" w:cs="Times New Roman"/>
                <w:b/>
                <w:bCs/>
                <w:iCs/>
                <w:sz w:val="24"/>
                <w:szCs w:val="24"/>
              </w:rPr>
            </w:pPr>
          </w:p>
          <w:p w:rsidR="00FF2A90" w:rsidRDefault="00FF2A90" w:rsidP="00F07B5A">
            <w:pPr>
              <w:keepNext/>
              <w:keepLines/>
              <w:spacing w:before="240" w:line="276" w:lineRule="auto"/>
              <w:outlineLvl w:val="0"/>
              <w:rPr>
                <w:rFonts w:ascii="Times New Roman" w:eastAsiaTheme="majorEastAsia" w:hAnsi="Times New Roman" w:cs="Times New Roman"/>
                <w:b/>
                <w:bCs/>
                <w:iCs/>
                <w:sz w:val="24"/>
                <w:szCs w:val="24"/>
              </w:rPr>
            </w:pPr>
            <w:r w:rsidRPr="00FF2A90">
              <w:rPr>
                <w:rFonts w:ascii="Times New Roman" w:eastAsiaTheme="majorEastAsia" w:hAnsi="Times New Roman" w:cs="Times New Roman"/>
                <w:b/>
                <w:bCs/>
                <w:iCs/>
                <w:sz w:val="24"/>
                <w:szCs w:val="24"/>
              </w:rPr>
              <w:t>Predictor Relationship</w:t>
            </w:r>
          </w:p>
        </w:tc>
        <w:tc>
          <w:tcPr>
            <w:tcW w:w="831" w:type="dxa"/>
            <w:shd w:val="clear" w:color="auto" w:fill="FFD966" w:themeFill="accent4" w:themeFillTint="99"/>
          </w:tcPr>
          <w:p w:rsidR="00D70912" w:rsidRDefault="00D70912" w:rsidP="00F07B5A">
            <w:pPr>
              <w:keepNext/>
              <w:keepLines/>
              <w:spacing w:before="240" w:line="276" w:lineRule="auto"/>
              <w:outlineLvl w:val="0"/>
              <w:rPr>
                <w:rFonts w:ascii="Times New Roman" w:eastAsiaTheme="majorEastAsia" w:hAnsi="Times New Roman" w:cs="Times New Roman"/>
                <w:b/>
                <w:bCs/>
                <w:iCs/>
                <w:sz w:val="24"/>
                <w:szCs w:val="24"/>
              </w:rPr>
            </w:pPr>
          </w:p>
          <w:p w:rsidR="00FF2A90" w:rsidRDefault="00FF2A90" w:rsidP="00F07B5A">
            <w:pPr>
              <w:keepNext/>
              <w:keepLines/>
              <w:spacing w:before="240" w:line="276" w:lineRule="auto"/>
              <w:outlineLvl w:val="0"/>
              <w:rPr>
                <w:rFonts w:ascii="Times New Roman" w:eastAsiaTheme="majorEastAsia" w:hAnsi="Times New Roman" w:cs="Times New Roman"/>
                <w:b/>
                <w:bCs/>
                <w:iCs/>
                <w:sz w:val="24"/>
                <w:szCs w:val="24"/>
              </w:rPr>
            </w:pPr>
            <w:r w:rsidRPr="00FF2A90">
              <w:rPr>
                <w:rFonts w:ascii="Times New Roman" w:eastAsiaTheme="majorEastAsia" w:hAnsi="Times New Roman" w:cs="Times New Roman"/>
                <w:b/>
                <w:bCs/>
                <w:iCs/>
                <w:sz w:val="24"/>
                <w:szCs w:val="24"/>
              </w:rPr>
              <w:t>VIF</w:t>
            </w:r>
          </w:p>
        </w:tc>
        <w:tc>
          <w:tcPr>
            <w:tcW w:w="1270" w:type="dxa"/>
            <w:shd w:val="clear" w:color="auto" w:fill="FFD966" w:themeFill="accent4" w:themeFillTint="99"/>
          </w:tcPr>
          <w:p w:rsidR="00FF2A90" w:rsidRDefault="00FF2A90" w:rsidP="00F07B5A">
            <w:pPr>
              <w:keepNext/>
              <w:keepLines/>
              <w:spacing w:before="240" w:line="276" w:lineRule="auto"/>
              <w:outlineLvl w:val="0"/>
              <w:rPr>
                <w:rFonts w:ascii="Times New Roman" w:eastAsiaTheme="majorEastAsia" w:hAnsi="Times New Roman" w:cs="Times New Roman"/>
                <w:b/>
                <w:bCs/>
                <w:iCs/>
                <w:sz w:val="24"/>
                <w:szCs w:val="24"/>
              </w:rPr>
            </w:pPr>
            <w:r w:rsidRPr="00FF2A90">
              <w:rPr>
                <w:rFonts w:ascii="Times New Roman" w:eastAsiaTheme="majorEastAsia" w:hAnsi="Times New Roman" w:cs="Times New Roman"/>
                <w:b/>
                <w:bCs/>
                <w:iCs/>
                <w:sz w:val="24"/>
                <w:szCs w:val="24"/>
              </w:rPr>
              <w:t>Threshold (≤ 5)</w:t>
            </w:r>
          </w:p>
        </w:tc>
        <w:tc>
          <w:tcPr>
            <w:tcW w:w="1443" w:type="dxa"/>
            <w:shd w:val="clear" w:color="auto" w:fill="FFD966" w:themeFill="accent4" w:themeFillTint="99"/>
          </w:tcPr>
          <w:p w:rsidR="00FF2A90" w:rsidRDefault="00FF2A90" w:rsidP="00F07B5A">
            <w:pPr>
              <w:keepNext/>
              <w:keepLines/>
              <w:spacing w:before="240" w:line="276" w:lineRule="auto"/>
              <w:outlineLvl w:val="0"/>
              <w:rPr>
                <w:rFonts w:ascii="Times New Roman" w:eastAsiaTheme="majorEastAsia" w:hAnsi="Times New Roman" w:cs="Times New Roman"/>
                <w:b/>
                <w:bCs/>
                <w:iCs/>
                <w:sz w:val="24"/>
                <w:szCs w:val="24"/>
              </w:rPr>
            </w:pPr>
            <w:r w:rsidRPr="00FF2A90">
              <w:rPr>
                <w:rFonts w:ascii="Times New Roman" w:eastAsiaTheme="majorEastAsia" w:hAnsi="Times New Roman" w:cs="Times New Roman"/>
                <w:b/>
                <w:bCs/>
                <w:iCs/>
                <w:sz w:val="24"/>
                <w:szCs w:val="24"/>
              </w:rPr>
              <w:t>Collinearity Concern?</w:t>
            </w:r>
          </w:p>
        </w:tc>
      </w:tr>
      <w:tr w:rsidR="00FF2A90" w:rsidTr="00FF2A90">
        <w:tc>
          <w:tcPr>
            <w:tcW w:w="6516" w:type="dxa"/>
          </w:tcPr>
          <w:p w:rsidR="00FF2A90" w:rsidRPr="00ED3CA7" w:rsidRDefault="00ED3CA7" w:rsidP="00F07B5A">
            <w:pPr>
              <w:keepNext/>
              <w:keepLines/>
              <w:spacing w:before="240" w:line="276" w:lineRule="auto"/>
              <w:outlineLvl w:val="0"/>
              <w:rPr>
                <w:rFonts w:ascii="Times New Roman" w:eastAsiaTheme="majorEastAsia" w:hAnsi="Times New Roman" w:cs="Times New Roman"/>
                <w:bCs/>
                <w:iCs/>
              </w:rPr>
            </w:pPr>
            <w:r w:rsidRPr="00ED3CA7">
              <w:rPr>
                <w:rFonts w:ascii="Times New Roman" w:eastAsiaTheme="majorEastAsia" w:hAnsi="Times New Roman" w:cs="Times New Roman"/>
                <w:bCs/>
                <w:iCs/>
              </w:rPr>
              <w:t>Top Management Commitment → Flexibility Performance</w:t>
            </w:r>
          </w:p>
        </w:tc>
        <w:tc>
          <w:tcPr>
            <w:tcW w:w="831"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1.701</w:t>
            </w:r>
          </w:p>
        </w:tc>
        <w:tc>
          <w:tcPr>
            <w:tcW w:w="1270"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Yes</w:t>
            </w:r>
          </w:p>
        </w:tc>
        <w:tc>
          <w:tcPr>
            <w:tcW w:w="1443"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No</w:t>
            </w:r>
          </w:p>
        </w:tc>
      </w:tr>
      <w:tr w:rsidR="00FF2A90" w:rsidTr="00FF2A90">
        <w:tc>
          <w:tcPr>
            <w:tcW w:w="6516" w:type="dxa"/>
          </w:tcPr>
          <w:p w:rsidR="00FF2A90" w:rsidRPr="00ED3CA7" w:rsidRDefault="00ED3CA7" w:rsidP="00F07B5A">
            <w:pPr>
              <w:keepNext/>
              <w:keepLines/>
              <w:spacing w:before="240" w:line="276" w:lineRule="auto"/>
              <w:outlineLvl w:val="0"/>
              <w:rPr>
                <w:rFonts w:ascii="Times New Roman" w:eastAsiaTheme="majorEastAsia" w:hAnsi="Times New Roman" w:cs="Times New Roman"/>
                <w:bCs/>
                <w:iCs/>
              </w:rPr>
            </w:pPr>
            <w:r w:rsidRPr="00ED3CA7">
              <w:rPr>
                <w:rFonts w:ascii="Times New Roman" w:eastAsiaTheme="majorEastAsia" w:hAnsi="Times New Roman" w:cs="Times New Roman"/>
                <w:bCs/>
                <w:iCs/>
              </w:rPr>
              <w:t>Employee Involvement → Flexibility Performance</w:t>
            </w:r>
          </w:p>
        </w:tc>
        <w:tc>
          <w:tcPr>
            <w:tcW w:w="831"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1.701</w:t>
            </w:r>
          </w:p>
        </w:tc>
        <w:tc>
          <w:tcPr>
            <w:tcW w:w="1270"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Yes</w:t>
            </w:r>
          </w:p>
        </w:tc>
        <w:tc>
          <w:tcPr>
            <w:tcW w:w="1443"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No</w:t>
            </w:r>
          </w:p>
        </w:tc>
      </w:tr>
      <w:tr w:rsidR="00FF2A90" w:rsidTr="00FF2A90">
        <w:tc>
          <w:tcPr>
            <w:tcW w:w="6516" w:type="dxa"/>
          </w:tcPr>
          <w:p w:rsidR="00FF2A90" w:rsidRPr="00ED3CA7" w:rsidRDefault="00ED3CA7" w:rsidP="00F07B5A">
            <w:pPr>
              <w:keepNext/>
              <w:keepLines/>
              <w:spacing w:before="240" w:line="276" w:lineRule="auto"/>
              <w:outlineLvl w:val="0"/>
              <w:rPr>
                <w:rFonts w:ascii="Times New Roman" w:eastAsiaTheme="majorEastAsia" w:hAnsi="Times New Roman" w:cs="Times New Roman"/>
                <w:bCs/>
                <w:iCs/>
              </w:rPr>
            </w:pPr>
            <w:r w:rsidRPr="00ED3CA7">
              <w:rPr>
                <w:rFonts w:ascii="Times New Roman" w:eastAsiaTheme="majorEastAsia" w:hAnsi="Times New Roman" w:cs="Times New Roman"/>
                <w:bCs/>
                <w:iCs/>
              </w:rPr>
              <w:t>Flexibility Performance → Non</w:t>
            </w:r>
            <w:r w:rsidRPr="00ED3CA7">
              <w:rPr>
                <w:rFonts w:ascii="Times New Roman" w:eastAsiaTheme="majorEastAsia" w:hAnsi="Times New Roman" w:cs="Times New Roman"/>
                <w:bCs/>
                <w:iCs/>
              </w:rPr>
              <w:noBreakHyphen/>
              <w:t>Financial Organisational Performance</w:t>
            </w:r>
          </w:p>
        </w:tc>
        <w:tc>
          <w:tcPr>
            <w:tcW w:w="831"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1.085</w:t>
            </w:r>
          </w:p>
        </w:tc>
        <w:tc>
          <w:tcPr>
            <w:tcW w:w="1270"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Yes</w:t>
            </w:r>
          </w:p>
        </w:tc>
        <w:tc>
          <w:tcPr>
            <w:tcW w:w="1443" w:type="dxa"/>
          </w:tcPr>
          <w:p w:rsidR="00FF2A90" w:rsidRPr="00ED3CA7" w:rsidRDefault="00ED3CA7" w:rsidP="00F07B5A">
            <w:pPr>
              <w:keepNext/>
              <w:keepLines/>
              <w:spacing w:before="240" w:line="276" w:lineRule="auto"/>
              <w:jc w:val="center"/>
              <w:outlineLvl w:val="0"/>
              <w:rPr>
                <w:rFonts w:ascii="Times New Roman" w:eastAsiaTheme="majorEastAsia" w:hAnsi="Times New Roman" w:cs="Times New Roman"/>
                <w:bCs/>
                <w:iCs/>
                <w:sz w:val="24"/>
                <w:szCs w:val="24"/>
              </w:rPr>
            </w:pPr>
            <w:r w:rsidRPr="00ED3CA7">
              <w:rPr>
                <w:rFonts w:ascii="Times New Roman" w:eastAsiaTheme="majorEastAsia" w:hAnsi="Times New Roman" w:cs="Times New Roman"/>
                <w:bCs/>
                <w:iCs/>
                <w:sz w:val="24"/>
                <w:szCs w:val="24"/>
              </w:rPr>
              <w:t>No</w:t>
            </w:r>
          </w:p>
        </w:tc>
      </w:tr>
    </w:tbl>
    <w:p w:rsidR="00FF2A90" w:rsidRPr="00ED3CA7" w:rsidRDefault="00FF2A90" w:rsidP="00ED3CA7">
      <w:pPr>
        <w:keepNext/>
        <w:keepLines/>
        <w:spacing w:after="0" w:line="360" w:lineRule="auto"/>
        <w:outlineLvl w:val="0"/>
        <w:rPr>
          <w:rFonts w:ascii="Times New Roman" w:eastAsiaTheme="majorEastAsia" w:hAnsi="Times New Roman" w:cs="Times New Roman"/>
          <w:b/>
          <w:bCs/>
          <w:iCs/>
          <w:sz w:val="20"/>
          <w:szCs w:val="20"/>
        </w:rPr>
      </w:pPr>
      <w:r w:rsidRPr="00ED3CA7">
        <w:rPr>
          <w:rFonts w:ascii="Times New Roman" w:eastAsiaTheme="majorEastAsia" w:hAnsi="Times New Roman" w:cs="Times New Roman"/>
          <w:b/>
          <w:bCs/>
          <w:i/>
          <w:iCs/>
          <w:sz w:val="20"/>
          <w:szCs w:val="20"/>
        </w:rPr>
        <w:t>Source: Author (2025)</w:t>
      </w:r>
    </w:p>
    <w:p w:rsidR="00ED3CA7" w:rsidRPr="00F07B5A" w:rsidRDefault="00ED3CA7" w:rsidP="00F07B5A">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3" w:name="_Toc225759399"/>
      <w:bookmarkEnd w:id="2"/>
      <w:r w:rsidRPr="00F07B5A">
        <w:rPr>
          <w:rFonts w:ascii="Times New Roman" w:eastAsia="Times New Roman" w:hAnsi="Times New Roman" w:cs="Times New Roman"/>
          <w:b/>
          <w:bCs/>
          <w:sz w:val="24"/>
          <w:szCs w:val="24"/>
        </w:rPr>
        <w:t>4.2.2 Coefficient of Determination (R²)</w:t>
      </w:r>
    </w:p>
    <w:p w:rsidR="00ED3CA7" w:rsidRPr="00F07B5A" w:rsidRDefault="00ED3CA7" w:rsidP="00F07B5A">
      <w:pPr>
        <w:spacing w:before="100" w:beforeAutospacing="1" w:after="100" w:afterAutospacing="1" w:line="360" w:lineRule="auto"/>
        <w:jc w:val="both"/>
        <w:rPr>
          <w:rFonts w:ascii="Times New Roman" w:eastAsia="Times New Roman" w:hAnsi="Times New Roman" w:cs="Times New Roman"/>
          <w:sz w:val="24"/>
          <w:szCs w:val="24"/>
        </w:rPr>
      </w:pPr>
      <w:r w:rsidRPr="00F07B5A">
        <w:rPr>
          <w:rFonts w:ascii="Times New Roman" w:eastAsia="Times New Roman" w:hAnsi="Times New Roman" w:cs="Times New Roman"/>
          <w:sz w:val="24"/>
          <w:szCs w:val="24"/>
        </w:rPr>
        <w:t xml:space="preserve">The evaluation of the structural model in this study centres on the </w:t>
      </w:r>
      <w:r w:rsidRPr="00F07B5A">
        <w:rPr>
          <w:rFonts w:ascii="Times New Roman" w:eastAsia="Times New Roman" w:hAnsi="Times New Roman" w:cs="Times New Roman"/>
          <w:bCs/>
          <w:sz w:val="24"/>
          <w:szCs w:val="24"/>
        </w:rPr>
        <w:t>coefficient of determination (R²)</w:t>
      </w:r>
      <w:r w:rsidRPr="00F07B5A">
        <w:rPr>
          <w:rFonts w:ascii="Times New Roman" w:eastAsia="Times New Roman" w:hAnsi="Times New Roman" w:cs="Times New Roman"/>
          <w:sz w:val="24"/>
          <w:szCs w:val="24"/>
        </w:rPr>
        <w:t xml:space="preserve">, which serves as a key indicator of explanatory power. The constructs of primary interest are </w:t>
      </w:r>
      <w:r w:rsidRPr="00F07B5A">
        <w:rPr>
          <w:rFonts w:ascii="Times New Roman" w:eastAsia="Times New Roman" w:hAnsi="Times New Roman" w:cs="Times New Roman"/>
          <w:bCs/>
          <w:sz w:val="24"/>
          <w:szCs w:val="24"/>
        </w:rPr>
        <w:t xml:space="preserve">Flexibility Performance </w:t>
      </w:r>
      <w:r w:rsidRPr="00F07B5A">
        <w:rPr>
          <w:rFonts w:ascii="Times New Roman" w:eastAsia="Times New Roman" w:hAnsi="Times New Roman" w:cs="Times New Roman"/>
          <w:sz w:val="24"/>
          <w:szCs w:val="24"/>
        </w:rPr>
        <w:t xml:space="preserve">and </w:t>
      </w:r>
      <w:r w:rsidRPr="00F07B5A">
        <w:rPr>
          <w:rFonts w:ascii="Times New Roman" w:eastAsia="Times New Roman" w:hAnsi="Times New Roman" w:cs="Times New Roman"/>
          <w:bCs/>
          <w:sz w:val="24"/>
          <w:szCs w:val="24"/>
        </w:rPr>
        <w:t>Non</w:t>
      </w:r>
      <w:r w:rsidRPr="00F07B5A">
        <w:rPr>
          <w:rFonts w:ascii="Times New Roman" w:eastAsia="Times New Roman" w:hAnsi="Times New Roman" w:cs="Times New Roman"/>
          <w:bCs/>
          <w:sz w:val="24"/>
          <w:szCs w:val="24"/>
        </w:rPr>
        <w:noBreakHyphen/>
        <w:t>Financial Organisational Performance</w:t>
      </w:r>
      <w:r w:rsidRPr="00F07B5A">
        <w:rPr>
          <w:rFonts w:ascii="Times New Roman" w:eastAsia="Times New Roman" w:hAnsi="Times New Roman" w:cs="Times New Roman"/>
          <w:sz w:val="24"/>
          <w:szCs w:val="24"/>
        </w:rPr>
        <w:t>. As illustrated in the PLS path model estimation diagram (</w:t>
      </w:r>
      <w:r w:rsidRPr="00F07B5A">
        <w:rPr>
          <w:rFonts w:ascii="Times New Roman" w:eastAsia="Times New Roman" w:hAnsi="Times New Roman" w:cs="Times New Roman"/>
          <w:bCs/>
          <w:sz w:val="24"/>
          <w:szCs w:val="24"/>
        </w:rPr>
        <w:t xml:space="preserve">Figure </w:t>
      </w:r>
      <w:r w:rsidR="00F07B5A">
        <w:rPr>
          <w:rFonts w:ascii="Times New Roman" w:eastAsia="Times New Roman" w:hAnsi="Times New Roman" w:cs="Times New Roman"/>
          <w:bCs/>
          <w:sz w:val="24"/>
          <w:szCs w:val="24"/>
        </w:rPr>
        <w:t>4.2</w:t>
      </w:r>
      <w:r w:rsidRPr="00F07B5A">
        <w:rPr>
          <w:rFonts w:ascii="Times New Roman" w:eastAsia="Times New Roman" w:hAnsi="Times New Roman" w:cs="Times New Roman"/>
          <w:sz w:val="24"/>
          <w:szCs w:val="24"/>
        </w:rPr>
        <w:t>)</w:t>
      </w:r>
      <w:r w:rsidR="00270F1F">
        <w:rPr>
          <w:rFonts w:ascii="Times New Roman" w:eastAsia="Times New Roman" w:hAnsi="Times New Roman" w:cs="Times New Roman"/>
          <w:sz w:val="24"/>
          <w:szCs w:val="24"/>
        </w:rPr>
        <w:t xml:space="preserve"> and (Table 4.4)</w:t>
      </w:r>
      <w:r w:rsidRPr="00F07B5A">
        <w:rPr>
          <w:rFonts w:ascii="Times New Roman" w:eastAsia="Times New Roman" w:hAnsi="Times New Roman" w:cs="Times New Roman"/>
          <w:sz w:val="24"/>
          <w:szCs w:val="24"/>
        </w:rPr>
        <w:t>, the R² values for these constructs reflect a moderate level of explanatory strength.</w:t>
      </w:r>
      <w:r w:rsidR="003B5500">
        <w:rPr>
          <w:rFonts w:ascii="Times New Roman" w:eastAsia="Times New Roman" w:hAnsi="Times New Roman" w:cs="Times New Roman"/>
          <w:sz w:val="24"/>
          <w:szCs w:val="24"/>
        </w:rPr>
        <w:t xml:space="preserve"> </w:t>
      </w:r>
      <w:r w:rsidRPr="00F07B5A">
        <w:rPr>
          <w:rFonts w:ascii="Times New Roman" w:eastAsia="Times New Roman" w:hAnsi="Times New Roman" w:cs="Times New Roman"/>
          <w:sz w:val="24"/>
          <w:szCs w:val="24"/>
        </w:rPr>
        <w:t xml:space="preserve">According to Hair et al. (2013), R² values of </w:t>
      </w:r>
      <w:r w:rsidRPr="00F07B5A">
        <w:rPr>
          <w:rFonts w:ascii="Times New Roman" w:eastAsia="Times New Roman" w:hAnsi="Times New Roman" w:cs="Times New Roman"/>
          <w:bCs/>
          <w:sz w:val="24"/>
          <w:szCs w:val="24"/>
        </w:rPr>
        <w:t>0.25, 0.50, and 0.70</w:t>
      </w:r>
      <w:r w:rsidRPr="00F07B5A">
        <w:rPr>
          <w:rFonts w:ascii="Times New Roman" w:eastAsia="Times New Roman" w:hAnsi="Times New Roman" w:cs="Times New Roman"/>
          <w:sz w:val="24"/>
          <w:szCs w:val="24"/>
        </w:rPr>
        <w:t xml:space="preserve"> are commonly interpreted as weak, moderate, and substantial explanatory power, respectively. Within this framework, the exogenous constructs</w:t>
      </w:r>
      <w:r w:rsidR="00F07B5A">
        <w:rPr>
          <w:rFonts w:ascii="Times New Roman" w:eastAsia="Times New Roman" w:hAnsi="Times New Roman" w:cs="Times New Roman"/>
          <w:sz w:val="24"/>
          <w:szCs w:val="24"/>
        </w:rPr>
        <w:t xml:space="preserve"> </w:t>
      </w:r>
      <w:r w:rsidRPr="00F07B5A">
        <w:rPr>
          <w:rFonts w:ascii="Times New Roman" w:eastAsia="Times New Roman" w:hAnsi="Times New Roman" w:cs="Times New Roman"/>
          <w:bCs/>
          <w:sz w:val="24"/>
          <w:szCs w:val="24"/>
        </w:rPr>
        <w:t>Top Management Commitment</w:t>
      </w:r>
      <w:r w:rsidRPr="00F07B5A">
        <w:rPr>
          <w:rFonts w:ascii="Times New Roman" w:eastAsia="Times New Roman" w:hAnsi="Times New Roman" w:cs="Times New Roman"/>
          <w:sz w:val="24"/>
          <w:szCs w:val="24"/>
        </w:rPr>
        <w:t xml:space="preserve">, </w:t>
      </w:r>
      <w:r w:rsidRPr="00F07B5A">
        <w:rPr>
          <w:rFonts w:ascii="Times New Roman" w:eastAsia="Times New Roman" w:hAnsi="Times New Roman" w:cs="Times New Roman"/>
          <w:bCs/>
          <w:sz w:val="24"/>
          <w:szCs w:val="24"/>
        </w:rPr>
        <w:t>Employee Involvement</w:t>
      </w:r>
      <w:r w:rsidRPr="00F07B5A">
        <w:rPr>
          <w:rFonts w:ascii="Times New Roman" w:eastAsia="Times New Roman" w:hAnsi="Times New Roman" w:cs="Times New Roman"/>
          <w:sz w:val="24"/>
          <w:szCs w:val="24"/>
        </w:rPr>
        <w:t xml:space="preserve">, and </w:t>
      </w:r>
      <w:r w:rsidRPr="00F07B5A">
        <w:rPr>
          <w:rFonts w:ascii="Times New Roman" w:eastAsia="Times New Roman" w:hAnsi="Times New Roman" w:cs="Times New Roman"/>
          <w:bCs/>
          <w:sz w:val="24"/>
          <w:szCs w:val="24"/>
        </w:rPr>
        <w:t xml:space="preserve">Flexibility Performance </w:t>
      </w:r>
      <w:r w:rsidRPr="00F07B5A">
        <w:rPr>
          <w:rFonts w:ascii="Times New Roman" w:eastAsia="Times New Roman" w:hAnsi="Times New Roman" w:cs="Times New Roman"/>
          <w:sz w:val="24"/>
          <w:szCs w:val="24"/>
        </w:rPr>
        <w:t xml:space="preserve">jointly account for </w:t>
      </w:r>
      <w:r w:rsidRPr="00F07B5A">
        <w:rPr>
          <w:rFonts w:ascii="Times New Roman" w:eastAsia="Times New Roman" w:hAnsi="Times New Roman" w:cs="Times New Roman"/>
          <w:bCs/>
          <w:sz w:val="24"/>
          <w:szCs w:val="24"/>
        </w:rPr>
        <w:t>52.4</w:t>
      </w:r>
      <w:r w:rsidR="00F07B5A">
        <w:rPr>
          <w:rFonts w:ascii="Times New Roman" w:eastAsia="Times New Roman" w:hAnsi="Times New Roman" w:cs="Times New Roman"/>
          <w:bCs/>
          <w:sz w:val="24"/>
          <w:szCs w:val="24"/>
        </w:rPr>
        <w:t xml:space="preserve"> percent</w:t>
      </w:r>
      <w:r w:rsidRPr="00F07B5A">
        <w:rPr>
          <w:rFonts w:ascii="Times New Roman" w:eastAsia="Times New Roman" w:hAnsi="Times New Roman" w:cs="Times New Roman"/>
          <w:sz w:val="24"/>
          <w:szCs w:val="24"/>
        </w:rPr>
        <w:t xml:space="preserve"> of the variance in N</w:t>
      </w:r>
      <w:r w:rsidR="00270F1F">
        <w:rPr>
          <w:rFonts w:ascii="Times New Roman" w:eastAsia="Times New Roman" w:hAnsi="Times New Roman" w:cs="Times New Roman"/>
          <w:sz w:val="24"/>
          <w:szCs w:val="24"/>
        </w:rPr>
        <w:t>on-</w:t>
      </w:r>
      <w:r w:rsidRPr="00F07B5A">
        <w:rPr>
          <w:rFonts w:ascii="Times New Roman" w:eastAsia="Times New Roman" w:hAnsi="Times New Roman" w:cs="Times New Roman"/>
          <w:sz w:val="24"/>
          <w:szCs w:val="24"/>
        </w:rPr>
        <w:t>F</w:t>
      </w:r>
      <w:r w:rsidR="00270F1F">
        <w:rPr>
          <w:rFonts w:ascii="Times New Roman" w:eastAsia="Times New Roman" w:hAnsi="Times New Roman" w:cs="Times New Roman"/>
          <w:sz w:val="24"/>
          <w:szCs w:val="24"/>
        </w:rPr>
        <w:t xml:space="preserve">inancial </w:t>
      </w:r>
      <w:r w:rsidRPr="00F07B5A">
        <w:rPr>
          <w:rFonts w:ascii="Times New Roman" w:eastAsia="Times New Roman" w:hAnsi="Times New Roman" w:cs="Times New Roman"/>
          <w:sz w:val="24"/>
          <w:szCs w:val="24"/>
        </w:rPr>
        <w:t>O</w:t>
      </w:r>
      <w:r w:rsidR="00270F1F">
        <w:rPr>
          <w:rFonts w:ascii="Times New Roman" w:eastAsia="Times New Roman" w:hAnsi="Times New Roman" w:cs="Times New Roman"/>
          <w:sz w:val="24"/>
          <w:szCs w:val="24"/>
        </w:rPr>
        <w:t xml:space="preserve">rganisational </w:t>
      </w:r>
      <w:r w:rsidRPr="00F07B5A">
        <w:rPr>
          <w:rFonts w:ascii="Times New Roman" w:eastAsia="Times New Roman" w:hAnsi="Times New Roman" w:cs="Times New Roman"/>
          <w:sz w:val="24"/>
          <w:szCs w:val="24"/>
        </w:rPr>
        <w:t>P</w:t>
      </w:r>
      <w:r w:rsidR="00270F1F">
        <w:rPr>
          <w:rFonts w:ascii="Times New Roman" w:eastAsia="Times New Roman" w:hAnsi="Times New Roman" w:cs="Times New Roman"/>
          <w:sz w:val="24"/>
          <w:szCs w:val="24"/>
        </w:rPr>
        <w:t>erformance</w:t>
      </w:r>
      <w:r w:rsidRPr="00F07B5A">
        <w:rPr>
          <w:rFonts w:ascii="Times New Roman" w:eastAsia="Times New Roman" w:hAnsi="Times New Roman" w:cs="Times New Roman"/>
          <w:sz w:val="24"/>
          <w:szCs w:val="24"/>
        </w:rPr>
        <w:t xml:space="preserve">, yielding an R² value of </w:t>
      </w:r>
      <w:r w:rsidRPr="00F07B5A">
        <w:rPr>
          <w:rFonts w:ascii="Times New Roman" w:eastAsia="Times New Roman" w:hAnsi="Times New Roman" w:cs="Times New Roman"/>
          <w:bCs/>
          <w:sz w:val="24"/>
          <w:szCs w:val="24"/>
        </w:rPr>
        <w:t>0.524</w:t>
      </w:r>
      <w:r w:rsidRPr="00F07B5A">
        <w:rPr>
          <w:rFonts w:ascii="Times New Roman" w:eastAsia="Times New Roman" w:hAnsi="Times New Roman" w:cs="Times New Roman"/>
          <w:sz w:val="24"/>
          <w:szCs w:val="24"/>
        </w:rPr>
        <w:t>. This indicates that just over half of the variability in non</w:t>
      </w:r>
      <w:r w:rsidRPr="00F07B5A">
        <w:rPr>
          <w:rFonts w:ascii="Times New Roman" w:eastAsia="Times New Roman" w:hAnsi="Times New Roman" w:cs="Times New Roman"/>
          <w:sz w:val="24"/>
          <w:szCs w:val="24"/>
        </w:rPr>
        <w:noBreakHyphen/>
        <w:t>financial organisational performance can be associated with these organisational factors.</w:t>
      </w:r>
      <w:r w:rsidR="00F07B5A">
        <w:rPr>
          <w:rFonts w:ascii="Times New Roman" w:eastAsia="Times New Roman" w:hAnsi="Times New Roman" w:cs="Times New Roman"/>
          <w:sz w:val="24"/>
          <w:szCs w:val="24"/>
        </w:rPr>
        <w:t xml:space="preserve"> </w:t>
      </w:r>
      <w:r w:rsidRPr="00F07B5A">
        <w:rPr>
          <w:rFonts w:ascii="Times New Roman" w:eastAsia="Times New Roman" w:hAnsi="Times New Roman" w:cs="Times New Roman"/>
          <w:sz w:val="24"/>
          <w:szCs w:val="24"/>
        </w:rPr>
        <w:t>Collectively, these results underscore the moderate yet meaningful role of TQM practices and flexibility performance in shaping organisational outcomes within the model.</w:t>
      </w:r>
    </w:p>
    <w:p w:rsidR="00ED3CA7" w:rsidRPr="00F07B5A" w:rsidRDefault="00ED3CA7" w:rsidP="00F07B5A">
      <w:pPr>
        <w:spacing w:before="100" w:beforeAutospacing="1" w:after="0" w:line="240" w:lineRule="auto"/>
        <w:jc w:val="center"/>
        <w:outlineLvl w:val="3"/>
        <w:rPr>
          <w:rFonts w:ascii="Times New Roman" w:eastAsia="Times New Roman" w:hAnsi="Times New Roman" w:cs="Times New Roman"/>
          <w:b/>
          <w:bCs/>
          <w:sz w:val="24"/>
          <w:szCs w:val="24"/>
        </w:rPr>
      </w:pPr>
      <w:r w:rsidRPr="00F07B5A">
        <w:rPr>
          <w:rFonts w:ascii="Times New Roman" w:eastAsia="Times New Roman" w:hAnsi="Times New Roman" w:cs="Times New Roman"/>
          <w:b/>
          <w:bCs/>
          <w:sz w:val="24"/>
          <w:szCs w:val="24"/>
        </w:rPr>
        <w:t xml:space="preserve">Table </w:t>
      </w:r>
      <w:r w:rsidR="008C3DA3">
        <w:rPr>
          <w:rFonts w:ascii="Times New Roman" w:eastAsia="Times New Roman" w:hAnsi="Times New Roman" w:cs="Times New Roman"/>
          <w:b/>
          <w:bCs/>
          <w:sz w:val="24"/>
          <w:szCs w:val="24"/>
        </w:rPr>
        <w:t>4.4</w:t>
      </w:r>
      <w:r w:rsidRPr="00F07B5A">
        <w:rPr>
          <w:rFonts w:ascii="Times New Roman" w:eastAsia="Times New Roman" w:hAnsi="Times New Roman" w:cs="Times New Roman"/>
          <w:b/>
          <w:bCs/>
          <w:sz w:val="24"/>
          <w:szCs w:val="24"/>
        </w:rPr>
        <w:t>: Coefficient of Determination (R²)</w:t>
      </w:r>
    </w:p>
    <w:tbl>
      <w:tblPr>
        <w:tblStyle w:val="TableGrid"/>
        <w:tblW w:w="9067" w:type="dxa"/>
        <w:jc w:val="center"/>
        <w:tblLook w:val="04A0" w:firstRow="1" w:lastRow="0" w:firstColumn="1" w:lastColumn="0" w:noHBand="0" w:noVBand="1"/>
      </w:tblPr>
      <w:tblGrid>
        <w:gridCol w:w="4390"/>
        <w:gridCol w:w="1134"/>
        <w:gridCol w:w="3543"/>
      </w:tblGrid>
      <w:tr w:rsidR="00F07B5A" w:rsidTr="00270F1F">
        <w:trPr>
          <w:jc w:val="center"/>
        </w:trPr>
        <w:tc>
          <w:tcPr>
            <w:tcW w:w="4390" w:type="dxa"/>
            <w:shd w:val="clear" w:color="auto" w:fill="FFD966" w:themeFill="accent4" w:themeFillTint="99"/>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b/>
                <w:bCs/>
                <w:sz w:val="24"/>
                <w:szCs w:val="24"/>
              </w:rPr>
              <w:t>Endogenous Construct</w:t>
            </w:r>
          </w:p>
        </w:tc>
        <w:tc>
          <w:tcPr>
            <w:tcW w:w="1134" w:type="dxa"/>
            <w:shd w:val="clear" w:color="auto" w:fill="FFD966" w:themeFill="accent4" w:themeFillTint="99"/>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b/>
                <w:bCs/>
                <w:sz w:val="24"/>
                <w:szCs w:val="24"/>
              </w:rPr>
              <w:t>R² Value</w:t>
            </w:r>
          </w:p>
        </w:tc>
        <w:tc>
          <w:tcPr>
            <w:tcW w:w="3543" w:type="dxa"/>
            <w:shd w:val="clear" w:color="auto" w:fill="FFD966" w:themeFill="accent4" w:themeFillTint="99"/>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b/>
                <w:bCs/>
                <w:sz w:val="24"/>
                <w:szCs w:val="24"/>
              </w:rPr>
              <w:t>Interpretation</w:t>
            </w:r>
            <w:r w:rsidR="00270F1F">
              <w:rPr>
                <w:rFonts w:ascii="Times New Roman" w:eastAsia="Times New Roman" w:hAnsi="Times New Roman" w:cs="Times New Roman"/>
                <w:b/>
                <w:bCs/>
                <w:sz w:val="24"/>
                <w:szCs w:val="24"/>
              </w:rPr>
              <w:t xml:space="preserve"> (Hair et al. 2013)</w:t>
            </w:r>
          </w:p>
        </w:tc>
      </w:tr>
      <w:tr w:rsidR="00F07B5A" w:rsidTr="00270F1F">
        <w:trPr>
          <w:jc w:val="center"/>
        </w:trPr>
        <w:tc>
          <w:tcPr>
            <w:tcW w:w="4390" w:type="dxa"/>
          </w:tcPr>
          <w:p w:rsidR="00F07B5A" w:rsidRPr="00CE1898" w:rsidRDefault="00F07B5A" w:rsidP="00270F1F">
            <w:pPr>
              <w:spacing w:before="100" w:beforeAutospacing="1" w:after="100" w:afterAutospacing="1" w:line="360" w:lineRule="auto"/>
              <w:outlineLvl w:val="3"/>
              <w:rPr>
                <w:rFonts w:ascii="Times New Roman" w:eastAsia="Times New Roman" w:hAnsi="Times New Roman" w:cs="Times New Roman"/>
                <w:bCs/>
                <w:sz w:val="24"/>
                <w:szCs w:val="24"/>
              </w:rPr>
            </w:pPr>
            <w:r w:rsidRPr="00CE1898">
              <w:rPr>
                <w:rFonts w:ascii="Times New Roman" w:eastAsia="Times New Roman" w:hAnsi="Times New Roman" w:cs="Times New Roman"/>
                <w:bCs/>
                <w:sz w:val="24"/>
                <w:szCs w:val="24"/>
              </w:rPr>
              <w:t xml:space="preserve">Flexibility Performance </w:t>
            </w:r>
          </w:p>
        </w:tc>
        <w:tc>
          <w:tcPr>
            <w:tcW w:w="1134" w:type="dxa"/>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0.381</w:t>
            </w:r>
          </w:p>
        </w:tc>
        <w:tc>
          <w:tcPr>
            <w:tcW w:w="3543" w:type="dxa"/>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Moderate</w:t>
            </w:r>
          </w:p>
        </w:tc>
      </w:tr>
      <w:tr w:rsidR="00F07B5A" w:rsidTr="00270F1F">
        <w:trPr>
          <w:jc w:val="center"/>
        </w:trPr>
        <w:tc>
          <w:tcPr>
            <w:tcW w:w="4390" w:type="dxa"/>
          </w:tcPr>
          <w:p w:rsidR="00F07B5A" w:rsidRPr="00CE1898" w:rsidRDefault="00F07B5A" w:rsidP="00270F1F">
            <w:pPr>
              <w:spacing w:before="100" w:beforeAutospacing="1" w:after="100" w:afterAutospacing="1" w:line="360" w:lineRule="auto"/>
              <w:outlineLvl w:val="3"/>
              <w:rPr>
                <w:rFonts w:ascii="Times New Roman" w:eastAsia="Times New Roman" w:hAnsi="Times New Roman" w:cs="Times New Roman"/>
                <w:bCs/>
                <w:sz w:val="24"/>
                <w:szCs w:val="24"/>
              </w:rPr>
            </w:pPr>
            <w:r w:rsidRPr="00CE1898">
              <w:rPr>
                <w:rFonts w:ascii="Times New Roman" w:eastAsia="Times New Roman" w:hAnsi="Times New Roman" w:cs="Times New Roman"/>
                <w:bCs/>
                <w:sz w:val="24"/>
                <w:szCs w:val="24"/>
              </w:rPr>
              <w:t>Non</w:t>
            </w:r>
            <w:r w:rsidRPr="00CE1898">
              <w:rPr>
                <w:rFonts w:ascii="Times New Roman" w:eastAsia="Times New Roman" w:hAnsi="Times New Roman" w:cs="Times New Roman"/>
                <w:bCs/>
                <w:sz w:val="24"/>
                <w:szCs w:val="24"/>
              </w:rPr>
              <w:noBreakHyphen/>
              <w:t xml:space="preserve">Financial Organisational Performance </w:t>
            </w:r>
          </w:p>
        </w:tc>
        <w:tc>
          <w:tcPr>
            <w:tcW w:w="1134" w:type="dxa"/>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0.524</w:t>
            </w:r>
          </w:p>
        </w:tc>
        <w:tc>
          <w:tcPr>
            <w:tcW w:w="3543" w:type="dxa"/>
          </w:tcPr>
          <w:p w:rsidR="00F07B5A" w:rsidRDefault="00F07B5A" w:rsidP="00CE1898">
            <w:pPr>
              <w:spacing w:before="100" w:beforeAutospacing="1" w:after="100" w:afterAutospacing="1" w:line="360" w:lineRule="auto"/>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Moderate</w:t>
            </w:r>
          </w:p>
        </w:tc>
      </w:tr>
    </w:tbl>
    <w:p w:rsidR="00CE1898" w:rsidRPr="00CE1898" w:rsidRDefault="00270F1F" w:rsidP="00CE1898">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 xml:space="preserve">   </w:t>
      </w:r>
      <w:r w:rsidR="00CE1898" w:rsidRPr="00CE1898">
        <w:rPr>
          <w:rFonts w:ascii="Times New Roman" w:eastAsia="Times New Roman" w:hAnsi="Times New Roman" w:cs="Times New Roman"/>
          <w:b/>
          <w:i/>
          <w:iCs/>
          <w:sz w:val="20"/>
          <w:szCs w:val="20"/>
        </w:rPr>
        <w:t>Source: Author (2025)</w:t>
      </w:r>
    </w:p>
    <w:p w:rsidR="00F07B5A" w:rsidRPr="00ED3CA7" w:rsidRDefault="00F07B5A" w:rsidP="00ED3CA7">
      <w:pPr>
        <w:spacing w:before="100" w:beforeAutospacing="1" w:after="100" w:afterAutospacing="1" w:line="240" w:lineRule="auto"/>
        <w:outlineLvl w:val="3"/>
        <w:rPr>
          <w:rFonts w:ascii="Times New Roman" w:eastAsia="Times New Roman" w:hAnsi="Times New Roman" w:cs="Times New Roman"/>
          <w:b/>
          <w:bCs/>
          <w:sz w:val="24"/>
          <w:szCs w:val="24"/>
        </w:rPr>
      </w:pPr>
    </w:p>
    <w:bookmarkEnd w:id="3"/>
    <w:p w:rsidR="00ED3CA7" w:rsidRPr="00CE1898" w:rsidRDefault="00ED3CA7" w:rsidP="00CE18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1898">
        <w:rPr>
          <w:rFonts w:ascii="Times New Roman" w:eastAsia="Times New Roman" w:hAnsi="Times New Roman" w:cs="Times New Roman"/>
          <w:b/>
          <w:bCs/>
          <w:sz w:val="24"/>
          <w:szCs w:val="24"/>
        </w:rPr>
        <w:lastRenderedPageBreak/>
        <w:t>4.2.3 Path Coefficients</w:t>
      </w:r>
    </w:p>
    <w:p w:rsidR="00ED3CA7" w:rsidRPr="00CE1898" w:rsidRDefault="00ED3CA7" w:rsidP="00CE1898">
      <w:pPr>
        <w:spacing w:before="100" w:beforeAutospacing="1" w:after="100" w:afterAutospacing="1" w:line="360" w:lineRule="auto"/>
        <w:jc w:val="both"/>
        <w:rPr>
          <w:rFonts w:ascii="Times New Roman" w:eastAsia="Times New Roman" w:hAnsi="Times New Roman" w:cs="Times New Roman"/>
          <w:sz w:val="24"/>
          <w:szCs w:val="24"/>
        </w:rPr>
      </w:pPr>
      <w:r w:rsidRPr="00CE1898">
        <w:rPr>
          <w:rFonts w:ascii="Times New Roman" w:eastAsia="Times New Roman" w:hAnsi="Times New Roman" w:cs="Times New Roman"/>
          <w:sz w:val="24"/>
          <w:szCs w:val="24"/>
        </w:rPr>
        <w:t>The analysis of the structural model provides empirical evidence for three hypotheses (</w:t>
      </w:r>
      <w:r w:rsidRPr="00CE1898">
        <w:rPr>
          <w:rFonts w:ascii="Times New Roman" w:eastAsia="Times New Roman" w:hAnsi="Times New Roman" w:cs="Times New Roman"/>
          <w:bCs/>
          <w:sz w:val="24"/>
          <w:szCs w:val="24"/>
        </w:rPr>
        <w:t>H1–H3</w:t>
      </w:r>
      <w:r w:rsidRPr="00CE1898">
        <w:rPr>
          <w:rFonts w:ascii="Times New Roman" w:eastAsia="Times New Roman" w:hAnsi="Times New Roman" w:cs="Times New Roman"/>
          <w:sz w:val="24"/>
          <w:szCs w:val="24"/>
        </w:rPr>
        <w:t xml:space="preserve">). Hypotheses </w:t>
      </w:r>
      <w:r w:rsidRPr="00CE1898">
        <w:rPr>
          <w:rFonts w:ascii="Times New Roman" w:eastAsia="Times New Roman" w:hAnsi="Times New Roman" w:cs="Times New Roman"/>
          <w:bCs/>
          <w:sz w:val="24"/>
          <w:szCs w:val="24"/>
        </w:rPr>
        <w:t>H1</w:t>
      </w:r>
      <w:r w:rsidRPr="00CE1898">
        <w:rPr>
          <w:rFonts w:ascii="Times New Roman" w:eastAsia="Times New Roman" w:hAnsi="Times New Roman" w:cs="Times New Roman"/>
          <w:sz w:val="24"/>
          <w:szCs w:val="24"/>
        </w:rPr>
        <w:t xml:space="preserve"> and </w:t>
      </w:r>
      <w:r w:rsidRPr="00CE1898">
        <w:rPr>
          <w:rFonts w:ascii="Times New Roman" w:eastAsia="Times New Roman" w:hAnsi="Times New Roman" w:cs="Times New Roman"/>
          <w:bCs/>
          <w:sz w:val="24"/>
          <w:szCs w:val="24"/>
        </w:rPr>
        <w:t>H2</w:t>
      </w:r>
      <w:r w:rsidRPr="00CE1898">
        <w:rPr>
          <w:rFonts w:ascii="Times New Roman" w:eastAsia="Times New Roman" w:hAnsi="Times New Roman" w:cs="Times New Roman"/>
          <w:sz w:val="24"/>
          <w:szCs w:val="24"/>
        </w:rPr>
        <w:t xml:space="preserve"> examine the association between </w:t>
      </w:r>
      <w:r w:rsidRPr="00CE1898">
        <w:rPr>
          <w:rFonts w:ascii="Times New Roman" w:eastAsia="Times New Roman" w:hAnsi="Times New Roman" w:cs="Times New Roman"/>
          <w:bCs/>
          <w:sz w:val="24"/>
          <w:szCs w:val="24"/>
        </w:rPr>
        <w:t xml:space="preserve">Top Management Commitment </w:t>
      </w:r>
      <w:r w:rsidRPr="00CE1898">
        <w:rPr>
          <w:rFonts w:ascii="Times New Roman" w:eastAsia="Times New Roman" w:hAnsi="Times New Roman" w:cs="Times New Roman"/>
          <w:sz w:val="24"/>
          <w:szCs w:val="24"/>
        </w:rPr>
        <w:t xml:space="preserve">and </w:t>
      </w:r>
      <w:r w:rsidRPr="00CE1898">
        <w:rPr>
          <w:rFonts w:ascii="Times New Roman" w:eastAsia="Times New Roman" w:hAnsi="Times New Roman" w:cs="Times New Roman"/>
          <w:bCs/>
          <w:sz w:val="24"/>
          <w:szCs w:val="24"/>
        </w:rPr>
        <w:t xml:space="preserve">Employee Involvement </w:t>
      </w:r>
      <w:r w:rsidRPr="00CE1898">
        <w:rPr>
          <w:rFonts w:ascii="Times New Roman" w:eastAsia="Times New Roman" w:hAnsi="Times New Roman" w:cs="Times New Roman"/>
          <w:sz w:val="24"/>
          <w:szCs w:val="24"/>
        </w:rPr>
        <w:t xml:space="preserve">with </w:t>
      </w:r>
      <w:r w:rsidRPr="00CE1898">
        <w:rPr>
          <w:rFonts w:ascii="Times New Roman" w:eastAsia="Times New Roman" w:hAnsi="Times New Roman" w:cs="Times New Roman"/>
          <w:bCs/>
          <w:sz w:val="24"/>
          <w:szCs w:val="24"/>
        </w:rPr>
        <w:t>Flexibility Performance</w:t>
      </w:r>
      <w:r w:rsidRPr="00CE1898">
        <w:rPr>
          <w:rFonts w:ascii="Times New Roman" w:eastAsia="Times New Roman" w:hAnsi="Times New Roman" w:cs="Times New Roman"/>
          <w:sz w:val="24"/>
          <w:szCs w:val="24"/>
        </w:rPr>
        <w:t xml:space="preserve">, while </w:t>
      </w:r>
      <w:r w:rsidRPr="00CE1898">
        <w:rPr>
          <w:rFonts w:ascii="Times New Roman" w:eastAsia="Times New Roman" w:hAnsi="Times New Roman" w:cs="Times New Roman"/>
          <w:bCs/>
          <w:sz w:val="24"/>
          <w:szCs w:val="24"/>
        </w:rPr>
        <w:t>H3</w:t>
      </w:r>
      <w:r w:rsidRPr="00CE1898">
        <w:rPr>
          <w:rFonts w:ascii="Times New Roman" w:eastAsia="Times New Roman" w:hAnsi="Times New Roman" w:cs="Times New Roman"/>
          <w:sz w:val="24"/>
          <w:szCs w:val="24"/>
        </w:rPr>
        <w:t xml:space="preserve"> assesses the association between F</w:t>
      </w:r>
      <w:r w:rsidR="00CE1898">
        <w:rPr>
          <w:rFonts w:ascii="Times New Roman" w:eastAsia="Times New Roman" w:hAnsi="Times New Roman" w:cs="Times New Roman"/>
          <w:sz w:val="24"/>
          <w:szCs w:val="24"/>
        </w:rPr>
        <w:t xml:space="preserve">lexibility </w:t>
      </w:r>
      <w:r w:rsidR="00CE1898" w:rsidRPr="00CE1898">
        <w:rPr>
          <w:rFonts w:ascii="Times New Roman" w:eastAsia="Times New Roman" w:hAnsi="Times New Roman" w:cs="Times New Roman"/>
          <w:sz w:val="24"/>
          <w:szCs w:val="24"/>
        </w:rPr>
        <w:t>P</w:t>
      </w:r>
      <w:r w:rsidR="00CE1898">
        <w:rPr>
          <w:rFonts w:ascii="Times New Roman" w:eastAsia="Times New Roman" w:hAnsi="Times New Roman" w:cs="Times New Roman"/>
          <w:sz w:val="24"/>
          <w:szCs w:val="24"/>
        </w:rPr>
        <w:t>erformance</w:t>
      </w:r>
      <w:r w:rsidRPr="00CE1898">
        <w:rPr>
          <w:rFonts w:ascii="Times New Roman" w:eastAsia="Times New Roman" w:hAnsi="Times New Roman" w:cs="Times New Roman"/>
          <w:sz w:val="24"/>
          <w:szCs w:val="24"/>
        </w:rPr>
        <w:t xml:space="preserve"> and </w:t>
      </w:r>
      <w:r w:rsidRPr="00CE1898">
        <w:rPr>
          <w:rFonts w:ascii="Times New Roman" w:eastAsia="Times New Roman" w:hAnsi="Times New Roman" w:cs="Times New Roman"/>
          <w:bCs/>
          <w:sz w:val="24"/>
          <w:szCs w:val="24"/>
        </w:rPr>
        <w:t>Non</w:t>
      </w:r>
      <w:r w:rsidRPr="00CE1898">
        <w:rPr>
          <w:rFonts w:ascii="Times New Roman" w:eastAsia="Times New Roman" w:hAnsi="Times New Roman" w:cs="Times New Roman"/>
          <w:bCs/>
          <w:sz w:val="24"/>
          <w:szCs w:val="24"/>
        </w:rPr>
        <w:noBreakHyphen/>
        <w:t>Financial Organisational Performance</w:t>
      </w:r>
      <w:r w:rsidRPr="00CE1898">
        <w:rPr>
          <w:rFonts w:ascii="Times New Roman" w:eastAsia="Times New Roman" w:hAnsi="Times New Roman" w:cs="Times New Roman"/>
          <w:sz w:val="24"/>
          <w:szCs w:val="24"/>
        </w:rPr>
        <w:t>.</w:t>
      </w:r>
      <w:r w:rsidR="00CE1898">
        <w:rPr>
          <w:rFonts w:ascii="Times New Roman" w:eastAsia="Times New Roman" w:hAnsi="Times New Roman" w:cs="Times New Roman"/>
          <w:sz w:val="24"/>
          <w:szCs w:val="24"/>
        </w:rPr>
        <w:t xml:space="preserve"> </w:t>
      </w:r>
      <w:r w:rsidRPr="00CE1898">
        <w:rPr>
          <w:rFonts w:ascii="Times New Roman" w:eastAsia="Times New Roman" w:hAnsi="Times New Roman" w:cs="Times New Roman"/>
          <w:sz w:val="24"/>
          <w:szCs w:val="24"/>
        </w:rPr>
        <w:t xml:space="preserve">The evaluation criterion stipulated that </w:t>
      </w:r>
      <w:r w:rsidR="00CE1898" w:rsidRPr="00CE1898">
        <w:rPr>
          <w:rFonts w:ascii="Times New Roman" w:eastAsia="Times New Roman" w:hAnsi="Times New Roman" w:cs="Times New Roman"/>
          <w:sz w:val="24"/>
          <w:szCs w:val="24"/>
        </w:rPr>
        <w:t>a</w:t>
      </w:r>
      <w:r w:rsidRPr="00CE1898">
        <w:rPr>
          <w:rFonts w:ascii="Times New Roman" w:eastAsia="Times New Roman" w:hAnsi="Times New Roman" w:cs="Times New Roman"/>
          <w:sz w:val="24"/>
          <w:szCs w:val="24"/>
        </w:rPr>
        <w:t xml:space="preserve"> hypothesis would be rejected if </w:t>
      </w:r>
      <w:r w:rsidRPr="00CE1898">
        <w:rPr>
          <w:rFonts w:ascii="Times New Roman" w:eastAsia="Times New Roman" w:hAnsi="Times New Roman" w:cs="Times New Roman"/>
          <w:bCs/>
          <w:sz w:val="24"/>
          <w:szCs w:val="24"/>
        </w:rPr>
        <w:t>t &lt; 1.96</w:t>
      </w:r>
      <w:r w:rsidRPr="00CE1898">
        <w:rPr>
          <w:rFonts w:ascii="Times New Roman" w:eastAsia="Times New Roman" w:hAnsi="Times New Roman" w:cs="Times New Roman"/>
          <w:sz w:val="24"/>
          <w:szCs w:val="24"/>
        </w:rPr>
        <w:t xml:space="preserve"> and </w:t>
      </w:r>
      <w:r w:rsidRPr="00CE1898">
        <w:rPr>
          <w:rFonts w:ascii="Times New Roman" w:eastAsia="Times New Roman" w:hAnsi="Times New Roman" w:cs="Times New Roman"/>
          <w:bCs/>
          <w:sz w:val="24"/>
          <w:szCs w:val="24"/>
        </w:rPr>
        <w:t>p &gt; 0.05</w:t>
      </w:r>
      <w:r w:rsidRPr="00CE1898">
        <w:rPr>
          <w:rFonts w:ascii="Times New Roman" w:eastAsia="Times New Roman" w:hAnsi="Times New Roman" w:cs="Times New Roman"/>
          <w:sz w:val="24"/>
          <w:szCs w:val="24"/>
        </w:rPr>
        <w:t xml:space="preserve">. The results </w:t>
      </w:r>
      <w:r w:rsidR="00CE1898">
        <w:rPr>
          <w:rFonts w:ascii="Times New Roman" w:eastAsia="Times New Roman" w:hAnsi="Times New Roman" w:cs="Times New Roman"/>
          <w:sz w:val="24"/>
          <w:szCs w:val="24"/>
        </w:rPr>
        <w:t xml:space="preserve">further, </w:t>
      </w:r>
      <w:r w:rsidRPr="00CE1898">
        <w:rPr>
          <w:rFonts w:ascii="Times New Roman" w:eastAsia="Times New Roman" w:hAnsi="Times New Roman" w:cs="Times New Roman"/>
          <w:sz w:val="24"/>
          <w:szCs w:val="24"/>
        </w:rPr>
        <w:t>demonstrate that all three hypothesised relationships achieved statistical significance, thereby confirming the robustness of the proposed model.</w:t>
      </w:r>
      <w:r w:rsidR="00D70912">
        <w:rPr>
          <w:rFonts w:ascii="Times New Roman" w:eastAsia="Times New Roman" w:hAnsi="Times New Roman" w:cs="Times New Roman"/>
          <w:sz w:val="24"/>
          <w:szCs w:val="24"/>
        </w:rPr>
        <w:t xml:space="preserve"> </w:t>
      </w:r>
      <w:r w:rsidRPr="00CE1898">
        <w:rPr>
          <w:rFonts w:ascii="Times New Roman" w:eastAsia="Times New Roman" w:hAnsi="Times New Roman" w:cs="Times New Roman"/>
          <w:sz w:val="24"/>
          <w:szCs w:val="24"/>
        </w:rPr>
        <w:t xml:space="preserve">The outcomes of the </w:t>
      </w:r>
      <w:r w:rsidRPr="00CE1898">
        <w:rPr>
          <w:rFonts w:ascii="Times New Roman" w:eastAsia="Times New Roman" w:hAnsi="Times New Roman" w:cs="Times New Roman"/>
          <w:bCs/>
          <w:sz w:val="24"/>
          <w:szCs w:val="24"/>
        </w:rPr>
        <w:t>Partial Least Squares (PLS)</w:t>
      </w:r>
      <w:r w:rsidRPr="00CE1898">
        <w:rPr>
          <w:rFonts w:ascii="Times New Roman" w:eastAsia="Times New Roman" w:hAnsi="Times New Roman" w:cs="Times New Roman"/>
          <w:sz w:val="24"/>
          <w:szCs w:val="24"/>
        </w:rPr>
        <w:t xml:space="preserve"> structural model reveal that </w:t>
      </w:r>
      <w:r w:rsidRPr="00CE1898">
        <w:rPr>
          <w:rFonts w:ascii="Times New Roman" w:eastAsia="Times New Roman" w:hAnsi="Times New Roman" w:cs="Times New Roman"/>
          <w:bCs/>
          <w:sz w:val="24"/>
          <w:szCs w:val="24"/>
        </w:rPr>
        <w:t>Flexibility Performance</w:t>
      </w:r>
      <w:r w:rsidRPr="00CE1898">
        <w:rPr>
          <w:rFonts w:ascii="Times New Roman" w:eastAsia="Times New Roman" w:hAnsi="Times New Roman" w:cs="Times New Roman"/>
          <w:sz w:val="24"/>
          <w:szCs w:val="24"/>
        </w:rPr>
        <w:t xml:space="preserve"> is strongly associated with </w:t>
      </w:r>
      <w:r w:rsidRPr="00CE1898">
        <w:rPr>
          <w:rFonts w:ascii="Times New Roman" w:eastAsia="Times New Roman" w:hAnsi="Times New Roman" w:cs="Times New Roman"/>
          <w:bCs/>
          <w:sz w:val="24"/>
          <w:szCs w:val="24"/>
        </w:rPr>
        <w:t>Non</w:t>
      </w:r>
      <w:r w:rsidRPr="00CE1898">
        <w:rPr>
          <w:rFonts w:ascii="Times New Roman" w:eastAsia="Times New Roman" w:hAnsi="Times New Roman" w:cs="Times New Roman"/>
          <w:bCs/>
          <w:sz w:val="24"/>
          <w:szCs w:val="24"/>
        </w:rPr>
        <w:noBreakHyphen/>
        <w:t>Financial Organisational Performance</w:t>
      </w:r>
      <w:r w:rsidRPr="00CE1898">
        <w:rPr>
          <w:rFonts w:ascii="Times New Roman" w:eastAsia="Times New Roman" w:hAnsi="Times New Roman" w:cs="Times New Roman"/>
          <w:sz w:val="24"/>
          <w:szCs w:val="24"/>
        </w:rPr>
        <w:t xml:space="preserve">, as reflected in a path coefficient of </w:t>
      </w:r>
      <w:r w:rsidRPr="00CE1898">
        <w:rPr>
          <w:rFonts w:ascii="Times New Roman" w:eastAsia="Times New Roman" w:hAnsi="Times New Roman" w:cs="Times New Roman"/>
          <w:bCs/>
          <w:sz w:val="24"/>
          <w:szCs w:val="24"/>
        </w:rPr>
        <w:t>0.706</w:t>
      </w:r>
      <w:r w:rsidRPr="00CE1898">
        <w:rPr>
          <w:rFonts w:ascii="Times New Roman" w:eastAsia="Times New Roman" w:hAnsi="Times New Roman" w:cs="Times New Roman"/>
          <w:sz w:val="24"/>
          <w:szCs w:val="24"/>
        </w:rPr>
        <w:t xml:space="preserve"> (t = 19.844, p = 0.000). In addition, </w:t>
      </w:r>
      <w:r w:rsidRPr="00CE1898">
        <w:rPr>
          <w:rFonts w:ascii="Times New Roman" w:eastAsia="Times New Roman" w:hAnsi="Times New Roman" w:cs="Times New Roman"/>
          <w:bCs/>
          <w:sz w:val="24"/>
          <w:szCs w:val="24"/>
        </w:rPr>
        <w:t>Top Management Commitment</w:t>
      </w:r>
      <w:r w:rsidRPr="00CE1898">
        <w:rPr>
          <w:rFonts w:ascii="Times New Roman" w:eastAsia="Times New Roman" w:hAnsi="Times New Roman" w:cs="Times New Roman"/>
          <w:sz w:val="24"/>
          <w:szCs w:val="24"/>
        </w:rPr>
        <w:t xml:space="preserve"> shows a significant association with </w:t>
      </w:r>
      <w:r w:rsidRPr="00CE1898">
        <w:rPr>
          <w:rFonts w:ascii="Times New Roman" w:eastAsia="Times New Roman" w:hAnsi="Times New Roman" w:cs="Times New Roman"/>
          <w:bCs/>
          <w:sz w:val="24"/>
          <w:szCs w:val="24"/>
        </w:rPr>
        <w:t>Flexibility Performance</w:t>
      </w:r>
      <w:r w:rsidRPr="00CE1898">
        <w:rPr>
          <w:rFonts w:ascii="Times New Roman" w:eastAsia="Times New Roman" w:hAnsi="Times New Roman" w:cs="Times New Roman"/>
          <w:sz w:val="24"/>
          <w:szCs w:val="24"/>
        </w:rPr>
        <w:t xml:space="preserve">, with a path coefficient of </w:t>
      </w:r>
      <w:r w:rsidRPr="00CE1898">
        <w:rPr>
          <w:rFonts w:ascii="Times New Roman" w:eastAsia="Times New Roman" w:hAnsi="Times New Roman" w:cs="Times New Roman"/>
          <w:bCs/>
          <w:sz w:val="24"/>
          <w:szCs w:val="24"/>
        </w:rPr>
        <w:t>0.349</w:t>
      </w:r>
      <w:r w:rsidRPr="00CE1898">
        <w:rPr>
          <w:rFonts w:ascii="Times New Roman" w:eastAsia="Times New Roman" w:hAnsi="Times New Roman" w:cs="Times New Roman"/>
          <w:sz w:val="24"/>
          <w:szCs w:val="24"/>
        </w:rPr>
        <w:t xml:space="preserve"> (t = 4.557, p = 0.000). Similarly, </w:t>
      </w:r>
      <w:r w:rsidRPr="00CE1898">
        <w:rPr>
          <w:rFonts w:ascii="Times New Roman" w:eastAsia="Times New Roman" w:hAnsi="Times New Roman" w:cs="Times New Roman"/>
          <w:bCs/>
          <w:sz w:val="24"/>
          <w:szCs w:val="24"/>
        </w:rPr>
        <w:t>Employee Involvement</w:t>
      </w:r>
      <w:r w:rsidRPr="00CE1898">
        <w:rPr>
          <w:rFonts w:ascii="Times New Roman" w:eastAsia="Times New Roman" w:hAnsi="Times New Roman" w:cs="Times New Roman"/>
          <w:sz w:val="24"/>
          <w:szCs w:val="24"/>
        </w:rPr>
        <w:t xml:space="preserve"> demonstrates a meaningful association with </w:t>
      </w:r>
      <w:r w:rsidRPr="00CE1898">
        <w:rPr>
          <w:rFonts w:ascii="Times New Roman" w:eastAsia="Times New Roman" w:hAnsi="Times New Roman" w:cs="Times New Roman"/>
          <w:bCs/>
          <w:sz w:val="24"/>
          <w:szCs w:val="24"/>
        </w:rPr>
        <w:t>Flexibility Performance</w:t>
      </w:r>
      <w:r w:rsidRPr="00CE1898">
        <w:rPr>
          <w:rFonts w:ascii="Times New Roman" w:eastAsia="Times New Roman" w:hAnsi="Times New Roman" w:cs="Times New Roman"/>
          <w:sz w:val="24"/>
          <w:szCs w:val="24"/>
        </w:rPr>
        <w:t xml:space="preserve">, contributing a path coefficient of </w:t>
      </w:r>
      <w:r w:rsidRPr="00CE1898">
        <w:rPr>
          <w:rFonts w:ascii="Times New Roman" w:eastAsia="Times New Roman" w:hAnsi="Times New Roman" w:cs="Times New Roman"/>
          <w:bCs/>
          <w:sz w:val="24"/>
          <w:szCs w:val="24"/>
        </w:rPr>
        <w:t>0.279</w:t>
      </w:r>
      <w:r w:rsidRPr="00CE1898">
        <w:rPr>
          <w:rFonts w:ascii="Times New Roman" w:eastAsia="Times New Roman" w:hAnsi="Times New Roman" w:cs="Times New Roman"/>
          <w:sz w:val="24"/>
          <w:szCs w:val="24"/>
        </w:rPr>
        <w:t xml:space="preserve"> (t = 3.123, p = 0.002).</w:t>
      </w:r>
    </w:p>
    <w:p w:rsidR="00ED3CA7" w:rsidRPr="00CE1898" w:rsidRDefault="00ED3CA7" w:rsidP="00CE1898">
      <w:pPr>
        <w:spacing w:before="100" w:beforeAutospacing="1" w:after="100" w:afterAutospacing="1" w:line="360" w:lineRule="auto"/>
        <w:jc w:val="both"/>
        <w:rPr>
          <w:rFonts w:ascii="Times New Roman" w:eastAsia="Times New Roman" w:hAnsi="Times New Roman" w:cs="Times New Roman"/>
          <w:sz w:val="24"/>
          <w:szCs w:val="24"/>
        </w:rPr>
      </w:pPr>
      <w:r w:rsidRPr="00CE1898">
        <w:rPr>
          <w:rFonts w:ascii="Times New Roman" w:eastAsia="Times New Roman" w:hAnsi="Times New Roman" w:cs="Times New Roman"/>
          <w:sz w:val="24"/>
          <w:szCs w:val="24"/>
        </w:rPr>
        <w:t xml:space="preserve">Taken together, these findings indicate that </w:t>
      </w:r>
      <w:r w:rsidRPr="00CE1898">
        <w:rPr>
          <w:rFonts w:ascii="Times New Roman" w:eastAsia="Times New Roman" w:hAnsi="Times New Roman" w:cs="Times New Roman"/>
          <w:bCs/>
          <w:sz w:val="24"/>
          <w:szCs w:val="24"/>
        </w:rPr>
        <w:t>T</w:t>
      </w:r>
      <w:r w:rsidR="00D70912">
        <w:rPr>
          <w:rFonts w:ascii="Times New Roman" w:eastAsia="Times New Roman" w:hAnsi="Times New Roman" w:cs="Times New Roman"/>
          <w:bCs/>
          <w:sz w:val="24"/>
          <w:szCs w:val="24"/>
        </w:rPr>
        <w:t xml:space="preserve">op </w:t>
      </w:r>
      <w:r w:rsidRPr="00CE1898">
        <w:rPr>
          <w:rFonts w:ascii="Times New Roman" w:eastAsia="Times New Roman" w:hAnsi="Times New Roman" w:cs="Times New Roman"/>
          <w:bCs/>
          <w:sz w:val="24"/>
          <w:szCs w:val="24"/>
        </w:rPr>
        <w:t>M</w:t>
      </w:r>
      <w:r w:rsidR="00D70912">
        <w:rPr>
          <w:rFonts w:ascii="Times New Roman" w:eastAsia="Times New Roman" w:hAnsi="Times New Roman" w:cs="Times New Roman"/>
          <w:bCs/>
          <w:sz w:val="24"/>
          <w:szCs w:val="24"/>
        </w:rPr>
        <w:t xml:space="preserve">anagement </w:t>
      </w:r>
      <w:r w:rsidRPr="00CE1898">
        <w:rPr>
          <w:rFonts w:ascii="Times New Roman" w:eastAsia="Times New Roman" w:hAnsi="Times New Roman" w:cs="Times New Roman"/>
          <w:bCs/>
          <w:sz w:val="24"/>
          <w:szCs w:val="24"/>
        </w:rPr>
        <w:t>C</w:t>
      </w:r>
      <w:r w:rsidR="00D70912">
        <w:rPr>
          <w:rFonts w:ascii="Times New Roman" w:eastAsia="Times New Roman" w:hAnsi="Times New Roman" w:cs="Times New Roman"/>
          <w:bCs/>
          <w:sz w:val="24"/>
          <w:szCs w:val="24"/>
        </w:rPr>
        <w:t>ommitment (TMC)</w:t>
      </w:r>
      <w:r w:rsidRPr="00CE1898">
        <w:rPr>
          <w:rFonts w:ascii="Times New Roman" w:eastAsia="Times New Roman" w:hAnsi="Times New Roman" w:cs="Times New Roman"/>
          <w:bCs/>
          <w:sz w:val="24"/>
          <w:szCs w:val="24"/>
        </w:rPr>
        <w:t>, E</w:t>
      </w:r>
      <w:r w:rsidR="00D70912">
        <w:rPr>
          <w:rFonts w:ascii="Times New Roman" w:eastAsia="Times New Roman" w:hAnsi="Times New Roman" w:cs="Times New Roman"/>
          <w:bCs/>
          <w:sz w:val="24"/>
          <w:szCs w:val="24"/>
        </w:rPr>
        <w:t xml:space="preserve">mployee </w:t>
      </w:r>
      <w:r w:rsidRPr="00CE1898">
        <w:rPr>
          <w:rFonts w:ascii="Times New Roman" w:eastAsia="Times New Roman" w:hAnsi="Times New Roman" w:cs="Times New Roman"/>
          <w:bCs/>
          <w:sz w:val="24"/>
          <w:szCs w:val="24"/>
        </w:rPr>
        <w:t>I</w:t>
      </w:r>
      <w:r w:rsidR="00D70912">
        <w:rPr>
          <w:rFonts w:ascii="Times New Roman" w:eastAsia="Times New Roman" w:hAnsi="Times New Roman" w:cs="Times New Roman"/>
          <w:bCs/>
          <w:sz w:val="24"/>
          <w:szCs w:val="24"/>
        </w:rPr>
        <w:t>nvolvement (EI)</w:t>
      </w:r>
      <w:r w:rsidRPr="00CE1898">
        <w:rPr>
          <w:rFonts w:ascii="Times New Roman" w:eastAsia="Times New Roman" w:hAnsi="Times New Roman" w:cs="Times New Roman"/>
          <w:bCs/>
          <w:sz w:val="24"/>
          <w:szCs w:val="24"/>
        </w:rPr>
        <w:t>, and F</w:t>
      </w:r>
      <w:r w:rsidR="00D70912">
        <w:rPr>
          <w:rFonts w:ascii="Times New Roman" w:eastAsia="Times New Roman" w:hAnsi="Times New Roman" w:cs="Times New Roman"/>
          <w:bCs/>
          <w:sz w:val="24"/>
          <w:szCs w:val="24"/>
        </w:rPr>
        <w:t xml:space="preserve">lexibility </w:t>
      </w:r>
      <w:r w:rsidRPr="00CE1898">
        <w:rPr>
          <w:rFonts w:ascii="Times New Roman" w:eastAsia="Times New Roman" w:hAnsi="Times New Roman" w:cs="Times New Roman"/>
          <w:bCs/>
          <w:sz w:val="24"/>
          <w:szCs w:val="24"/>
        </w:rPr>
        <w:t>P</w:t>
      </w:r>
      <w:r w:rsidR="00D70912">
        <w:rPr>
          <w:rFonts w:ascii="Times New Roman" w:eastAsia="Times New Roman" w:hAnsi="Times New Roman" w:cs="Times New Roman"/>
          <w:bCs/>
          <w:sz w:val="24"/>
          <w:szCs w:val="24"/>
        </w:rPr>
        <w:t>erformance (FP)</w:t>
      </w:r>
      <w:r w:rsidRPr="00CE1898">
        <w:rPr>
          <w:rFonts w:ascii="Times New Roman" w:eastAsia="Times New Roman" w:hAnsi="Times New Roman" w:cs="Times New Roman"/>
          <w:sz w:val="24"/>
          <w:szCs w:val="24"/>
        </w:rPr>
        <w:t xml:space="preserve"> are significantly associated with organisational outcomes. Most notably, </w:t>
      </w:r>
      <w:r w:rsidRPr="00CE1898">
        <w:rPr>
          <w:rFonts w:ascii="Times New Roman" w:eastAsia="Times New Roman" w:hAnsi="Times New Roman" w:cs="Times New Roman"/>
          <w:bCs/>
          <w:sz w:val="24"/>
          <w:szCs w:val="24"/>
        </w:rPr>
        <w:t>Flexibility Performance</w:t>
      </w:r>
      <w:r w:rsidRPr="00CE1898">
        <w:rPr>
          <w:rFonts w:ascii="Times New Roman" w:eastAsia="Times New Roman" w:hAnsi="Times New Roman" w:cs="Times New Roman"/>
          <w:sz w:val="24"/>
          <w:szCs w:val="24"/>
        </w:rPr>
        <w:t xml:space="preserve"> emerges as a critical mediating construct, linking leadership commitment and employee involvement to enhanced </w:t>
      </w:r>
      <w:r w:rsidR="0047350E" w:rsidRPr="00CE1898">
        <w:rPr>
          <w:rFonts w:ascii="Times New Roman" w:eastAsia="Times New Roman" w:hAnsi="Times New Roman" w:cs="Times New Roman"/>
          <w:sz w:val="24"/>
          <w:szCs w:val="24"/>
        </w:rPr>
        <w:t>Non</w:t>
      </w:r>
      <w:r w:rsidR="0047350E" w:rsidRPr="00CE1898">
        <w:rPr>
          <w:rFonts w:ascii="Times New Roman" w:eastAsia="Times New Roman" w:hAnsi="Times New Roman" w:cs="Times New Roman"/>
          <w:sz w:val="24"/>
          <w:szCs w:val="24"/>
        </w:rPr>
        <w:noBreakHyphen/>
        <w:t>Financial Organisational</w:t>
      </w:r>
      <w:r w:rsidRPr="00CE1898">
        <w:rPr>
          <w:rFonts w:ascii="Times New Roman" w:eastAsia="Times New Roman" w:hAnsi="Times New Roman" w:cs="Times New Roman"/>
          <w:sz w:val="24"/>
          <w:szCs w:val="24"/>
        </w:rPr>
        <w:t xml:space="preserve"> </w:t>
      </w:r>
      <w:r w:rsidR="0047350E">
        <w:rPr>
          <w:rFonts w:ascii="Times New Roman" w:eastAsia="Times New Roman" w:hAnsi="Times New Roman" w:cs="Times New Roman"/>
          <w:sz w:val="24"/>
          <w:szCs w:val="24"/>
        </w:rPr>
        <w:t>Performance (NFOP)</w:t>
      </w:r>
      <w:r w:rsidRPr="00CE1898">
        <w:rPr>
          <w:rFonts w:ascii="Times New Roman" w:eastAsia="Times New Roman" w:hAnsi="Times New Roman" w:cs="Times New Roman"/>
          <w:sz w:val="24"/>
          <w:szCs w:val="24"/>
        </w:rPr>
        <w:t>. This underscores the pivotal role of human factors and interpersonal dynamics in advancing organisational performance.</w:t>
      </w:r>
      <w:r w:rsidR="0047350E">
        <w:rPr>
          <w:rFonts w:ascii="Times New Roman" w:eastAsia="Times New Roman" w:hAnsi="Times New Roman" w:cs="Times New Roman"/>
          <w:sz w:val="24"/>
          <w:szCs w:val="24"/>
        </w:rPr>
        <w:t xml:space="preserve"> See Table 4.5</w:t>
      </w:r>
    </w:p>
    <w:p w:rsidR="00ED3CA7" w:rsidRDefault="00ED3CA7" w:rsidP="00CE1898">
      <w:pPr>
        <w:spacing w:before="100" w:beforeAutospacing="1" w:after="0" w:line="240" w:lineRule="auto"/>
        <w:jc w:val="center"/>
        <w:outlineLvl w:val="3"/>
        <w:rPr>
          <w:rFonts w:ascii="Times New Roman" w:eastAsia="Times New Roman" w:hAnsi="Times New Roman" w:cs="Times New Roman"/>
          <w:b/>
          <w:bCs/>
          <w:sz w:val="24"/>
          <w:szCs w:val="24"/>
        </w:rPr>
      </w:pPr>
      <w:r w:rsidRPr="00ED3CA7">
        <w:rPr>
          <w:rFonts w:ascii="Times New Roman" w:eastAsia="Times New Roman" w:hAnsi="Times New Roman" w:cs="Times New Roman"/>
          <w:b/>
          <w:bCs/>
          <w:sz w:val="24"/>
          <w:szCs w:val="24"/>
        </w:rPr>
        <w:t xml:space="preserve">Table </w:t>
      </w:r>
      <w:r w:rsidR="008C3DA3">
        <w:rPr>
          <w:rFonts w:ascii="Times New Roman" w:eastAsia="Times New Roman" w:hAnsi="Times New Roman" w:cs="Times New Roman"/>
          <w:b/>
          <w:bCs/>
          <w:sz w:val="24"/>
          <w:szCs w:val="24"/>
        </w:rPr>
        <w:t>4.5</w:t>
      </w:r>
      <w:r w:rsidRPr="00ED3CA7">
        <w:rPr>
          <w:rFonts w:ascii="Times New Roman" w:eastAsia="Times New Roman" w:hAnsi="Times New Roman" w:cs="Times New Roman"/>
          <w:b/>
          <w:bCs/>
          <w:sz w:val="24"/>
          <w:szCs w:val="24"/>
        </w:rPr>
        <w:t>: Significance Testing Results of Structural Model Path Coefficients</w:t>
      </w:r>
    </w:p>
    <w:tbl>
      <w:tblPr>
        <w:tblStyle w:val="TableGrid"/>
        <w:tblW w:w="0" w:type="auto"/>
        <w:tblLook w:val="04A0" w:firstRow="1" w:lastRow="0" w:firstColumn="1" w:lastColumn="0" w:noHBand="0" w:noVBand="1"/>
      </w:tblPr>
      <w:tblGrid>
        <w:gridCol w:w="1350"/>
        <w:gridCol w:w="1764"/>
        <w:gridCol w:w="2410"/>
        <w:gridCol w:w="1134"/>
        <w:gridCol w:w="1134"/>
        <w:gridCol w:w="1558"/>
      </w:tblGrid>
      <w:tr w:rsidR="00CE1898" w:rsidTr="009C7C5F">
        <w:tc>
          <w:tcPr>
            <w:tcW w:w="1350" w:type="dxa"/>
            <w:shd w:val="clear" w:color="auto" w:fill="FFD966" w:themeFill="accent4" w:themeFillTint="99"/>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sz w:val="24"/>
                <w:szCs w:val="24"/>
              </w:rPr>
              <w:t>Hypothesis</w:t>
            </w:r>
          </w:p>
        </w:tc>
        <w:tc>
          <w:tcPr>
            <w:tcW w:w="1764" w:type="dxa"/>
            <w:shd w:val="clear" w:color="auto" w:fill="FFD966" w:themeFill="accent4" w:themeFillTint="99"/>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sz w:val="24"/>
                <w:szCs w:val="24"/>
              </w:rPr>
              <w:t>Path</w:t>
            </w:r>
          </w:p>
        </w:tc>
        <w:tc>
          <w:tcPr>
            <w:tcW w:w="2410" w:type="dxa"/>
            <w:shd w:val="clear" w:color="auto" w:fill="FFD966" w:themeFill="accent4" w:themeFillTint="99"/>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sz w:val="24"/>
                <w:szCs w:val="24"/>
              </w:rPr>
              <w:t>Path Coefficient</w:t>
            </w:r>
            <w:r w:rsidR="009C7C5F">
              <w:rPr>
                <w:rFonts w:ascii="Times New Roman" w:eastAsia="Times New Roman" w:hAnsi="Times New Roman" w:cs="Times New Roman"/>
                <w:b/>
                <w:bCs/>
                <w:sz w:val="24"/>
                <w:szCs w:val="24"/>
              </w:rPr>
              <w:t xml:space="preserve"> </w:t>
            </w:r>
            <w:r w:rsidR="009C7C5F" w:rsidRPr="00ED3CA7">
              <w:rPr>
                <w:rFonts w:ascii="Times New Roman" w:eastAsia="Times New Roman" w:hAnsi="Times New Roman" w:cs="Times New Roman"/>
                <w:b/>
                <w:bCs/>
                <w:sz w:val="24"/>
                <w:szCs w:val="24"/>
              </w:rPr>
              <w:t>(β)</w:t>
            </w:r>
          </w:p>
        </w:tc>
        <w:tc>
          <w:tcPr>
            <w:tcW w:w="1134" w:type="dxa"/>
            <w:shd w:val="clear" w:color="auto" w:fill="FFD966" w:themeFill="accent4" w:themeFillTint="99"/>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i/>
                <w:iCs/>
                <w:sz w:val="24"/>
                <w:szCs w:val="24"/>
              </w:rPr>
              <w:t>t</w:t>
            </w:r>
            <w:r w:rsidRPr="00B92BE1">
              <w:rPr>
                <w:rFonts w:ascii="Times New Roman" w:eastAsia="Times New Roman" w:hAnsi="Times New Roman" w:cs="Times New Roman"/>
                <w:b/>
                <w:bCs/>
                <w:sz w:val="24"/>
                <w:szCs w:val="24"/>
              </w:rPr>
              <w:t>-value</w:t>
            </w:r>
          </w:p>
        </w:tc>
        <w:tc>
          <w:tcPr>
            <w:tcW w:w="1134" w:type="dxa"/>
            <w:shd w:val="clear" w:color="auto" w:fill="FFD966" w:themeFill="accent4" w:themeFillTint="99"/>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i/>
                <w:iCs/>
                <w:sz w:val="24"/>
                <w:szCs w:val="24"/>
              </w:rPr>
              <w:t>p</w:t>
            </w:r>
            <w:r w:rsidRPr="00B92BE1">
              <w:rPr>
                <w:rFonts w:ascii="Times New Roman" w:eastAsia="Times New Roman" w:hAnsi="Times New Roman" w:cs="Times New Roman"/>
                <w:b/>
                <w:bCs/>
                <w:sz w:val="24"/>
                <w:szCs w:val="24"/>
              </w:rPr>
              <w:t>-value</w:t>
            </w:r>
          </w:p>
        </w:tc>
        <w:tc>
          <w:tcPr>
            <w:tcW w:w="1558" w:type="dxa"/>
            <w:shd w:val="clear" w:color="auto" w:fill="FFD966" w:themeFill="accent4" w:themeFillTint="99"/>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sz w:val="24"/>
                <w:szCs w:val="24"/>
              </w:rPr>
              <w:t>Decision</w:t>
            </w:r>
          </w:p>
        </w:tc>
      </w:tr>
      <w:tr w:rsidR="00CE1898" w:rsidTr="009C7C5F">
        <w:tc>
          <w:tcPr>
            <w:tcW w:w="1350" w:type="dxa"/>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H1</w:t>
            </w:r>
          </w:p>
        </w:tc>
        <w:tc>
          <w:tcPr>
            <w:tcW w:w="1764" w:type="dxa"/>
          </w:tcPr>
          <w:p w:rsidR="00CE1898" w:rsidRDefault="00CE1898" w:rsidP="00CE18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 xml:space="preserve">TMC → </w:t>
            </w:r>
            <w:r>
              <w:rPr>
                <w:rFonts w:ascii="Times New Roman" w:eastAsia="Times New Roman" w:hAnsi="Times New Roman" w:cs="Times New Roman"/>
                <w:sz w:val="24"/>
                <w:szCs w:val="24"/>
              </w:rPr>
              <w:t>F</w:t>
            </w:r>
            <w:r w:rsidRPr="00B92BE1">
              <w:rPr>
                <w:rFonts w:ascii="Times New Roman" w:eastAsia="Times New Roman" w:hAnsi="Times New Roman" w:cs="Times New Roman"/>
                <w:sz w:val="24"/>
                <w:szCs w:val="24"/>
              </w:rPr>
              <w:t>P</w:t>
            </w:r>
          </w:p>
        </w:tc>
        <w:tc>
          <w:tcPr>
            <w:tcW w:w="2410" w:type="dxa"/>
          </w:tcPr>
          <w:p w:rsidR="00CE1898" w:rsidRDefault="009C7C5F" w:rsidP="009C7C5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0.349</w:t>
            </w:r>
          </w:p>
        </w:tc>
        <w:tc>
          <w:tcPr>
            <w:tcW w:w="1134" w:type="dxa"/>
          </w:tcPr>
          <w:p w:rsidR="00CE1898"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4.557</w:t>
            </w:r>
          </w:p>
        </w:tc>
        <w:tc>
          <w:tcPr>
            <w:tcW w:w="1134" w:type="dxa"/>
          </w:tcPr>
          <w:p w:rsidR="00CE1898"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0.000</w:t>
            </w:r>
          </w:p>
        </w:tc>
        <w:tc>
          <w:tcPr>
            <w:tcW w:w="1558" w:type="dxa"/>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Supported</w:t>
            </w:r>
          </w:p>
        </w:tc>
      </w:tr>
      <w:tr w:rsidR="00CE1898" w:rsidTr="009C7C5F">
        <w:tc>
          <w:tcPr>
            <w:tcW w:w="1350" w:type="dxa"/>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H2</w:t>
            </w:r>
          </w:p>
        </w:tc>
        <w:tc>
          <w:tcPr>
            <w:tcW w:w="1764" w:type="dxa"/>
          </w:tcPr>
          <w:p w:rsidR="00CE1898" w:rsidRDefault="00CE1898" w:rsidP="00CE18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 xml:space="preserve">EI → </w:t>
            </w:r>
            <w:r>
              <w:rPr>
                <w:rFonts w:ascii="Times New Roman" w:eastAsia="Times New Roman" w:hAnsi="Times New Roman" w:cs="Times New Roman"/>
                <w:sz w:val="24"/>
                <w:szCs w:val="24"/>
              </w:rPr>
              <w:t>F</w:t>
            </w:r>
            <w:r w:rsidRPr="00B92BE1">
              <w:rPr>
                <w:rFonts w:ascii="Times New Roman" w:eastAsia="Times New Roman" w:hAnsi="Times New Roman" w:cs="Times New Roman"/>
                <w:sz w:val="24"/>
                <w:szCs w:val="24"/>
              </w:rPr>
              <w:t>P</w:t>
            </w:r>
          </w:p>
        </w:tc>
        <w:tc>
          <w:tcPr>
            <w:tcW w:w="2410" w:type="dxa"/>
          </w:tcPr>
          <w:p w:rsidR="00CE1898" w:rsidRDefault="009C7C5F" w:rsidP="009C7C5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0.279</w:t>
            </w:r>
          </w:p>
        </w:tc>
        <w:tc>
          <w:tcPr>
            <w:tcW w:w="1134" w:type="dxa"/>
          </w:tcPr>
          <w:p w:rsidR="00CE1898"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3.123</w:t>
            </w:r>
          </w:p>
        </w:tc>
        <w:tc>
          <w:tcPr>
            <w:tcW w:w="1134" w:type="dxa"/>
          </w:tcPr>
          <w:p w:rsidR="00CE1898"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0.002</w:t>
            </w:r>
          </w:p>
        </w:tc>
        <w:tc>
          <w:tcPr>
            <w:tcW w:w="1558" w:type="dxa"/>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Supported</w:t>
            </w:r>
          </w:p>
        </w:tc>
      </w:tr>
      <w:tr w:rsidR="00CE1898" w:rsidTr="009C7C5F">
        <w:tc>
          <w:tcPr>
            <w:tcW w:w="1350" w:type="dxa"/>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H3</w:t>
            </w:r>
          </w:p>
        </w:tc>
        <w:tc>
          <w:tcPr>
            <w:tcW w:w="1764" w:type="dxa"/>
          </w:tcPr>
          <w:p w:rsidR="00CE1898" w:rsidRPr="00B92BE1" w:rsidRDefault="00CE1898" w:rsidP="00A2608C">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B92BE1">
              <w:rPr>
                <w:rFonts w:ascii="Times New Roman" w:eastAsia="Times New Roman" w:hAnsi="Times New Roman" w:cs="Times New Roman"/>
                <w:sz w:val="24"/>
                <w:szCs w:val="24"/>
              </w:rPr>
              <w:t>P → NFOP</w:t>
            </w:r>
          </w:p>
        </w:tc>
        <w:tc>
          <w:tcPr>
            <w:tcW w:w="2410" w:type="dxa"/>
          </w:tcPr>
          <w:p w:rsidR="00CE1898" w:rsidRDefault="009C7C5F" w:rsidP="009C7C5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0.706</w:t>
            </w:r>
          </w:p>
        </w:tc>
        <w:tc>
          <w:tcPr>
            <w:tcW w:w="1134" w:type="dxa"/>
          </w:tcPr>
          <w:p w:rsidR="00CE1898"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3CA7">
              <w:rPr>
                <w:rFonts w:ascii="Times New Roman" w:eastAsia="Times New Roman" w:hAnsi="Times New Roman" w:cs="Times New Roman"/>
                <w:sz w:val="24"/>
                <w:szCs w:val="24"/>
              </w:rPr>
              <w:t>19.844</w:t>
            </w:r>
          </w:p>
        </w:tc>
        <w:tc>
          <w:tcPr>
            <w:tcW w:w="1134" w:type="dxa"/>
          </w:tcPr>
          <w:p w:rsidR="00CE1898" w:rsidRDefault="00CE1898"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0.000</w:t>
            </w:r>
          </w:p>
        </w:tc>
        <w:tc>
          <w:tcPr>
            <w:tcW w:w="1558" w:type="dxa"/>
          </w:tcPr>
          <w:p w:rsidR="00CE1898" w:rsidRPr="00B92BE1" w:rsidRDefault="00CE1898" w:rsidP="00A2608C">
            <w:pPr>
              <w:spacing w:before="100" w:beforeAutospacing="1" w:after="100" w:afterAutospacing="1" w:line="360" w:lineRule="auto"/>
              <w:jc w:val="both"/>
              <w:outlineLvl w:val="2"/>
              <w:rPr>
                <w:rFonts w:ascii="Times New Roman" w:eastAsia="Times New Roman" w:hAnsi="Times New Roman" w:cs="Times New Roman"/>
                <w:sz w:val="24"/>
                <w:szCs w:val="24"/>
              </w:rPr>
            </w:pPr>
            <w:r w:rsidRPr="00B92BE1">
              <w:rPr>
                <w:rFonts w:ascii="Times New Roman" w:eastAsia="Times New Roman" w:hAnsi="Times New Roman" w:cs="Times New Roman"/>
                <w:sz w:val="24"/>
                <w:szCs w:val="24"/>
              </w:rPr>
              <w:t>Supported</w:t>
            </w:r>
          </w:p>
        </w:tc>
      </w:tr>
    </w:tbl>
    <w:p w:rsidR="00CE1898" w:rsidRPr="00B92BE1" w:rsidRDefault="00CE1898" w:rsidP="00CE1898">
      <w:pPr>
        <w:spacing w:after="100" w:afterAutospacing="1" w:line="360" w:lineRule="auto"/>
        <w:jc w:val="both"/>
        <w:outlineLvl w:val="2"/>
        <w:rPr>
          <w:rFonts w:ascii="Times New Roman" w:eastAsia="Times New Roman" w:hAnsi="Times New Roman" w:cs="Times New Roman"/>
          <w:b/>
          <w:bCs/>
          <w:sz w:val="24"/>
          <w:szCs w:val="24"/>
        </w:rPr>
      </w:pPr>
      <w:r w:rsidRPr="001B437F">
        <w:rPr>
          <w:rFonts w:ascii="Times New Roman" w:eastAsia="SimSun" w:hAnsi="Times New Roman" w:cs="Times New Roman"/>
          <w:b/>
          <w:i/>
          <w:kern w:val="3"/>
          <w:sz w:val="20"/>
          <w:szCs w:val="20"/>
          <w:lang w:val="en-GB"/>
        </w:rPr>
        <w:t>Source: Author, 202</w:t>
      </w:r>
      <w:r>
        <w:rPr>
          <w:rFonts w:ascii="Times New Roman" w:eastAsia="SimSun" w:hAnsi="Times New Roman" w:cs="Times New Roman"/>
          <w:b/>
          <w:i/>
          <w:kern w:val="3"/>
          <w:sz w:val="20"/>
          <w:szCs w:val="20"/>
          <w:lang w:val="en-GB"/>
        </w:rPr>
        <w:t>5</w:t>
      </w:r>
    </w:p>
    <w:p w:rsidR="00ED3CA7" w:rsidRPr="00ED3CA7" w:rsidRDefault="00ED3CA7" w:rsidP="009C7C5F">
      <w:pPr>
        <w:spacing w:before="100" w:beforeAutospacing="1" w:after="100" w:afterAutospacing="1" w:line="360" w:lineRule="auto"/>
        <w:jc w:val="both"/>
        <w:rPr>
          <w:rFonts w:ascii="Times New Roman" w:eastAsia="Times New Roman" w:hAnsi="Times New Roman" w:cs="Times New Roman"/>
          <w:sz w:val="24"/>
          <w:szCs w:val="24"/>
        </w:rPr>
      </w:pPr>
      <w:r w:rsidRPr="00ED3CA7">
        <w:rPr>
          <w:rFonts w:ascii="Times New Roman" w:eastAsia="Times New Roman" w:hAnsi="Times New Roman" w:cs="Times New Roman"/>
          <w:sz w:val="24"/>
          <w:szCs w:val="24"/>
        </w:rPr>
        <w:t xml:space="preserve">The results confirm that all hypothesised paths are statistically significant, thereby validating the proposed structural relationships. Flexibility Performance plays a central mediating role, reinforcing the importance of leadership commitment and employee involvement in achieving </w:t>
      </w:r>
      <w:r w:rsidRPr="00ED3CA7">
        <w:rPr>
          <w:rFonts w:ascii="Times New Roman" w:eastAsia="Times New Roman" w:hAnsi="Times New Roman" w:cs="Times New Roman"/>
          <w:sz w:val="24"/>
          <w:szCs w:val="24"/>
        </w:rPr>
        <w:lastRenderedPageBreak/>
        <w:t>improved non</w:t>
      </w:r>
      <w:r w:rsidRPr="00ED3CA7">
        <w:rPr>
          <w:rFonts w:ascii="Times New Roman" w:eastAsia="Times New Roman" w:hAnsi="Times New Roman" w:cs="Times New Roman"/>
          <w:sz w:val="24"/>
          <w:szCs w:val="24"/>
        </w:rPr>
        <w:noBreakHyphen/>
        <w:t>financial organisational outcomes. This provides strong empirical support for the theoretical framework underpinning the study.</w:t>
      </w:r>
    </w:p>
    <w:p w:rsidR="00447B73" w:rsidRPr="009C7C5F" w:rsidRDefault="00447B73" w:rsidP="009C7C5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C7C5F">
        <w:rPr>
          <w:rFonts w:ascii="Times New Roman" w:eastAsia="Times New Roman" w:hAnsi="Times New Roman" w:cs="Times New Roman"/>
          <w:b/>
          <w:bCs/>
          <w:sz w:val="24"/>
          <w:szCs w:val="24"/>
        </w:rPr>
        <w:t>4.2.4 Predictive Relevance (Q²)</w:t>
      </w:r>
    </w:p>
    <w:p w:rsidR="00447B73" w:rsidRPr="009C7C5F" w:rsidRDefault="00447B73" w:rsidP="009C7C5F">
      <w:pPr>
        <w:spacing w:before="100" w:beforeAutospacing="1" w:after="100" w:afterAutospacing="1" w:line="360" w:lineRule="auto"/>
        <w:jc w:val="both"/>
        <w:rPr>
          <w:rFonts w:ascii="Times New Roman" w:eastAsia="Times New Roman" w:hAnsi="Times New Roman" w:cs="Times New Roman"/>
          <w:sz w:val="24"/>
          <w:szCs w:val="24"/>
        </w:rPr>
      </w:pPr>
      <w:r w:rsidRPr="009C7C5F">
        <w:rPr>
          <w:rFonts w:ascii="Times New Roman" w:eastAsia="Times New Roman" w:hAnsi="Times New Roman" w:cs="Times New Roman"/>
          <w:sz w:val="24"/>
          <w:szCs w:val="24"/>
        </w:rPr>
        <w:t xml:space="preserve">The assessment of </w:t>
      </w:r>
      <w:r w:rsidRPr="009C7C5F">
        <w:rPr>
          <w:rFonts w:ascii="Times New Roman" w:eastAsia="Times New Roman" w:hAnsi="Times New Roman" w:cs="Times New Roman"/>
          <w:bCs/>
          <w:sz w:val="24"/>
          <w:szCs w:val="24"/>
        </w:rPr>
        <w:t>Stone–Geisser’s predictive relevance (Q²)</w:t>
      </w:r>
      <w:r w:rsidRPr="009C7C5F">
        <w:rPr>
          <w:rFonts w:ascii="Times New Roman" w:eastAsia="Times New Roman" w:hAnsi="Times New Roman" w:cs="Times New Roman"/>
          <w:sz w:val="24"/>
          <w:szCs w:val="24"/>
        </w:rPr>
        <w:t xml:space="preserve"> is an important step in evaluating the quality of structural equation models, particularly in reflective measurement models associated with endogenous constructs. The Q² statistic enables researchers to determine the extent to which observed data points for indicators of endogenous constructs can be accurately predicted by the model.</w:t>
      </w:r>
      <w:r w:rsidR="009C7C5F" w:rsidRPr="009C7C5F">
        <w:rPr>
          <w:rFonts w:ascii="Times New Roman" w:eastAsia="Times New Roman" w:hAnsi="Times New Roman" w:cs="Times New Roman"/>
          <w:sz w:val="24"/>
          <w:szCs w:val="24"/>
        </w:rPr>
        <w:t xml:space="preserve"> </w:t>
      </w:r>
      <w:r w:rsidRPr="009C7C5F">
        <w:rPr>
          <w:rFonts w:ascii="Times New Roman" w:eastAsia="Times New Roman" w:hAnsi="Times New Roman" w:cs="Times New Roman"/>
          <w:sz w:val="24"/>
          <w:szCs w:val="24"/>
        </w:rPr>
        <w:t xml:space="preserve">This evaluation was operationalised through the </w:t>
      </w:r>
      <w:r w:rsidRPr="009C7C5F">
        <w:rPr>
          <w:rFonts w:ascii="Times New Roman" w:eastAsia="Times New Roman" w:hAnsi="Times New Roman" w:cs="Times New Roman"/>
          <w:bCs/>
          <w:sz w:val="24"/>
          <w:szCs w:val="24"/>
        </w:rPr>
        <w:t>PLSpredict procedure</w:t>
      </w:r>
      <w:r w:rsidRPr="009C7C5F">
        <w:rPr>
          <w:rFonts w:ascii="Times New Roman" w:eastAsia="Times New Roman" w:hAnsi="Times New Roman" w:cs="Times New Roman"/>
          <w:sz w:val="24"/>
          <w:szCs w:val="24"/>
        </w:rPr>
        <w:t xml:space="preserve"> using 10</w:t>
      </w:r>
      <w:r w:rsidRPr="009C7C5F">
        <w:rPr>
          <w:rFonts w:ascii="Times New Roman" w:eastAsia="Times New Roman" w:hAnsi="Times New Roman" w:cs="Times New Roman"/>
          <w:sz w:val="24"/>
          <w:szCs w:val="24"/>
        </w:rPr>
        <w:noBreakHyphen/>
        <w:t>fold cross</w:t>
      </w:r>
      <w:r w:rsidRPr="009C7C5F">
        <w:rPr>
          <w:rFonts w:ascii="Times New Roman" w:eastAsia="Times New Roman" w:hAnsi="Times New Roman" w:cs="Times New Roman"/>
          <w:sz w:val="24"/>
          <w:szCs w:val="24"/>
        </w:rPr>
        <w:noBreakHyphen/>
        <w:t xml:space="preserve">validation, which systematically omits and predicts portions of the data to compute Q² values. In the present analysis, </w:t>
      </w:r>
      <w:r w:rsidRPr="009C7C5F">
        <w:rPr>
          <w:rFonts w:ascii="Times New Roman" w:eastAsia="Times New Roman" w:hAnsi="Times New Roman" w:cs="Times New Roman"/>
          <w:bCs/>
          <w:sz w:val="24"/>
          <w:szCs w:val="24"/>
        </w:rPr>
        <w:t xml:space="preserve">Flexibility Performance </w:t>
      </w:r>
      <w:r w:rsidRPr="009C7C5F">
        <w:rPr>
          <w:rFonts w:ascii="Times New Roman" w:eastAsia="Times New Roman" w:hAnsi="Times New Roman" w:cs="Times New Roman"/>
          <w:sz w:val="24"/>
          <w:szCs w:val="24"/>
        </w:rPr>
        <w:t xml:space="preserve">and </w:t>
      </w:r>
      <w:r w:rsidRPr="009C7C5F">
        <w:rPr>
          <w:rFonts w:ascii="Times New Roman" w:eastAsia="Times New Roman" w:hAnsi="Times New Roman" w:cs="Times New Roman"/>
          <w:bCs/>
          <w:sz w:val="24"/>
          <w:szCs w:val="24"/>
        </w:rPr>
        <w:t>Non</w:t>
      </w:r>
      <w:r w:rsidRPr="009C7C5F">
        <w:rPr>
          <w:rFonts w:ascii="Times New Roman" w:eastAsia="Times New Roman" w:hAnsi="Times New Roman" w:cs="Times New Roman"/>
          <w:bCs/>
          <w:sz w:val="24"/>
          <w:szCs w:val="24"/>
        </w:rPr>
        <w:noBreakHyphen/>
        <w:t xml:space="preserve">Financial Organisational Performance </w:t>
      </w:r>
      <w:r w:rsidR="00270F1F">
        <w:rPr>
          <w:rFonts w:ascii="Times New Roman" w:eastAsia="Times New Roman" w:hAnsi="Times New Roman" w:cs="Times New Roman"/>
          <w:sz w:val="24"/>
          <w:szCs w:val="24"/>
        </w:rPr>
        <w:t>are</w:t>
      </w:r>
      <w:r w:rsidRPr="009C7C5F">
        <w:rPr>
          <w:rFonts w:ascii="Times New Roman" w:eastAsia="Times New Roman" w:hAnsi="Times New Roman" w:cs="Times New Roman"/>
          <w:sz w:val="24"/>
          <w:szCs w:val="24"/>
        </w:rPr>
        <w:t xml:space="preserve"> identified as the two endogenous constructs within the research model.</w:t>
      </w:r>
      <w:r w:rsidR="009C7C5F" w:rsidRPr="009C7C5F">
        <w:rPr>
          <w:rFonts w:ascii="Times New Roman" w:eastAsia="Times New Roman" w:hAnsi="Times New Roman" w:cs="Times New Roman"/>
          <w:sz w:val="24"/>
          <w:szCs w:val="24"/>
        </w:rPr>
        <w:t xml:space="preserve"> </w:t>
      </w:r>
      <w:r w:rsidRPr="009C7C5F">
        <w:rPr>
          <w:rFonts w:ascii="Times New Roman" w:eastAsia="Times New Roman" w:hAnsi="Times New Roman" w:cs="Times New Roman"/>
          <w:sz w:val="24"/>
          <w:szCs w:val="24"/>
        </w:rPr>
        <w:t xml:space="preserve">The summary of results, presented in </w:t>
      </w:r>
      <w:r w:rsidRPr="009C7C5F">
        <w:rPr>
          <w:rFonts w:ascii="Times New Roman" w:eastAsia="Times New Roman" w:hAnsi="Times New Roman" w:cs="Times New Roman"/>
          <w:bCs/>
          <w:sz w:val="24"/>
          <w:szCs w:val="24"/>
        </w:rPr>
        <w:t xml:space="preserve">Table </w:t>
      </w:r>
      <w:r w:rsidR="009C7C5F">
        <w:rPr>
          <w:rFonts w:ascii="Times New Roman" w:eastAsia="Times New Roman" w:hAnsi="Times New Roman" w:cs="Times New Roman"/>
          <w:bCs/>
          <w:sz w:val="24"/>
          <w:szCs w:val="24"/>
        </w:rPr>
        <w:t>4.</w:t>
      </w:r>
      <w:r w:rsidR="00D70912">
        <w:rPr>
          <w:rFonts w:ascii="Times New Roman" w:eastAsia="Times New Roman" w:hAnsi="Times New Roman" w:cs="Times New Roman"/>
          <w:bCs/>
          <w:sz w:val="24"/>
          <w:szCs w:val="24"/>
        </w:rPr>
        <w:t>6</w:t>
      </w:r>
      <w:r w:rsidRPr="009C7C5F">
        <w:rPr>
          <w:rFonts w:ascii="Times New Roman" w:eastAsia="Times New Roman" w:hAnsi="Times New Roman" w:cs="Times New Roman"/>
          <w:sz w:val="24"/>
          <w:szCs w:val="24"/>
        </w:rPr>
        <w:t>, indicates that the model demonstrates fair predictive relevance for both constructs. Consistent with Chin (1998), a Q² value greater than zero signifies satisfactory predictive relevance. The findings therefore lend support to the adequacy of the proposed model in predicting the endogenous variables under investigation.</w:t>
      </w:r>
    </w:p>
    <w:p w:rsidR="009C7C5F" w:rsidRDefault="009C7C5F" w:rsidP="009C7C5F">
      <w:pPr>
        <w:spacing w:after="0" w:line="360" w:lineRule="auto"/>
        <w:jc w:val="center"/>
        <w:outlineLvl w:val="2"/>
        <w:rPr>
          <w:rFonts w:ascii="Times New Roman" w:eastAsia="Times New Roman" w:hAnsi="Times New Roman" w:cs="Times New Roman"/>
          <w:b/>
          <w:bCs/>
          <w:sz w:val="24"/>
          <w:szCs w:val="24"/>
        </w:rPr>
      </w:pPr>
      <w:r w:rsidRPr="00363756">
        <w:rPr>
          <w:rFonts w:ascii="Times New Roman" w:eastAsia="Times New Roman" w:hAnsi="Times New Roman" w:cs="Times New Roman"/>
          <w:b/>
          <w:bCs/>
          <w:sz w:val="24"/>
          <w:szCs w:val="24"/>
        </w:rPr>
        <w:t>Table 4.</w:t>
      </w:r>
      <w:r w:rsidR="008C3DA3">
        <w:rPr>
          <w:rFonts w:ascii="Times New Roman" w:eastAsia="Times New Roman" w:hAnsi="Times New Roman" w:cs="Times New Roman"/>
          <w:b/>
          <w:bCs/>
          <w:sz w:val="24"/>
          <w:szCs w:val="24"/>
        </w:rPr>
        <w:t>6</w:t>
      </w:r>
      <w:r w:rsidRPr="00363756">
        <w:rPr>
          <w:rFonts w:ascii="Times New Roman" w:eastAsia="Times New Roman" w:hAnsi="Times New Roman" w:cs="Times New Roman"/>
          <w:b/>
          <w:bCs/>
          <w:sz w:val="24"/>
          <w:szCs w:val="24"/>
        </w:rPr>
        <w:t>: Predictive Relevance (Q² Values)</w:t>
      </w:r>
    </w:p>
    <w:tbl>
      <w:tblPr>
        <w:tblStyle w:val="TableGrid"/>
        <w:tblW w:w="0" w:type="auto"/>
        <w:tblLook w:val="04A0" w:firstRow="1" w:lastRow="0" w:firstColumn="1" w:lastColumn="0" w:noHBand="0" w:noVBand="1"/>
      </w:tblPr>
      <w:tblGrid>
        <w:gridCol w:w="4390"/>
        <w:gridCol w:w="1275"/>
        <w:gridCol w:w="3685"/>
      </w:tblGrid>
      <w:tr w:rsidR="009C7C5F" w:rsidTr="00A2608C">
        <w:tc>
          <w:tcPr>
            <w:tcW w:w="4390" w:type="dxa"/>
            <w:shd w:val="clear" w:color="auto" w:fill="FFD966" w:themeFill="accent4" w:themeFillTint="99"/>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3756">
              <w:rPr>
                <w:rFonts w:ascii="Times New Roman" w:eastAsia="Times New Roman" w:hAnsi="Times New Roman" w:cs="Times New Roman"/>
                <w:b/>
                <w:bCs/>
                <w:sz w:val="24"/>
                <w:szCs w:val="24"/>
              </w:rPr>
              <w:t>Endogenous Construct</w:t>
            </w:r>
          </w:p>
        </w:tc>
        <w:tc>
          <w:tcPr>
            <w:tcW w:w="1275" w:type="dxa"/>
            <w:shd w:val="clear" w:color="auto" w:fill="FFD966" w:themeFill="accent4" w:themeFillTint="99"/>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3756">
              <w:rPr>
                <w:rFonts w:ascii="Times New Roman" w:eastAsia="Times New Roman" w:hAnsi="Times New Roman" w:cs="Times New Roman"/>
                <w:b/>
                <w:bCs/>
                <w:sz w:val="24"/>
                <w:szCs w:val="24"/>
              </w:rPr>
              <w:t>Q² Value</w:t>
            </w:r>
          </w:p>
        </w:tc>
        <w:tc>
          <w:tcPr>
            <w:tcW w:w="3685" w:type="dxa"/>
            <w:shd w:val="clear" w:color="auto" w:fill="FFD966" w:themeFill="accent4" w:themeFillTint="99"/>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sz w:val="24"/>
                <w:szCs w:val="24"/>
              </w:rPr>
              <w:t xml:space="preserve">Interpretation </w:t>
            </w:r>
            <w:r w:rsidRPr="00363756">
              <w:rPr>
                <w:rFonts w:ascii="Times New Roman" w:eastAsia="Times New Roman" w:hAnsi="Times New Roman" w:cs="Times New Roman"/>
                <w:b/>
                <w:bCs/>
                <w:sz w:val="24"/>
                <w:szCs w:val="24"/>
              </w:rPr>
              <w:t>(Chin, 1998)</w:t>
            </w:r>
          </w:p>
        </w:tc>
      </w:tr>
      <w:tr w:rsidR="009C7C5F" w:rsidTr="00A2608C">
        <w:tc>
          <w:tcPr>
            <w:tcW w:w="4390" w:type="dxa"/>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Flexibility</w:t>
            </w:r>
            <w:r w:rsidRPr="00B92BE1">
              <w:rPr>
                <w:rFonts w:ascii="Times New Roman" w:eastAsia="Times New Roman" w:hAnsi="Times New Roman" w:cs="Times New Roman"/>
                <w:sz w:val="24"/>
                <w:szCs w:val="24"/>
              </w:rPr>
              <w:t xml:space="preserve"> Performance</w:t>
            </w:r>
          </w:p>
        </w:tc>
        <w:tc>
          <w:tcPr>
            <w:tcW w:w="1275" w:type="dxa"/>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B73">
              <w:rPr>
                <w:rFonts w:ascii="Times New Roman" w:eastAsia="Times New Roman" w:hAnsi="Times New Roman" w:cs="Times New Roman"/>
                <w:sz w:val="24"/>
                <w:szCs w:val="24"/>
              </w:rPr>
              <w:t>0.286</w:t>
            </w:r>
          </w:p>
        </w:tc>
        <w:tc>
          <w:tcPr>
            <w:tcW w:w="3685" w:type="dxa"/>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3756">
              <w:rPr>
                <w:rFonts w:ascii="Times New Roman" w:eastAsia="Times New Roman" w:hAnsi="Times New Roman" w:cs="Times New Roman"/>
                <w:sz w:val="24"/>
                <w:szCs w:val="24"/>
              </w:rPr>
              <w:t>&gt; 0, indicates satisfactory relevance</w:t>
            </w:r>
          </w:p>
        </w:tc>
      </w:tr>
      <w:tr w:rsidR="009C7C5F" w:rsidTr="00A2608C">
        <w:tc>
          <w:tcPr>
            <w:tcW w:w="4390" w:type="dxa"/>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sz w:val="24"/>
                <w:szCs w:val="24"/>
              </w:rPr>
              <w:t>Non</w:t>
            </w:r>
            <w:r w:rsidRPr="00B92BE1">
              <w:rPr>
                <w:rFonts w:ascii="Times New Roman" w:eastAsia="Times New Roman" w:hAnsi="Times New Roman" w:cs="Times New Roman"/>
                <w:sz w:val="24"/>
                <w:szCs w:val="24"/>
              </w:rPr>
              <w:noBreakHyphen/>
              <w:t>Financial Organisational Performance</w:t>
            </w:r>
          </w:p>
        </w:tc>
        <w:tc>
          <w:tcPr>
            <w:tcW w:w="1275" w:type="dxa"/>
          </w:tcPr>
          <w:p w:rsidR="009C7C5F" w:rsidRP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B73">
              <w:rPr>
                <w:rFonts w:ascii="Times New Roman" w:eastAsia="Times New Roman" w:hAnsi="Times New Roman" w:cs="Times New Roman"/>
                <w:sz w:val="24"/>
                <w:szCs w:val="24"/>
              </w:rPr>
              <w:t>0.253</w:t>
            </w:r>
          </w:p>
        </w:tc>
        <w:tc>
          <w:tcPr>
            <w:tcW w:w="3685" w:type="dxa"/>
          </w:tcPr>
          <w:p w:rsidR="009C7C5F" w:rsidRDefault="009C7C5F"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3756">
              <w:rPr>
                <w:rFonts w:ascii="Times New Roman" w:eastAsia="Times New Roman" w:hAnsi="Times New Roman" w:cs="Times New Roman"/>
                <w:sz w:val="24"/>
                <w:szCs w:val="24"/>
              </w:rPr>
              <w:t>&gt; 0, indicates satisfactory relevance</w:t>
            </w:r>
          </w:p>
        </w:tc>
      </w:tr>
    </w:tbl>
    <w:p w:rsidR="009C7C5F" w:rsidRDefault="009C7C5F" w:rsidP="009C7C5F">
      <w:pPr>
        <w:spacing w:after="100" w:afterAutospacing="1" w:line="360" w:lineRule="auto"/>
        <w:jc w:val="both"/>
        <w:outlineLvl w:val="2"/>
        <w:rPr>
          <w:rFonts w:ascii="Times New Roman" w:eastAsia="Times New Roman" w:hAnsi="Times New Roman" w:cs="Times New Roman"/>
          <w:b/>
          <w:bCs/>
          <w:sz w:val="24"/>
          <w:szCs w:val="24"/>
        </w:rPr>
      </w:pPr>
      <w:r w:rsidRPr="001B437F">
        <w:rPr>
          <w:rFonts w:ascii="Times New Roman" w:eastAsia="SimSun" w:hAnsi="Times New Roman" w:cs="Times New Roman"/>
          <w:b/>
          <w:i/>
          <w:kern w:val="3"/>
          <w:sz w:val="20"/>
          <w:szCs w:val="20"/>
          <w:lang w:val="en-GB"/>
        </w:rPr>
        <w:t>Source: Author, 202</w:t>
      </w:r>
      <w:r>
        <w:rPr>
          <w:rFonts w:ascii="Times New Roman" w:eastAsia="SimSun" w:hAnsi="Times New Roman" w:cs="Times New Roman"/>
          <w:b/>
          <w:i/>
          <w:kern w:val="3"/>
          <w:sz w:val="20"/>
          <w:szCs w:val="20"/>
          <w:lang w:val="en-GB"/>
        </w:rPr>
        <w:t>5</w:t>
      </w:r>
    </w:p>
    <w:p w:rsidR="00447B73" w:rsidRPr="009C7C5F" w:rsidRDefault="00447B73" w:rsidP="009C7C5F">
      <w:pPr>
        <w:spacing w:after="100" w:afterAutospacing="1" w:line="360" w:lineRule="auto"/>
        <w:jc w:val="both"/>
        <w:outlineLvl w:val="2"/>
        <w:rPr>
          <w:rFonts w:ascii="Times New Roman" w:eastAsia="Times New Roman" w:hAnsi="Times New Roman" w:cs="Times New Roman"/>
          <w:b/>
          <w:bCs/>
          <w:sz w:val="24"/>
          <w:szCs w:val="24"/>
        </w:rPr>
      </w:pPr>
      <w:r w:rsidRPr="00447B73">
        <w:rPr>
          <w:rFonts w:ascii="Times New Roman" w:eastAsia="Times New Roman" w:hAnsi="Times New Roman" w:cs="Times New Roman"/>
          <w:sz w:val="24"/>
          <w:szCs w:val="24"/>
        </w:rPr>
        <w:t>Both Flexibility Performance and Non</w:t>
      </w:r>
      <w:r w:rsidRPr="00447B73">
        <w:rPr>
          <w:rFonts w:ascii="Times New Roman" w:eastAsia="Times New Roman" w:hAnsi="Times New Roman" w:cs="Times New Roman"/>
          <w:sz w:val="24"/>
          <w:szCs w:val="24"/>
        </w:rPr>
        <w:noBreakHyphen/>
        <w:t>Financial Organisational Performance exhibit Q² values above zero, confirming that the model possesses satisfactory predictive relevance. This reinforces confidence in the model’s ability to predict variance in the endogenous constructs and supports its suitability for subsequent hypothesis testing.</w:t>
      </w:r>
    </w:p>
    <w:p w:rsidR="006A696E" w:rsidRPr="00A33EB4" w:rsidRDefault="006A696E" w:rsidP="006A696E">
      <w:pPr>
        <w:autoSpaceDN w:val="0"/>
        <w:spacing w:after="0" w:line="360" w:lineRule="auto"/>
        <w:rPr>
          <w:rFonts w:ascii="Times New Roman" w:hAnsi="Times New Roman" w:cs="Times New Roman"/>
          <w:b/>
          <w:i/>
          <w:sz w:val="24"/>
          <w:szCs w:val="24"/>
        </w:rPr>
      </w:pPr>
    </w:p>
    <w:p w:rsidR="00EA379A" w:rsidRDefault="00EA379A" w:rsidP="00447B73">
      <w:pPr>
        <w:spacing w:before="100" w:beforeAutospacing="1" w:after="100" w:afterAutospacing="1" w:line="240" w:lineRule="auto"/>
        <w:outlineLvl w:val="2"/>
        <w:rPr>
          <w:rFonts w:ascii="Times New Roman" w:eastAsia="Times New Roman" w:hAnsi="Times New Roman" w:cs="Times New Roman"/>
          <w:b/>
          <w:bCs/>
          <w:sz w:val="27"/>
          <w:szCs w:val="27"/>
        </w:rPr>
      </w:pPr>
    </w:p>
    <w:p w:rsidR="00EA379A" w:rsidRDefault="00EA379A" w:rsidP="00447B73">
      <w:pPr>
        <w:spacing w:before="100" w:beforeAutospacing="1" w:after="100" w:afterAutospacing="1" w:line="240" w:lineRule="auto"/>
        <w:outlineLvl w:val="2"/>
        <w:rPr>
          <w:rFonts w:ascii="Times New Roman" w:eastAsia="Times New Roman" w:hAnsi="Times New Roman" w:cs="Times New Roman"/>
          <w:b/>
          <w:bCs/>
          <w:sz w:val="27"/>
          <w:szCs w:val="27"/>
        </w:rPr>
      </w:pPr>
    </w:p>
    <w:p w:rsidR="00447B73" w:rsidRPr="00EA379A" w:rsidRDefault="00447B73" w:rsidP="00EA379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379A">
        <w:rPr>
          <w:rFonts w:ascii="Times New Roman" w:eastAsia="Times New Roman" w:hAnsi="Times New Roman" w:cs="Times New Roman"/>
          <w:b/>
          <w:bCs/>
          <w:sz w:val="24"/>
          <w:szCs w:val="24"/>
        </w:rPr>
        <w:lastRenderedPageBreak/>
        <w:t>4.2.5 The f² Effect Size</w:t>
      </w:r>
    </w:p>
    <w:p w:rsidR="00447B73" w:rsidRPr="00EA379A" w:rsidRDefault="00447B73" w:rsidP="00EA379A">
      <w:pPr>
        <w:spacing w:before="100" w:beforeAutospacing="1" w:after="100" w:afterAutospacing="1" w:line="360" w:lineRule="auto"/>
        <w:jc w:val="both"/>
        <w:rPr>
          <w:rFonts w:ascii="Times New Roman" w:eastAsia="Times New Roman" w:hAnsi="Times New Roman" w:cs="Times New Roman"/>
          <w:sz w:val="24"/>
          <w:szCs w:val="24"/>
        </w:rPr>
      </w:pPr>
      <w:r w:rsidRPr="00EA379A">
        <w:rPr>
          <w:rFonts w:ascii="Times New Roman" w:eastAsia="Times New Roman" w:hAnsi="Times New Roman" w:cs="Times New Roman"/>
          <w:sz w:val="24"/>
          <w:szCs w:val="24"/>
        </w:rPr>
        <w:t xml:space="preserve">The final stage of structural model evaluation involves assessing the </w:t>
      </w:r>
      <w:r w:rsidRPr="00EA379A">
        <w:rPr>
          <w:rFonts w:ascii="Times New Roman" w:eastAsia="Times New Roman" w:hAnsi="Times New Roman" w:cs="Times New Roman"/>
          <w:bCs/>
          <w:sz w:val="24"/>
          <w:szCs w:val="24"/>
        </w:rPr>
        <w:t>effect size (f²)</w:t>
      </w:r>
      <w:r w:rsidRPr="00EA379A">
        <w:rPr>
          <w:rFonts w:ascii="Times New Roman" w:eastAsia="Times New Roman" w:hAnsi="Times New Roman" w:cs="Times New Roman"/>
          <w:sz w:val="24"/>
          <w:szCs w:val="24"/>
        </w:rPr>
        <w:t>, which quantifies the contribution of a specific exogenous construct to an endogenous construct when the exogenous construct is omitted from the model. This statistic provides insight into the relative importance of each predictor variable.</w:t>
      </w:r>
      <w:r w:rsidR="00EA379A">
        <w:rPr>
          <w:rFonts w:ascii="Times New Roman" w:eastAsia="Times New Roman" w:hAnsi="Times New Roman" w:cs="Times New Roman"/>
          <w:sz w:val="24"/>
          <w:szCs w:val="24"/>
        </w:rPr>
        <w:t xml:space="preserve"> </w:t>
      </w:r>
      <w:r w:rsidRPr="00EA379A">
        <w:rPr>
          <w:rFonts w:ascii="Times New Roman" w:eastAsia="Times New Roman" w:hAnsi="Times New Roman" w:cs="Times New Roman"/>
          <w:sz w:val="24"/>
          <w:szCs w:val="24"/>
        </w:rPr>
        <w:t xml:space="preserve">According to Cohen’s (1988) guidelines, f² values of </w:t>
      </w:r>
      <w:r w:rsidRPr="00EA379A">
        <w:rPr>
          <w:rFonts w:ascii="Times New Roman" w:eastAsia="Times New Roman" w:hAnsi="Times New Roman" w:cs="Times New Roman"/>
          <w:bCs/>
          <w:sz w:val="24"/>
          <w:szCs w:val="24"/>
        </w:rPr>
        <w:t>0.02</w:t>
      </w:r>
      <w:r w:rsidRPr="00EA379A">
        <w:rPr>
          <w:rFonts w:ascii="Times New Roman" w:eastAsia="Times New Roman" w:hAnsi="Times New Roman" w:cs="Times New Roman"/>
          <w:sz w:val="24"/>
          <w:szCs w:val="24"/>
        </w:rPr>
        <w:t xml:space="preserve">, </w:t>
      </w:r>
      <w:r w:rsidRPr="00EA379A">
        <w:rPr>
          <w:rFonts w:ascii="Times New Roman" w:eastAsia="Times New Roman" w:hAnsi="Times New Roman" w:cs="Times New Roman"/>
          <w:bCs/>
          <w:sz w:val="24"/>
          <w:szCs w:val="24"/>
        </w:rPr>
        <w:t>0.15</w:t>
      </w:r>
      <w:r w:rsidRPr="00EA379A">
        <w:rPr>
          <w:rFonts w:ascii="Times New Roman" w:eastAsia="Times New Roman" w:hAnsi="Times New Roman" w:cs="Times New Roman"/>
          <w:sz w:val="24"/>
          <w:szCs w:val="24"/>
        </w:rPr>
        <w:t xml:space="preserve">, and </w:t>
      </w:r>
      <w:r w:rsidRPr="00EA379A">
        <w:rPr>
          <w:rFonts w:ascii="Times New Roman" w:eastAsia="Times New Roman" w:hAnsi="Times New Roman" w:cs="Times New Roman"/>
          <w:bCs/>
          <w:sz w:val="24"/>
          <w:szCs w:val="24"/>
        </w:rPr>
        <w:t>0.35</w:t>
      </w:r>
      <w:r w:rsidRPr="00EA379A">
        <w:rPr>
          <w:rFonts w:ascii="Times New Roman" w:eastAsia="Times New Roman" w:hAnsi="Times New Roman" w:cs="Times New Roman"/>
          <w:sz w:val="24"/>
          <w:szCs w:val="24"/>
        </w:rPr>
        <w:t xml:space="preserve"> are interpreted as small, medium, and large effect sizes, respectively. In line with these thresholds, the results of this study indicate that the exogenous variables exert substanti</w:t>
      </w:r>
      <w:r w:rsidR="00EA379A">
        <w:rPr>
          <w:rFonts w:ascii="Times New Roman" w:eastAsia="Times New Roman" w:hAnsi="Times New Roman" w:cs="Times New Roman"/>
          <w:sz w:val="24"/>
          <w:szCs w:val="24"/>
        </w:rPr>
        <w:t xml:space="preserve">al effects </w:t>
      </w:r>
      <w:r w:rsidRPr="00EA379A">
        <w:rPr>
          <w:rFonts w:ascii="Times New Roman" w:eastAsia="Times New Roman" w:hAnsi="Times New Roman" w:cs="Times New Roman"/>
          <w:sz w:val="24"/>
          <w:szCs w:val="24"/>
        </w:rPr>
        <w:t>indeed greater than t</w:t>
      </w:r>
      <w:r w:rsidR="00EA379A">
        <w:rPr>
          <w:rFonts w:ascii="Times New Roman" w:eastAsia="Times New Roman" w:hAnsi="Times New Roman" w:cs="Times New Roman"/>
          <w:sz w:val="24"/>
          <w:szCs w:val="24"/>
        </w:rPr>
        <w:t xml:space="preserve">he benchmark for a large effect </w:t>
      </w:r>
      <w:r w:rsidRPr="00EA379A">
        <w:rPr>
          <w:rFonts w:ascii="Times New Roman" w:eastAsia="Times New Roman" w:hAnsi="Times New Roman" w:cs="Times New Roman"/>
          <w:sz w:val="24"/>
          <w:szCs w:val="24"/>
        </w:rPr>
        <w:t xml:space="preserve">on </w:t>
      </w:r>
      <w:r w:rsidRPr="00EA379A">
        <w:rPr>
          <w:rFonts w:ascii="Times New Roman" w:eastAsia="Times New Roman" w:hAnsi="Times New Roman" w:cs="Times New Roman"/>
          <w:bCs/>
          <w:sz w:val="24"/>
          <w:szCs w:val="24"/>
        </w:rPr>
        <w:t>Flexibility Performance</w:t>
      </w:r>
      <w:r w:rsidRPr="00EA379A">
        <w:rPr>
          <w:rFonts w:ascii="Times New Roman" w:eastAsia="Times New Roman" w:hAnsi="Times New Roman" w:cs="Times New Roman"/>
          <w:sz w:val="24"/>
          <w:szCs w:val="24"/>
        </w:rPr>
        <w:t xml:space="preserve">. The detailed statistics, presented in </w:t>
      </w:r>
      <w:r w:rsidRPr="00EA379A">
        <w:rPr>
          <w:rFonts w:ascii="Times New Roman" w:eastAsia="Times New Roman" w:hAnsi="Times New Roman" w:cs="Times New Roman"/>
          <w:bCs/>
          <w:sz w:val="24"/>
          <w:szCs w:val="24"/>
        </w:rPr>
        <w:t xml:space="preserve">Table </w:t>
      </w:r>
      <w:r w:rsidR="00EA379A">
        <w:rPr>
          <w:rFonts w:ascii="Times New Roman" w:eastAsia="Times New Roman" w:hAnsi="Times New Roman" w:cs="Times New Roman"/>
          <w:bCs/>
          <w:sz w:val="24"/>
          <w:szCs w:val="24"/>
        </w:rPr>
        <w:t>4.9</w:t>
      </w:r>
      <w:r w:rsidRPr="00EA379A">
        <w:rPr>
          <w:rFonts w:ascii="Times New Roman" w:eastAsia="Times New Roman" w:hAnsi="Times New Roman" w:cs="Times New Roman"/>
          <w:sz w:val="24"/>
          <w:szCs w:val="24"/>
        </w:rPr>
        <w:t>, corroborate this considerable impact and reinforce the central role of Flexibility Performance within the model.</w:t>
      </w:r>
    </w:p>
    <w:p w:rsidR="00EA379A" w:rsidRDefault="00EA379A" w:rsidP="00EA379A">
      <w:pPr>
        <w:spacing w:before="100" w:beforeAutospacing="1" w:after="0" w:line="360" w:lineRule="auto"/>
        <w:jc w:val="center"/>
        <w:outlineLvl w:val="2"/>
        <w:rPr>
          <w:rFonts w:ascii="Times New Roman" w:eastAsia="Times New Roman" w:hAnsi="Times New Roman" w:cs="Times New Roman"/>
          <w:b/>
          <w:bCs/>
          <w:sz w:val="24"/>
          <w:szCs w:val="24"/>
        </w:rPr>
      </w:pPr>
      <w:r w:rsidRPr="002011EF">
        <w:rPr>
          <w:rFonts w:ascii="Times New Roman" w:eastAsia="Times New Roman" w:hAnsi="Times New Roman" w:cs="Times New Roman"/>
          <w:b/>
          <w:bCs/>
          <w:sz w:val="24"/>
          <w:szCs w:val="24"/>
        </w:rPr>
        <w:t>Table 4.</w:t>
      </w:r>
      <w:r w:rsidR="00036164">
        <w:rPr>
          <w:rFonts w:ascii="Times New Roman" w:eastAsia="Times New Roman" w:hAnsi="Times New Roman" w:cs="Times New Roman"/>
          <w:b/>
          <w:bCs/>
          <w:sz w:val="24"/>
          <w:szCs w:val="24"/>
        </w:rPr>
        <w:t>7</w:t>
      </w:r>
      <w:r w:rsidRPr="002011EF">
        <w:rPr>
          <w:rFonts w:ascii="Times New Roman" w:eastAsia="Times New Roman" w:hAnsi="Times New Roman" w:cs="Times New Roman"/>
          <w:b/>
          <w:bCs/>
          <w:sz w:val="24"/>
          <w:szCs w:val="24"/>
        </w:rPr>
        <w:t>: Effect Size (f²) Statistics</w:t>
      </w:r>
    </w:p>
    <w:tbl>
      <w:tblPr>
        <w:tblStyle w:val="TableGrid"/>
        <w:tblW w:w="0" w:type="auto"/>
        <w:tblLook w:val="04A0" w:firstRow="1" w:lastRow="0" w:firstColumn="1" w:lastColumn="0" w:noHBand="0" w:noVBand="1"/>
      </w:tblPr>
      <w:tblGrid>
        <w:gridCol w:w="4106"/>
        <w:gridCol w:w="1134"/>
        <w:gridCol w:w="4110"/>
      </w:tblGrid>
      <w:tr w:rsidR="00EA379A" w:rsidTr="00EA379A">
        <w:tc>
          <w:tcPr>
            <w:tcW w:w="4106" w:type="dxa"/>
            <w:shd w:val="clear" w:color="auto" w:fill="FFD966" w:themeFill="accent4" w:themeFillTint="99"/>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47352">
              <w:rPr>
                <w:rFonts w:ascii="Times New Roman" w:eastAsia="Times New Roman" w:hAnsi="Times New Roman" w:cs="Times New Roman"/>
                <w:b/>
                <w:bCs/>
                <w:sz w:val="24"/>
                <w:szCs w:val="24"/>
              </w:rPr>
              <w:t>Exogenous</w:t>
            </w:r>
            <w:r w:rsidRPr="00363756">
              <w:rPr>
                <w:rFonts w:ascii="Times New Roman" w:eastAsia="Times New Roman" w:hAnsi="Times New Roman" w:cs="Times New Roman"/>
                <w:b/>
                <w:bCs/>
                <w:sz w:val="24"/>
                <w:szCs w:val="24"/>
              </w:rPr>
              <w:t xml:space="preserve"> Construct</w:t>
            </w:r>
          </w:p>
        </w:tc>
        <w:tc>
          <w:tcPr>
            <w:tcW w:w="1134" w:type="dxa"/>
            <w:shd w:val="clear" w:color="auto" w:fill="FFD966" w:themeFill="accent4" w:themeFillTint="99"/>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47352">
              <w:rPr>
                <w:rFonts w:ascii="Times New Roman" w:eastAsia="Times New Roman" w:hAnsi="Times New Roman" w:cs="Times New Roman"/>
                <w:b/>
                <w:bCs/>
                <w:sz w:val="24"/>
                <w:szCs w:val="24"/>
              </w:rPr>
              <w:t>f²</w:t>
            </w:r>
            <w:r w:rsidRPr="00363756">
              <w:rPr>
                <w:rFonts w:ascii="Times New Roman" w:eastAsia="Times New Roman" w:hAnsi="Times New Roman" w:cs="Times New Roman"/>
                <w:b/>
                <w:bCs/>
                <w:sz w:val="24"/>
                <w:szCs w:val="24"/>
              </w:rPr>
              <w:t xml:space="preserve"> Value</w:t>
            </w:r>
          </w:p>
        </w:tc>
        <w:tc>
          <w:tcPr>
            <w:tcW w:w="4110" w:type="dxa"/>
            <w:shd w:val="clear" w:color="auto" w:fill="FFD966" w:themeFill="accent4" w:themeFillTint="99"/>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2BE1">
              <w:rPr>
                <w:rFonts w:ascii="Times New Roman" w:eastAsia="Times New Roman" w:hAnsi="Times New Roman" w:cs="Times New Roman"/>
                <w:b/>
                <w:bCs/>
                <w:sz w:val="24"/>
                <w:szCs w:val="24"/>
              </w:rPr>
              <w:t xml:space="preserve">Interpretation </w:t>
            </w:r>
            <w:r w:rsidRPr="00147352">
              <w:rPr>
                <w:rFonts w:ascii="Times New Roman" w:eastAsia="Times New Roman" w:hAnsi="Times New Roman" w:cs="Times New Roman"/>
                <w:b/>
                <w:bCs/>
                <w:sz w:val="24"/>
                <w:szCs w:val="24"/>
              </w:rPr>
              <w:t>(Cohen, 1988)</w:t>
            </w:r>
          </w:p>
        </w:tc>
      </w:tr>
      <w:tr w:rsidR="00EA379A" w:rsidTr="00EA379A">
        <w:tc>
          <w:tcPr>
            <w:tcW w:w="4106" w:type="dxa"/>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47352">
              <w:rPr>
                <w:rFonts w:ascii="Times New Roman" w:eastAsia="Times New Roman" w:hAnsi="Times New Roman" w:cs="Times New Roman"/>
                <w:sz w:val="24"/>
                <w:szCs w:val="24"/>
              </w:rPr>
              <w:t>Top Management Commitment</w:t>
            </w:r>
          </w:p>
        </w:tc>
        <w:tc>
          <w:tcPr>
            <w:tcW w:w="1134" w:type="dxa"/>
          </w:tcPr>
          <w:p w:rsidR="00EA379A" w:rsidRDefault="00EA379A" w:rsidP="00EA379A">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447B73">
              <w:rPr>
                <w:rFonts w:ascii="Times New Roman" w:eastAsia="Times New Roman" w:hAnsi="Times New Roman" w:cs="Times New Roman"/>
                <w:sz w:val="24"/>
                <w:szCs w:val="24"/>
              </w:rPr>
              <w:t>0.201</w:t>
            </w:r>
          </w:p>
        </w:tc>
        <w:tc>
          <w:tcPr>
            <w:tcW w:w="4110" w:type="dxa"/>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w:t>
            </w:r>
            <w:r w:rsidRPr="00147352">
              <w:rPr>
                <w:rFonts w:ascii="Times New Roman" w:eastAsia="Times New Roman" w:hAnsi="Times New Roman" w:cs="Times New Roman"/>
                <w:sz w:val="24"/>
                <w:szCs w:val="24"/>
              </w:rPr>
              <w:t>edium effect</w:t>
            </w:r>
          </w:p>
        </w:tc>
      </w:tr>
      <w:tr w:rsidR="00EA379A" w:rsidTr="00EA379A">
        <w:tc>
          <w:tcPr>
            <w:tcW w:w="4106" w:type="dxa"/>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47352">
              <w:rPr>
                <w:rFonts w:ascii="Times New Roman" w:eastAsia="Times New Roman" w:hAnsi="Times New Roman" w:cs="Times New Roman"/>
                <w:sz w:val="24"/>
                <w:szCs w:val="24"/>
              </w:rPr>
              <w:t>Employee Involvement</w:t>
            </w:r>
          </w:p>
        </w:tc>
        <w:tc>
          <w:tcPr>
            <w:tcW w:w="1134" w:type="dxa"/>
          </w:tcPr>
          <w:p w:rsidR="00EA379A" w:rsidRDefault="00EA379A" w:rsidP="00EA379A">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447B73">
              <w:rPr>
                <w:rFonts w:ascii="Times New Roman" w:eastAsia="Times New Roman" w:hAnsi="Times New Roman" w:cs="Times New Roman"/>
                <w:sz w:val="24"/>
                <w:szCs w:val="24"/>
              </w:rPr>
              <w:t>0.167</w:t>
            </w:r>
          </w:p>
        </w:tc>
        <w:tc>
          <w:tcPr>
            <w:tcW w:w="4110" w:type="dxa"/>
          </w:tcPr>
          <w:p w:rsidR="00EA379A" w:rsidRDefault="00EA379A" w:rsidP="00A260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47352">
              <w:rPr>
                <w:rFonts w:ascii="Times New Roman" w:eastAsia="Times New Roman" w:hAnsi="Times New Roman" w:cs="Times New Roman"/>
                <w:sz w:val="24"/>
                <w:szCs w:val="24"/>
              </w:rPr>
              <w:t>Medium effect</w:t>
            </w:r>
            <w:r>
              <w:rPr>
                <w:rFonts w:ascii="Times New Roman" w:eastAsia="Times New Roman" w:hAnsi="Times New Roman" w:cs="Times New Roman"/>
                <w:sz w:val="24"/>
                <w:szCs w:val="24"/>
              </w:rPr>
              <w:t xml:space="preserve"> </w:t>
            </w:r>
          </w:p>
        </w:tc>
      </w:tr>
      <w:tr w:rsidR="00EA379A" w:rsidTr="00EA379A">
        <w:tc>
          <w:tcPr>
            <w:tcW w:w="4106" w:type="dxa"/>
          </w:tcPr>
          <w:p w:rsidR="00EA379A" w:rsidRPr="00B92BE1" w:rsidRDefault="00EA379A" w:rsidP="00A2608C">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w:t>
            </w:r>
            <w:r w:rsidRPr="00B92BE1">
              <w:rPr>
                <w:rFonts w:ascii="Times New Roman" w:eastAsia="Times New Roman" w:hAnsi="Times New Roman" w:cs="Times New Roman"/>
                <w:sz w:val="24"/>
                <w:szCs w:val="24"/>
              </w:rPr>
              <w:t xml:space="preserve"> Performance</w:t>
            </w:r>
          </w:p>
        </w:tc>
        <w:tc>
          <w:tcPr>
            <w:tcW w:w="1134" w:type="dxa"/>
          </w:tcPr>
          <w:p w:rsidR="00EA379A" w:rsidRPr="00363756" w:rsidRDefault="00EA379A" w:rsidP="00EA379A">
            <w:pPr>
              <w:spacing w:before="100" w:beforeAutospacing="1" w:after="100" w:afterAutospacing="1" w:line="360" w:lineRule="auto"/>
              <w:jc w:val="center"/>
              <w:outlineLvl w:val="2"/>
              <w:rPr>
                <w:rFonts w:ascii="Times New Roman" w:eastAsia="Times New Roman" w:hAnsi="Times New Roman" w:cs="Times New Roman"/>
                <w:sz w:val="24"/>
                <w:szCs w:val="24"/>
              </w:rPr>
            </w:pPr>
            <w:r w:rsidRPr="00447B73">
              <w:rPr>
                <w:rFonts w:ascii="Times New Roman" w:eastAsia="Times New Roman" w:hAnsi="Times New Roman" w:cs="Times New Roman"/>
                <w:sz w:val="24"/>
                <w:szCs w:val="24"/>
              </w:rPr>
              <w:t>0.499</w:t>
            </w:r>
          </w:p>
        </w:tc>
        <w:tc>
          <w:tcPr>
            <w:tcW w:w="4110" w:type="dxa"/>
          </w:tcPr>
          <w:p w:rsidR="00EA379A" w:rsidRPr="00363756" w:rsidRDefault="00EA379A" w:rsidP="00EA379A">
            <w:pPr>
              <w:spacing w:before="100" w:beforeAutospacing="1" w:after="100" w:afterAutospacing="1" w:line="360" w:lineRule="auto"/>
              <w:jc w:val="both"/>
              <w:outlineLvl w:val="2"/>
              <w:rPr>
                <w:rFonts w:ascii="Times New Roman" w:eastAsia="Times New Roman" w:hAnsi="Times New Roman" w:cs="Times New Roman"/>
                <w:sz w:val="24"/>
                <w:szCs w:val="24"/>
              </w:rPr>
            </w:pPr>
            <w:r w:rsidRPr="00447B73">
              <w:rPr>
                <w:rFonts w:ascii="Times New Roman" w:eastAsia="Times New Roman" w:hAnsi="Times New Roman" w:cs="Times New Roman"/>
                <w:sz w:val="24"/>
                <w:szCs w:val="24"/>
              </w:rPr>
              <w:t xml:space="preserve">Substantial effect </w:t>
            </w:r>
            <w:r>
              <w:rPr>
                <w:rFonts w:ascii="Times New Roman" w:eastAsia="Times New Roman" w:hAnsi="Times New Roman" w:cs="Times New Roman"/>
                <w:sz w:val="24"/>
                <w:szCs w:val="24"/>
              </w:rPr>
              <w:t>(greater than l</w:t>
            </w:r>
            <w:r w:rsidRPr="00147352">
              <w:rPr>
                <w:rFonts w:ascii="Times New Roman" w:eastAsia="Times New Roman" w:hAnsi="Times New Roman" w:cs="Times New Roman"/>
                <w:sz w:val="24"/>
                <w:szCs w:val="24"/>
              </w:rPr>
              <w:t>arge</w:t>
            </w:r>
            <w:r>
              <w:rPr>
                <w:rFonts w:ascii="Times New Roman" w:eastAsia="Times New Roman" w:hAnsi="Times New Roman" w:cs="Times New Roman"/>
                <w:sz w:val="24"/>
                <w:szCs w:val="24"/>
              </w:rPr>
              <w:t>)</w:t>
            </w:r>
          </w:p>
        </w:tc>
      </w:tr>
    </w:tbl>
    <w:p w:rsidR="00EA379A" w:rsidRDefault="00EA379A" w:rsidP="00EA379A">
      <w:pPr>
        <w:spacing w:after="100" w:afterAutospacing="1" w:line="360" w:lineRule="auto"/>
        <w:jc w:val="both"/>
        <w:outlineLvl w:val="2"/>
        <w:rPr>
          <w:rFonts w:ascii="Times New Roman" w:eastAsia="Times New Roman" w:hAnsi="Times New Roman" w:cs="Times New Roman"/>
          <w:b/>
          <w:bCs/>
          <w:sz w:val="24"/>
          <w:szCs w:val="24"/>
        </w:rPr>
      </w:pPr>
      <w:r w:rsidRPr="001B437F">
        <w:rPr>
          <w:rFonts w:ascii="Times New Roman" w:eastAsia="SimSun" w:hAnsi="Times New Roman" w:cs="Times New Roman"/>
          <w:b/>
          <w:i/>
          <w:kern w:val="3"/>
          <w:sz w:val="20"/>
          <w:szCs w:val="20"/>
          <w:lang w:val="en-GB"/>
        </w:rPr>
        <w:t>Source: Author, 202</w:t>
      </w:r>
      <w:r>
        <w:rPr>
          <w:rFonts w:ascii="Times New Roman" w:eastAsia="SimSun" w:hAnsi="Times New Roman" w:cs="Times New Roman"/>
          <w:b/>
          <w:i/>
          <w:kern w:val="3"/>
          <w:sz w:val="20"/>
          <w:szCs w:val="20"/>
          <w:lang w:val="en-GB"/>
        </w:rPr>
        <w:t>5</w:t>
      </w:r>
    </w:p>
    <w:p w:rsidR="00447B73" w:rsidRPr="00447B73" w:rsidRDefault="00447B73" w:rsidP="00EA379A">
      <w:pPr>
        <w:spacing w:before="100" w:beforeAutospacing="1" w:after="100" w:afterAutospacing="1" w:line="360" w:lineRule="auto"/>
        <w:jc w:val="both"/>
        <w:rPr>
          <w:rFonts w:ascii="Times New Roman" w:eastAsia="Times New Roman" w:hAnsi="Times New Roman" w:cs="Times New Roman"/>
          <w:sz w:val="24"/>
          <w:szCs w:val="24"/>
        </w:rPr>
      </w:pPr>
      <w:r w:rsidRPr="00447B73">
        <w:rPr>
          <w:rFonts w:ascii="Times New Roman" w:eastAsia="Times New Roman" w:hAnsi="Times New Roman" w:cs="Times New Roman"/>
          <w:sz w:val="24"/>
          <w:szCs w:val="24"/>
        </w:rPr>
        <w:t xml:space="preserve">The results confirm that both </w:t>
      </w:r>
      <w:r w:rsidRPr="00EA379A">
        <w:rPr>
          <w:rFonts w:ascii="Times New Roman" w:eastAsia="Times New Roman" w:hAnsi="Times New Roman" w:cs="Times New Roman"/>
          <w:bCs/>
          <w:sz w:val="24"/>
          <w:szCs w:val="24"/>
        </w:rPr>
        <w:t>Top Management Commitment</w:t>
      </w:r>
      <w:r w:rsidRPr="00EA379A">
        <w:rPr>
          <w:rFonts w:ascii="Times New Roman" w:eastAsia="Times New Roman" w:hAnsi="Times New Roman" w:cs="Times New Roman"/>
          <w:sz w:val="24"/>
          <w:szCs w:val="24"/>
        </w:rPr>
        <w:t xml:space="preserve"> and </w:t>
      </w:r>
      <w:r w:rsidRPr="00EA379A">
        <w:rPr>
          <w:rFonts w:ascii="Times New Roman" w:eastAsia="Times New Roman" w:hAnsi="Times New Roman" w:cs="Times New Roman"/>
          <w:bCs/>
          <w:sz w:val="24"/>
          <w:szCs w:val="24"/>
        </w:rPr>
        <w:t>Employee Involvement</w:t>
      </w:r>
      <w:r w:rsidRPr="00447B73">
        <w:rPr>
          <w:rFonts w:ascii="Times New Roman" w:eastAsia="Times New Roman" w:hAnsi="Times New Roman" w:cs="Times New Roman"/>
          <w:sz w:val="24"/>
          <w:szCs w:val="24"/>
        </w:rPr>
        <w:t xml:space="preserve"> demonstrate medium</w:t>
      </w:r>
      <w:r w:rsidRPr="00447B73">
        <w:rPr>
          <w:rFonts w:ascii="Times New Roman" w:eastAsia="Times New Roman" w:hAnsi="Times New Roman" w:cs="Times New Roman"/>
          <w:sz w:val="24"/>
          <w:szCs w:val="24"/>
        </w:rPr>
        <w:noBreakHyphen/>
        <w:t xml:space="preserve">sized effects on Flexibility Performance, while </w:t>
      </w:r>
      <w:r w:rsidRPr="00EA379A">
        <w:rPr>
          <w:rFonts w:ascii="Times New Roman" w:eastAsia="Times New Roman" w:hAnsi="Times New Roman" w:cs="Times New Roman"/>
          <w:bCs/>
          <w:sz w:val="24"/>
          <w:szCs w:val="24"/>
        </w:rPr>
        <w:t>Flexibility Performance</w:t>
      </w:r>
      <w:r w:rsidRPr="00447B73">
        <w:rPr>
          <w:rFonts w:ascii="Times New Roman" w:eastAsia="Times New Roman" w:hAnsi="Times New Roman" w:cs="Times New Roman"/>
          <w:sz w:val="24"/>
          <w:szCs w:val="24"/>
        </w:rPr>
        <w:t xml:space="preserve"> exerts a substantial effect on Non</w:t>
      </w:r>
      <w:r w:rsidRPr="00447B73">
        <w:rPr>
          <w:rFonts w:ascii="Times New Roman" w:eastAsia="Times New Roman" w:hAnsi="Times New Roman" w:cs="Times New Roman"/>
          <w:sz w:val="24"/>
          <w:szCs w:val="24"/>
        </w:rPr>
        <w:noBreakHyphen/>
        <w:t>Financial Organisational Performance. These findings highlight the pivotal mediating role of Flexibility Performance and underscore the importance of leadership and employee engagement in shaping organisational outcomes.</w:t>
      </w:r>
    </w:p>
    <w:p w:rsidR="00AD4913" w:rsidRPr="00EA379A" w:rsidRDefault="00AD4913" w:rsidP="00EA379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A379A">
        <w:rPr>
          <w:rFonts w:ascii="Times New Roman" w:eastAsia="Times New Roman" w:hAnsi="Times New Roman" w:cs="Times New Roman"/>
          <w:b/>
          <w:bCs/>
          <w:sz w:val="24"/>
          <w:szCs w:val="24"/>
        </w:rPr>
        <w:t>4.2.6 Summary of Hypothesis Testing</w:t>
      </w:r>
    </w:p>
    <w:p w:rsidR="00AD4913" w:rsidRPr="00EA379A" w:rsidRDefault="00AD4913" w:rsidP="00EA379A">
      <w:pPr>
        <w:spacing w:before="100" w:beforeAutospacing="1" w:after="100" w:afterAutospacing="1" w:line="360" w:lineRule="auto"/>
        <w:jc w:val="both"/>
        <w:rPr>
          <w:rFonts w:ascii="Times New Roman" w:eastAsia="Times New Roman" w:hAnsi="Times New Roman" w:cs="Times New Roman"/>
          <w:sz w:val="24"/>
          <w:szCs w:val="24"/>
        </w:rPr>
      </w:pPr>
      <w:r w:rsidRPr="00EA379A">
        <w:rPr>
          <w:rFonts w:ascii="Times New Roman" w:eastAsia="Times New Roman" w:hAnsi="Times New Roman" w:cs="Times New Roman"/>
          <w:sz w:val="24"/>
          <w:szCs w:val="24"/>
        </w:rPr>
        <w:t xml:space="preserve">The hypothesis testing results provide clear evidence of the statistical associations among the studied variables. The analysis confirmed that </w:t>
      </w:r>
      <w:r w:rsidRPr="00EA379A">
        <w:rPr>
          <w:rFonts w:ascii="Times New Roman" w:eastAsia="Times New Roman" w:hAnsi="Times New Roman" w:cs="Times New Roman"/>
          <w:bCs/>
          <w:sz w:val="24"/>
          <w:szCs w:val="24"/>
        </w:rPr>
        <w:t>Top Management Commitment</w:t>
      </w:r>
      <w:r w:rsidRPr="00EA379A">
        <w:rPr>
          <w:rFonts w:ascii="Times New Roman" w:eastAsia="Times New Roman" w:hAnsi="Times New Roman" w:cs="Times New Roman"/>
          <w:sz w:val="24"/>
          <w:szCs w:val="24"/>
        </w:rPr>
        <w:t xml:space="preserve"> is positively associated with </w:t>
      </w:r>
      <w:r w:rsidRPr="00EA379A">
        <w:rPr>
          <w:rFonts w:ascii="Times New Roman" w:eastAsia="Times New Roman" w:hAnsi="Times New Roman" w:cs="Times New Roman"/>
          <w:bCs/>
          <w:sz w:val="24"/>
          <w:szCs w:val="24"/>
        </w:rPr>
        <w:t>Flexibility Performance</w:t>
      </w:r>
      <w:r w:rsidRPr="00EA379A">
        <w:rPr>
          <w:rFonts w:ascii="Times New Roman" w:eastAsia="Times New Roman" w:hAnsi="Times New Roman" w:cs="Times New Roman"/>
          <w:sz w:val="24"/>
          <w:szCs w:val="24"/>
        </w:rPr>
        <w:t xml:space="preserve"> (t = 4.557, p = 0.000), thereby supporting </w:t>
      </w:r>
      <w:r w:rsidRPr="00EA379A">
        <w:rPr>
          <w:rFonts w:ascii="Times New Roman" w:eastAsia="Times New Roman" w:hAnsi="Times New Roman" w:cs="Times New Roman"/>
          <w:bCs/>
          <w:sz w:val="24"/>
          <w:szCs w:val="24"/>
        </w:rPr>
        <w:t>Hypothesis 1</w:t>
      </w:r>
      <w:r w:rsidRPr="00EA379A">
        <w:rPr>
          <w:rFonts w:ascii="Times New Roman" w:eastAsia="Times New Roman" w:hAnsi="Times New Roman" w:cs="Times New Roman"/>
          <w:sz w:val="24"/>
          <w:szCs w:val="24"/>
        </w:rPr>
        <w:t xml:space="preserve">. This finding underscores the pivotal role of leadership in fostering an organisational environment that is adaptive and responsive to change. It resonates with prior research, which has consistently shown that when senior management visibly champions quality initiatives, it cultivates a culture </w:t>
      </w:r>
      <w:r w:rsidRPr="00EA379A">
        <w:rPr>
          <w:rFonts w:ascii="Times New Roman" w:eastAsia="Times New Roman" w:hAnsi="Times New Roman" w:cs="Times New Roman"/>
          <w:sz w:val="24"/>
          <w:szCs w:val="24"/>
        </w:rPr>
        <w:lastRenderedPageBreak/>
        <w:t>oriented toward continuous improvement and organisational agility (</w:t>
      </w:r>
      <w:r w:rsidR="00416F8B">
        <w:rPr>
          <w:rFonts w:ascii="Times New Roman" w:eastAsia="Times New Roman" w:hAnsi="Times New Roman" w:cs="Times New Roman"/>
          <w:sz w:val="24"/>
          <w:szCs w:val="24"/>
        </w:rPr>
        <w:t xml:space="preserve">Sikota et al., 2026; </w:t>
      </w:r>
      <w:r w:rsidR="003F5A71">
        <w:rPr>
          <w:rFonts w:ascii="Times New Roman" w:eastAsia="Times New Roman" w:hAnsi="Times New Roman" w:cs="Times New Roman"/>
          <w:sz w:val="24"/>
          <w:szCs w:val="24"/>
        </w:rPr>
        <w:t>Al-Dhaafri</w:t>
      </w:r>
      <w:r w:rsidR="003F5A71" w:rsidRPr="00013C62">
        <w:rPr>
          <w:rFonts w:ascii="Times New Roman" w:eastAsia="Times New Roman" w:hAnsi="Times New Roman" w:cs="Times New Roman"/>
          <w:sz w:val="24"/>
          <w:szCs w:val="24"/>
        </w:rPr>
        <w:t xml:space="preserve"> et al., 2020</w:t>
      </w:r>
      <w:r w:rsidR="003F5A71">
        <w:rPr>
          <w:rFonts w:ascii="Times New Roman" w:eastAsia="Times New Roman" w:hAnsi="Times New Roman" w:cs="Times New Roman"/>
          <w:sz w:val="24"/>
          <w:szCs w:val="24"/>
        </w:rPr>
        <w:t xml:space="preserve">; </w:t>
      </w:r>
      <w:r w:rsidRPr="00EA379A">
        <w:rPr>
          <w:rFonts w:ascii="Times New Roman" w:eastAsia="Times New Roman" w:hAnsi="Times New Roman" w:cs="Times New Roman"/>
          <w:sz w:val="24"/>
          <w:szCs w:val="24"/>
        </w:rPr>
        <w:t xml:space="preserve">Prajogo </w:t>
      </w:r>
      <w:r w:rsidR="00EA379A">
        <w:rPr>
          <w:rFonts w:ascii="Times New Roman" w:eastAsia="Times New Roman" w:hAnsi="Times New Roman" w:cs="Times New Roman"/>
          <w:sz w:val="24"/>
          <w:szCs w:val="24"/>
        </w:rPr>
        <w:t>and</w:t>
      </w:r>
      <w:r w:rsidRPr="00EA379A">
        <w:rPr>
          <w:rFonts w:ascii="Times New Roman" w:eastAsia="Times New Roman" w:hAnsi="Times New Roman" w:cs="Times New Roman"/>
          <w:sz w:val="24"/>
          <w:szCs w:val="24"/>
        </w:rPr>
        <w:t xml:space="preserve"> Sohal, 2006; Samson </w:t>
      </w:r>
      <w:r w:rsidR="00EA379A">
        <w:rPr>
          <w:rFonts w:ascii="Times New Roman" w:eastAsia="Times New Roman" w:hAnsi="Times New Roman" w:cs="Times New Roman"/>
          <w:sz w:val="24"/>
          <w:szCs w:val="24"/>
        </w:rPr>
        <w:t>and</w:t>
      </w:r>
      <w:r w:rsidRPr="00EA379A">
        <w:rPr>
          <w:rFonts w:ascii="Times New Roman" w:eastAsia="Times New Roman" w:hAnsi="Times New Roman" w:cs="Times New Roman"/>
          <w:sz w:val="24"/>
          <w:szCs w:val="24"/>
        </w:rPr>
        <w:t xml:space="preserve"> Terziovski, 1999).</w:t>
      </w:r>
      <w:r w:rsidR="003B5500">
        <w:rPr>
          <w:rFonts w:ascii="Times New Roman" w:eastAsia="Times New Roman" w:hAnsi="Times New Roman" w:cs="Times New Roman"/>
          <w:sz w:val="24"/>
          <w:szCs w:val="24"/>
        </w:rPr>
        <w:t xml:space="preserve"> </w:t>
      </w:r>
      <w:r w:rsidRPr="00EA379A">
        <w:rPr>
          <w:rFonts w:ascii="Times New Roman" w:eastAsia="Times New Roman" w:hAnsi="Times New Roman" w:cs="Times New Roman"/>
          <w:sz w:val="24"/>
          <w:szCs w:val="24"/>
        </w:rPr>
        <w:t xml:space="preserve">Similarly, </w:t>
      </w:r>
      <w:r w:rsidRPr="00EA379A">
        <w:rPr>
          <w:rFonts w:ascii="Times New Roman" w:eastAsia="Times New Roman" w:hAnsi="Times New Roman" w:cs="Times New Roman"/>
          <w:bCs/>
          <w:sz w:val="24"/>
          <w:szCs w:val="24"/>
        </w:rPr>
        <w:t>Employee Involvement</w:t>
      </w:r>
      <w:r w:rsidRPr="00EA379A">
        <w:rPr>
          <w:rFonts w:ascii="Times New Roman" w:eastAsia="Times New Roman" w:hAnsi="Times New Roman" w:cs="Times New Roman"/>
          <w:sz w:val="24"/>
          <w:szCs w:val="24"/>
        </w:rPr>
        <w:t xml:space="preserve"> was found to be positively associated with </w:t>
      </w:r>
      <w:r w:rsidRPr="00EA379A">
        <w:rPr>
          <w:rFonts w:ascii="Times New Roman" w:eastAsia="Times New Roman" w:hAnsi="Times New Roman" w:cs="Times New Roman"/>
          <w:bCs/>
          <w:sz w:val="24"/>
          <w:szCs w:val="24"/>
        </w:rPr>
        <w:t>Flexibility Performance</w:t>
      </w:r>
      <w:r w:rsidRPr="00EA379A">
        <w:rPr>
          <w:rFonts w:ascii="Times New Roman" w:eastAsia="Times New Roman" w:hAnsi="Times New Roman" w:cs="Times New Roman"/>
          <w:sz w:val="24"/>
          <w:szCs w:val="24"/>
        </w:rPr>
        <w:t xml:space="preserve"> (t = 3.123, p = 0.002), leading to the support of </w:t>
      </w:r>
      <w:r w:rsidRPr="00EA379A">
        <w:rPr>
          <w:rFonts w:ascii="Times New Roman" w:eastAsia="Times New Roman" w:hAnsi="Times New Roman" w:cs="Times New Roman"/>
          <w:bCs/>
          <w:sz w:val="24"/>
          <w:szCs w:val="24"/>
        </w:rPr>
        <w:t>Hypothesis 2</w:t>
      </w:r>
      <w:r w:rsidRPr="00EA379A">
        <w:rPr>
          <w:rFonts w:ascii="Times New Roman" w:eastAsia="Times New Roman" w:hAnsi="Times New Roman" w:cs="Times New Roman"/>
          <w:sz w:val="24"/>
          <w:szCs w:val="24"/>
        </w:rPr>
        <w:t>. This highlights the critical importance of engaging employees in quality management processes. When staff actively participate in decision</w:t>
      </w:r>
      <w:r w:rsidRPr="00EA379A">
        <w:rPr>
          <w:rFonts w:ascii="Times New Roman" w:eastAsia="Times New Roman" w:hAnsi="Times New Roman" w:cs="Times New Roman"/>
          <w:sz w:val="24"/>
          <w:szCs w:val="24"/>
        </w:rPr>
        <w:noBreakHyphen/>
        <w:t>making and problem</w:t>
      </w:r>
      <w:r w:rsidRPr="00EA379A">
        <w:rPr>
          <w:rFonts w:ascii="Times New Roman" w:eastAsia="Times New Roman" w:hAnsi="Times New Roman" w:cs="Times New Roman"/>
          <w:sz w:val="24"/>
          <w:szCs w:val="24"/>
        </w:rPr>
        <w:noBreakHyphen/>
        <w:t>solving, they become more empowered and invested in their roles, often driving innovation and improvements in operational practices (Kaynak, 2004).</w:t>
      </w:r>
    </w:p>
    <w:p w:rsidR="00AD4913" w:rsidRPr="00EA379A" w:rsidRDefault="00AD4913" w:rsidP="00EA379A">
      <w:pPr>
        <w:spacing w:before="100" w:beforeAutospacing="1" w:after="100" w:afterAutospacing="1" w:line="360" w:lineRule="auto"/>
        <w:jc w:val="both"/>
        <w:rPr>
          <w:rFonts w:ascii="Times New Roman" w:eastAsia="Times New Roman" w:hAnsi="Times New Roman" w:cs="Times New Roman"/>
          <w:sz w:val="24"/>
          <w:szCs w:val="24"/>
        </w:rPr>
      </w:pPr>
      <w:r w:rsidRPr="00EA379A">
        <w:rPr>
          <w:rFonts w:ascii="Times New Roman" w:eastAsia="Times New Roman" w:hAnsi="Times New Roman" w:cs="Times New Roman"/>
          <w:sz w:val="24"/>
          <w:szCs w:val="24"/>
        </w:rPr>
        <w:t xml:space="preserve">Finally, the results revealed a robust and significant positive association between </w:t>
      </w:r>
      <w:r w:rsidRPr="00416F8B">
        <w:rPr>
          <w:rFonts w:ascii="Times New Roman" w:eastAsia="Times New Roman" w:hAnsi="Times New Roman" w:cs="Times New Roman"/>
          <w:bCs/>
          <w:sz w:val="24"/>
          <w:szCs w:val="24"/>
        </w:rPr>
        <w:t>Flexibility Performance</w:t>
      </w:r>
      <w:r w:rsidRPr="00416F8B">
        <w:rPr>
          <w:rFonts w:ascii="Times New Roman" w:eastAsia="Times New Roman" w:hAnsi="Times New Roman" w:cs="Times New Roman"/>
          <w:sz w:val="24"/>
          <w:szCs w:val="24"/>
        </w:rPr>
        <w:t xml:space="preserve"> and </w:t>
      </w:r>
      <w:r w:rsidRPr="00416F8B">
        <w:rPr>
          <w:rFonts w:ascii="Times New Roman" w:eastAsia="Times New Roman" w:hAnsi="Times New Roman" w:cs="Times New Roman"/>
          <w:bCs/>
          <w:sz w:val="24"/>
          <w:szCs w:val="24"/>
        </w:rPr>
        <w:t>Non</w:t>
      </w:r>
      <w:r w:rsidRPr="00416F8B">
        <w:rPr>
          <w:rFonts w:ascii="Times New Roman" w:eastAsia="Times New Roman" w:hAnsi="Times New Roman" w:cs="Times New Roman"/>
          <w:bCs/>
          <w:sz w:val="24"/>
          <w:szCs w:val="24"/>
        </w:rPr>
        <w:noBreakHyphen/>
        <w:t>Financial Organisational Performance</w:t>
      </w:r>
      <w:r w:rsidRPr="00EA379A">
        <w:rPr>
          <w:rFonts w:ascii="Times New Roman" w:eastAsia="Times New Roman" w:hAnsi="Times New Roman" w:cs="Times New Roman"/>
          <w:sz w:val="24"/>
          <w:szCs w:val="24"/>
        </w:rPr>
        <w:t xml:space="preserve"> (t = 19.844, p = 0.000), thereby supporting </w:t>
      </w:r>
      <w:r w:rsidRPr="00416F8B">
        <w:rPr>
          <w:rFonts w:ascii="Times New Roman" w:eastAsia="Times New Roman" w:hAnsi="Times New Roman" w:cs="Times New Roman"/>
          <w:bCs/>
          <w:sz w:val="24"/>
          <w:szCs w:val="24"/>
        </w:rPr>
        <w:t>Hypothesis 3</w:t>
      </w:r>
      <w:r w:rsidRPr="00EA379A">
        <w:rPr>
          <w:rFonts w:ascii="Times New Roman" w:eastAsia="Times New Roman" w:hAnsi="Times New Roman" w:cs="Times New Roman"/>
          <w:sz w:val="24"/>
          <w:szCs w:val="24"/>
        </w:rPr>
        <w:t xml:space="preserve">. This finding provides empirical evidence for the mediating role of flexibility </w:t>
      </w:r>
      <w:r w:rsidR="00036164">
        <w:rPr>
          <w:rFonts w:ascii="Times New Roman" w:eastAsia="Times New Roman" w:hAnsi="Times New Roman" w:cs="Times New Roman"/>
          <w:sz w:val="24"/>
          <w:szCs w:val="24"/>
        </w:rPr>
        <w:t xml:space="preserve">performance </w:t>
      </w:r>
      <w:r w:rsidRPr="00EA379A">
        <w:rPr>
          <w:rFonts w:ascii="Times New Roman" w:eastAsia="Times New Roman" w:hAnsi="Times New Roman" w:cs="Times New Roman"/>
          <w:sz w:val="24"/>
          <w:szCs w:val="24"/>
        </w:rPr>
        <w:t>in influencing broader organisational success. Non</w:t>
      </w:r>
      <w:r w:rsidRPr="00EA379A">
        <w:rPr>
          <w:rFonts w:ascii="Times New Roman" w:eastAsia="Times New Roman" w:hAnsi="Times New Roman" w:cs="Times New Roman"/>
          <w:sz w:val="24"/>
          <w:szCs w:val="24"/>
        </w:rPr>
        <w:noBreakHyphen/>
        <w:t>financial outcomes such as customer satisfaction, employee morale, and continuous process improvement are increasingly recognised as essential indicators of long</w:t>
      </w:r>
      <w:r w:rsidRPr="00EA379A">
        <w:rPr>
          <w:rFonts w:ascii="Times New Roman" w:eastAsia="Times New Roman" w:hAnsi="Times New Roman" w:cs="Times New Roman"/>
          <w:sz w:val="24"/>
          <w:szCs w:val="24"/>
        </w:rPr>
        <w:noBreakHyphen/>
        <w:t>term organisational viability (</w:t>
      </w:r>
      <w:r w:rsidR="00416F8B">
        <w:rPr>
          <w:rFonts w:ascii="Times New Roman" w:eastAsia="Times New Roman" w:hAnsi="Times New Roman" w:cs="Times New Roman"/>
          <w:sz w:val="24"/>
          <w:szCs w:val="24"/>
        </w:rPr>
        <w:t xml:space="preserve">Sikota et al., 2026; </w:t>
      </w:r>
      <w:r w:rsidRPr="00EA379A">
        <w:rPr>
          <w:rFonts w:ascii="Times New Roman" w:eastAsia="Times New Roman" w:hAnsi="Times New Roman" w:cs="Times New Roman"/>
          <w:sz w:val="24"/>
          <w:szCs w:val="24"/>
        </w:rPr>
        <w:t xml:space="preserve">Powell, 1995; Sousa </w:t>
      </w:r>
      <w:r w:rsidR="00416F8B">
        <w:rPr>
          <w:rFonts w:ascii="Times New Roman" w:eastAsia="Times New Roman" w:hAnsi="Times New Roman" w:cs="Times New Roman"/>
          <w:sz w:val="24"/>
          <w:szCs w:val="24"/>
        </w:rPr>
        <w:t>and</w:t>
      </w:r>
      <w:r w:rsidRPr="00EA379A">
        <w:rPr>
          <w:rFonts w:ascii="Times New Roman" w:eastAsia="Times New Roman" w:hAnsi="Times New Roman" w:cs="Times New Roman"/>
          <w:sz w:val="24"/>
          <w:szCs w:val="24"/>
        </w:rPr>
        <w:t xml:space="preserve"> Voss, 2002).</w:t>
      </w:r>
    </w:p>
    <w:p w:rsidR="00AD4913" w:rsidRPr="00EA379A" w:rsidRDefault="00AD4913" w:rsidP="00EA379A">
      <w:pPr>
        <w:spacing w:before="100" w:beforeAutospacing="1" w:after="100" w:afterAutospacing="1" w:line="360" w:lineRule="auto"/>
        <w:jc w:val="both"/>
        <w:rPr>
          <w:rFonts w:ascii="Times New Roman" w:eastAsia="Times New Roman" w:hAnsi="Times New Roman" w:cs="Times New Roman"/>
          <w:sz w:val="24"/>
          <w:szCs w:val="24"/>
        </w:rPr>
      </w:pPr>
      <w:r w:rsidRPr="00EA379A">
        <w:rPr>
          <w:rFonts w:ascii="Times New Roman" w:eastAsia="Times New Roman" w:hAnsi="Times New Roman" w:cs="Times New Roman"/>
          <w:sz w:val="24"/>
          <w:szCs w:val="24"/>
        </w:rPr>
        <w:t xml:space="preserve">In summary, the supported hypotheses collectively address the </w:t>
      </w:r>
      <w:r w:rsidR="00416F8B">
        <w:rPr>
          <w:rFonts w:ascii="Times New Roman" w:eastAsia="Times New Roman" w:hAnsi="Times New Roman" w:cs="Times New Roman"/>
          <w:sz w:val="24"/>
          <w:szCs w:val="24"/>
        </w:rPr>
        <w:t>H1, H2 and H3</w:t>
      </w:r>
      <w:r w:rsidRPr="00EA379A">
        <w:rPr>
          <w:rFonts w:ascii="Times New Roman" w:eastAsia="Times New Roman" w:hAnsi="Times New Roman" w:cs="Times New Roman"/>
          <w:sz w:val="24"/>
          <w:szCs w:val="24"/>
        </w:rPr>
        <w:t xml:space="preserve"> by demonstrating that </w:t>
      </w:r>
      <w:r w:rsidR="00416F8B">
        <w:rPr>
          <w:rFonts w:ascii="Times New Roman" w:eastAsia="Times New Roman" w:hAnsi="Times New Roman" w:cs="Times New Roman"/>
          <w:bCs/>
          <w:sz w:val="24"/>
          <w:szCs w:val="24"/>
        </w:rPr>
        <w:t xml:space="preserve">TQM practices </w:t>
      </w:r>
      <w:r w:rsidRPr="00416F8B">
        <w:rPr>
          <w:rFonts w:ascii="Times New Roman" w:eastAsia="Times New Roman" w:hAnsi="Times New Roman" w:cs="Times New Roman"/>
          <w:bCs/>
          <w:sz w:val="24"/>
          <w:szCs w:val="24"/>
        </w:rPr>
        <w:t>particularly top management comm</w:t>
      </w:r>
      <w:r w:rsidR="00416F8B">
        <w:rPr>
          <w:rFonts w:ascii="Times New Roman" w:eastAsia="Times New Roman" w:hAnsi="Times New Roman" w:cs="Times New Roman"/>
          <w:bCs/>
          <w:sz w:val="24"/>
          <w:szCs w:val="24"/>
        </w:rPr>
        <w:t xml:space="preserve">itment and employee involvement </w:t>
      </w:r>
      <w:r w:rsidRPr="00416F8B">
        <w:rPr>
          <w:rFonts w:ascii="Times New Roman" w:eastAsia="Times New Roman" w:hAnsi="Times New Roman" w:cs="Times New Roman"/>
          <w:bCs/>
          <w:sz w:val="24"/>
          <w:szCs w:val="24"/>
        </w:rPr>
        <w:t>play a crucial role in driving flexibility</w:t>
      </w:r>
      <w:r w:rsidR="00036164">
        <w:rPr>
          <w:rFonts w:ascii="Times New Roman" w:eastAsia="Times New Roman" w:hAnsi="Times New Roman" w:cs="Times New Roman"/>
          <w:bCs/>
          <w:sz w:val="24"/>
          <w:szCs w:val="24"/>
        </w:rPr>
        <w:t xml:space="preserve"> performance</w:t>
      </w:r>
      <w:r w:rsidRPr="00EA379A">
        <w:rPr>
          <w:rFonts w:ascii="Times New Roman" w:eastAsia="Times New Roman" w:hAnsi="Times New Roman" w:cs="Times New Roman"/>
          <w:sz w:val="24"/>
          <w:szCs w:val="24"/>
        </w:rPr>
        <w:t>. This flexibility</w:t>
      </w:r>
      <w:r w:rsidR="00036164">
        <w:rPr>
          <w:rFonts w:ascii="Times New Roman" w:eastAsia="Times New Roman" w:hAnsi="Times New Roman" w:cs="Times New Roman"/>
          <w:sz w:val="24"/>
          <w:szCs w:val="24"/>
        </w:rPr>
        <w:t xml:space="preserve"> performance</w:t>
      </w:r>
      <w:r w:rsidRPr="00EA379A">
        <w:rPr>
          <w:rFonts w:ascii="Times New Roman" w:eastAsia="Times New Roman" w:hAnsi="Times New Roman" w:cs="Times New Roman"/>
          <w:sz w:val="24"/>
          <w:szCs w:val="24"/>
        </w:rPr>
        <w:t>, in turn, serves as a vital conduit through which TQM initiatives enhance non</w:t>
      </w:r>
      <w:r w:rsidRPr="00EA379A">
        <w:rPr>
          <w:rFonts w:ascii="Times New Roman" w:eastAsia="Times New Roman" w:hAnsi="Times New Roman" w:cs="Times New Roman"/>
          <w:sz w:val="24"/>
          <w:szCs w:val="24"/>
        </w:rPr>
        <w:noBreakHyphen/>
        <w:t>financial organisational performance. The results construct a coherent narrative linking leadership engagement and workforce participation to operational excellence and, ultimately, to enduring organisational success.</w:t>
      </w:r>
    </w:p>
    <w:p w:rsidR="00C00497" w:rsidRPr="00A33EB4" w:rsidRDefault="002E7D6B" w:rsidP="002E7D6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33EB4">
        <w:rPr>
          <w:rFonts w:ascii="Times New Roman" w:eastAsia="Times New Roman" w:hAnsi="Times New Roman" w:cs="Times New Roman"/>
          <w:b/>
          <w:bCs/>
          <w:sz w:val="24"/>
          <w:szCs w:val="24"/>
        </w:rPr>
        <w:t>4.4 DISCUSSION OF THE FINDINGS</w:t>
      </w:r>
    </w:p>
    <w:p w:rsidR="00C00497" w:rsidRPr="00A33EB4" w:rsidRDefault="00C00497" w:rsidP="002E7D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33EB4">
        <w:rPr>
          <w:rFonts w:ascii="Times New Roman" w:eastAsia="Times New Roman" w:hAnsi="Times New Roman" w:cs="Times New Roman"/>
          <w:b/>
          <w:bCs/>
          <w:sz w:val="24"/>
          <w:szCs w:val="24"/>
        </w:rPr>
        <w:t>4.4.1 Top Management Commitment and Flexibility Performance</w:t>
      </w:r>
    </w:p>
    <w:p w:rsidR="00C00497" w:rsidRPr="00A33EB4" w:rsidRDefault="00C00497" w:rsidP="002E7D6B">
      <w:pPr>
        <w:spacing w:before="100" w:beforeAutospacing="1" w:after="100" w:afterAutospacing="1" w:line="360" w:lineRule="auto"/>
        <w:jc w:val="both"/>
        <w:rPr>
          <w:rFonts w:ascii="Times New Roman" w:eastAsia="Times New Roman" w:hAnsi="Times New Roman" w:cs="Times New Roman"/>
          <w:sz w:val="24"/>
          <w:szCs w:val="24"/>
        </w:rPr>
      </w:pPr>
      <w:r w:rsidRPr="00A33EB4">
        <w:rPr>
          <w:rFonts w:ascii="Times New Roman" w:eastAsia="Times New Roman" w:hAnsi="Times New Roman" w:cs="Times New Roman"/>
          <w:sz w:val="24"/>
          <w:szCs w:val="24"/>
        </w:rPr>
        <w:t xml:space="preserve">The results confirm that </w:t>
      </w:r>
      <w:r w:rsidRPr="00EE384F">
        <w:rPr>
          <w:rFonts w:ascii="Times New Roman" w:eastAsia="Times New Roman" w:hAnsi="Times New Roman" w:cs="Times New Roman"/>
          <w:bCs/>
          <w:sz w:val="24"/>
          <w:szCs w:val="24"/>
        </w:rPr>
        <w:t xml:space="preserve">Top Management Commitment </w:t>
      </w:r>
      <w:r w:rsidRPr="00A33EB4">
        <w:rPr>
          <w:rFonts w:ascii="Times New Roman" w:eastAsia="Times New Roman" w:hAnsi="Times New Roman" w:cs="Times New Roman"/>
          <w:sz w:val="24"/>
          <w:szCs w:val="24"/>
        </w:rPr>
        <w:t xml:space="preserve">exerts a significant positive influence on </w:t>
      </w:r>
      <w:r w:rsidRPr="00EE384F">
        <w:rPr>
          <w:rFonts w:ascii="Times New Roman" w:eastAsia="Times New Roman" w:hAnsi="Times New Roman" w:cs="Times New Roman"/>
          <w:bCs/>
          <w:sz w:val="24"/>
          <w:szCs w:val="24"/>
        </w:rPr>
        <w:t xml:space="preserve">Flexibility Performance </w:t>
      </w:r>
      <w:r w:rsidRPr="00A33EB4">
        <w:rPr>
          <w:rFonts w:ascii="Times New Roman" w:eastAsia="Times New Roman" w:hAnsi="Times New Roman" w:cs="Times New Roman"/>
          <w:sz w:val="24"/>
          <w:szCs w:val="24"/>
        </w:rPr>
        <w:t xml:space="preserve">(β = 0.349, p &lt; 0.001). This finding aligns with recent evidence that leadership commitment is a cornerstone of organisational adaptability and quality improvement. Studies by </w:t>
      </w:r>
      <w:r w:rsidR="002E7D6B" w:rsidRPr="00A33EB4">
        <w:rPr>
          <w:rFonts w:ascii="Times New Roman" w:eastAsia="Times New Roman" w:hAnsi="Times New Roman" w:cs="Times New Roman"/>
          <w:sz w:val="24"/>
          <w:szCs w:val="24"/>
        </w:rPr>
        <w:t>(</w:t>
      </w:r>
      <w:r w:rsidR="00856EC1">
        <w:rPr>
          <w:rFonts w:ascii="Times New Roman" w:eastAsia="Times New Roman" w:hAnsi="Times New Roman" w:cs="Times New Roman"/>
          <w:sz w:val="24"/>
          <w:szCs w:val="24"/>
        </w:rPr>
        <w:t xml:space="preserve">Sikota et al. 2026; </w:t>
      </w:r>
      <w:r w:rsidRPr="00A33EB4">
        <w:rPr>
          <w:rFonts w:ascii="Times New Roman" w:eastAsia="Times New Roman" w:hAnsi="Times New Roman" w:cs="Times New Roman"/>
          <w:iCs/>
          <w:sz w:val="24"/>
          <w:szCs w:val="24"/>
        </w:rPr>
        <w:t>Al-Dhaafri et al. 2016</w:t>
      </w:r>
      <w:r w:rsidR="002E7D6B" w:rsidRPr="00A33EB4">
        <w:rPr>
          <w:rFonts w:ascii="Times New Roman" w:eastAsia="Times New Roman" w:hAnsi="Times New Roman" w:cs="Times New Roman"/>
          <w:iCs/>
          <w:sz w:val="24"/>
          <w:szCs w:val="24"/>
        </w:rPr>
        <w:t xml:space="preserve">; </w:t>
      </w:r>
      <w:r w:rsidRPr="00A33EB4">
        <w:rPr>
          <w:rFonts w:ascii="Times New Roman" w:eastAsia="Times New Roman" w:hAnsi="Times New Roman" w:cs="Times New Roman"/>
          <w:iCs/>
          <w:sz w:val="24"/>
          <w:szCs w:val="24"/>
        </w:rPr>
        <w:t xml:space="preserve">Sahoo </w:t>
      </w:r>
      <w:r w:rsidR="002E7D6B" w:rsidRPr="00A33EB4">
        <w:rPr>
          <w:rFonts w:ascii="Times New Roman" w:eastAsia="Times New Roman" w:hAnsi="Times New Roman" w:cs="Times New Roman"/>
          <w:iCs/>
          <w:sz w:val="24"/>
          <w:szCs w:val="24"/>
        </w:rPr>
        <w:t xml:space="preserve">and Yadav, </w:t>
      </w:r>
      <w:r w:rsidRPr="00A33EB4">
        <w:rPr>
          <w:rFonts w:ascii="Times New Roman" w:eastAsia="Times New Roman" w:hAnsi="Times New Roman" w:cs="Times New Roman"/>
          <w:iCs/>
          <w:sz w:val="24"/>
          <w:szCs w:val="24"/>
        </w:rPr>
        <w:t>2018,)</w:t>
      </w:r>
      <w:r w:rsidRPr="00A33EB4">
        <w:rPr>
          <w:rFonts w:ascii="Times New Roman" w:eastAsia="Times New Roman" w:hAnsi="Times New Roman" w:cs="Times New Roman"/>
          <w:sz w:val="24"/>
          <w:szCs w:val="24"/>
        </w:rPr>
        <w:t xml:space="preserve"> demonstrate that managerial support enhances process responsiveness and innovation, enabling organisations to adjust swiftly to market changes.</w:t>
      </w:r>
      <w:r w:rsidR="00856EC1">
        <w:rPr>
          <w:rFonts w:ascii="Times New Roman" w:eastAsia="Times New Roman" w:hAnsi="Times New Roman" w:cs="Times New Roman"/>
          <w:sz w:val="24"/>
          <w:szCs w:val="24"/>
        </w:rPr>
        <w:t xml:space="preserve"> </w:t>
      </w:r>
      <w:r w:rsidRPr="00A33EB4">
        <w:rPr>
          <w:rFonts w:ascii="Times New Roman" w:eastAsia="Times New Roman" w:hAnsi="Times New Roman" w:cs="Times New Roman"/>
          <w:sz w:val="24"/>
          <w:szCs w:val="24"/>
        </w:rPr>
        <w:t xml:space="preserve">From the </w:t>
      </w:r>
      <w:r w:rsidRPr="00EE384F">
        <w:rPr>
          <w:rFonts w:ascii="Times New Roman" w:eastAsia="Times New Roman" w:hAnsi="Times New Roman" w:cs="Times New Roman"/>
          <w:bCs/>
          <w:sz w:val="24"/>
          <w:szCs w:val="24"/>
        </w:rPr>
        <w:t>Resource-Based View (RBV)</w:t>
      </w:r>
      <w:r w:rsidRPr="00EE384F">
        <w:rPr>
          <w:rFonts w:ascii="Times New Roman" w:eastAsia="Times New Roman" w:hAnsi="Times New Roman" w:cs="Times New Roman"/>
          <w:sz w:val="24"/>
          <w:szCs w:val="24"/>
        </w:rPr>
        <w:t>,</w:t>
      </w:r>
      <w:r w:rsidRPr="00A33EB4">
        <w:rPr>
          <w:rFonts w:ascii="Times New Roman" w:eastAsia="Times New Roman" w:hAnsi="Times New Roman" w:cs="Times New Roman"/>
          <w:sz w:val="24"/>
          <w:szCs w:val="24"/>
        </w:rPr>
        <w:t xml:space="preserve"> leadership commitment </w:t>
      </w:r>
      <w:r w:rsidRPr="00A33EB4">
        <w:rPr>
          <w:rFonts w:ascii="Times New Roman" w:eastAsia="Times New Roman" w:hAnsi="Times New Roman" w:cs="Times New Roman"/>
          <w:sz w:val="24"/>
          <w:szCs w:val="24"/>
        </w:rPr>
        <w:lastRenderedPageBreak/>
        <w:t xml:space="preserve">represents a strategic intangible resource that fosters organisational agility and learning capabilities (Barney, 1991; </w:t>
      </w:r>
      <w:r w:rsidRPr="00A33EB4">
        <w:rPr>
          <w:rFonts w:ascii="Times New Roman" w:eastAsia="Times New Roman" w:hAnsi="Times New Roman" w:cs="Times New Roman"/>
          <w:iCs/>
          <w:sz w:val="24"/>
          <w:szCs w:val="24"/>
        </w:rPr>
        <w:t xml:space="preserve">Kafetzopoulos </w:t>
      </w:r>
      <w:r w:rsidR="002E7D6B" w:rsidRPr="00A33EB4">
        <w:rPr>
          <w:rFonts w:ascii="Times New Roman" w:eastAsia="Times New Roman" w:hAnsi="Times New Roman" w:cs="Times New Roman"/>
          <w:iCs/>
          <w:sz w:val="24"/>
          <w:szCs w:val="24"/>
        </w:rPr>
        <w:t>and</w:t>
      </w:r>
      <w:r w:rsidRPr="00A33EB4">
        <w:rPr>
          <w:rFonts w:ascii="Times New Roman" w:eastAsia="Times New Roman" w:hAnsi="Times New Roman" w:cs="Times New Roman"/>
          <w:iCs/>
          <w:sz w:val="24"/>
          <w:szCs w:val="24"/>
        </w:rPr>
        <w:t xml:space="preserve"> Psomas, 2015</w:t>
      </w:r>
      <w:r w:rsidRPr="00A33EB4">
        <w:rPr>
          <w:rFonts w:ascii="Times New Roman" w:eastAsia="Times New Roman" w:hAnsi="Times New Roman" w:cs="Times New Roman"/>
          <w:sz w:val="24"/>
          <w:szCs w:val="24"/>
        </w:rPr>
        <w:t>). In the Zambian service context, visible top management involvement in quality initiatives signals institutional support for flexibility, thereby embedding adaptability into organisational routines. This supports the notion that leadership-driven quality cultures are essential for sustaining operational resilience in dynamic service environments.</w:t>
      </w:r>
    </w:p>
    <w:p w:rsidR="00C00497" w:rsidRPr="00A33EB4" w:rsidRDefault="00C00497" w:rsidP="002E7D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33EB4">
        <w:rPr>
          <w:rFonts w:ascii="Times New Roman" w:eastAsia="Times New Roman" w:hAnsi="Times New Roman" w:cs="Times New Roman"/>
          <w:b/>
          <w:bCs/>
          <w:sz w:val="24"/>
          <w:szCs w:val="24"/>
        </w:rPr>
        <w:t>4.4.2 Employee Involvement and Flexibility Performance</w:t>
      </w:r>
    </w:p>
    <w:p w:rsidR="00C00497" w:rsidRPr="00A33EB4" w:rsidRDefault="00C00497" w:rsidP="002E7D6B">
      <w:pPr>
        <w:spacing w:before="100" w:beforeAutospacing="1" w:after="100" w:afterAutospacing="1" w:line="360" w:lineRule="auto"/>
        <w:jc w:val="both"/>
        <w:rPr>
          <w:rFonts w:ascii="Times New Roman" w:eastAsia="Times New Roman" w:hAnsi="Times New Roman" w:cs="Times New Roman"/>
          <w:sz w:val="24"/>
          <w:szCs w:val="24"/>
        </w:rPr>
      </w:pPr>
      <w:r w:rsidRPr="00A33EB4">
        <w:rPr>
          <w:rFonts w:ascii="Times New Roman" w:eastAsia="Times New Roman" w:hAnsi="Times New Roman" w:cs="Times New Roman"/>
          <w:sz w:val="24"/>
          <w:szCs w:val="24"/>
        </w:rPr>
        <w:t xml:space="preserve">The positive and significant relationship between </w:t>
      </w:r>
      <w:r w:rsidRPr="00856EC1">
        <w:rPr>
          <w:rFonts w:ascii="Times New Roman" w:eastAsia="Times New Roman" w:hAnsi="Times New Roman" w:cs="Times New Roman"/>
          <w:bCs/>
          <w:sz w:val="24"/>
          <w:szCs w:val="24"/>
        </w:rPr>
        <w:t xml:space="preserve">Employee Involvement </w:t>
      </w:r>
      <w:r w:rsidRPr="00856EC1">
        <w:rPr>
          <w:rFonts w:ascii="Times New Roman" w:eastAsia="Times New Roman" w:hAnsi="Times New Roman" w:cs="Times New Roman"/>
          <w:sz w:val="24"/>
          <w:szCs w:val="24"/>
        </w:rPr>
        <w:t xml:space="preserve">and </w:t>
      </w:r>
      <w:r w:rsidRPr="00856EC1">
        <w:rPr>
          <w:rFonts w:ascii="Times New Roman" w:eastAsia="Times New Roman" w:hAnsi="Times New Roman" w:cs="Times New Roman"/>
          <w:bCs/>
          <w:sz w:val="24"/>
          <w:szCs w:val="24"/>
        </w:rPr>
        <w:t xml:space="preserve">Flexibility Performance </w:t>
      </w:r>
      <w:r w:rsidRPr="00A33EB4">
        <w:rPr>
          <w:rFonts w:ascii="Times New Roman" w:eastAsia="Times New Roman" w:hAnsi="Times New Roman" w:cs="Times New Roman"/>
          <w:sz w:val="24"/>
          <w:szCs w:val="24"/>
        </w:rPr>
        <w:t xml:space="preserve">(β = 0.279, p = 0.002) underscores the critical role of workforce engagement in achieving operational agility. Recent research by </w:t>
      </w:r>
      <w:r w:rsidR="00D61E16">
        <w:rPr>
          <w:rFonts w:ascii="Times New Roman" w:eastAsia="Times New Roman" w:hAnsi="Times New Roman" w:cs="Times New Roman"/>
          <w:bCs/>
          <w:sz w:val="24"/>
          <w:szCs w:val="24"/>
        </w:rPr>
        <w:t>Alam et al.</w:t>
      </w:r>
      <w:r w:rsidR="002E7D6B" w:rsidRPr="00A33EB4">
        <w:rPr>
          <w:rFonts w:ascii="Times New Roman" w:eastAsia="Times New Roman" w:hAnsi="Times New Roman" w:cs="Times New Roman"/>
          <w:iCs/>
          <w:sz w:val="24"/>
          <w:szCs w:val="24"/>
        </w:rPr>
        <w:t>, (202</w:t>
      </w:r>
      <w:r w:rsidR="00D61E16">
        <w:rPr>
          <w:rFonts w:ascii="Times New Roman" w:eastAsia="Times New Roman" w:hAnsi="Times New Roman" w:cs="Times New Roman"/>
          <w:iCs/>
          <w:sz w:val="24"/>
          <w:szCs w:val="24"/>
        </w:rPr>
        <w:t>4</w:t>
      </w:r>
      <w:r w:rsidR="002E7D6B" w:rsidRPr="00A33EB4">
        <w:rPr>
          <w:rFonts w:ascii="Times New Roman" w:eastAsia="Times New Roman" w:hAnsi="Times New Roman" w:cs="Times New Roman"/>
          <w:iCs/>
          <w:sz w:val="24"/>
          <w:szCs w:val="24"/>
        </w:rPr>
        <w:t>)</w:t>
      </w:r>
      <w:r w:rsidRPr="00A33EB4">
        <w:rPr>
          <w:rFonts w:ascii="Times New Roman" w:eastAsia="Times New Roman" w:hAnsi="Times New Roman" w:cs="Times New Roman"/>
          <w:iCs/>
          <w:sz w:val="24"/>
          <w:szCs w:val="24"/>
        </w:rPr>
        <w:t xml:space="preserve"> </w:t>
      </w:r>
      <w:r w:rsidRPr="00A33EB4">
        <w:rPr>
          <w:rFonts w:ascii="Times New Roman" w:eastAsia="Times New Roman" w:hAnsi="Times New Roman" w:cs="Times New Roman"/>
          <w:sz w:val="24"/>
          <w:szCs w:val="24"/>
        </w:rPr>
        <w:t xml:space="preserve">and </w:t>
      </w:r>
      <w:r w:rsidR="002E7D6B" w:rsidRPr="00A33EB4">
        <w:rPr>
          <w:rFonts w:ascii="Times New Roman" w:eastAsia="Times New Roman" w:hAnsi="Times New Roman" w:cs="Times New Roman"/>
          <w:iCs/>
          <w:sz w:val="24"/>
          <w:szCs w:val="24"/>
        </w:rPr>
        <w:t>Kumar et al. (2020)</w:t>
      </w:r>
      <w:r w:rsidRPr="00A33EB4">
        <w:rPr>
          <w:rFonts w:ascii="Times New Roman" w:eastAsia="Times New Roman" w:hAnsi="Times New Roman" w:cs="Times New Roman"/>
          <w:sz w:val="24"/>
          <w:szCs w:val="24"/>
        </w:rPr>
        <w:t xml:space="preserve"> affirms that empowered employees contribute to process innovation and continuous improvement, enhancing organisational responsiveness.</w:t>
      </w:r>
      <w:r w:rsidR="00856EC1">
        <w:rPr>
          <w:rFonts w:ascii="Times New Roman" w:eastAsia="Times New Roman" w:hAnsi="Times New Roman" w:cs="Times New Roman"/>
          <w:sz w:val="24"/>
          <w:szCs w:val="24"/>
        </w:rPr>
        <w:t xml:space="preserve"> </w:t>
      </w:r>
      <w:r w:rsidRPr="00A33EB4">
        <w:rPr>
          <w:rFonts w:ascii="Times New Roman" w:eastAsia="Times New Roman" w:hAnsi="Times New Roman" w:cs="Times New Roman"/>
          <w:sz w:val="24"/>
          <w:szCs w:val="24"/>
        </w:rPr>
        <w:t xml:space="preserve">The </w:t>
      </w:r>
      <w:r w:rsidRPr="00856EC1">
        <w:rPr>
          <w:rFonts w:ascii="Times New Roman" w:eastAsia="Times New Roman" w:hAnsi="Times New Roman" w:cs="Times New Roman"/>
          <w:bCs/>
          <w:sz w:val="24"/>
          <w:szCs w:val="24"/>
        </w:rPr>
        <w:t>Social Exchange Theory (SET)</w:t>
      </w:r>
      <w:r w:rsidRPr="00A33EB4">
        <w:rPr>
          <w:rFonts w:ascii="Times New Roman" w:eastAsia="Times New Roman" w:hAnsi="Times New Roman" w:cs="Times New Roman"/>
          <w:sz w:val="24"/>
          <w:szCs w:val="24"/>
        </w:rPr>
        <w:t xml:space="preserve"> provides a compelling explanation: when employees perceive reciprocal trust and recognition from management, they reciprocate through proactive problem-solving and commitment to organisational goals (</w:t>
      </w:r>
      <w:r w:rsidRPr="00A33EB4">
        <w:rPr>
          <w:rFonts w:ascii="Times New Roman" w:eastAsia="Times New Roman" w:hAnsi="Times New Roman" w:cs="Times New Roman"/>
          <w:iCs/>
          <w:sz w:val="24"/>
          <w:szCs w:val="24"/>
        </w:rPr>
        <w:t>Cropanzano et al., 2017</w:t>
      </w:r>
      <w:r w:rsidRPr="00A33EB4">
        <w:rPr>
          <w:rFonts w:ascii="Times New Roman" w:eastAsia="Times New Roman" w:hAnsi="Times New Roman" w:cs="Times New Roman"/>
          <w:sz w:val="24"/>
          <w:szCs w:val="24"/>
        </w:rPr>
        <w:t>). In service organisations, where human interaction defines performance outcomes, employee involvement strengthens adaptability and customer-centric service delivery. This finding reinforces the argument that participatory management structures are vital for embedding flexibility into organisational processes.</w:t>
      </w:r>
    </w:p>
    <w:p w:rsidR="00C00497" w:rsidRPr="00A33EB4" w:rsidRDefault="00C00497" w:rsidP="002E7D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33EB4">
        <w:rPr>
          <w:rFonts w:ascii="Times New Roman" w:eastAsia="Times New Roman" w:hAnsi="Times New Roman" w:cs="Times New Roman"/>
          <w:b/>
          <w:bCs/>
          <w:sz w:val="24"/>
          <w:szCs w:val="24"/>
        </w:rPr>
        <w:t>4.4.3 Flexibility Performance and Non-Financial Organisational Performance</w:t>
      </w:r>
    </w:p>
    <w:p w:rsidR="00170123" w:rsidRDefault="00E93F6B" w:rsidP="00170123">
      <w:pPr>
        <w:spacing w:line="360" w:lineRule="auto"/>
        <w:jc w:val="both"/>
        <w:rPr>
          <w:rFonts w:ascii="Times New Roman" w:eastAsia="Times New Roman" w:hAnsi="Times New Roman" w:cs="Times New Roman"/>
          <w:sz w:val="24"/>
          <w:szCs w:val="24"/>
        </w:rPr>
      </w:pPr>
      <w:r w:rsidRPr="00E93F6B">
        <w:rPr>
          <w:rFonts w:ascii="Times New Roman" w:hAnsi="Times New Roman" w:cs="Times New Roman"/>
          <w:iCs/>
          <w:sz w:val="24"/>
          <w:szCs w:val="24"/>
        </w:rPr>
        <w:t>The strong positive effect of Flexibility Performance on Non-Financial Organisational Performance (β = 0.706, p &lt; 0.001) highlights flexibility as a key operational capability driving customer satisfaction, employee morale, and continuous improvement. This result is consistent with</w:t>
      </w:r>
      <w:r w:rsidRPr="00E93F6B">
        <w:rPr>
          <w:rFonts w:ascii="Times New Roman" w:hAnsi="Times New Roman" w:cs="Times New Roman"/>
          <w:i/>
          <w:iCs/>
          <w:sz w:val="24"/>
          <w:szCs w:val="24"/>
        </w:rPr>
        <w:t xml:space="preserve"> </w:t>
      </w:r>
      <w:r>
        <w:rPr>
          <w:rFonts w:ascii="Times New Roman" w:hAnsi="Times New Roman" w:cs="Times New Roman"/>
          <w:bCs/>
          <w:iCs/>
          <w:sz w:val="24"/>
          <w:szCs w:val="24"/>
        </w:rPr>
        <w:t>Awais</w:t>
      </w:r>
      <w:r w:rsidRPr="00E93F6B">
        <w:rPr>
          <w:rFonts w:ascii="Times New Roman" w:hAnsi="Times New Roman" w:cs="Times New Roman"/>
          <w:bCs/>
          <w:iCs/>
          <w:sz w:val="24"/>
          <w:szCs w:val="24"/>
        </w:rPr>
        <w:t xml:space="preserve"> </w:t>
      </w:r>
      <w:r>
        <w:rPr>
          <w:rFonts w:ascii="Times New Roman" w:hAnsi="Times New Roman" w:cs="Times New Roman"/>
          <w:bCs/>
          <w:iCs/>
          <w:sz w:val="24"/>
          <w:szCs w:val="24"/>
        </w:rPr>
        <w:t>et al.</w:t>
      </w:r>
      <w:r w:rsidRPr="00E93F6B">
        <w:rPr>
          <w:rFonts w:ascii="Times New Roman" w:hAnsi="Times New Roman" w:cs="Times New Roman"/>
          <w:bCs/>
          <w:iCs/>
          <w:sz w:val="24"/>
          <w:szCs w:val="24"/>
        </w:rPr>
        <w:t xml:space="preserve"> (2023)</w:t>
      </w:r>
      <w:r w:rsidRPr="00E93F6B">
        <w:rPr>
          <w:rFonts w:ascii="Times New Roman" w:hAnsi="Times New Roman" w:cs="Times New Roman"/>
          <w:b/>
          <w:i/>
          <w:iCs/>
          <w:sz w:val="24"/>
          <w:szCs w:val="24"/>
        </w:rPr>
        <w:t>,</w:t>
      </w:r>
      <w:r w:rsidRPr="00E93F6B">
        <w:rPr>
          <w:rFonts w:ascii="Times New Roman" w:hAnsi="Times New Roman" w:cs="Times New Roman"/>
          <w:i/>
          <w:iCs/>
          <w:sz w:val="24"/>
          <w:szCs w:val="24"/>
        </w:rPr>
        <w:t xml:space="preserve"> </w:t>
      </w:r>
      <w:r w:rsidRPr="00E93F6B">
        <w:rPr>
          <w:rFonts w:ascii="Times New Roman" w:hAnsi="Times New Roman" w:cs="Times New Roman"/>
          <w:iCs/>
          <w:sz w:val="24"/>
          <w:szCs w:val="24"/>
        </w:rPr>
        <w:t>who found that flexible systems enhance service reliability and responsiveness, leading to improved non-financial outcomes.</w:t>
      </w:r>
      <w:r>
        <w:rPr>
          <w:rFonts w:ascii="Times New Roman" w:hAnsi="Times New Roman" w:cs="Times New Roman"/>
          <w:i/>
          <w:sz w:val="24"/>
          <w:szCs w:val="24"/>
        </w:rPr>
        <w:t xml:space="preserve"> </w:t>
      </w:r>
      <w:r w:rsidR="007E51E3" w:rsidRPr="007E51E3">
        <w:rPr>
          <w:rFonts w:ascii="Times New Roman" w:eastAsia="Times New Roman" w:hAnsi="Times New Roman" w:cs="Times New Roman"/>
          <w:sz w:val="24"/>
          <w:szCs w:val="24"/>
        </w:rPr>
        <w:t>From the RBV perspective, flexibility constitutes a dynamic capability that enables organisations to reconfigure resources and processes to meet evolving custome</w:t>
      </w:r>
      <w:r w:rsidR="007E51E3">
        <w:rPr>
          <w:rFonts w:ascii="Times New Roman" w:eastAsia="Times New Roman" w:hAnsi="Times New Roman" w:cs="Times New Roman"/>
          <w:sz w:val="24"/>
          <w:szCs w:val="24"/>
        </w:rPr>
        <w:t>r needs (Teece et al.</w:t>
      </w:r>
      <w:r w:rsidR="007E51E3" w:rsidRPr="007E51E3">
        <w:rPr>
          <w:rFonts w:ascii="Times New Roman" w:eastAsia="Times New Roman" w:hAnsi="Times New Roman" w:cs="Times New Roman"/>
          <w:sz w:val="24"/>
          <w:szCs w:val="24"/>
        </w:rPr>
        <w:t>, 1997; Sun</w:t>
      </w:r>
      <w:r w:rsidR="007E51E3">
        <w:rPr>
          <w:rFonts w:ascii="Times New Roman" w:eastAsia="Times New Roman" w:hAnsi="Times New Roman" w:cs="Times New Roman"/>
          <w:sz w:val="24"/>
          <w:szCs w:val="24"/>
        </w:rPr>
        <w:t xml:space="preserve"> et al.</w:t>
      </w:r>
      <w:r w:rsidR="007E51E3" w:rsidRPr="007E51E3">
        <w:rPr>
          <w:rFonts w:ascii="Times New Roman" w:eastAsia="Times New Roman" w:hAnsi="Times New Roman" w:cs="Times New Roman"/>
          <w:sz w:val="24"/>
          <w:szCs w:val="24"/>
        </w:rPr>
        <w:t>, 2024).</w:t>
      </w:r>
      <w:r w:rsidR="00C00497" w:rsidRPr="00A33EB4">
        <w:rPr>
          <w:rFonts w:ascii="Times New Roman" w:eastAsia="Times New Roman" w:hAnsi="Times New Roman" w:cs="Times New Roman"/>
          <w:sz w:val="24"/>
          <w:szCs w:val="24"/>
        </w:rPr>
        <w:t xml:space="preserve"> In the Zambian </w:t>
      </w:r>
      <w:r w:rsidR="00856EC1" w:rsidRPr="00A33EB4">
        <w:rPr>
          <w:rFonts w:ascii="Times New Roman" w:eastAsia="Times New Roman" w:hAnsi="Times New Roman" w:cs="Times New Roman"/>
          <w:sz w:val="24"/>
          <w:szCs w:val="24"/>
        </w:rPr>
        <w:t>Service Sector</w:t>
      </w:r>
      <w:r w:rsidR="00C00497" w:rsidRPr="00A33EB4">
        <w:rPr>
          <w:rFonts w:ascii="Times New Roman" w:eastAsia="Times New Roman" w:hAnsi="Times New Roman" w:cs="Times New Roman"/>
          <w:sz w:val="24"/>
          <w:szCs w:val="24"/>
        </w:rPr>
        <w:t xml:space="preserve">, flexibility allows firms to tailor services efficiently, thereby improving customer experiences and internal motivation. </w:t>
      </w:r>
      <w:r w:rsidR="00170123" w:rsidRPr="00170123">
        <w:rPr>
          <w:rFonts w:ascii="Times New Roman" w:eastAsia="Times New Roman" w:hAnsi="Times New Roman" w:cs="Times New Roman"/>
          <w:sz w:val="24"/>
          <w:szCs w:val="24"/>
        </w:rPr>
        <w:t>The finding thus supports the growing consensus that non-</w:t>
      </w:r>
      <w:r w:rsidR="00170123" w:rsidRPr="00170123">
        <w:rPr>
          <w:rFonts w:ascii="Times New Roman" w:eastAsia="Times New Roman" w:hAnsi="Times New Roman" w:cs="Times New Roman"/>
          <w:sz w:val="24"/>
          <w:szCs w:val="24"/>
        </w:rPr>
        <w:lastRenderedPageBreak/>
        <w:t xml:space="preserve">financial indicators are critical predictors of long-term organisational sustainability (Eccles, Ioannou, </w:t>
      </w:r>
      <w:r w:rsidR="00170123">
        <w:rPr>
          <w:rFonts w:ascii="Times New Roman" w:eastAsia="Times New Roman" w:hAnsi="Times New Roman" w:cs="Times New Roman"/>
          <w:sz w:val="24"/>
          <w:szCs w:val="24"/>
        </w:rPr>
        <w:t>and</w:t>
      </w:r>
      <w:r w:rsidR="00170123" w:rsidRPr="00170123">
        <w:rPr>
          <w:rFonts w:ascii="Times New Roman" w:eastAsia="Times New Roman" w:hAnsi="Times New Roman" w:cs="Times New Roman"/>
          <w:sz w:val="24"/>
          <w:szCs w:val="24"/>
        </w:rPr>
        <w:t xml:space="preserve"> Serafeim, 2014).</w:t>
      </w:r>
    </w:p>
    <w:p w:rsidR="00170123" w:rsidRDefault="00C00497" w:rsidP="00170123">
      <w:pPr>
        <w:spacing w:line="360" w:lineRule="auto"/>
        <w:jc w:val="both"/>
        <w:rPr>
          <w:rFonts w:ascii="Times New Roman" w:eastAsia="Times New Roman" w:hAnsi="Times New Roman" w:cs="Times New Roman"/>
          <w:sz w:val="24"/>
          <w:szCs w:val="24"/>
        </w:rPr>
      </w:pPr>
      <w:r w:rsidRPr="00A33EB4">
        <w:rPr>
          <w:rFonts w:ascii="Times New Roman" w:eastAsia="Times New Roman" w:hAnsi="Times New Roman" w:cs="Times New Roman"/>
          <w:b/>
          <w:bCs/>
          <w:sz w:val="24"/>
          <w:szCs w:val="24"/>
        </w:rPr>
        <w:t>4.4.4 Mediating Role of Flexibility Performance</w:t>
      </w:r>
    </w:p>
    <w:p w:rsidR="00170123" w:rsidRDefault="00C00497" w:rsidP="00170123">
      <w:pPr>
        <w:spacing w:line="360" w:lineRule="auto"/>
        <w:jc w:val="both"/>
        <w:rPr>
          <w:rFonts w:ascii="Times New Roman" w:eastAsia="Times New Roman" w:hAnsi="Times New Roman" w:cs="Times New Roman"/>
          <w:sz w:val="24"/>
          <w:szCs w:val="24"/>
        </w:rPr>
      </w:pPr>
      <w:r w:rsidRPr="00A33EB4">
        <w:rPr>
          <w:rFonts w:ascii="Times New Roman" w:eastAsia="Times New Roman" w:hAnsi="Times New Roman" w:cs="Times New Roman"/>
          <w:sz w:val="24"/>
          <w:szCs w:val="24"/>
        </w:rPr>
        <w:t xml:space="preserve">The analysis confirms that </w:t>
      </w:r>
      <w:r w:rsidRPr="00937E5B">
        <w:rPr>
          <w:rFonts w:ascii="Times New Roman" w:eastAsia="Times New Roman" w:hAnsi="Times New Roman" w:cs="Times New Roman"/>
          <w:bCs/>
          <w:sz w:val="24"/>
          <w:szCs w:val="24"/>
        </w:rPr>
        <w:t>Flexibility Performance</w:t>
      </w:r>
      <w:r w:rsidRPr="00A33EB4">
        <w:rPr>
          <w:rFonts w:ascii="Times New Roman" w:eastAsia="Times New Roman" w:hAnsi="Times New Roman" w:cs="Times New Roman"/>
          <w:sz w:val="24"/>
          <w:szCs w:val="24"/>
        </w:rPr>
        <w:t xml:space="preserve"> mediates the relationship between TQM practices (T</w:t>
      </w:r>
      <w:r w:rsidR="00937E5B">
        <w:rPr>
          <w:rFonts w:ascii="Times New Roman" w:eastAsia="Times New Roman" w:hAnsi="Times New Roman" w:cs="Times New Roman"/>
          <w:sz w:val="24"/>
          <w:szCs w:val="24"/>
        </w:rPr>
        <w:t xml:space="preserve">op </w:t>
      </w:r>
      <w:r w:rsidRPr="00A33EB4">
        <w:rPr>
          <w:rFonts w:ascii="Times New Roman" w:eastAsia="Times New Roman" w:hAnsi="Times New Roman" w:cs="Times New Roman"/>
          <w:sz w:val="24"/>
          <w:szCs w:val="24"/>
        </w:rPr>
        <w:t>M</w:t>
      </w:r>
      <w:r w:rsidR="00937E5B">
        <w:rPr>
          <w:rFonts w:ascii="Times New Roman" w:eastAsia="Times New Roman" w:hAnsi="Times New Roman" w:cs="Times New Roman"/>
          <w:sz w:val="24"/>
          <w:szCs w:val="24"/>
        </w:rPr>
        <w:t xml:space="preserve">anagement </w:t>
      </w:r>
      <w:r w:rsidRPr="00A33EB4">
        <w:rPr>
          <w:rFonts w:ascii="Times New Roman" w:eastAsia="Times New Roman" w:hAnsi="Times New Roman" w:cs="Times New Roman"/>
          <w:sz w:val="24"/>
          <w:szCs w:val="24"/>
        </w:rPr>
        <w:t>C</w:t>
      </w:r>
      <w:r w:rsidR="00937E5B">
        <w:rPr>
          <w:rFonts w:ascii="Times New Roman" w:eastAsia="Times New Roman" w:hAnsi="Times New Roman" w:cs="Times New Roman"/>
          <w:sz w:val="24"/>
          <w:szCs w:val="24"/>
        </w:rPr>
        <w:t>ommitment</w:t>
      </w:r>
      <w:r w:rsidRPr="00A33EB4">
        <w:rPr>
          <w:rFonts w:ascii="Times New Roman" w:eastAsia="Times New Roman" w:hAnsi="Times New Roman" w:cs="Times New Roman"/>
          <w:sz w:val="24"/>
          <w:szCs w:val="24"/>
        </w:rPr>
        <w:t xml:space="preserve"> and E</w:t>
      </w:r>
      <w:r w:rsidR="00937E5B">
        <w:rPr>
          <w:rFonts w:ascii="Times New Roman" w:eastAsia="Times New Roman" w:hAnsi="Times New Roman" w:cs="Times New Roman"/>
          <w:sz w:val="24"/>
          <w:szCs w:val="24"/>
        </w:rPr>
        <w:t xml:space="preserve">mployee </w:t>
      </w:r>
      <w:r w:rsidRPr="00A33EB4">
        <w:rPr>
          <w:rFonts w:ascii="Times New Roman" w:eastAsia="Times New Roman" w:hAnsi="Times New Roman" w:cs="Times New Roman"/>
          <w:sz w:val="24"/>
          <w:szCs w:val="24"/>
        </w:rPr>
        <w:t>I</w:t>
      </w:r>
      <w:r w:rsidR="00937E5B">
        <w:rPr>
          <w:rFonts w:ascii="Times New Roman" w:eastAsia="Times New Roman" w:hAnsi="Times New Roman" w:cs="Times New Roman"/>
          <w:sz w:val="24"/>
          <w:szCs w:val="24"/>
        </w:rPr>
        <w:t>nvolvement</w:t>
      </w:r>
      <w:r w:rsidRPr="00A33EB4">
        <w:rPr>
          <w:rFonts w:ascii="Times New Roman" w:eastAsia="Times New Roman" w:hAnsi="Times New Roman" w:cs="Times New Roman"/>
          <w:sz w:val="24"/>
          <w:szCs w:val="24"/>
        </w:rPr>
        <w:t xml:space="preserve">) and non-financial outcomes. This mediation underscores flexibility as the operational bridge linking leadership and employee engagement to organisational success. Similar mediation effects have been reported by </w:t>
      </w:r>
      <w:r w:rsidR="00937E5B" w:rsidRPr="00937E5B">
        <w:rPr>
          <w:rFonts w:ascii="Times New Roman" w:eastAsia="Times New Roman" w:hAnsi="Times New Roman" w:cs="Times New Roman"/>
          <w:iCs/>
          <w:sz w:val="24"/>
          <w:szCs w:val="24"/>
        </w:rPr>
        <w:t>Kafetzopoulos et al. (2019</w:t>
      </w:r>
      <w:r w:rsidRPr="00937E5B">
        <w:rPr>
          <w:rFonts w:ascii="Times New Roman" w:eastAsia="Times New Roman" w:hAnsi="Times New Roman" w:cs="Times New Roman"/>
          <w:iCs/>
          <w:sz w:val="24"/>
          <w:szCs w:val="24"/>
        </w:rPr>
        <w:t>)</w:t>
      </w:r>
      <w:r w:rsidRPr="00A33EB4">
        <w:rPr>
          <w:rFonts w:ascii="Times New Roman" w:eastAsia="Times New Roman" w:hAnsi="Times New Roman" w:cs="Times New Roman"/>
          <w:sz w:val="24"/>
          <w:szCs w:val="24"/>
        </w:rPr>
        <w:t>, who found that operational performance mediates the influence of TQM on organisational results.</w:t>
      </w:r>
      <w:r w:rsidR="00937E5B">
        <w:rPr>
          <w:rFonts w:ascii="Times New Roman" w:eastAsia="Times New Roman" w:hAnsi="Times New Roman" w:cs="Times New Roman"/>
          <w:sz w:val="24"/>
          <w:szCs w:val="24"/>
        </w:rPr>
        <w:t xml:space="preserve"> </w:t>
      </w:r>
      <w:r w:rsidRPr="00A33EB4">
        <w:rPr>
          <w:rFonts w:ascii="Times New Roman" w:eastAsia="Times New Roman" w:hAnsi="Times New Roman" w:cs="Times New Roman"/>
          <w:sz w:val="24"/>
          <w:szCs w:val="24"/>
        </w:rPr>
        <w:t>Theoretically, this supports the integration of R</w:t>
      </w:r>
      <w:r w:rsidR="00937E5B">
        <w:rPr>
          <w:rFonts w:ascii="Times New Roman" w:eastAsia="Times New Roman" w:hAnsi="Times New Roman" w:cs="Times New Roman"/>
          <w:sz w:val="24"/>
          <w:szCs w:val="24"/>
        </w:rPr>
        <w:t xml:space="preserve">esource </w:t>
      </w:r>
      <w:r w:rsidRPr="00A33EB4">
        <w:rPr>
          <w:rFonts w:ascii="Times New Roman" w:eastAsia="Times New Roman" w:hAnsi="Times New Roman" w:cs="Times New Roman"/>
          <w:sz w:val="24"/>
          <w:szCs w:val="24"/>
        </w:rPr>
        <w:t>B</w:t>
      </w:r>
      <w:r w:rsidR="00937E5B">
        <w:rPr>
          <w:rFonts w:ascii="Times New Roman" w:eastAsia="Times New Roman" w:hAnsi="Times New Roman" w:cs="Times New Roman"/>
          <w:sz w:val="24"/>
          <w:szCs w:val="24"/>
        </w:rPr>
        <w:t xml:space="preserve">ased </w:t>
      </w:r>
      <w:r w:rsidRPr="00A33EB4">
        <w:rPr>
          <w:rFonts w:ascii="Times New Roman" w:eastAsia="Times New Roman" w:hAnsi="Times New Roman" w:cs="Times New Roman"/>
          <w:sz w:val="24"/>
          <w:szCs w:val="24"/>
        </w:rPr>
        <w:t>V</w:t>
      </w:r>
      <w:r w:rsidR="00937E5B">
        <w:rPr>
          <w:rFonts w:ascii="Times New Roman" w:eastAsia="Times New Roman" w:hAnsi="Times New Roman" w:cs="Times New Roman"/>
          <w:sz w:val="24"/>
          <w:szCs w:val="24"/>
        </w:rPr>
        <w:t>iew</w:t>
      </w:r>
      <w:r w:rsidRPr="00A33EB4">
        <w:rPr>
          <w:rFonts w:ascii="Times New Roman" w:eastAsia="Times New Roman" w:hAnsi="Times New Roman" w:cs="Times New Roman"/>
          <w:sz w:val="24"/>
          <w:szCs w:val="24"/>
        </w:rPr>
        <w:t xml:space="preserve"> and S</w:t>
      </w:r>
      <w:r w:rsidR="00937E5B">
        <w:rPr>
          <w:rFonts w:ascii="Times New Roman" w:eastAsia="Times New Roman" w:hAnsi="Times New Roman" w:cs="Times New Roman"/>
          <w:sz w:val="24"/>
          <w:szCs w:val="24"/>
        </w:rPr>
        <w:t xml:space="preserve">ocial </w:t>
      </w:r>
      <w:r w:rsidRPr="00A33EB4">
        <w:rPr>
          <w:rFonts w:ascii="Times New Roman" w:eastAsia="Times New Roman" w:hAnsi="Times New Roman" w:cs="Times New Roman"/>
          <w:sz w:val="24"/>
          <w:szCs w:val="24"/>
        </w:rPr>
        <w:t>E</w:t>
      </w:r>
      <w:r w:rsidR="00937E5B">
        <w:rPr>
          <w:rFonts w:ascii="Times New Roman" w:eastAsia="Times New Roman" w:hAnsi="Times New Roman" w:cs="Times New Roman"/>
          <w:sz w:val="24"/>
          <w:szCs w:val="24"/>
        </w:rPr>
        <w:t xml:space="preserve">xchange </w:t>
      </w:r>
      <w:r w:rsidRPr="00A33EB4">
        <w:rPr>
          <w:rFonts w:ascii="Times New Roman" w:eastAsia="Times New Roman" w:hAnsi="Times New Roman" w:cs="Times New Roman"/>
          <w:sz w:val="24"/>
          <w:szCs w:val="24"/>
        </w:rPr>
        <w:t>T</w:t>
      </w:r>
      <w:r w:rsidR="00937E5B">
        <w:rPr>
          <w:rFonts w:ascii="Times New Roman" w:eastAsia="Times New Roman" w:hAnsi="Times New Roman" w:cs="Times New Roman"/>
          <w:sz w:val="24"/>
          <w:szCs w:val="24"/>
        </w:rPr>
        <w:t>heory</w:t>
      </w:r>
      <w:r w:rsidRPr="00A33EB4">
        <w:rPr>
          <w:rFonts w:ascii="Times New Roman" w:eastAsia="Times New Roman" w:hAnsi="Times New Roman" w:cs="Times New Roman"/>
          <w:sz w:val="24"/>
          <w:szCs w:val="24"/>
        </w:rPr>
        <w:t>: leadership commitment and employee involvement create a supportive environment that nurtures flexibility, which in turn enhances non-financial outcomes. Practically, it implies that service organisations should prioritise flexible structures and participatory cultures to translate quality initiatives into sustained performance improvements.</w:t>
      </w:r>
    </w:p>
    <w:p w:rsidR="00C00497" w:rsidRPr="00A33EB4" w:rsidRDefault="00C00497" w:rsidP="00170123">
      <w:pPr>
        <w:spacing w:line="360" w:lineRule="auto"/>
        <w:jc w:val="both"/>
        <w:rPr>
          <w:rFonts w:ascii="Times New Roman" w:eastAsia="Times New Roman" w:hAnsi="Times New Roman" w:cs="Times New Roman"/>
          <w:sz w:val="24"/>
          <w:szCs w:val="24"/>
        </w:rPr>
      </w:pPr>
      <w:r w:rsidRPr="00937E5B">
        <w:rPr>
          <w:rFonts w:ascii="Times New Roman" w:eastAsia="Times New Roman" w:hAnsi="Times New Roman" w:cs="Times New Roman"/>
          <w:bCs/>
          <w:sz w:val="24"/>
          <w:szCs w:val="24"/>
        </w:rPr>
        <w:t>In summary</w:t>
      </w:r>
      <w:r w:rsidRPr="00A33EB4">
        <w:rPr>
          <w:rFonts w:ascii="Times New Roman" w:eastAsia="Times New Roman" w:hAnsi="Times New Roman" w:cs="Times New Roman"/>
          <w:sz w:val="24"/>
          <w:szCs w:val="24"/>
        </w:rPr>
        <w:t>, the findings affirm t</w:t>
      </w:r>
      <w:r w:rsidR="00937E5B">
        <w:rPr>
          <w:rFonts w:ascii="Times New Roman" w:eastAsia="Times New Roman" w:hAnsi="Times New Roman" w:cs="Times New Roman"/>
          <w:sz w:val="24"/>
          <w:szCs w:val="24"/>
        </w:rPr>
        <w:t xml:space="preserve">hat human-centred TQM practices </w:t>
      </w:r>
      <w:r w:rsidRPr="00A33EB4">
        <w:rPr>
          <w:rFonts w:ascii="Times New Roman" w:eastAsia="Times New Roman" w:hAnsi="Times New Roman" w:cs="Times New Roman"/>
          <w:sz w:val="24"/>
          <w:szCs w:val="24"/>
        </w:rPr>
        <w:t>anchored in leadership comm</w:t>
      </w:r>
      <w:r w:rsidR="00937E5B">
        <w:rPr>
          <w:rFonts w:ascii="Times New Roman" w:eastAsia="Times New Roman" w:hAnsi="Times New Roman" w:cs="Times New Roman"/>
          <w:sz w:val="24"/>
          <w:szCs w:val="24"/>
        </w:rPr>
        <w:t xml:space="preserve">itment and employee involvement </w:t>
      </w:r>
      <w:r w:rsidRPr="00A33EB4">
        <w:rPr>
          <w:rFonts w:ascii="Times New Roman" w:eastAsia="Times New Roman" w:hAnsi="Times New Roman" w:cs="Times New Roman"/>
          <w:sz w:val="24"/>
          <w:szCs w:val="24"/>
        </w:rPr>
        <w:t>drive flexibility performance, which mediates their impact on non-financial organisational success. This reinforces the strategic importance of cultivating adaptive, people-driven quality cultures in service organisations within emerging economies.</w:t>
      </w:r>
    </w:p>
    <w:p w:rsidR="00C00497" w:rsidRPr="00A33EB4" w:rsidRDefault="00C00497" w:rsidP="002E7D6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33EB4">
        <w:rPr>
          <w:rFonts w:ascii="Times New Roman" w:eastAsia="Times New Roman" w:hAnsi="Times New Roman" w:cs="Times New Roman"/>
          <w:b/>
          <w:bCs/>
          <w:sz w:val="24"/>
          <w:szCs w:val="24"/>
        </w:rPr>
        <w:t>5.0 Conclusion</w:t>
      </w:r>
    </w:p>
    <w:p w:rsidR="004D509D" w:rsidRPr="00293D18" w:rsidRDefault="004D509D" w:rsidP="004D509D">
      <w:pPr>
        <w:pStyle w:val="NormalWeb"/>
        <w:spacing w:line="360" w:lineRule="auto"/>
        <w:jc w:val="both"/>
      </w:pPr>
      <w:r w:rsidRPr="00293D18">
        <w:t>This study examined the influence of two human</w:t>
      </w:r>
      <w:r w:rsidRPr="00293D18">
        <w:noBreakHyphen/>
        <w:t xml:space="preserve">centred Total Quality Management (TQM) practices </w:t>
      </w:r>
      <w:r w:rsidRPr="00293D18">
        <w:rPr>
          <w:rStyle w:val="Strong"/>
          <w:b w:val="0"/>
        </w:rPr>
        <w:t xml:space="preserve">Top Management Commitment </w:t>
      </w:r>
      <w:r w:rsidRPr="00293D18">
        <w:t>and</w:t>
      </w:r>
      <w:r w:rsidRPr="00293D18">
        <w:rPr>
          <w:b/>
        </w:rPr>
        <w:t xml:space="preserve"> </w:t>
      </w:r>
      <w:r w:rsidRPr="00293D18">
        <w:rPr>
          <w:rStyle w:val="Strong"/>
          <w:b w:val="0"/>
        </w:rPr>
        <w:t xml:space="preserve">Employee Involvement </w:t>
      </w:r>
      <w:r w:rsidRPr="00293D18">
        <w:t>on</w:t>
      </w:r>
      <w:r w:rsidRPr="00293D18">
        <w:rPr>
          <w:b/>
        </w:rPr>
        <w:t xml:space="preserve"> </w:t>
      </w:r>
      <w:r w:rsidRPr="00293D18">
        <w:rPr>
          <w:rStyle w:val="Strong"/>
          <w:b w:val="0"/>
        </w:rPr>
        <w:t>Flexibility Performance</w:t>
      </w:r>
      <w:r w:rsidRPr="00293D18">
        <w:rPr>
          <w:b/>
        </w:rPr>
        <w:t xml:space="preserve">, </w:t>
      </w:r>
      <w:r w:rsidRPr="00293D18">
        <w:t>and how F</w:t>
      </w:r>
      <w:r w:rsidR="002B582E" w:rsidRPr="00293D18">
        <w:t xml:space="preserve">lexibility </w:t>
      </w:r>
      <w:r w:rsidRPr="00293D18">
        <w:t>P</w:t>
      </w:r>
      <w:r w:rsidR="002B582E" w:rsidRPr="00293D18">
        <w:t>erformance</w:t>
      </w:r>
      <w:r w:rsidRPr="00293D18">
        <w:t xml:space="preserve"> mediates their effect on</w:t>
      </w:r>
      <w:r w:rsidRPr="00293D18">
        <w:rPr>
          <w:b/>
        </w:rPr>
        <w:t xml:space="preserve"> </w:t>
      </w:r>
      <w:r w:rsidRPr="00293D18">
        <w:rPr>
          <w:rStyle w:val="Strong"/>
          <w:b w:val="0"/>
        </w:rPr>
        <w:t>Non</w:t>
      </w:r>
      <w:r w:rsidRPr="00293D18">
        <w:rPr>
          <w:rStyle w:val="Strong"/>
          <w:b w:val="0"/>
        </w:rPr>
        <w:noBreakHyphen/>
        <w:t xml:space="preserve">Financial Organisational Performance </w:t>
      </w:r>
      <w:r w:rsidRPr="00293D18">
        <w:t xml:space="preserve">in Zambia’s </w:t>
      </w:r>
      <w:r w:rsidR="002B582E" w:rsidRPr="00293D18">
        <w:t>Service Sector</w:t>
      </w:r>
      <w:r w:rsidRPr="00293D18">
        <w:t>. Using PLS</w:t>
      </w:r>
      <w:r w:rsidRPr="00293D18">
        <w:noBreakHyphen/>
        <w:t>SEM and data from 240 organisations, the findings confirm that leadership commitment and employee engagement significantly enhance organisational adaptability, which in turn drives improvements in customer satisfaction, employee morale, and continuous improvement.</w:t>
      </w:r>
      <w:r w:rsidR="003B5500" w:rsidRPr="00293D18">
        <w:t xml:space="preserve"> </w:t>
      </w:r>
      <w:r w:rsidRPr="00293D18">
        <w:t>The contributions of this research are threefold:</w:t>
      </w:r>
    </w:p>
    <w:p w:rsidR="002B582E" w:rsidRPr="00293D18" w:rsidRDefault="004D509D" w:rsidP="002B582E">
      <w:pPr>
        <w:pStyle w:val="NormalWeb"/>
        <w:spacing w:line="360" w:lineRule="auto"/>
        <w:jc w:val="both"/>
      </w:pPr>
      <w:r w:rsidRPr="00293D18">
        <w:rPr>
          <w:rStyle w:val="Strong"/>
        </w:rPr>
        <w:t>Contribution to Theory</w:t>
      </w:r>
      <w:r w:rsidRPr="00293D18">
        <w:t>: By focusing exclusively on T</w:t>
      </w:r>
      <w:r w:rsidR="002B582E" w:rsidRPr="00293D18">
        <w:t xml:space="preserve">op </w:t>
      </w:r>
      <w:r w:rsidRPr="00293D18">
        <w:t>M</w:t>
      </w:r>
      <w:r w:rsidR="002B582E" w:rsidRPr="00293D18">
        <w:t xml:space="preserve">anagement </w:t>
      </w:r>
      <w:r w:rsidRPr="00293D18">
        <w:t>C</w:t>
      </w:r>
      <w:r w:rsidR="002B582E" w:rsidRPr="00293D18">
        <w:t>ommitment</w:t>
      </w:r>
      <w:r w:rsidRPr="00293D18">
        <w:t xml:space="preserve"> and E</w:t>
      </w:r>
      <w:r w:rsidR="002B582E" w:rsidRPr="00293D18">
        <w:t xml:space="preserve">mployee </w:t>
      </w:r>
      <w:r w:rsidRPr="00293D18">
        <w:t>I</w:t>
      </w:r>
      <w:r w:rsidR="002B582E" w:rsidRPr="00293D18">
        <w:t>nvolvement</w:t>
      </w:r>
      <w:r w:rsidRPr="00293D18">
        <w:t>, the study advances the Resource</w:t>
      </w:r>
      <w:r w:rsidRPr="00293D18">
        <w:noBreakHyphen/>
        <w:t xml:space="preserve">Based View </w:t>
      </w:r>
      <w:r w:rsidR="002B582E" w:rsidRPr="00293D18">
        <w:t xml:space="preserve">theory </w:t>
      </w:r>
      <w:r w:rsidRPr="00293D18">
        <w:t xml:space="preserve">by conceptualising </w:t>
      </w:r>
      <w:r w:rsidRPr="00293D18">
        <w:lastRenderedPageBreak/>
        <w:t>these human</w:t>
      </w:r>
      <w:r w:rsidRPr="00293D18">
        <w:noBreakHyphen/>
        <w:t>centred practices as strategic resources that build organisational agility. It also validates Social Exchange Theory by showing how reciprocal exchanges between management and employees foster trust, motivation, and innovation. The empirical confirmation of flexibility performance as a mediating construct strengthens theoretical understanding of how human</w:t>
      </w:r>
      <w:r w:rsidRPr="00293D18">
        <w:noBreakHyphen/>
        <w:t>centred practices translate into non</w:t>
      </w:r>
      <w:r w:rsidRPr="00293D18">
        <w:noBreakHyphen/>
        <w:t>financial outcomes.</w:t>
      </w:r>
    </w:p>
    <w:p w:rsidR="004D509D" w:rsidRPr="00293D18" w:rsidRDefault="004D509D" w:rsidP="002B582E">
      <w:pPr>
        <w:pStyle w:val="NormalWeb"/>
        <w:spacing w:line="360" w:lineRule="auto"/>
        <w:jc w:val="both"/>
      </w:pPr>
      <w:r w:rsidRPr="00293D18">
        <w:rPr>
          <w:rStyle w:val="Strong"/>
        </w:rPr>
        <w:t>Contribution to Practice</w:t>
      </w:r>
      <w:r w:rsidRPr="00293D18">
        <w:t>: For managers and policymakers, the findings highlight that visible leadership commitment and active employee involvement are not peripheral but central drivers of organisational agility. Flexibility emerges as the mechanism through which service firms sustain non</w:t>
      </w:r>
      <w:r w:rsidRPr="00293D18">
        <w:noBreakHyphen/>
        <w:t>financial outcomes, underscoring the importance of embedding human</w:t>
      </w:r>
      <w:r w:rsidRPr="00293D18">
        <w:noBreakHyphen/>
        <w:t>centred quality practices into daily operations to achieve long</w:t>
      </w:r>
      <w:r w:rsidRPr="00293D18">
        <w:noBreakHyphen/>
        <w:t>term competitiveness.</w:t>
      </w:r>
    </w:p>
    <w:p w:rsidR="004D509D" w:rsidRPr="00293D18" w:rsidRDefault="004D509D" w:rsidP="002B582E">
      <w:pPr>
        <w:pStyle w:val="NormalWeb"/>
        <w:spacing w:line="360" w:lineRule="auto"/>
        <w:jc w:val="both"/>
      </w:pPr>
      <w:r w:rsidRPr="00293D18">
        <w:rPr>
          <w:rStyle w:val="Strong"/>
        </w:rPr>
        <w:t>Contribution to Context</w:t>
      </w:r>
      <w:r w:rsidRPr="00293D18">
        <w:t>: Situated in Zambia’s under</w:t>
      </w:r>
      <w:r w:rsidRPr="00293D18">
        <w:noBreakHyphen/>
        <w:t>researched service sector, the study fills a critical gap in African TQM scholarship. By providing empirical evidence from hospitality, retail, financial, and energy organisations, it contextualises global theories within an emerging economy setting, offering insights that are both locally relevant and globally significant.</w:t>
      </w:r>
    </w:p>
    <w:p w:rsidR="00C00497" w:rsidRPr="00A33EB4" w:rsidRDefault="00C00497" w:rsidP="002E7D6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33EB4">
        <w:rPr>
          <w:rFonts w:ascii="Times New Roman" w:eastAsia="Times New Roman" w:hAnsi="Times New Roman" w:cs="Times New Roman"/>
          <w:b/>
          <w:bCs/>
          <w:sz w:val="24"/>
          <w:szCs w:val="24"/>
        </w:rPr>
        <w:t>5.1 Limitation and Future Research Study</w:t>
      </w:r>
    </w:p>
    <w:p w:rsidR="00A2608C" w:rsidRPr="00D25429" w:rsidRDefault="00A2608C" w:rsidP="00D25429">
      <w:pPr>
        <w:spacing w:before="100" w:beforeAutospacing="1" w:after="100" w:afterAutospacing="1" w:line="360" w:lineRule="auto"/>
        <w:jc w:val="both"/>
        <w:rPr>
          <w:rFonts w:ascii="Times New Roman" w:eastAsia="Times New Roman" w:hAnsi="Times New Roman" w:cs="Times New Roman"/>
          <w:sz w:val="24"/>
          <w:szCs w:val="24"/>
          <w:highlight w:val="yellow"/>
        </w:rPr>
      </w:pPr>
      <w:r w:rsidRPr="00D25429">
        <w:rPr>
          <w:rFonts w:ascii="Times New Roman" w:eastAsia="Times New Roman" w:hAnsi="Times New Roman" w:cs="Times New Roman"/>
          <w:sz w:val="24"/>
          <w:szCs w:val="24"/>
        </w:rPr>
        <w:t>Despite its methodological rigor, this study acknowledges several limitations that provide avenues for future inquiry:</w:t>
      </w:r>
    </w:p>
    <w:p w:rsidR="00D25429" w:rsidRPr="00D25429" w:rsidRDefault="00D25429" w:rsidP="00D25429">
      <w:pPr>
        <w:spacing w:after="120" w:line="360" w:lineRule="auto"/>
        <w:jc w:val="both"/>
        <w:rPr>
          <w:rFonts w:ascii="Times New Roman" w:eastAsia="Times New Roman" w:hAnsi="Times New Roman" w:cs="Times New Roman"/>
          <w:sz w:val="24"/>
          <w:szCs w:val="24"/>
        </w:rPr>
      </w:pPr>
      <w:r w:rsidRPr="00D25429">
        <w:rPr>
          <w:rFonts w:ascii="Times New Roman" w:eastAsia="Times New Roman" w:hAnsi="Times New Roman" w:cs="Times New Roman"/>
          <w:b/>
          <w:sz w:val="24"/>
          <w:szCs w:val="24"/>
        </w:rPr>
        <w:t>Cross-sectional design:</w:t>
      </w:r>
      <w:r w:rsidRPr="00D25429">
        <w:rPr>
          <w:rFonts w:ascii="Times New Roman" w:eastAsia="Times New Roman" w:hAnsi="Times New Roman" w:cs="Times New Roman"/>
          <w:sz w:val="24"/>
          <w:szCs w:val="24"/>
        </w:rPr>
        <w:t xml:space="preserve"> Data were collected at a single point in time, thereby constraining the capacity to capture dynamic changes in Total Quality Management (TQM) practices, flexibility performance, and organisational outcomes. Future research should employ longitudinal designs to monitor the evolution of these relationships over time, thereby enhancing causal inference and elucidating temporal dynamics.</w:t>
      </w:r>
    </w:p>
    <w:p w:rsidR="00D25429" w:rsidRPr="00D25429" w:rsidRDefault="00D25429" w:rsidP="00D25429">
      <w:pPr>
        <w:spacing w:after="120" w:line="360" w:lineRule="auto"/>
        <w:jc w:val="both"/>
        <w:rPr>
          <w:rFonts w:ascii="Times New Roman" w:eastAsia="Times New Roman" w:hAnsi="Times New Roman" w:cs="Times New Roman"/>
          <w:sz w:val="24"/>
          <w:szCs w:val="24"/>
        </w:rPr>
      </w:pPr>
      <w:r w:rsidRPr="00D25429">
        <w:rPr>
          <w:rFonts w:ascii="Times New Roman" w:eastAsia="Times New Roman" w:hAnsi="Times New Roman" w:cs="Times New Roman"/>
          <w:b/>
          <w:sz w:val="24"/>
          <w:szCs w:val="24"/>
        </w:rPr>
        <w:t xml:space="preserve">Self-reported data: </w:t>
      </w:r>
      <w:r w:rsidRPr="00D25429">
        <w:rPr>
          <w:rFonts w:ascii="Times New Roman" w:eastAsia="Times New Roman" w:hAnsi="Times New Roman" w:cs="Times New Roman"/>
          <w:sz w:val="24"/>
          <w:szCs w:val="24"/>
        </w:rPr>
        <w:t>The reliance on structured questionnaires introduces the risk of response bias, as participants may offer socially desirable rather than entirely objective assessments. Subsequent studies could mitigate this by integrating objective performance metrics, incorporating external audits, or combining surveys with observational methods to reduce bias and bolster validity.</w:t>
      </w:r>
    </w:p>
    <w:p w:rsidR="00D25429" w:rsidRPr="00D25429" w:rsidRDefault="00D25429" w:rsidP="00D25429">
      <w:pPr>
        <w:spacing w:after="120" w:line="360" w:lineRule="auto"/>
        <w:jc w:val="both"/>
        <w:rPr>
          <w:rFonts w:ascii="Times New Roman" w:eastAsia="Times New Roman" w:hAnsi="Times New Roman" w:cs="Times New Roman"/>
          <w:sz w:val="24"/>
          <w:szCs w:val="24"/>
        </w:rPr>
      </w:pPr>
      <w:r w:rsidRPr="00D25429">
        <w:rPr>
          <w:rFonts w:ascii="Times New Roman" w:eastAsia="Times New Roman" w:hAnsi="Times New Roman" w:cs="Times New Roman"/>
          <w:b/>
          <w:sz w:val="24"/>
          <w:szCs w:val="24"/>
        </w:rPr>
        <w:lastRenderedPageBreak/>
        <w:t>Sample skewness:</w:t>
      </w:r>
      <w:r w:rsidRPr="00D25429">
        <w:rPr>
          <w:rFonts w:ascii="Times New Roman" w:eastAsia="Times New Roman" w:hAnsi="Times New Roman" w:cs="Times New Roman"/>
          <w:sz w:val="24"/>
          <w:szCs w:val="24"/>
        </w:rPr>
        <w:t xml:space="preserve"> Although 240 valid responses were obtained, the sample may not fully capture the diversity of the broader service sector, with potential non-response bias and uneven representation across sub-sectors. Future research should broaden the sampling frame and employ stratified random sampling across multiple service industries to improve representativeness and generalisability.</w:t>
      </w:r>
    </w:p>
    <w:p w:rsidR="00D25429" w:rsidRPr="00D25429" w:rsidRDefault="00D25429" w:rsidP="00D25429">
      <w:pPr>
        <w:spacing w:after="120" w:line="360" w:lineRule="auto"/>
        <w:jc w:val="both"/>
        <w:rPr>
          <w:rFonts w:ascii="Times New Roman" w:eastAsia="Times New Roman" w:hAnsi="Times New Roman" w:cs="Times New Roman"/>
          <w:sz w:val="24"/>
          <w:szCs w:val="24"/>
        </w:rPr>
      </w:pPr>
      <w:r w:rsidRPr="00D25429">
        <w:rPr>
          <w:rFonts w:ascii="Times New Roman" w:eastAsia="Times New Roman" w:hAnsi="Times New Roman" w:cs="Times New Roman"/>
          <w:b/>
          <w:sz w:val="24"/>
          <w:szCs w:val="24"/>
        </w:rPr>
        <w:t>Limited TQM dimensions:</w:t>
      </w:r>
      <w:r w:rsidRPr="00D25429">
        <w:rPr>
          <w:rFonts w:ascii="Times New Roman" w:eastAsia="Times New Roman" w:hAnsi="Times New Roman" w:cs="Times New Roman"/>
          <w:sz w:val="24"/>
          <w:szCs w:val="24"/>
        </w:rPr>
        <w:t xml:space="preserve"> The present study primarily examined top management commitment and employee involvement, omitting other essential TQM dimensions such as customer focus and continuous improvement. Future research should incorporate a more comprehensive array of TQM practices to provide a holistic understanding of how various dimensions interact to influence organisational outcomes.</w:t>
      </w:r>
    </w:p>
    <w:p w:rsidR="00D25429" w:rsidRPr="00D25429" w:rsidRDefault="00D25429" w:rsidP="00D25429">
      <w:pPr>
        <w:spacing w:after="120" w:line="360" w:lineRule="auto"/>
        <w:jc w:val="both"/>
        <w:rPr>
          <w:rFonts w:ascii="Times New Roman" w:eastAsia="Times New Roman" w:hAnsi="Times New Roman" w:cs="Times New Roman"/>
          <w:sz w:val="24"/>
          <w:szCs w:val="24"/>
        </w:rPr>
      </w:pPr>
      <w:r w:rsidRPr="00D25429">
        <w:rPr>
          <w:rFonts w:ascii="Times New Roman" w:eastAsia="Times New Roman" w:hAnsi="Times New Roman" w:cs="Times New Roman"/>
          <w:b/>
          <w:sz w:val="24"/>
          <w:szCs w:val="24"/>
        </w:rPr>
        <w:t>Absence of qualitative triangulation:</w:t>
      </w:r>
      <w:r w:rsidRPr="00D25429">
        <w:rPr>
          <w:rFonts w:ascii="Times New Roman" w:eastAsia="Times New Roman" w:hAnsi="Times New Roman" w:cs="Times New Roman"/>
          <w:sz w:val="24"/>
          <w:szCs w:val="24"/>
        </w:rPr>
        <w:t xml:space="preserve"> The exclusive reliance on quantitative methods limited the ability to capture nuanced managerial and employee perspectives regarding TQM implementation and flexibility. Future research should adopt mixed-methods approaches, combining quantitative surveys with qualitative interviews or case studies to enrich insights and provide deeper contextual understanding.</w:t>
      </w:r>
    </w:p>
    <w:p w:rsidR="00A2608C" w:rsidRPr="00D25429" w:rsidRDefault="00A2608C" w:rsidP="00D25429">
      <w:pPr>
        <w:spacing w:before="100" w:beforeAutospacing="1" w:after="100" w:afterAutospacing="1" w:line="360" w:lineRule="auto"/>
        <w:jc w:val="both"/>
        <w:rPr>
          <w:rFonts w:ascii="Times New Roman" w:eastAsia="Times New Roman" w:hAnsi="Times New Roman" w:cs="Times New Roman"/>
          <w:sz w:val="24"/>
          <w:szCs w:val="24"/>
        </w:rPr>
      </w:pPr>
    </w:p>
    <w:p w:rsidR="00263787" w:rsidRDefault="00263787" w:rsidP="002E7D6B">
      <w:pPr>
        <w:spacing w:line="360" w:lineRule="auto"/>
        <w:jc w:val="both"/>
        <w:rPr>
          <w:rFonts w:ascii="Times New Roman" w:eastAsia="Times New Roman" w:hAnsi="Times New Roman" w:cs="Times New Roman"/>
          <w:sz w:val="24"/>
          <w:szCs w:val="24"/>
        </w:rPr>
      </w:pPr>
    </w:p>
    <w:p w:rsidR="007524A0" w:rsidRDefault="007524A0" w:rsidP="002E7D6B">
      <w:pPr>
        <w:spacing w:line="360" w:lineRule="auto"/>
        <w:jc w:val="both"/>
        <w:rPr>
          <w:rFonts w:ascii="Times New Roman" w:eastAsia="Times New Roman" w:hAnsi="Times New Roman" w:cs="Times New Roman"/>
          <w:sz w:val="24"/>
          <w:szCs w:val="24"/>
        </w:rPr>
      </w:pPr>
    </w:p>
    <w:p w:rsidR="007524A0" w:rsidRDefault="007524A0" w:rsidP="002E7D6B">
      <w:pPr>
        <w:spacing w:line="360" w:lineRule="auto"/>
        <w:jc w:val="both"/>
        <w:rPr>
          <w:rFonts w:ascii="Times New Roman" w:eastAsia="Times New Roman" w:hAnsi="Times New Roman" w:cs="Times New Roman"/>
          <w:sz w:val="24"/>
          <w:szCs w:val="24"/>
        </w:rPr>
      </w:pPr>
    </w:p>
    <w:p w:rsidR="007524A0" w:rsidRDefault="007524A0" w:rsidP="002E7D6B">
      <w:pPr>
        <w:spacing w:line="360" w:lineRule="auto"/>
        <w:jc w:val="both"/>
        <w:rPr>
          <w:rFonts w:ascii="Times New Roman" w:eastAsia="Times New Roman" w:hAnsi="Times New Roman" w:cs="Times New Roman"/>
          <w:sz w:val="24"/>
          <w:szCs w:val="24"/>
        </w:rPr>
      </w:pPr>
    </w:p>
    <w:p w:rsidR="007524A0" w:rsidRDefault="007524A0" w:rsidP="002E7D6B">
      <w:pPr>
        <w:spacing w:line="360" w:lineRule="auto"/>
        <w:jc w:val="both"/>
        <w:rPr>
          <w:rFonts w:ascii="Times New Roman" w:eastAsia="Times New Roman" w:hAnsi="Times New Roman" w:cs="Times New Roman"/>
          <w:sz w:val="24"/>
          <w:szCs w:val="24"/>
        </w:rPr>
      </w:pPr>
    </w:p>
    <w:p w:rsidR="00D25429" w:rsidRDefault="00D25429" w:rsidP="007524A0">
      <w:pPr>
        <w:spacing w:before="100" w:beforeAutospacing="1" w:after="100" w:afterAutospacing="1" w:line="360" w:lineRule="auto"/>
        <w:jc w:val="both"/>
        <w:rPr>
          <w:rFonts w:ascii="Times New Roman" w:eastAsia="Times New Roman" w:hAnsi="Times New Roman" w:cs="Times New Roman"/>
          <w:b/>
          <w:sz w:val="27"/>
          <w:szCs w:val="27"/>
        </w:rPr>
      </w:pPr>
    </w:p>
    <w:p w:rsidR="00D25429" w:rsidRDefault="00D25429" w:rsidP="007524A0">
      <w:pPr>
        <w:spacing w:before="100" w:beforeAutospacing="1" w:after="100" w:afterAutospacing="1" w:line="360" w:lineRule="auto"/>
        <w:jc w:val="both"/>
        <w:rPr>
          <w:rFonts w:ascii="Times New Roman" w:eastAsia="Times New Roman" w:hAnsi="Times New Roman" w:cs="Times New Roman"/>
          <w:b/>
          <w:sz w:val="27"/>
          <w:szCs w:val="27"/>
        </w:rPr>
      </w:pPr>
    </w:p>
    <w:p w:rsidR="00D25429" w:rsidRDefault="00D25429" w:rsidP="007524A0">
      <w:pPr>
        <w:spacing w:before="100" w:beforeAutospacing="1" w:after="100" w:afterAutospacing="1" w:line="360" w:lineRule="auto"/>
        <w:jc w:val="both"/>
        <w:rPr>
          <w:rFonts w:ascii="Times New Roman" w:eastAsia="Times New Roman" w:hAnsi="Times New Roman" w:cs="Times New Roman"/>
          <w:b/>
          <w:sz w:val="27"/>
          <w:szCs w:val="27"/>
        </w:rPr>
      </w:pPr>
    </w:p>
    <w:p w:rsidR="007524A0" w:rsidRPr="00F315D1" w:rsidRDefault="007524A0" w:rsidP="007524A0">
      <w:pPr>
        <w:spacing w:before="100" w:beforeAutospacing="1" w:after="100" w:afterAutospacing="1" w:line="360" w:lineRule="auto"/>
        <w:jc w:val="both"/>
        <w:rPr>
          <w:rFonts w:ascii="Times New Roman" w:eastAsia="Times New Roman" w:hAnsi="Times New Roman" w:cs="Times New Roman"/>
          <w:sz w:val="24"/>
          <w:szCs w:val="24"/>
        </w:rPr>
      </w:pPr>
      <w:r w:rsidRPr="0001668F">
        <w:rPr>
          <w:rFonts w:ascii="Times New Roman" w:eastAsia="Times New Roman" w:hAnsi="Times New Roman" w:cs="Times New Roman"/>
          <w:b/>
          <w:sz w:val="27"/>
          <w:szCs w:val="27"/>
        </w:rPr>
        <w:lastRenderedPageBreak/>
        <w:t>References</w:t>
      </w:r>
    </w:p>
    <w:p w:rsidR="007524A0" w:rsidRPr="0053268D" w:rsidRDefault="007524A0" w:rsidP="007524A0">
      <w:pPr>
        <w:spacing w:after="0" w:line="276" w:lineRule="auto"/>
        <w:ind w:left="567" w:hanging="567"/>
        <w:jc w:val="both"/>
        <w:rPr>
          <w:rFonts w:ascii="Times New Roman" w:hAnsi="Times New Roman" w:cs="Times New Roman"/>
          <w:sz w:val="24"/>
          <w:szCs w:val="24"/>
        </w:rPr>
      </w:pPr>
      <w:r w:rsidRPr="0053268D">
        <w:rPr>
          <w:rFonts w:ascii="Times New Roman" w:hAnsi="Times New Roman" w:cs="Times New Roman"/>
          <w:sz w:val="24"/>
          <w:szCs w:val="24"/>
        </w:rPr>
        <w:t xml:space="preserve">Abbas, J. and Kumari, K. (2023) ‘Examining the Relationship between Total Quality Management and Knowledge Management and their Impact on Organisational Performance: A Dimensional Analysis,’ </w:t>
      </w:r>
      <w:r w:rsidRPr="0053268D">
        <w:rPr>
          <w:rFonts w:ascii="Times New Roman" w:hAnsi="Times New Roman" w:cs="Times New Roman"/>
          <w:i/>
          <w:iCs/>
          <w:sz w:val="24"/>
          <w:szCs w:val="24"/>
        </w:rPr>
        <w:t>Journal of Economics and Administrative Sciences</w:t>
      </w:r>
      <w:r w:rsidRPr="0053268D">
        <w:rPr>
          <w:rFonts w:ascii="Times New Roman" w:hAnsi="Times New Roman" w:cs="Times New Roman"/>
          <w:sz w:val="24"/>
          <w:szCs w:val="24"/>
        </w:rPr>
        <w:t>, ISSN: 1026-4116, doi: </w:t>
      </w:r>
      <w:hyperlink r:id="rId10" w:tgtFrame="_blank" w:history="1">
        <w:r w:rsidRPr="0053268D">
          <w:rPr>
            <w:rStyle w:val="Hyperlink"/>
            <w:rFonts w:ascii="Times New Roman" w:eastAsia="Times New Roman" w:hAnsi="Times New Roman" w:cs="Times New Roman"/>
            <w:color w:val="000000" w:themeColor="text1"/>
            <w:sz w:val="24"/>
            <w:szCs w:val="24"/>
            <w:u w:val="none"/>
          </w:rPr>
          <w:t>https://doi.org/10.1108/JEAS-03-2021-0046</w:t>
        </w:r>
      </w:hyperlink>
    </w:p>
    <w:p w:rsidR="00D25429" w:rsidRPr="0053268D" w:rsidRDefault="00D25429" w:rsidP="00D25429">
      <w:pPr>
        <w:spacing w:after="0" w:line="276" w:lineRule="auto"/>
        <w:ind w:left="567" w:hanging="567"/>
        <w:jc w:val="both"/>
        <w:rPr>
          <w:rFonts w:ascii="Times New Roman" w:hAnsi="Times New Roman" w:cs="Times New Roman"/>
          <w:color w:val="000000" w:themeColor="text1"/>
          <w:sz w:val="24"/>
          <w:szCs w:val="24"/>
          <w:shd w:val="clear" w:color="auto" w:fill="FFFFFF"/>
        </w:rPr>
      </w:pPr>
      <w:r w:rsidRPr="0053268D">
        <w:rPr>
          <w:rFonts w:ascii="Times New Roman" w:eastAsia="Times New Roman" w:hAnsi="Times New Roman" w:cs="Times New Roman"/>
          <w:bCs/>
          <w:sz w:val="24"/>
          <w:szCs w:val="24"/>
        </w:rPr>
        <w:t xml:space="preserve">Adebanjo D, Teh P, Ahmed PK (2016), "The impact of external pressure and sustainable management practices on manufacturing performance and environmental outcomes". International Journal of Operations and Production Management, Vol. 36 No. 9 pp. 995–1013, doi: </w:t>
      </w:r>
      <w:hyperlink r:id="rId11" w:history="1">
        <w:r w:rsidRPr="00C81D1F">
          <w:rPr>
            <w:rFonts w:ascii="Times New Roman" w:eastAsia="Times New Roman" w:hAnsi="Times New Roman" w:cs="Times New Roman"/>
            <w:bCs/>
            <w:color w:val="000000" w:themeColor="text1"/>
            <w:sz w:val="24"/>
            <w:szCs w:val="24"/>
          </w:rPr>
          <w:t>https://doi.org/10.1108/IJOPM-11-2014-0543</w:t>
        </w:r>
      </w:hyperlink>
    </w:p>
    <w:p w:rsidR="0039126B" w:rsidRPr="0053268D" w:rsidRDefault="00D25429" w:rsidP="0039126B">
      <w:pPr>
        <w:spacing w:after="0" w:line="276" w:lineRule="auto"/>
        <w:ind w:left="567" w:hanging="567"/>
        <w:jc w:val="both"/>
        <w:rPr>
          <w:rFonts w:ascii="Times New Roman" w:eastAsia="Times New Roman" w:hAnsi="Times New Roman" w:cs="Times New Roman"/>
          <w:bCs/>
          <w:sz w:val="24"/>
          <w:szCs w:val="24"/>
        </w:rPr>
      </w:pPr>
      <w:r w:rsidRPr="0053268D">
        <w:rPr>
          <w:rFonts w:ascii="Times New Roman" w:eastAsia="Times New Roman" w:hAnsi="Times New Roman" w:cs="Times New Roman"/>
          <w:bCs/>
          <w:sz w:val="24"/>
          <w:szCs w:val="24"/>
        </w:rPr>
        <w:t xml:space="preserve">Agyeman, J. K., Ameyaw, B., Li, Y., Appiah-Kubi, J., Annan, A., Oppong, A., and Twumasi, M. A. (2020). Modeling the long-run drivers of total renewable energy consumption: Evidence from top five heavily polluted countries. Journal of Cleaner Production, 277, 123292. </w:t>
      </w:r>
      <w:hyperlink r:id="rId12" w:history="1">
        <w:r w:rsidRPr="00C81D1F">
          <w:rPr>
            <w:rFonts w:ascii="Times New Roman" w:eastAsia="Times New Roman" w:hAnsi="Times New Roman" w:cs="Times New Roman"/>
            <w:bCs/>
            <w:color w:val="000000" w:themeColor="text1"/>
            <w:sz w:val="24"/>
            <w:szCs w:val="24"/>
          </w:rPr>
          <w:t>https://doi.org/10.1016/j.jclepro.2020.123292</w:t>
        </w:r>
      </w:hyperlink>
    </w:p>
    <w:p w:rsidR="0039126B" w:rsidRPr="0053268D" w:rsidRDefault="0039126B" w:rsidP="0039126B">
      <w:pPr>
        <w:spacing w:after="0" w:line="276" w:lineRule="auto"/>
        <w:ind w:left="567" w:hanging="567"/>
        <w:jc w:val="both"/>
        <w:rPr>
          <w:rFonts w:ascii="Times New Roman" w:eastAsia="Times New Roman" w:hAnsi="Times New Roman" w:cs="Times New Roman"/>
          <w:bCs/>
          <w:sz w:val="24"/>
          <w:szCs w:val="24"/>
        </w:rPr>
      </w:pPr>
      <w:r w:rsidRPr="0039126B">
        <w:rPr>
          <w:rFonts w:ascii="Times New Roman" w:eastAsia="Times New Roman" w:hAnsi="Times New Roman" w:cs="Times New Roman"/>
          <w:bCs/>
          <w:sz w:val="24"/>
          <w:szCs w:val="24"/>
        </w:rPr>
        <w:t xml:space="preserve">Alam, S., Jumady, E., Fajriah, Y., Halim, A., and Hatta, S. (2024). Integrating Total Quality Management with Strategic, Operational, and Human Resource Management: A Qualitative Exploration of Synergies for Enhanced Organizational Performance. Golden Ratio of Marketing and Applied Psychology of Business, 4(2), 88–100. </w:t>
      </w:r>
      <w:hyperlink r:id="rId13" w:history="1">
        <w:r w:rsidRPr="00C81D1F">
          <w:rPr>
            <w:rFonts w:ascii="Times New Roman" w:eastAsia="Times New Roman" w:hAnsi="Times New Roman" w:cs="Times New Roman"/>
            <w:bCs/>
            <w:color w:val="000000" w:themeColor="text1"/>
            <w:sz w:val="24"/>
            <w:szCs w:val="24"/>
          </w:rPr>
          <w:t>https://doi.org/10.52970/grmapb.v4i2.439</w:t>
        </w:r>
      </w:hyperlink>
    </w:p>
    <w:p w:rsidR="007524A0" w:rsidRPr="0053268D" w:rsidRDefault="007524A0" w:rsidP="007524A0">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hAnsi="Times New Roman" w:cs="Times New Roman"/>
          <w:sz w:val="24"/>
          <w:szCs w:val="24"/>
        </w:rPr>
        <w:t xml:space="preserve">Al-Dhaafri, H.S. and Alosani, M.S. (2020) ‘Impact of Total Quality Management, Organisational Excellence and Entrepreneurial Orientation on Organisational Performance: Empirical Evidence from the Public Sector in UAE,’ </w:t>
      </w:r>
      <w:r w:rsidRPr="0053268D">
        <w:rPr>
          <w:rFonts w:ascii="Times New Roman" w:hAnsi="Times New Roman" w:cs="Times New Roman"/>
          <w:i/>
          <w:iCs/>
          <w:sz w:val="24"/>
          <w:szCs w:val="24"/>
        </w:rPr>
        <w:t>Benchmarking: An International Journal</w:t>
      </w:r>
      <w:r w:rsidRPr="0053268D">
        <w:rPr>
          <w:rFonts w:ascii="Times New Roman" w:hAnsi="Times New Roman" w:cs="Times New Roman"/>
          <w:sz w:val="24"/>
          <w:szCs w:val="24"/>
        </w:rPr>
        <w:t xml:space="preserve">, ISSN: 1463-5771, </w:t>
      </w:r>
      <w:r w:rsidRPr="0053268D">
        <w:rPr>
          <w:rFonts w:ascii="Times New Roman" w:hAnsi="Times New Roman" w:cs="Times New Roman"/>
          <w:color w:val="000000" w:themeColor="text1"/>
          <w:sz w:val="24"/>
          <w:szCs w:val="24"/>
        </w:rPr>
        <w:t>doi: </w:t>
      </w:r>
      <w:hyperlink r:id="rId14" w:tgtFrame="_blank" w:history="1">
        <w:r w:rsidRPr="0053268D">
          <w:rPr>
            <w:rStyle w:val="Hyperlink"/>
            <w:rFonts w:ascii="Times New Roman" w:hAnsi="Times New Roman" w:cs="Times New Roman"/>
            <w:color w:val="000000" w:themeColor="text1"/>
            <w:sz w:val="24"/>
            <w:szCs w:val="24"/>
            <w:u w:val="none"/>
          </w:rPr>
          <w:t>https://doi.org/10.1108/BIJ-02-2020-0082</w:t>
        </w:r>
      </w:hyperlink>
    </w:p>
    <w:p w:rsidR="007524A0" w:rsidRPr="00DE6307" w:rsidRDefault="007524A0" w:rsidP="007524A0">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hAnsi="Times New Roman" w:cs="Times New Roman"/>
          <w:sz w:val="24"/>
          <w:szCs w:val="24"/>
        </w:rPr>
        <w:t xml:space="preserve">Al-Dhaafri, H.S., Yusoff, R.Z. and Al-Swidi, A.K. (2016). ‘The effect of total quality management, enterprise resource planning, and the entrepreneurial orientation on organisational performance: The mediating role of organisational excellence’, </w:t>
      </w:r>
      <w:r w:rsidRPr="0053268D">
        <w:rPr>
          <w:rFonts w:ascii="Times New Roman" w:hAnsi="Times New Roman" w:cs="Times New Roman"/>
          <w:i/>
          <w:iCs/>
          <w:sz w:val="24"/>
          <w:szCs w:val="24"/>
        </w:rPr>
        <w:t>International Journal of Quality and Reliability Management</w:t>
      </w:r>
      <w:r w:rsidRPr="0053268D">
        <w:rPr>
          <w:rFonts w:ascii="Times New Roman" w:hAnsi="Times New Roman" w:cs="Times New Roman"/>
          <w:sz w:val="24"/>
          <w:szCs w:val="24"/>
        </w:rPr>
        <w:t xml:space="preserve">, 33(5), pp. 680–702, Doi: </w:t>
      </w:r>
      <w:hyperlink r:id="rId15" w:history="1">
        <w:r w:rsidRPr="0053268D">
          <w:rPr>
            <w:rStyle w:val="Hyperlink"/>
            <w:rFonts w:ascii="Times New Roman" w:hAnsi="Times New Roman" w:cs="Times New Roman"/>
            <w:color w:val="000000" w:themeColor="text1"/>
            <w:sz w:val="24"/>
            <w:szCs w:val="24"/>
            <w:u w:val="none"/>
          </w:rPr>
          <w:t>https://doi.org/10.5430/ijba.v4n1p66</w:t>
        </w:r>
      </w:hyperlink>
      <w:r>
        <w:rPr>
          <w:rFonts w:ascii="Times New Roman" w:hAnsi="Times New Roman" w:cs="Times New Roman"/>
          <w:sz w:val="24"/>
          <w:szCs w:val="24"/>
        </w:rPr>
        <w:t xml:space="preserve"> </w:t>
      </w:r>
    </w:p>
    <w:p w:rsidR="007524A0" w:rsidRPr="00DE6307" w:rsidRDefault="007524A0" w:rsidP="007524A0">
      <w:pPr>
        <w:spacing w:after="0" w:line="360" w:lineRule="auto"/>
        <w:ind w:left="567" w:hanging="567"/>
        <w:jc w:val="both"/>
        <w:rPr>
          <w:rFonts w:ascii="Times New Roman" w:hAnsi="Times New Roman" w:cs="Times New Roman"/>
          <w:sz w:val="24"/>
          <w:szCs w:val="24"/>
        </w:rPr>
      </w:pPr>
      <w:r w:rsidRPr="00080AEB">
        <w:rPr>
          <w:rFonts w:ascii="Times New Roman" w:hAnsi="Times New Roman" w:cs="Times New Roman"/>
          <w:sz w:val="24"/>
          <w:szCs w:val="24"/>
        </w:rPr>
        <w:t>Al-Shourah,</w:t>
      </w:r>
      <w:r>
        <w:rPr>
          <w:rFonts w:ascii="Times New Roman" w:hAnsi="Times New Roman" w:cs="Times New Roman"/>
          <w:sz w:val="24"/>
          <w:szCs w:val="24"/>
        </w:rPr>
        <w:t xml:space="preserve"> S., and</w:t>
      </w:r>
      <w:r w:rsidRPr="00080AEB">
        <w:rPr>
          <w:rFonts w:ascii="Times New Roman" w:hAnsi="Times New Roman" w:cs="Times New Roman"/>
          <w:sz w:val="24"/>
          <w:szCs w:val="24"/>
        </w:rPr>
        <w:t xml:space="preserve"> Al-Shourah</w:t>
      </w:r>
      <w:r>
        <w:rPr>
          <w:rFonts w:ascii="Times New Roman" w:hAnsi="Times New Roman" w:cs="Times New Roman"/>
          <w:sz w:val="24"/>
          <w:szCs w:val="24"/>
        </w:rPr>
        <w:t>, A.A.,</w:t>
      </w:r>
      <w:r w:rsidRPr="00080AEB">
        <w:rPr>
          <w:rFonts w:ascii="Times New Roman" w:hAnsi="Times New Roman" w:cs="Times New Roman"/>
          <w:sz w:val="24"/>
          <w:szCs w:val="24"/>
        </w:rPr>
        <w:t xml:space="preserve"> (2020). An examination between Total Quality Management and Hotel Financial Performance: Evidence from Jordanian International Hotels: Journal of Management Information and Decision Sciences Volume 23,</w:t>
      </w:r>
      <w:r w:rsidRPr="00DE6307">
        <w:t xml:space="preserve"> </w:t>
      </w:r>
      <w:r w:rsidRPr="00DE6307">
        <w:rPr>
          <w:rFonts w:ascii="Times New Roman" w:hAnsi="Times New Roman" w:cs="Times New Roman"/>
          <w:sz w:val="24"/>
          <w:szCs w:val="24"/>
        </w:rPr>
        <w:t>Doi 1532-5806-23-S1-211</w:t>
      </w:r>
    </w:p>
    <w:p w:rsidR="007524A0" w:rsidRPr="0053268D" w:rsidRDefault="007524A0" w:rsidP="007524A0">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hAnsi="Times New Roman" w:cs="Times New Roman"/>
          <w:sz w:val="24"/>
          <w:szCs w:val="24"/>
        </w:rPr>
        <w:t xml:space="preserve">Alzoubi, H. and Ahmed, G. (2019) ‘Do TQM Practices Improve Organisational Success? A Case Study of Electronics Industry in the UAE,’ </w:t>
      </w:r>
      <w:r w:rsidRPr="0053268D">
        <w:rPr>
          <w:rFonts w:ascii="Times New Roman" w:hAnsi="Times New Roman" w:cs="Times New Roman"/>
          <w:i/>
          <w:iCs/>
          <w:sz w:val="24"/>
          <w:szCs w:val="24"/>
        </w:rPr>
        <w:t>International Journal Economics and Business Research</w:t>
      </w:r>
      <w:r w:rsidRPr="0053268D">
        <w:rPr>
          <w:rFonts w:ascii="Times New Roman" w:hAnsi="Times New Roman" w:cs="Times New Roman"/>
          <w:sz w:val="24"/>
          <w:szCs w:val="24"/>
        </w:rPr>
        <w:t>, 17(4), pp. 459–472,</w:t>
      </w:r>
      <w:r w:rsidRPr="0053268D">
        <w:rPr>
          <w:rFonts w:ascii="Times New Roman" w:eastAsia="Times New Roman" w:hAnsi="Times New Roman" w:cs="Times New Roman"/>
          <w:color w:val="000000" w:themeColor="text1"/>
          <w:sz w:val="24"/>
          <w:szCs w:val="24"/>
        </w:rPr>
        <w:t xml:space="preserve"> Doi </w:t>
      </w:r>
      <w:hyperlink r:id="rId16" w:history="1">
        <w:r w:rsidRPr="0053268D">
          <w:rPr>
            <w:rFonts w:ascii="Times New Roman" w:eastAsia="Times New Roman" w:hAnsi="Times New Roman" w:cs="Times New Roman"/>
            <w:color w:val="000000" w:themeColor="text1"/>
            <w:sz w:val="24"/>
            <w:szCs w:val="24"/>
          </w:rPr>
          <w:t>https://doi.org/10.1504/IJEBR.2019.099975</w:t>
        </w:r>
      </w:hyperlink>
    </w:p>
    <w:p w:rsidR="007524A0" w:rsidRPr="0053268D" w:rsidRDefault="007524A0" w:rsidP="007524A0">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hAnsi="Times New Roman" w:cs="Times New Roman"/>
          <w:sz w:val="24"/>
          <w:szCs w:val="24"/>
          <w:lang w:val="en-ZA"/>
        </w:rPr>
        <w:t xml:space="preserve">Anil, A.P, and Satish K.P, (2019): TQM practices and its Performance Effects, An Integrated Model, International Journal of Quality and Reliability Management, </w:t>
      </w:r>
      <w:r w:rsidRPr="0053268D">
        <w:rPr>
          <w:rFonts w:ascii="Times New Roman" w:eastAsia="Times New Roman" w:hAnsi="Times New Roman" w:cs="Times New Roman"/>
          <w:color w:val="000000" w:themeColor="text1"/>
          <w:sz w:val="24"/>
          <w:szCs w:val="24"/>
        </w:rPr>
        <w:t>Vol. 36 No. 8 pp. 1318–1344, doi: </w:t>
      </w:r>
      <w:hyperlink r:id="rId17" w:tgtFrame="_blank" w:history="1">
        <w:r w:rsidRPr="0053268D">
          <w:rPr>
            <w:rFonts w:ascii="Times New Roman" w:eastAsia="Times New Roman" w:hAnsi="Times New Roman" w:cs="Times New Roman"/>
            <w:color w:val="000000" w:themeColor="text1"/>
            <w:sz w:val="24"/>
            <w:szCs w:val="24"/>
          </w:rPr>
          <w:t>https://doi.org/10.1108/IJQRM-10-2018-0266</w:t>
        </w:r>
      </w:hyperlink>
    </w:p>
    <w:p w:rsidR="0039126B" w:rsidRPr="0053268D" w:rsidRDefault="007524A0" w:rsidP="0039126B">
      <w:pPr>
        <w:spacing w:after="0" w:line="276" w:lineRule="auto"/>
        <w:ind w:left="567" w:hanging="567"/>
        <w:jc w:val="both"/>
        <w:rPr>
          <w:rStyle w:val="Hyperlink"/>
          <w:rFonts w:ascii="Times New Roman" w:eastAsia="Times New Roman" w:hAnsi="Times New Roman" w:cs="Times New Roman"/>
          <w:iCs/>
          <w:color w:val="000000" w:themeColor="text1"/>
          <w:sz w:val="24"/>
          <w:szCs w:val="24"/>
          <w:u w:val="none"/>
        </w:rPr>
      </w:pPr>
      <w:r w:rsidRPr="0053268D">
        <w:rPr>
          <w:rFonts w:ascii="Times New Roman" w:eastAsia="Times New Roman" w:hAnsi="Times New Roman" w:cs="Times New Roman"/>
          <w:iCs/>
          <w:color w:val="000000" w:themeColor="text1"/>
          <w:sz w:val="24"/>
          <w:szCs w:val="24"/>
        </w:rPr>
        <w:lastRenderedPageBreak/>
        <w:t>Anil</w:t>
      </w:r>
      <w:r w:rsidR="0039126B" w:rsidRPr="0053268D">
        <w:rPr>
          <w:rFonts w:ascii="Times New Roman" w:eastAsia="Times New Roman" w:hAnsi="Times New Roman" w:cs="Times New Roman"/>
          <w:iCs/>
          <w:color w:val="000000" w:themeColor="text1"/>
          <w:sz w:val="24"/>
          <w:szCs w:val="24"/>
        </w:rPr>
        <w:t>, A. P., and Satish, K. P. (2017</w:t>
      </w:r>
      <w:r w:rsidRPr="0053268D">
        <w:rPr>
          <w:rFonts w:ascii="Times New Roman" w:eastAsia="Times New Roman" w:hAnsi="Times New Roman" w:cs="Times New Roman"/>
          <w:iCs/>
          <w:color w:val="000000" w:themeColor="text1"/>
          <w:sz w:val="24"/>
          <w:szCs w:val="24"/>
        </w:rPr>
        <w:t xml:space="preserve">). Enhancing Customer Satisfaction through Total Quality Management Practices – an empirical examination. Total Quality Management and Business Excellence, 30(13–14), 1528–1548. </w:t>
      </w:r>
      <w:hyperlink r:id="rId18" w:history="1">
        <w:r w:rsidRPr="0053268D">
          <w:rPr>
            <w:rStyle w:val="Hyperlink"/>
            <w:rFonts w:ascii="Times New Roman" w:eastAsia="Times New Roman" w:hAnsi="Times New Roman" w:cs="Times New Roman"/>
            <w:iCs/>
            <w:color w:val="000000" w:themeColor="text1"/>
            <w:sz w:val="24"/>
            <w:szCs w:val="24"/>
            <w:u w:val="none"/>
          </w:rPr>
          <w:t>https://doi.org/10.1080/14783363.2017.1378572</w:t>
        </w:r>
      </w:hyperlink>
    </w:p>
    <w:p w:rsidR="0039126B" w:rsidRPr="0053268D" w:rsidRDefault="0039126B" w:rsidP="0039126B">
      <w:pPr>
        <w:spacing w:after="0" w:line="276" w:lineRule="auto"/>
        <w:ind w:left="567" w:hanging="567"/>
        <w:jc w:val="both"/>
        <w:rPr>
          <w:rFonts w:ascii="Times New Roman" w:eastAsia="Times New Roman" w:hAnsi="Times New Roman" w:cs="Times New Roman"/>
          <w:iCs/>
          <w:color w:val="000000" w:themeColor="text1"/>
          <w:sz w:val="24"/>
          <w:szCs w:val="24"/>
        </w:rPr>
      </w:pPr>
      <w:r w:rsidRPr="0039126B">
        <w:rPr>
          <w:rFonts w:ascii="Times New Roman" w:eastAsia="Times New Roman" w:hAnsi="Times New Roman" w:cs="Times New Roman"/>
          <w:bCs/>
          <w:sz w:val="24"/>
          <w:szCs w:val="24"/>
        </w:rPr>
        <w:t xml:space="preserve">Awais, M., Ali, A., Khattak, M. S., Arfeen, M. I., I. Chaudhary, M. A., and Syed, A. (2023). Strategic Flexibility and Organizational Performance: Mediating Role of Innovation. SAGE Open. </w:t>
      </w:r>
      <w:hyperlink r:id="rId19" w:history="1">
        <w:r w:rsidRPr="00C81D1F">
          <w:rPr>
            <w:rFonts w:ascii="Times New Roman" w:eastAsia="Times New Roman" w:hAnsi="Times New Roman" w:cs="Times New Roman"/>
            <w:bCs/>
            <w:color w:val="000000" w:themeColor="text1"/>
            <w:sz w:val="24"/>
            <w:szCs w:val="24"/>
          </w:rPr>
          <w:t>https://doi.org/10.1177/21582440231181432</w:t>
        </w:r>
      </w:hyperlink>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 xml:space="preserve">Bagozzi, R.P. and Yi, Y. (1988) ‘On the evaluation of structural equation models’, </w:t>
      </w:r>
      <w:r w:rsidRPr="0053268D">
        <w:rPr>
          <w:rFonts w:ascii="Times New Roman" w:eastAsia="Times New Roman" w:hAnsi="Times New Roman" w:cs="Times New Roman"/>
          <w:i/>
          <w:iCs/>
          <w:sz w:val="24"/>
          <w:szCs w:val="24"/>
        </w:rPr>
        <w:t>Journal of the Academy of Marketing Science</w:t>
      </w:r>
      <w:r w:rsidRPr="0053268D">
        <w:rPr>
          <w:rFonts w:ascii="Times New Roman" w:eastAsia="Times New Roman" w:hAnsi="Times New Roman" w:cs="Times New Roman"/>
          <w:sz w:val="24"/>
          <w:szCs w:val="24"/>
        </w:rPr>
        <w:t>, 16(1), pp. 74–94.</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 xml:space="preserve">Barney, J. (1991) ‘Firm resources and sustained competitive advantage’, </w:t>
      </w:r>
      <w:r w:rsidRPr="0053268D">
        <w:rPr>
          <w:rFonts w:ascii="Times New Roman" w:eastAsia="Times New Roman" w:hAnsi="Times New Roman" w:cs="Times New Roman"/>
          <w:i/>
          <w:iCs/>
          <w:sz w:val="24"/>
          <w:szCs w:val="24"/>
        </w:rPr>
        <w:t>Journal of Management</w:t>
      </w:r>
      <w:r w:rsidRPr="0053268D">
        <w:rPr>
          <w:rFonts w:ascii="Times New Roman" w:eastAsia="Times New Roman" w:hAnsi="Times New Roman" w:cs="Times New Roman"/>
          <w:sz w:val="24"/>
          <w:szCs w:val="24"/>
        </w:rPr>
        <w:t>, 17(1), pp. 99–120.</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 xml:space="preserve">Blau, P. (1964) </w:t>
      </w:r>
      <w:r w:rsidRPr="0053268D">
        <w:rPr>
          <w:rFonts w:ascii="Times New Roman" w:eastAsia="Times New Roman" w:hAnsi="Times New Roman" w:cs="Times New Roman"/>
          <w:i/>
          <w:iCs/>
          <w:sz w:val="24"/>
          <w:szCs w:val="24"/>
        </w:rPr>
        <w:t>Exchange and power in social life</w:t>
      </w:r>
      <w:r w:rsidRPr="0053268D">
        <w:rPr>
          <w:rFonts w:ascii="Times New Roman" w:eastAsia="Times New Roman" w:hAnsi="Times New Roman" w:cs="Times New Roman"/>
          <w:sz w:val="24"/>
          <w:szCs w:val="24"/>
        </w:rPr>
        <w:t>. New York: Wiley.</w:t>
      </w:r>
    </w:p>
    <w:p w:rsidR="0039126B" w:rsidRPr="0053268D" w:rsidRDefault="0039126B" w:rsidP="0039126B">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 xml:space="preserve">Blau, P.M. (2017) </w:t>
      </w:r>
      <w:r w:rsidRPr="0053268D">
        <w:rPr>
          <w:rFonts w:ascii="Times New Roman" w:eastAsia="Times New Roman" w:hAnsi="Times New Roman" w:cs="Times New Roman"/>
          <w:i/>
          <w:iCs/>
          <w:sz w:val="24"/>
          <w:szCs w:val="24"/>
        </w:rPr>
        <w:t>Exchange and Power in Social Life</w:t>
      </w:r>
      <w:r w:rsidRPr="0053268D">
        <w:rPr>
          <w:rFonts w:ascii="Times New Roman" w:eastAsia="Times New Roman" w:hAnsi="Times New Roman" w:cs="Times New Roman"/>
          <w:sz w:val="24"/>
          <w:szCs w:val="24"/>
        </w:rPr>
        <w:t>. New York: Wiley, ISBN 13: 978-0-88738-628-2 (pbk)</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 xml:space="preserve">Byrne, B.M. (2013) </w:t>
      </w:r>
      <w:r w:rsidRPr="0053268D">
        <w:rPr>
          <w:rFonts w:ascii="Times New Roman" w:eastAsia="Times New Roman" w:hAnsi="Times New Roman" w:cs="Times New Roman"/>
          <w:i/>
          <w:iCs/>
          <w:sz w:val="24"/>
          <w:szCs w:val="24"/>
        </w:rPr>
        <w:t>Structural equation modeling with AMOS: Basic concepts, applications, and programming</w:t>
      </w:r>
      <w:r w:rsidRPr="0053268D">
        <w:rPr>
          <w:rFonts w:ascii="Times New Roman" w:eastAsia="Times New Roman" w:hAnsi="Times New Roman" w:cs="Times New Roman"/>
          <w:sz w:val="24"/>
          <w:szCs w:val="24"/>
        </w:rPr>
        <w:t>. 2nd edn. New York: Routledge.</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 xml:space="preserve">Chin, W.W. (1998) ‘The partial least squares approach to structural equation modeling’, in Marcoulides, G.A. (ed.) </w:t>
      </w:r>
      <w:r w:rsidRPr="0053268D">
        <w:rPr>
          <w:rFonts w:ascii="Times New Roman" w:eastAsia="Times New Roman" w:hAnsi="Times New Roman" w:cs="Times New Roman"/>
          <w:i/>
          <w:iCs/>
          <w:sz w:val="24"/>
          <w:szCs w:val="24"/>
        </w:rPr>
        <w:t>Modern methods for business research</w:t>
      </w:r>
      <w:r w:rsidRPr="0053268D">
        <w:rPr>
          <w:rFonts w:ascii="Times New Roman" w:eastAsia="Times New Roman" w:hAnsi="Times New Roman" w:cs="Times New Roman"/>
          <w:sz w:val="24"/>
          <w:szCs w:val="24"/>
        </w:rPr>
        <w:t>. Mahwah, NJ: Lawrence Erlbaum Associates, pp. 295–336.</w:t>
      </w:r>
    </w:p>
    <w:p w:rsidR="005625D2" w:rsidRPr="0053268D" w:rsidRDefault="005625D2" w:rsidP="005625D2">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hAnsi="Times New Roman" w:cs="Times New Roman"/>
          <w:sz w:val="24"/>
          <w:szCs w:val="24"/>
        </w:rPr>
        <w:t xml:space="preserve">Cohen, J. (2013) </w:t>
      </w:r>
      <w:r w:rsidRPr="0053268D">
        <w:rPr>
          <w:rFonts w:ascii="Times New Roman" w:hAnsi="Times New Roman" w:cs="Times New Roman"/>
          <w:i/>
          <w:iCs/>
          <w:sz w:val="24"/>
          <w:szCs w:val="24"/>
        </w:rPr>
        <w:t>Statistical power analysis for the behavioral sciences</w:t>
      </w:r>
      <w:r w:rsidRPr="0053268D">
        <w:rPr>
          <w:rFonts w:ascii="Times New Roman" w:hAnsi="Times New Roman" w:cs="Times New Roman"/>
          <w:sz w:val="24"/>
          <w:szCs w:val="24"/>
        </w:rPr>
        <w:t>, 2nd ed. Hillsdale, NJ: Lawrence Erlbaum Associates, ISBN 0-8058-0283-5</w:t>
      </w:r>
    </w:p>
    <w:p w:rsidR="00BB7050" w:rsidRDefault="005625D2" w:rsidP="00BB7050">
      <w:pPr>
        <w:spacing w:after="0" w:line="276" w:lineRule="auto"/>
        <w:ind w:left="567" w:hanging="567"/>
        <w:jc w:val="both"/>
        <w:rPr>
          <w:rFonts w:ascii="Times New Roman" w:hAnsi="Times New Roman" w:cs="Times New Roman"/>
          <w:color w:val="000000" w:themeColor="text1"/>
          <w:sz w:val="24"/>
          <w:szCs w:val="24"/>
        </w:rPr>
      </w:pPr>
      <w:r w:rsidRPr="0053268D">
        <w:rPr>
          <w:rFonts w:ascii="Times New Roman" w:eastAsia="Times New Roman" w:hAnsi="Times New Roman" w:cs="Times New Roman"/>
          <w:sz w:val="24"/>
          <w:szCs w:val="24"/>
        </w:rPr>
        <w:t xml:space="preserve">Cropanzano, R., Anthony, E.L., Daniels, S.R. and Hall, A.V., (2017). Social Exchange Theory: A Critical Review with Theoretical Remedies. </w:t>
      </w:r>
      <w:r w:rsidRPr="0053268D">
        <w:rPr>
          <w:rFonts w:ascii="Times New Roman" w:eastAsia="Times New Roman" w:hAnsi="Times New Roman" w:cs="Times New Roman"/>
          <w:i/>
          <w:iCs/>
          <w:sz w:val="24"/>
          <w:szCs w:val="24"/>
        </w:rPr>
        <w:t>Academy of Management Annals</w:t>
      </w:r>
      <w:r w:rsidRPr="0053268D">
        <w:rPr>
          <w:rFonts w:ascii="Times New Roman" w:eastAsia="Times New Roman" w:hAnsi="Times New Roman" w:cs="Times New Roman"/>
          <w:sz w:val="24"/>
          <w:szCs w:val="24"/>
        </w:rPr>
        <w:t>, 11(1), pp. 479-516,</w:t>
      </w:r>
      <w:r w:rsidRPr="0053268D">
        <w:rPr>
          <w:rFonts w:ascii="Times New Roman" w:hAnsi="Times New Roman" w:cs="Times New Roman"/>
          <w:color w:val="000000" w:themeColor="text1"/>
          <w:sz w:val="24"/>
          <w:szCs w:val="24"/>
          <w:shd w:val="clear" w:color="auto" w:fill="FFFFFF"/>
        </w:rPr>
        <w:t xml:space="preserve"> </w:t>
      </w:r>
      <w:hyperlink r:id="rId20" w:history="1">
        <w:r w:rsidRPr="0053268D">
          <w:rPr>
            <w:rFonts w:ascii="Times New Roman" w:hAnsi="Times New Roman" w:cs="Times New Roman"/>
            <w:color w:val="000000" w:themeColor="text1"/>
            <w:sz w:val="24"/>
            <w:szCs w:val="24"/>
          </w:rPr>
          <w:t>https://doi.org/10.5465/annals.2015.0099</w:t>
        </w:r>
      </w:hyperlink>
    </w:p>
    <w:p w:rsidR="00BB7050" w:rsidRDefault="00BB7050" w:rsidP="00BB7050">
      <w:pPr>
        <w:spacing w:after="0" w:line="276" w:lineRule="auto"/>
        <w:ind w:left="567" w:hanging="567"/>
        <w:jc w:val="both"/>
        <w:rPr>
          <w:rFonts w:ascii="Times New Roman" w:hAnsi="Times New Roman" w:cs="Times New Roman"/>
          <w:color w:val="000000" w:themeColor="text1"/>
          <w:sz w:val="24"/>
          <w:szCs w:val="24"/>
        </w:rPr>
      </w:pPr>
      <w:r w:rsidRPr="00BB7050">
        <w:rPr>
          <w:rFonts w:ascii="Times New Roman" w:eastAsia="Times New Roman" w:hAnsi="Times New Roman" w:cs="Times New Roman"/>
          <w:bCs/>
          <w:sz w:val="24"/>
          <w:szCs w:val="24"/>
        </w:rPr>
        <w:t xml:space="preserve">Eccles, R. G., Ioannou, I., and Serafeim, G. (2014). The impact of corporate sustainability on organizational processes and performance. Management Science, 60(11), 2835–2857. </w:t>
      </w:r>
      <w:hyperlink r:id="rId21" w:history="1">
        <w:r w:rsidRPr="00C81D1F">
          <w:rPr>
            <w:rFonts w:ascii="Times New Roman" w:eastAsia="Times New Roman" w:hAnsi="Times New Roman" w:cs="Times New Roman"/>
            <w:bCs/>
            <w:color w:val="000000" w:themeColor="text1"/>
            <w:sz w:val="24"/>
            <w:szCs w:val="24"/>
          </w:rPr>
          <w:t>https://doi.org/10.1287/mnsc.2014.1984</w:t>
        </w:r>
      </w:hyperlink>
    </w:p>
    <w:p w:rsidR="005625D2" w:rsidRPr="0053268D" w:rsidRDefault="008F2A08" w:rsidP="008F2A08">
      <w:pPr>
        <w:spacing w:after="0" w:line="276" w:lineRule="auto"/>
        <w:ind w:left="567" w:hanging="567"/>
        <w:jc w:val="both"/>
        <w:rPr>
          <w:rFonts w:ascii="Times New Roman" w:hAnsi="Times New Roman" w:cs="Times New Roman"/>
          <w:sz w:val="24"/>
          <w:szCs w:val="24"/>
        </w:rPr>
      </w:pPr>
      <w:r w:rsidRPr="0053268D">
        <w:rPr>
          <w:rFonts w:ascii="Times New Roman" w:hAnsi="Times New Roman" w:cs="Times New Roman"/>
          <w:sz w:val="24"/>
          <w:szCs w:val="24"/>
        </w:rPr>
        <w:t xml:space="preserve">Field, A. (2024) </w:t>
      </w:r>
      <w:r w:rsidRPr="0053268D">
        <w:rPr>
          <w:rFonts w:ascii="Times New Roman" w:hAnsi="Times New Roman" w:cs="Times New Roman"/>
          <w:i/>
          <w:iCs/>
          <w:sz w:val="24"/>
          <w:szCs w:val="24"/>
        </w:rPr>
        <w:t>Discovering Statistics Using IBM SPSS Statistics</w:t>
      </w:r>
      <w:r w:rsidRPr="0053268D">
        <w:rPr>
          <w:rFonts w:ascii="Times New Roman" w:hAnsi="Times New Roman" w:cs="Times New Roman"/>
          <w:sz w:val="24"/>
          <w:szCs w:val="24"/>
        </w:rPr>
        <w:t>, 5th ed. Sage.</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 xml:space="preserve">Fornell, C. and Larcker, D.F. (1981) ‘Evaluating structural equation models with unobservable variables and measurement error’, </w:t>
      </w:r>
      <w:r w:rsidRPr="0053268D">
        <w:rPr>
          <w:rFonts w:ascii="Times New Roman" w:eastAsia="Times New Roman" w:hAnsi="Times New Roman" w:cs="Times New Roman"/>
          <w:i/>
          <w:iCs/>
          <w:sz w:val="24"/>
          <w:szCs w:val="24"/>
        </w:rPr>
        <w:t>Journal of Marketing Research</w:t>
      </w:r>
      <w:r w:rsidRPr="0053268D">
        <w:rPr>
          <w:rFonts w:ascii="Times New Roman" w:eastAsia="Times New Roman" w:hAnsi="Times New Roman" w:cs="Times New Roman"/>
          <w:sz w:val="24"/>
          <w:szCs w:val="24"/>
        </w:rPr>
        <w:t>, 18(1), pp. 39–50.</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 xml:space="preserve">Hair, J.F., Hult, G.T.M., Ringle, C.M. and Sarstedt, M. (2013) </w:t>
      </w:r>
      <w:r w:rsidRPr="0053268D">
        <w:rPr>
          <w:rFonts w:ascii="Times New Roman" w:eastAsia="Times New Roman" w:hAnsi="Times New Roman" w:cs="Times New Roman"/>
          <w:i/>
          <w:iCs/>
          <w:sz w:val="24"/>
          <w:szCs w:val="24"/>
        </w:rPr>
        <w:t>A primer on partial least squares structural equation modeling (PLS-SEM)</w:t>
      </w:r>
      <w:r w:rsidRPr="0053268D">
        <w:rPr>
          <w:rFonts w:ascii="Times New Roman" w:eastAsia="Times New Roman" w:hAnsi="Times New Roman" w:cs="Times New Roman"/>
          <w:sz w:val="24"/>
          <w:szCs w:val="24"/>
        </w:rPr>
        <w:t>. Thousand Oaks, CA: Sage.</w:t>
      </w:r>
    </w:p>
    <w:p w:rsidR="00FC5A0E" w:rsidRPr="0053268D" w:rsidRDefault="00712C91" w:rsidP="00FC5A0E">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 xml:space="preserve">Hair, J.F., Risher, J.J., Sarstedt, M. and Ringle, C.M. (2019) ‘When to use and how to report the results of PLS-SEM’, </w:t>
      </w:r>
      <w:r w:rsidRPr="0053268D">
        <w:rPr>
          <w:rFonts w:ascii="Times New Roman" w:eastAsia="Times New Roman" w:hAnsi="Times New Roman" w:cs="Times New Roman"/>
          <w:i/>
          <w:iCs/>
          <w:sz w:val="24"/>
          <w:szCs w:val="24"/>
        </w:rPr>
        <w:t>European Business Review</w:t>
      </w:r>
      <w:r w:rsidRPr="0053268D">
        <w:rPr>
          <w:rFonts w:ascii="Times New Roman" w:eastAsia="Times New Roman" w:hAnsi="Times New Roman" w:cs="Times New Roman"/>
          <w:sz w:val="24"/>
          <w:szCs w:val="24"/>
        </w:rPr>
        <w:t>, 31(1), pp. 2–24.</w:t>
      </w:r>
    </w:p>
    <w:p w:rsidR="00FC5A0E" w:rsidRPr="0053268D" w:rsidRDefault="00FC5A0E" w:rsidP="00FC5A0E">
      <w:pPr>
        <w:spacing w:after="0" w:line="276" w:lineRule="auto"/>
        <w:ind w:left="567" w:hanging="567"/>
        <w:jc w:val="both"/>
        <w:rPr>
          <w:rFonts w:ascii="Times New Roman" w:eastAsia="Times New Roman" w:hAnsi="Times New Roman" w:cs="Times New Roman"/>
          <w:sz w:val="24"/>
          <w:szCs w:val="24"/>
        </w:rPr>
      </w:pPr>
      <w:r w:rsidRPr="00FC5A0E">
        <w:rPr>
          <w:rFonts w:ascii="Times New Roman" w:eastAsia="Times New Roman" w:hAnsi="Times New Roman" w:cs="Times New Roman"/>
          <w:bCs/>
          <w:sz w:val="24"/>
          <w:szCs w:val="24"/>
        </w:rPr>
        <w:t xml:space="preserve">Kafetzopoulos D, Psomas E (2015), "The impact of innovation capability on the performance of manufacturing companies: The Greek case". Journal of Manufacturing Technology Management, Vol. 26 No. 1 pp. 104–130, doi: </w:t>
      </w:r>
      <w:hyperlink r:id="rId22" w:history="1">
        <w:r w:rsidRPr="00C81D1F">
          <w:rPr>
            <w:rFonts w:ascii="Times New Roman" w:eastAsia="Times New Roman" w:hAnsi="Times New Roman" w:cs="Times New Roman"/>
            <w:bCs/>
            <w:color w:val="000000" w:themeColor="text1"/>
            <w:sz w:val="24"/>
            <w:szCs w:val="24"/>
          </w:rPr>
          <w:t>https://doi.org/10.1108/JMTM-12-2012-0117</w:t>
        </w:r>
      </w:hyperlink>
    </w:p>
    <w:p w:rsidR="00FC5A0E" w:rsidRPr="00C81D1F" w:rsidRDefault="00FC5A0E" w:rsidP="00FC5A0E">
      <w:pPr>
        <w:spacing w:after="0" w:line="276" w:lineRule="auto"/>
        <w:ind w:left="567" w:hanging="567"/>
        <w:jc w:val="both"/>
        <w:rPr>
          <w:rFonts w:ascii="Times New Roman" w:eastAsia="Times New Roman" w:hAnsi="Times New Roman" w:cs="Times New Roman"/>
          <w:bCs/>
          <w:color w:val="000000" w:themeColor="text1"/>
          <w:sz w:val="24"/>
          <w:szCs w:val="24"/>
          <w:highlight w:val="yellow"/>
        </w:rPr>
      </w:pPr>
      <w:r w:rsidRPr="00FC5A0E">
        <w:rPr>
          <w:rFonts w:ascii="Times New Roman" w:eastAsia="Times New Roman" w:hAnsi="Times New Roman" w:cs="Times New Roman"/>
          <w:bCs/>
          <w:sz w:val="24"/>
          <w:szCs w:val="24"/>
        </w:rPr>
        <w:t xml:space="preserve">Kafetzopoulos, D., Gotzamani, K., and Skalkos, D. (2019), "The relationship between EFQM enablers and business performance: The mediating role of innovation". Journal of Manufacturing Technology Management, Vol. 30 No. 4 pp. 684–706, doi: </w:t>
      </w:r>
      <w:hyperlink r:id="rId23" w:history="1">
        <w:r w:rsidRPr="00C81D1F">
          <w:rPr>
            <w:rFonts w:ascii="Times New Roman" w:eastAsia="Times New Roman" w:hAnsi="Times New Roman" w:cs="Times New Roman"/>
            <w:bCs/>
            <w:color w:val="000000" w:themeColor="text1"/>
            <w:sz w:val="24"/>
            <w:szCs w:val="24"/>
          </w:rPr>
          <w:t>https://doi.org/10.1108/JMTM-06-2018-0166</w:t>
        </w:r>
      </w:hyperlink>
    </w:p>
    <w:p w:rsidR="00FC5A0E" w:rsidRPr="00FC5A0E" w:rsidRDefault="00FC5A0E" w:rsidP="00FC5A0E">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lastRenderedPageBreak/>
        <w:t xml:space="preserve">Kanji, G.K. (2012). </w:t>
      </w:r>
      <w:r w:rsidRPr="0061385E">
        <w:rPr>
          <w:rFonts w:ascii="Times New Roman" w:hAnsi="Times New Roman" w:cs="Times New Roman"/>
          <w:i/>
          <w:iCs/>
          <w:sz w:val="24"/>
          <w:szCs w:val="24"/>
        </w:rPr>
        <w:t>Measuring Business Excellence</w:t>
      </w:r>
      <w:r w:rsidRPr="0061385E">
        <w:rPr>
          <w:rFonts w:ascii="Times New Roman" w:hAnsi="Times New Roman" w:cs="Times New Roman"/>
          <w:sz w:val="24"/>
          <w:szCs w:val="24"/>
        </w:rPr>
        <w:t>. Routledge, London, Taylor and Francis Group, an informa business, Routledge, 1</w:t>
      </w:r>
      <w:r w:rsidRPr="0061385E">
        <w:rPr>
          <w:rFonts w:ascii="Times New Roman" w:hAnsi="Times New Roman" w:cs="Times New Roman"/>
          <w:sz w:val="24"/>
          <w:szCs w:val="24"/>
          <w:vertAlign w:val="superscript"/>
        </w:rPr>
        <w:t>st</w:t>
      </w:r>
      <w:r w:rsidRPr="0061385E">
        <w:rPr>
          <w:rFonts w:ascii="Times New Roman" w:hAnsi="Times New Roman" w:cs="Times New Roman"/>
          <w:sz w:val="24"/>
          <w:szCs w:val="24"/>
        </w:rPr>
        <w:t xml:space="preserve"> Edition, pp. 256</w:t>
      </w:r>
      <w:r>
        <w:rPr>
          <w:rFonts w:ascii="Times New Roman" w:hAnsi="Times New Roman" w:cs="Times New Roman"/>
          <w:sz w:val="24"/>
          <w:szCs w:val="24"/>
        </w:rPr>
        <w:t>,</w:t>
      </w:r>
      <w:r w:rsidRPr="00D72455">
        <w:t xml:space="preserve"> </w:t>
      </w:r>
      <w:r w:rsidRPr="00D72455">
        <w:rPr>
          <w:rFonts w:ascii="Times New Roman" w:hAnsi="Times New Roman" w:cs="Times New Roman"/>
          <w:sz w:val="24"/>
          <w:szCs w:val="24"/>
        </w:rPr>
        <w:t>ISBN 0-415-25822-7 (alk. paper)</w:t>
      </w:r>
    </w:p>
    <w:p w:rsidR="00FC5A0E" w:rsidRDefault="00712C91" w:rsidP="00FC5A0E">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 xml:space="preserve">Kaynak, H. (2004) ‘The relationship between total quality management practices and their effects on firm performance’, </w:t>
      </w:r>
      <w:r w:rsidRPr="0053268D">
        <w:rPr>
          <w:rFonts w:ascii="Times New Roman" w:eastAsia="Times New Roman" w:hAnsi="Times New Roman" w:cs="Times New Roman"/>
          <w:i/>
          <w:iCs/>
          <w:sz w:val="24"/>
          <w:szCs w:val="24"/>
        </w:rPr>
        <w:t>Journal of Operations Management</w:t>
      </w:r>
      <w:r w:rsidRPr="0053268D">
        <w:rPr>
          <w:rFonts w:ascii="Times New Roman" w:eastAsia="Times New Roman" w:hAnsi="Times New Roman" w:cs="Times New Roman"/>
          <w:sz w:val="24"/>
          <w:szCs w:val="24"/>
        </w:rPr>
        <w:t>, 21(4), pp. 405–435.</w:t>
      </w:r>
    </w:p>
    <w:p w:rsidR="00BB7050" w:rsidRPr="00BB7050" w:rsidRDefault="00BB7050" w:rsidP="00BB7050">
      <w:pPr>
        <w:spacing w:after="0" w:line="276" w:lineRule="auto"/>
        <w:ind w:left="567" w:hanging="567"/>
        <w:jc w:val="both"/>
        <w:rPr>
          <w:rFonts w:ascii="Times New Roman" w:hAnsi="Times New Roman" w:cs="Times New Roman"/>
          <w:sz w:val="24"/>
          <w:szCs w:val="24"/>
        </w:rPr>
      </w:pPr>
      <w:r w:rsidRPr="0061385E">
        <w:rPr>
          <w:rFonts w:ascii="Times New Roman" w:hAnsi="Times New Roman" w:cs="Times New Roman"/>
          <w:sz w:val="24"/>
          <w:szCs w:val="24"/>
        </w:rPr>
        <w:t xml:space="preserve">Kline, R.B. (2023) </w:t>
      </w:r>
      <w:r w:rsidRPr="0061385E">
        <w:rPr>
          <w:rFonts w:ascii="Times New Roman" w:hAnsi="Times New Roman" w:cs="Times New Roman"/>
          <w:i/>
          <w:iCs/>
          <w:sz w:val="24"/>
          <w:szCs w:val="24"/>
        </w:rPr>
        <w:t>Principles and Practice of Structural Equation Modeling</w:t>
      </w:r>
      <w:r w:rsidRPr="0061385E">
        <w:rPr>
          <w:rFonts w:ascii="Times New Roman" w:hAnsi="Times New Roman" w:cs="Times New Roman"/>
          <w:sz w:val="24"/>
          <w:szCs w:val="24"/>
        </w:rPr>
        <w:t>, 4</w:t>
      </w:r>
      <w:r>
        <w:rPr>
          <w:rFonts w:ascii="Times New Roman" w:hAnsi="Times New Roman" w:cs="Times New Roman"/>
          <w:sz w:val="24"/>
          <w:szCs w:val="24"/>
        </w:rPr>
        <w:t xml:space="preserve">th </w:t>
      </w:r>
      <w:r w:rsidR="00C81D1F">
        <w:rPr>
          <w:rFonts w:ascii="Times New Roman" w:hAnsi="Times New Roman" w:cs="Times New Roman"/>
          <w:sz w:val="24"/>
          <w:szCs w:val="24"/>
        </w:rPr>
        <w:t>Ed</w:t>
      </w:r>
      <w:r>
        <w:rPr>
          <w:rFonts w:ascii="Times New Roman" w:hAnsi="Times New Roman" w:cs="Times New Roman"/>
          <w:sz w:val="24"/>
          <w:szCs w:val="24"/>
        </w:rPr>
        <w:t>. New York: Guilford Press, ISBN 978-4625-5190-0</w:t>
      </w:r>
    </w:p>
    <w:p w:rsidR="00FC5A0E" w:rsidRDefault="00FC5A0E" w:rsidP="00FC5A0E">
      <w:pPr>
        <w:spacing w:after="0" w:line="276" w:lineRule="auto"/>
        <w:ind w:left="567" w:hanging="567"/>
        <w:jc w:val="both"/>
        <w:rPr>
          <w:rFonts w:ascii="Times New Roman" w:eastAsia="Times New Roman" w:hAnsi="Times New Roman" w:cs="Times New Roman"/>
          <w:bCs/>
          <w:sz w:val="24"/>
          <w:szCs w:val="24"/>
        </w:rPr>
      </w:pPr>
      <w:r w:rsidRPr="00FC5A0E">
        <w:rPr>
          <w:rFonts w:ascii="Times New Roman" w:eastAsia="Times New Roman" w:hAnsi="Times New Roman" w:cs="Times New Roman"/>
          <w:bCs/>
          <w:sz w:val="24"/>
          <w:szCs w:val="24"/>
        </w:rPr>
        <w:t xml:space="preserve">Kumar V, Verma P, Mangla SK, Mishra A, Chowdhary D, Sung CH, Lai KK (2020), "Barriers to Total Quality Management for sustainability in Indian organizations". International Journal of Quality and Reliability Management, Vol. 37 No. 6-7 pp. 1007–1031, doi: </w:t>
      </w:r>
      <w:hyperlink r:id="rId24" w:history="1">
        <w:r w:rsidRPr="00C81D1F">
          <w:rPr>
            <w:rStyle w:val="Hyperlink"/>
            <w:rFonts w:ascii="Times New Roman" w:eastAsia="Times New Roman" w:hAnsi="Times New Roman" w:cs="Times New Roman"/>
            <w:bCs/>
            <w:color w:val="000000" w:themeColor="text1"/>
            <w:sz w:val="24"/>
            <w:szCs w:val="24"/>
            <w:u w:val="none"/>
          </w:rPr>
          <w:t>https://doi.org/10.1108/IJQRM-10-2019-0312</w:t>
        </w:r>
      </w:hyperlink>
    </w:p>
    <w:p w:rsidR="00FC5A0E" w:rsidRPr="00BB7050" w:rsidRDefault="00FC5A0E" w:rsidP="00BB7050">
      <w:pPr>
        <w:spacing w:after="0" w:line="276" w:lineRule="auto"/>
        <w:ind w:left="567" w:hanging="567"/>
        <w:jc w:val="both"/>
        <w:rPr>
          <w:rFonts w:ascii="Times New Roman" w:hAnsi="Times New Roman" w:cs="Times New Roman"/>
          <w:sz w:val="24"/>
          <w:szCs w:val="24"/>
        </w:rPr>
      </w:pPr>
      <w:r w:rsidRPr="00DB6CA7">
        <w:rPr>
          <w:rFonts w:ascii="Times New Roman" w:eastAsia="Times New Roman" w:hAnsi="Times New Roman" w:cs="Times New Roman"/>
          <w:sz w:val="24"/>
          <w:szCs w:val="24"/>
        </w:rPr>
        <w:t xml:space="preserve">Kuye, O.L. and Sulaimon, A.A. (2011) ‘Employee involvement in decision making and firms’ performance in the manufacturing sector in Nigeria’, </w:t>
      </w:r>
      <w:r w:rsidRPr="00DB6CA7">
        <w:rPr>
          <w:rFonts w:ascii="Times New Roman" w:eastAsia="Times New Roman" w:hAnsi="Times New Roman" w:cs="Times New Roman"/>
          <w:i/>
          <w:iCs/>
          <w:sz w:val="24"/>
          <w:szCs w:val="24"/>
        </w:rPr>
        <w:t>Serbian Journal of Management</w:t>
      </w:r>
      <w:r w:rsidRPr="00DB6CA7">
        <w:rPr>
          <w:rFonts w:ascii="Times New Roman" w:eastAsia="Times New Roman" w:hAnsi="Times New Roman" w:cs="Times New Roman"/>
          <w:sz w:val="24"/>
          <w:szCs w:val="24"/>
        </w:rPr>
        <w:t xml:space="preserve">, </w:t>
      </w:r>
      <w:r w:rsidRPr="00DB7FA4">
        <w:rPr>
          <w:rFonts w:ascii="Times New Roman" w:eastAsia="Times New Roman" w:hAnsi="Times New Roman" w:cs="Times New Roman"/>
          <w:sz w:val="24"/>
          <w:szCs w:val="24"/>
        </w:rPr>
        <w:t xml:space="preserve">SJM </w:t>
      </w:r>
      <w:r w:rsidRPr="00DB6CA7">
        <w:rPr>
          <w:rFonts w:ascii="Times New Roman" w:eastAsia="Times New Roman" w:hAnsi="Times New Roman" w:cs="Times New Roman"/>
          <w:sz w:val="24"/>
          <w:szCs w:val="24"/>
        </w:rPr>
        <w:t>6(1), pp. 1–15.</w:t>
      </w:r>
      <w:r w:rsidRPr="00DB7FA4">
        <w:t xml:space="preserve"> </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 xml:space="preserve">Martinkova, P. and Hladka, A. (2023) ‘Reliability in measurement models: Advances in composite reliability’, </w:t>
      </w:r>
      <w:r w:rsidRPr="0053268D">
        <w:rPr>
          <w:rFonts w:ascii="Times New Roman" w:eastAsia="Times New Roman" w:hAnsi="Times New Roman" w:cs="Times New Roman"/>
          <w:i/>
          <w:iCs/>
          <w:sz w:val="24"/>
          <w:szCs w:val="24"/>
        </w:rPr>
        <w:t>Measurement: Interdisciplinary Research and Perspectives</w:t>
      </w:r>
      <w:r w:rsidRPr="0053268D">
        <w:rPr>
          <w:rFonts w:ascii="Times New Roman" w:eastAsia="Times New Roman" w:hAnsi="Times New Roman" w:cs="Times New Roman"/>
          <w:sz w:val="24"/>
          <w:szCs w:val="24"/>
        </w:rPr>
        <w:t>, 21(2), pp. 112–128.</w:t>
      </w:r>
    </w:p>
    <w:p w:rsidR="00BB7050" w:rsidRPr="00BB7050" w:rsidRDefault="00BB7050" w:rsidP="00BB7050">
      <w:pPr>
        <w:spacing w:after="0" w:line="276" w:lineRule="auto"/>
        <w:ind w:left="567" w:hanging="567"/>
        <w:jc w:val="both"/>
        <w:rPr>
          <w:rFonts w:ascii="Times New Roman" w:hAnsi="Times New Roman" w:cs="Times New Roman"/>
          <w:sz w:val="24"/>
          <w:szCs w:val="24"/>
        </w:rPr>
      </w:pPr>
      <w:r w:rsidRPr="009460B8">
        <w:rPr>
          <w:rFonts w:ascii="Times New Roman" w:hAnsi="Times New Roman" w:cs="Times New Roman"/>
          <w:bCs/>
          <w:sz w:val="24"/>
          <w:szCs w:val="24"/>
        </w:rPr>
        <w:t>Mwiya, B.K., Nyambe, L., Muyenga, A., Shikaputo, C. (2024) ‘Determinants of Entrepreneurial Gestation Behaviour: The Mediating Role of Entrep</w:t>
      </w:r>
      <w:r>
        <w:rPr>
          <w:rFonts w:ascii="Times New Roman" w:hAnsi="Times New Roman" w:cs="Times New Roman"/>
          <w:bCs/>
          <w:sz w:val="24"/>
          <w:szCs w:val="24"/>
        </w:rPr>
        <w:t xml:space="preserve">reneurial Intention, Copperbelt </w:t>
      </w:r>
      <w:r w:rsidRPr="009460B8">
        <w:rPr>
          <w:rFonts w:ascii="Times New Roman" w:hAnsi="Times New Roman" w:cs="Times New Roman"/>
          <w:bCs/>
          <w:sz w:val="24"/>
          <w:szCs w:val="24"/>
        </w:rPr>
        <w:t>University, School of Business, Kitwe, Zambia</w:t>
      </w:r>
      <w:r>
        <w:rPr>
          <w:rFonts w:ascii="Times New Roman" w:hAnsi="Times New Roman" w:cs="Times New Roman"/>
          <w:bCs/>
          <w:sz w:val="24"/>
          <w:szCs w:val="24"/>
        </w:rPr>
        <w:t xml:space="preserve">, </w:t>
      </w:r>
      <w:r>
        <w:rPr>
          <w:rStyle w:val="fal6plv"/>
          <w:rFonts w:ascii="Times New Roman" w:hAnsi="Times New Roman" w:cs="Times New Roman"/>
          <w:color w:val="000000" w:themeColor="text1"/>
          <w:sz w:val="24"/>
          <w:szCs w:val="24"/>
          <w:shd w:val="clear" w:color="auto" w:fill="FFFFFF"/>
        </w:rPr>
        <w:t xml:space="preserve">DOI: https://dx.doi.org/1047772/IJRISS.2024.8090118  </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Podsakoff, P.M., MacKenzie, S.B., Lee, J.Y. and Podsakoff, N.</w:t>
      </w:r>
      <w:r w:rsidR="00BB7050" w:rsidRPr="0053268D">
        <w:rPr>
          <w:rFonts w:ascii="Times New Roman" w:eastAsia="Times New Roman" w:hAnsi="Times New Roman" w:cs="Times New Roman"/>
          <w:sz w:val="24"/>
          <w:szCs w:val="24"/>
        </w:rPr>
        <w:t xml:space="preserve">P. (2003) ‘Common method biases </w:t>
      </w:r>
      <w:r w:rsidRPr="0053268D">
        <w:rPr>
          <w:rFonts w:ascii="Times New Roman" w:eastAsia="Times New Roman" w:hAnsi="Times New Roman" w:cs="Times New Roman"/>
          <w:sz w:val="24"/>
          <w:szCs w:val="24"/>
        </w:rPr>
        <w:t xml:space="preserve">in behavioral research: A critical review of the literature and recommended remedies’, </w:t>
      </w:r>
      <w:r w:rsidRPr="0053268D">
        <w:rPr>
          <w:rFonts w:ascii="Times New Roman" w:eastAsia="Times New Roman" w:hAnsi="Times New Roman" w:cs="Times New Roman"/>
          <w:i/>
          <w:iCs/>
          <w:sz w:val="24"/>
          <w:szCs w:val="24"/>
        </w:rPr>
        <w:t>Journal of Applied Psychology</w:t>
      </w:r>
      <w:r w:rsidRPr="0053268D">
        <w:rPr>
          <w:rFonts w:ascii="Times New Roman" w:eastAsia="Times New Roman" w:hAnsi="Times New Roman" w:cs="Times New Roman"/>
          <w:sz w:val="24"/>
          <w:szCs w:val="24"/>
        </w:rPr>
        <w:t>, 88(5), pp. 879–903.</w:t>
      </w:r>
    </w:p>
    <w:p w:rsidR="00712C91" w:rsidRPr="0053268D"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3268D">
        <w:rPr>
          <w:rFonts w:ascii="Times New Roman" w:eastAsia="Times New Roman" w:hAnsi="Times New Roman" w:cs="Times New Roman"/>
          <w:sz w:val="24"/>
          <w:szCs w:val="24"/>
        </w:rPr>
        <w:t xml:space="preserve">Powell, T.C. (1995) ‘Total quality management as competitive advantage: A review and empirical study’, </w:t>
      </w:r>
      <w:r w:rsidRPr="0053268D">
        <w:rPr>
          <w:rFonts w:ascii="Times New Roman" w:eastAsia="Times New Roman" w:hAnsi="Times New Roman" w:cs="Times New Roman"/>
          <w:i/>
          <w:iCs/>
          <w:sz w:val="24"/>
          <w:szCs w:val="24"/>
        </w:rPr>
        <w:t>Strategic Management Journal</w:t>
      </w:r>
      <w:r w:rsidRPr="0053268D">
        <w:rPr>
          <w:rFonts w:ascii="Times New Roman" w:eastAsia="Times New Roman" w:hAnsi="Times New Roman" w:cs="Times New Roman"/>
          <w:sz w:val="24"/>
          <w:szCs w:val="24"/>
        </w:rPr>
        <w:t>, 16(1), pp. 15–37.</w:t>
      </w:r>
    </w:p>
    <w:p w:rsidR="00647A60" w:rsidRDefault="00712C91" w:rsidP="00647A60">
      <w:pPr>
        <w:spacing w:after="0" w:line="276" w:lineRule="auto"/>
        <w:ind w:left="567" w:hanging="567"/>
        <w:jc w:val="both"/>
        <w:rPr>
          <w:rFonts w:ascii="Times New Roman" w:eastAsia="Times New Roman" w:hAnsi="Times New Roman" w:cs="Times New Roman"/>
          <w:sz w:val="24"/>
          <w:szCs w:val="24"/>
        </w:rPr>
      </w:pPr>
      <w:r w:rsidRPr="0053268D">
        <w:rPr>
          <w:rFonts w:ascii="Times New Roman" w:eastAsia="Times New Roman" w:hAnsi="Times New Roman" w:cs="Times New Roman"/>
          <w:sz w:val="24"/>
          <w:szCs w:val="24"/>
        </w:rPr>
        <w:t>Prajogo, D.I. and Sohal, A.S. (2006) ‘The integration of TQM and technology/R</w:t>
      </w:r>
      <w:r w:rsidR="0053268D">
        <w:rPr>
          <w:rFonts w:ascii="Times New Roman" w:eastAsia="Times New Roman" w:hAnsi="Times New Roman" w:cs="Times New Roman"/>
          <w:sz w:val="24"/>
          <w:szCs w:val="24"/>
        </w:rPr>
        <w:t xml:space="preserve"> and </w:t>
      </w:r>
      <w:r w:rsidRPr="0053268D">
        <w:rPr>
          <w:rFonts w:ascii="Times New Roman" w:eastAsia="Times New Roman" w:hAnsi="Times New Roman" w:cs="Times New Roman"/>
          <w:sz w:val="24"/>
          <w:szCs w:val="24"/>
        </w:rPr>
        <w:t xml:space="preserve">D management in determining quality and innovation performance’, </w:t>
      </w:r>
      <w:r w:rsidRPr="0053268D">
        <w:rPr>
          <w:rFonts w:ascii="Times New Roman" w:eastAsia="Times New Roman" w:hAnsi="Times New Roman" w:cs="Times New Roman"/>
          <w:i/>
          <w:iCs/>
          <w:sz w:val="24"/>
          <w:szCs w:val="24"/>
        </w:rPr>
        <w:t>Omega</w:t>
      </w:r>
      <w:r w:rsidRPr="0053268D">
        <w:rPr>
          <w:rFonts w:ascii="Times New Roman" w:eastAsia="Times New Roman" w:hAnsi="Times New Roman" w:cs="Times New Roman"/>
          <w:sz w:val="24"/>
          <w:szCs w:val="24"/>
        </w:rPr>
        <w:t>, 34(3), pp. 296–312.</w:t>
      </w:r>
    </w:p>
    <w:p w:rsidR="00647A60" w:rsidRPr="00647A60" w:rsidRDefault="00647A60" w:rsidP="00647A60">
      <w:pPr>
        <w:spacing w:after="0" w:line="276" w:lineRule="auto"/>
        <w:ind w:left="567" w:hanging="567"/>
        <w:jc w:val="both"/>
        <w:rPr>
          <w:rFonts w:ascii="Times New Roman" w:eastAsia="Times New Roman" w:hAnsi="Times New Roman" w:cs="Times New Roman"/>
          <w:sz w:val="24"/>
          <w:szCs w:val="24"/>
        </w:rPr>
      </w:pPr>
      <w:r w:rsidRPr="002456FE">
        <w:rPr>
          <w:rFonts w:ascii="Times New Roman" w:hAnsi="Times New Roman" w:cs="Times New Roman"/>
          <w:sz w:val="24"/>
          <w:szCs w:val="24"/>
        </w:rPr>
        <w:t>Puthanveettil, B.A., Vijayan S, Raj, A., and MP, S. (2021), "TQM implementation practices and performance outcome of Indian hospitals: exploratory findings". </w:t>
      </w:r>
      <w:r w:rsidRPr="002456FE">
        <w:rPr>
          <w:rFonts w:ascii="Times New Roman" w:hAnsi="Times New Roman" w:cs="Times New Roman"/>
          <w:i/>
          <w:iCs/>
          <w:sz w:val="24"/>
          <w:szCs w:val="24"/>
        </w:rPr>
        <w:t>The TQM Journal</w:t>
      </w:r>
      <w:r w:rsidRPr="002456FE">
        <w:rPr>
          <w:rFonts w:ascii="Times New Roman" w:hAnsi="Times New Roman" w:cs="Times New Roman"/>
          <w:sz w:val="24"/>
          <w:szCs w:val="24"/>
        </w:rPr>
        <w:t>, Vol. 33 No. 6 pp. 1325–1346, doi: </w:t>
      </w:r>
      <w:hyperlink r:id="rId25" w:tgtFrame="_blank" w:history="1">
        <w:r w:rsidRPr="00C81D1F">
          <w:rPr>
            <w:rStyle w:val="Hyperlink"/>
            <w:rFonts w:ascii="Times New Roman" w:hAnsi="Times New Roman" w:cs="Times New Roman"/>
            <w:color w:val="000000" w:themeColor="text1"/>
            <w:sz w:val="24"/>
            <w:szCs w:val="24"/>
            <w:u w:val="none"/>
          </w:rPr>
          <w:t>https://doi.org/10.1108/TQM-07-2020-0171</w:t>
        </w:r>
      </w:hyperlink>
    </w:p>
    <w:p w:rsidR="00647A60" w:rsidRPr="00647A60" w:rsidRDefault="00647A60" w:rsidP="00647A60">
      <w:pPr>
        <w:spacing w:after="0" w:line="276" w:lineRule="auto"/>
        <w:ind w:left="567" w:hanging="567"/>
        <w:jc w:val="both"/>
        <w:rPr>
          <w:rFonts w:ascii="Times New Roman" w:hAnsi="Times New Roman" w:cs="Times New Roman"/>
          <w:sz w:val="24"/>
          <w:szCs w:val="24"/>
        </w:rPr>
      </w:pPr>
      <w:r w:rsidRPr="002456FE">
        <w:rPr>
          <w:rFonts w:ascii="Times New Roman" w:hAnsi="Times New Roman" w:cs="Times New Roman"/>
          <w:sz w:val="24"/>
          <w:szCs w:val="24"/>
        </w:rPr>
        <w:t>Qasrawi, B.T., Almahamid, S.M., and Qasrawi, S.T. (2017), "The impact of TQM practices and KM processes on organisational performance: An empirical investigation". </w:t>
      </w:r>
      <w:r w:rsidRPr="002456FE">
        <w:rPr>
          <w:rFonts w:ascii="Times New Roman" w:hAnsi="Times New Roman" w:cs="Times New Roman"/>
          <w:i/>
          <w:iCs/>
          <w:sz w:val="24"/>
          <w:szCs w:val="24"/>
        </w:rPr>
        <w:t>International Journal of Quality and Reliability Management</w:t>
      </w:r>
      <w:r w:rsidRPr="002456FE">
        <w:rPr>
          <w:rFonts w:ascii="Times New Roman" w:hAnsi="Times New Roman" w:cs="Times New Roman"/>
          <w:sz w:val="24"/>
          <w:szCs w:val="24"/>
        </w:rPr>
        <w:t>, Vol. 34 No. 7 pp. 1034–1055, doi: </w:t>
      </w:r>
      <w:hyperlink r:id="rId26" w:tgtFrame="_blank" w:history="1">
        <w:r w:rsidRPr="00C81D1F">
          <w:rPr>
            <w:rStyle w:val="Hyperlink"/>
            <w:rFonts w:ascii="Times New Roman" w:hAnsi="Times New Roman" w:cs="Times New Roman"/>
            <w:color w:val="000000" w:themeColor="text1"/>
            <w:sz w:val="24"/>
            <w:szCs w:val="24"/>
            <w:u w:val="none"/>
          </w:rPr>
          <w:t>https://doi.org/10.1108/IJQRM-11-2015-0160</w:t>
        </w:r>
      </w:hyperlink>
    </w:p>
    <w:p w:rsidR="00BB7050" w:rsidRPr="00BB7050" w:rsidRDefault="00BB7050" w:rsidP="00BB7050">
      <w:pPr>
        <w:spacing w:after="0" w:line="276" w:lineRule="auto"/>
        <w:ind w:left="567" w:hanging="567"/>
        <w:jc w:val="both"/>
        <w:rPr>
          <w:rFonts w:ascii="Times New Roman" w:eastAsia="Times New Roman" w:hAnsi="Times New Roman" w:cs="Times New Roman"/>
          <w:sz w:val="24"/>
          <w:szCs w:val="24"/>
        </w:rPr>
      </w:pPr>
      <w:r w:rsidRPr="00BB7050">
        <w:rPr>
          <w:rFonts w:ascii="Times New Roman" w:eastAsia="Times New Roman" w:hAnsi="Times New Roman" w:cs="Times New Roman"/>
          <w:bCs/>
          <w:sz w:val="24"/>
          <w:szCs w:val="24"/>
        </w:rPr>
        <w:t xml:space="preserve">Sahoo, S., and Yadav, S. (2017). Total Quality Management in Indian Manufacturing SMEs. Procedia Manufacturing, 21, 541-548. </w:t>
      </w:r>
      <w:hyperlink r:id="rId27" w:history="1">
        <w:r w:rsidRPr="00C81D1F">
          <w:rPr>
            <w:rFonts w:ascii="Times New Roman" w:eastAsia="Times New Roman" w:hAnsi="Times New Roman" w:cs="Times New Roman"/>
            <w:bCs/>
            <w:color w:val="000000" w:themeColor="text1"/>
            <w:sz w:val="24"/>
            <w:szCs w:val="24"/>
          </w:rPr>
          <w:t>https://doi.org/10.1016/j.promfg.2018.02.155</w:t>
        </w:r>
      </w:hyperlink>
    </w:p>
    <w:p w:rsidR="00712C91"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10F81">
        <w:rPr>
          <w:rFonts w:ascii="Times New Roman" w:eastAsia="Times New Roman" w:hAnsi="Times New Roman" w:cs="Times New Roman"/>
          <w:sz w:val="24"/>
          <w:szCs w:val="24"/>
        </w:rPr>
        <w:t xml:space="preserve">Samson, D. and Terziovski, M. (1999) ‘The relationship between total quality management practices and operational performance’, </w:t>
      </w:r>
      <w:r w:rsidRPr="00510F81">
        <w:rPr>
          <w:rFonts w:ascii="Times New Roman" w:eastAsia="Times New Roman" w:hAnsi="Times New Roman" w:cs="Times New Roman"/>
          <w:i/>
          <w:iCs/>
          <w:sz w:val="24"/>
          <w:szCs w:val="24"/>
        </w:rPr>
        <w:t>Journal of Operations Management</w:t>
      </w:r>
      <w:r w:rsidRPr="00510F81">
        <w:rPr>
          <w:rFonts w:ascii="Times New Roman" w:eastAsia="Times New Roman" w:hAnsi="Times New Roman" w:cs="Times New Roman"/>
          <w:sz w:val="24"/>
          <w:szCs w:val="24"/>
        </w:rPr>
        <w:t>, 17(4), pp. 393–409.</w:t>
      </w:r>
    </w:p>
    <w:p w:rsidR="00712C91" w:rsidRDefault="00712C91" w:rsidP="00712C91">
      <w:pPr>
        <w:spacing w:after="0" w:line="276" w:lineRule="auto"/>
        <w:ind w:left="567" w:hanging="567"/>
        <w:jc w:val="both"/>
        <w:rPr>
          <w:rFonts w:ascii="Times New Roman" w:eastAsia="Times New Roman" w:hAnsi="Times New Roman" w:cs="Times New Roman"/>
          <w:sz w:val="24"/>
          <w:szCs w:val="24"/>
        </w:rPr>
      </w:pPr>
      <w:r w:rsidRPr="00510F81">
        <w:rPr>
          <w:rFonts w:ascii="Times New Roman" w:eastAsia="Times New Roman" w:hAnsi="Times New Roman" w:cs="Times New Roman"/>
          <w:sz w:val="24"/>
          <w:szCs w:val="24"/>
        </w:rPr>
        <w:lastRenderedPageBreak/>
        <w:t xml:space="preserve">Saunders, M., Lewis, P. and Thornhill, A. (2019) </w:t>
      </w:r>
      <w:r w:rsidRPr="00510F81">
        <w:rPr>
          <w:rFonts w:ascii="Times New Roman" w:eastAsia="Times New Roman" w:hAnsi="Times New Roman" w:cs="Times New Roman"/>
          <w:i/>
          <w:iCs/>
          <w:sz w:val="24"/>
          <w:szCs w:val="24"/>
        </w:rPr>
        <w:t>Research methods for business students</w:t>
      </w:r>
      <w:r w:rsidRPr="00510F81">
        <w:rPr>
          <w:rFonts w:ascii="Times New Roman" w:eastAsia="Times New Roman" w:hAnsi="Times New Roman" w:cs="Times New Roman"/>
          <w:sz w:val="24"/>
          <w:szCs w:val="24"/>
        </w:rPr>
        <w:t>. 8th edn. Harlow: Pearson Education.</w:t>
      </w:r>
    </w:p>
    <w:p w:rsidR="00BB7050" w:rsidRDefault="00BB7050" w:rsidP="00BB7050">
      <w:pPr>
        <w:spacing w:after="0" w:line="276" w:lineRule="auto"/>
        <w:ind w:left="567" w:hanging="567"/>
        <w:jc w:val="both"/>
        <w:rPr>
          <w:rFonts w:ascii="Times New Roman" w:hAnsi="Times New Roman" w:cs="Times New Roman"/>
          <w:sz w:val="24"/>
          <w:szCs w:val="24"/>
        </w:rPr>
      </w:pPr>
      <w:r w:rsidRPr="00FA5452">
        <w:rPr>
          <w:rFonts w:ascii="Times New Roman" w:hAnsi="Times New Roman" w:cs="Times New Roman"/>
          <w:sz w:val="24"/>
          <w:szCs w:val="24"/>
        </w:rPr>
        <w:t>Shafiq, M., Lasrado, F., and Hafeez, K. (2019). The effect of TQM on organisational performance: empirical evidence from the textile sector of a developing country using SEM. </w:t>
      </w:r>
      <w:r w:rsidRPr="00FA5452">
        <w:rPr>
          <w:rFonts w:ascii="Times New Roman" w:hAnsi="Times New Roman" w:cs="Times New Roman"/>
          <w:i/>
          <w:iCs/>
          <w:sz w:val="24"/>
          <w:szCs w:val="24"/>
        </w:rPr>
        <w:t>Total Quality Management and Business Excellence</w:t>
      </w:r>
      <w:r w:rsidRPr="00FA5452">
        <w:rPr>
          <w:rFonts w:ascii="Times New Roman" w:hAnsi="Times New Roman" w:cs="Times New Roman"/>
          <w:sz w:val="24"/>
          <w:szCs w:val="24"/>
        </w:rPr>
        <w:t xml:space="preserve">, Vol. </w:t>
      </w:r>
      <w:r w:rsidRPr="00FA5452">
        <w:rPr>
          <w:rFonts w:ascii="Times New Roman" w:hAnsi="Times New Roman" w:cs="Times New Roman"/>
          <w:i/>
          <w:iCs/>
          <w:sz w:val="24"/>
          <w:szCs w:val="24"/>
        </w:rPr>
        <w:t>30</w:t>
      </w:r>
      <w:r w:rsidRPr="00FA5452">
        <w:rPr>
          <w:rFonts w:ascii="Times New Roman" w:hAnsi="Times New Roman" w:cs="Times New Roman"/>
          <w:sz w:val="24"/>
          <w:szCs w:val="24"/>
        </w:rPr>
        <w:t xml:space="preserve">(1–2), pp. 31–52. </w:t>
      </w:r>
      <w:hyperlink r:id="rId28" w:history="1">
        <w:r w:rsidR="00916EB6" w:rsidRPr="00C81D1F">
          <w:rPr>
            <w:rStyle w:val="Hyperlink"/>
            <w:rFonts w:ascii="Times New Roman" w:hAnsi="Times New Roman" w:cs="Times New Roman"/>
            <w:color w:val="000000" w:themeColor="text1"/>
            <w:sz w:val="24"/>
            <w:szCs w:val="24"/>
            <w:u w:val="none"/>
          </w:rPr>
          <w:t>https://doi.org/10.1080/14783363.2017.1283211</w:t>
        </w:r>
      </w:hyperlink>
    </w:p>
    <w:p w:rsidR="00916EB6" w:rsidRPr="00FA5452" w:rsidRDefault="00916EB6" w:rsidP="00916EB6">
      <w:pPr>
        <w:spacing w:after="0" w:line="276" w:lineRule="auto"/>
        <w:ind w:left="567" w:hanging="567"/>
        <w:jc w:val="both"/>
        <w:rPr>
          <w:rFonts w:ascii="Times New Roman" w:hAnsi="Times New Roman" w:cs="Times New Roman"/>
          <w:sz w:val="24"/>
          <w:szCs w:val="24"/>
        </w:rPr>
      </w:pPr>
      <w:r w:rsidRPr="00FA5452">
        <w:rPr>
          <w:rFonts w:ascii="Times New Roman" w:hAnsi="Times New Roman" w:cs="Times New Roman"/>
          <w:sz w:val="24"/>
          <w:szCs w:val="24"/>
        </w:rPr>
        <w:t xml:space="preserve">Sichinsambwe, Chanda M., (2011). "Effectiveness and Efficiency of Knowledge Transfer in Supplier Development: Key Antecedents and Buyer-Supplier Outcomes" </w:t>
      </w:r>
      <w:r w:rsidRPr="00FA5452">
        <w:rPr>
          <w:rFonts w:ascii="Times New Roman" w:hAnsi="Times New Roman" w:cs="Times New Roman"/>
          <w:i/>
          <w:iCs/>
          <w:sz w:val="24"/>
          <w:szCs w:val="24"/>
        </w:rPr>
        <w:t>ETD Archive</w:t>
      </w:r>
      <w:r w:rsidRPr="00FA5452">
        <w:rPr>
          <w:rFonts w:ascii="Times New Roman" w:hAnsi="Times New Roman" w:cs="Times New Roman"/>
          <w:sz w:val="24"/>
          <w:szCs w:val="24"/>
        </w:rPr>
        <w:t>,</w:t>
      </w:r>
      <w:r w:rsidRPr="00FA5452">
        <w:rPr>
          <w:rFonts w:ascii="Times New Roman" w:hAnsi="Times New Roman" w:cs="Times New Roman"/>
          <w:sz w:val="24"/>
          <w:szCs w:val="24"/>
        </w:rPr>
        <w:br/>
        <w:t>https://engagedscholarship.csuohio.edu/etdarchive/270</w:t>
      </w:r>
    </w:p>
    <w:p w:rsidR="00916EB6" w:rsidRDefault="00916EB6" w:rsidP="00916EB6">
      <w:pPr>
        <w:spacing w:after="0" w:line="276" w:lineRule="auto"/>
        <w:ind w:left="567" w:hanging="567"/>
        <w:jc w:val="both"/>
        <w:rPr>
          <w:rFonts w:ascii="Times New Roman" w:hAnsi="Times New Roman" w:cs="Times New Roman"/>
          <w:sz w:val="24"/>
          <w:szCs w:val="24"/>
        </w:rPr>
      </w:pPr>
      <w:r w:rsidRPr="007A0D5B">
        <w:rPr>
          <w:rFonts w:ascii="Times New Roman" w:hAnsi="Times New Roman" w:cs="Times New Roman"/>
          <w:sz w:val="24"/>
          <w:szCs w:val="24"/>
        </w:rPr>
        <w:t xml:space="preserve">Sichinsambwe, C., Simasiku, P. L., Sikombe, S., </w:t>
      </w:r>
      <w:r>
        <w:rPr>
          <w:rFonts w:ascii="Times New Roman" w:hAnsi="Times New Roman" w:cs="Times New Roman"/>
          <w:sz w:val="24"/>
          <w:szCs w:val="24"/>
        </w:rPr>
        <w:t>and</w:t>
      </w:r>
      <w:r w:rsidRPr="007A0D5B">
        <w:rPr>
          <w:rFonts w:ascii="Times New Roman" w:hAnsi="Times New Roman" w:cs="Times New Roman"/>
          <w:sz w:val="24"/>
          <w:szCs w:val="24"/>
        </w:rPr>
        <w:t xml:space="preserve"> Nyimbili, H. (2023). Kaizen practices and performance improvement in Zambian manufacturing companies. </w:t>
      </w:r>
      <w:r w:rsidRPr="007A0D5B">
        <w:rPr>
          <w:rFonts w:ascii="Times New Roman" w:hAnsi="Times New Roman" w:cs="Times New Roman"/>
          <w:i/>
          <w:iCs/>
          <w:sz w:val="24"/>
          <w:szCs w:val="24"/>
        </w:rPr>
        <w:t>Cogent Engineering</w:t>
      </w:r>
      <w:r w:rsidRPr="007A0D5B">
        <w:rPr>
          <w:rFonts w:ascii="Times New Roman" w:hAnsi="Times New Roman" w:cs="Times New Roman"/>
          <w:sz w:val="24"/>
          <w:szCs w:val="24"/>
        </w:rPr>
        <w:t>, </w:t>
      </w:r>
      <w:r w:rsidRPr="007A0D5B">
        <w:rPr>
          <w:rFonts w:ascii="Times New Roman" w:hAnsi="Times New Roman" w:cs="Times New Roman"/>
          <w:i/>
          <w:iCs/>
          <w:sz w:val="24"/>
          <w:szCs w:val="24"/>
        </w:rPr>
        <w:t>10</w:t>
      </w:r>
      <w:r w:rsidRPr="007A0D5B">
        <w:rPr>
          <w:rFonts w:ascii="Times New Roman" w:hAnsi="Times New Roman" w:cs="Times New Roman"/>
          <w:sz w:val="24"/>
          <w:szCs w:val="24"/>
        </w:rPr>
        <w:t xml:space="preserve">(1). </w:t>
      </w:r>
      <w:hyperlink r:id="rId29" w:history="1">
        <w:r w:rsidRPr="0053268D">
          <w:rPr>
            <w:rStyle w:val="Hyperlink"/>
            <w:rFonts w:ascii="Times New Roman" w:hAnsi="Times New Roman" w:cs="Times New Roman"/>
            <w:color w:val="000000" w:themeColor="text1"/>
            <w:sz w:val="24"/>
            <w:szCs w:val="24"/>
            <w:u w:val="none"/>
          </w:rPr>
          <w:t>https://doi.org/10.1080/23311916.2023.2183590</w:t>
        </w:r>
      </w:hyperlink>
    </w:p>
    <w:p w:rsidR="00916EB6" w:rsidRPr="00BB7050" w:rsidRDefault="00916EB6" w:rsidP="00916EB6">
      <w:pPr>
        <w:spacing w:after="0" w:line="276" w:lineRule="auto"/>
        <w:ind w:left="567" w:hanging="567"/>
        <w:jc w:val="both"/>
        <w:rPr>
          <w:rFonts w:ascii="Times New Roman" w:hAnsi="Times New Roman" w:cs="Times New Roman"/>
          <w:sz w:val="24"/>
          <w:szCs w:val="24"/>
        </w:rPr>
      </w:pPr>
      <w:r w:rsidRPr="007A0D5B">
        <w:rPr>
          <w:rFonts w:ascii="Times New Roman" w:hAnsi="Times New Roman" w:cs="Times New Roman"/>
          <w:sz w:val="24"/>
          <w:szCs w:val="24"/>
        </w:rPr>
        <w:t>Singh, R. (2015). Empirical Examination of the Impact of Total Quality Services on Hospitality Industry Business. </w:t>
      </w:r>
      <w:r w:rsidRPr="007A0D5B">
        <w:rPr>
          <w:rFonts w:ascii="Times New Roman" w:hAnsi="Times New Roman" w:cs="Times New Roman"/>
          <w:i/>
          <w:iCs/>
          <w:sz w:val="24"/>
          <w:szCs w:val="24"/>
        </w:rPr>
        <w:t>Journal of Quality Assurance in Hospitality &amp; Tourism</w:t>
      </w:r>
      <w:r w:rsidRPr="007A0D5B">
        <w:rPr>
          <w:rFonts w:ascii="Times New Roman" w:hAnsi="Times New Roman" w:cs="Times New Roman"/>
          <w:sz w:val="24"/>
          <w:szCs w:val="24"/>
        </w:rPr>
        <w:t>, </w:t>
      </w:r>
      <w:r w:rsidRPr="007A0D5B">
        <w:rPr>
          <w:rFonts w:ascii="Times New Roman" w:hAnsi="Times New Roman" w:cs="Times New Roman"/>
          <w:i/>
          <w:iCs/>
          <w:sz w:val="24"/>
          <w:szCs w:val="24"/>
        </w:rPr>
        <w:t>16</w:t>
      </w:r>
      <w:r w:rsidRPr="007A0D5B">
        <w:rPr>
          <w:rFonts w:ascii="Times New Roman" w:hAnsi="Times New Roman" w:cs="Times New Roman"/>
          <w:sz w:val="24"/>
          <w:szCs w:val="24"/>
        </w:rPr>
        <w:t xml:space="preserve">(4), 389–413. </w:t>
      </w:r>
      <w:hyperlink r:id="rId30" w:history="1">
        <w:r w:rsidRPr="0053268D">
          <w:rPr>
            <w:rStyle w:val="Hyperlink"/>
            <w:rFonts w:ascii="Times New Roman" w:hAnsi="Times New Roman" w:cs="Times New Roman"/>
            <w:color w:val="000000" w:themeColor="text1"/>
            <w:sz w:val="24"/>
            <w:szCs w:val="24"/>
            <w:u w:val="none"/>
          </w:rPr>
          <w:t>https://doi.org/10.1080/1528008X.2015.1013411</w:t>
        </w:r>
      </w:hyperlink>
    </w:p>
    <w:p w:rsidR="00712C91"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10F81">
        <w:rPr>
          <w:rFonts w:ascii="Times New Roman" w:eastAsia="Times New Roman" w:hAnsi="Times New Roman" w:cs="Times New Roman"/>
          <w:sz w:val="24"/>
          <w:szCs w:val="24"/>
        </w:rPr>
        <w:t xml:space="preserve">Sikota, </w:t>
      </w:r>
      <w:r>
        <w:rPr>
          <w:rFonts w:ascii="Times New Roman" w:eastAsia="Times New Roman" w:hAnsi="Times New Roman" w:cs="Times New Roman"/>
          <w:sz w:val="24"/>
          <w:szCs w:val="24"/>
        </w:rPr>
        <w:t>N.K</w:t>
      </w:r>
      <w:r w:rsidRPr="00510F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Sichinsambwe, C., and Mwiya, B.K. </w:t>
      </w:r>
      <w:r w:rsidRPr="00510F81">
        <w:rPr>
          <w:rFonts w:ascii="Times New Roman" w:eastAsia="Times New Roman" w:hAnsi="Times New Roman" w:cs="Times New Roman"/>
          <w:sz w:val="24"/>
          <w:szCs w:val="24"/>
        </w:rPr>
        <w:t>(2026) ‘</w:t>
      </w:r>
      <w:r w:rsidRPr="00712C91">
        <w:rPr>
          <w:rFonts w:ascii="Times New Roman" w:hAnsi="Times New Roman" w:cs="Times New Roman"/>
          <w:sz w:val="24"/>
          <w:szCs w:val="24"/>
          <w:lang w:val="en-GB"/>
        </w:rPr>
        <w:t xml:space="preserve">Investigating the Relationship between TQM practices, Time Performance and Non-Financial Organisational Performance in </w:t>
      </w:r>
      <w:r>
        <w:rPr>
          <w:rFonts w:ascii="Times New Roman" w:hAnsi="Times New Roman" w:cs="Times New Roman"/>
          <w:sz w:val="24"/>
          <w:szCs w:val="24"/>
          <w:lang w:val="en-GB"/>
        </w:rPr>
        <w:t>Zambia’s Service Sector</w:t>
      </w:r>
      <w:r w:rsidRPr="00510F81">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w:t>
      </w:r>
      <w:r w:rsidRPr="00510F81">
        <w:rPr>
          <w:rFonts w:ascii="Times New Roman" w:eastAsia="Times New Roman" w:hAnsi="Times New Roman" w:cs="Times New Roman"/>
          <w:i/>
          <w:iCs/>
          <w:sz w:val="24"/>
          <w:szCs w:val="24"/>
        </w:rPr>
        <w:t xml:space="preserve"> Journal of </w:t>
      </w:r>
      <w:r>
        <w:rPr>
          <w:rFonts w:ascii="Times New Roman" w:eastAsia="Times New Roman" w:hAnsi="Times New Roman" w:cs="Times New Roman"/>
          <w:i/>
          <w:iCs/>
          <w:sz w:val="24"/>
          <w:szCs w:val="24"/>
        </w:rPr>
        <w:t>Research and Innovation in Social Sciences</w:t>
      </w:r>
      <w:r w:rsidRPr="00510F81">
        <w:rPr>
          <w:rFonts w:ascii="Times New Roman" w:eastAsia="Times New Roman" w:hAnsi="Times New Roman" w:cs="Times New Roman"/>
          <w:sz w:val="24"/>
          <w:szCs w:val="24"/>
        </w:rPr>
        <w:t xml:space="preserve">, </w:t>
      </w:r>
      <w:r w:rsidR="00C81D1F" w:rsidRPr="00C81D1F">
        <w:rPr>
          <w:rFonts w:ascii="Times New Roman" w:eastAsia="Times New Roman" w:hAnsi="Times New Roman" w:cs="Times New Roman"/>
          <w:i/>
          <w:sz w:val="24"/>
          <w:szCs w:val="24"/>
        </w:rPr>
        <w:t>Accepted</w:t>
      </w:r>
      <w:r w:rsidR="00C81D1F">
        <w:rPr>
          <w:rFonts w:ascii="Times New Roman" w:eastAsia="Times New Roman" w:hAnsi="Times New Roman" w:cs="Times New Roman"/>
          <w:i/>
          <w:sz w:val="24"/>
          <w:szCs w:val="24"/>
        </w:rPr>
        <w:t>.</w:t>
      </w:r>
    </w:p>
    <w:p w:rsidR="00916EB6" w:rsidRDefault="00712C91" w:rsidP="00916EB6">
      <w:pPr>
        <w:spacing w:after="0" w:line="276" w:lineRule="auto"/>
        <w:ind w:left="567" w:hanging="567"/>
        <w:jc w:val="both"/>
        <w:rPr>
          <w:rFonts w:ascii="Times New Roman" w:eastAsia="Times New Roman" w:hAnsi="Times New Roman" w:cs="Times New Roman"/>
          <w:sz w:val="24"/>
          <w:szCs w:val="24"/>
        </w:rPr>
      </w:pPr>
      <w:r w:rsidRPr="00510F81">
        <w:rPr>
          <w:rFonts w:ascii="Times New Roman" w:eastAsia="Times New Roman" w:hAnsi="Times New Roman" w:cs="Times New Roman"/>
          <w:sz w:val="24"/>
          <w:szCs w:val="24"/>
        </w:rPr>
        <w:t xml:space="preserve">Sousa, R. and Voss, C.A. (2002) ‘Quality management re-visited: A reflective review and agenda for future research’, </w:t>
      </w:r>
      <w:r w:rsidRPr="00510F81">
        <w:rPr>
          <w:rFonts w:ascii="Times New Roman" w:eastAsia="Times New Roman" w:hAnsi="Times New Roman" w:cs="Times New Roman"/>
          <w:i/>
          <w:iCs/>
          <w:sz w:val="24"/>
          <w:szCs w:val="24"/>
        </w:rPr>
        <w:t>Journal of Operations Management</w:t>
      </w:r>
      <w:r w:rsidRPr="00510F81">
        <w:rPr>
          <w:rFonts w:ascii="Times New Roman" w:eastAsia="Times New Roman" w:hAnsi="Times New Roman" w:cs="Times New Roman"/>
          <w:sz w:val="24"/>
          <w:szCs w:val="24"/>
        </w:rPr>
        <w:t>, 20(1), pp. 91–109.</w:t>
      </w:r>
    </w:p>
    <w:p w:rsidR="00E16EEF" w:rsidRDefault="00916EB6" w:rsidP="00E16EEF">
      <w:pPr>
        <w:spacing w:after="0" w:line="276" w:lineRule="auto"/>
        <w:ind w:left="567" w:hanging="567"/>
        <w:jc w:val="both"/>
        <w:rPr>
          <w:rFonts w:ascii="Times New Roman" w:eastAsia="Times New Roman" w:hAnsi="Times New Roman" w:cs="Times New Roman"/>
          <w:bCs/>
          <w:sz w:val="24"/>
          <w:szCs w:val="24"/>
        </w:rPr>
      </w:pPr>
      <w:r w:rsidRPr="00916EB6">
        <w:rPr>
          <w:rFonts w:ascii="Times New Roman" w:eastAsia="Times New Roman" w:hAnsi="Times New Roman" w:cs="Times New Roman"/>
          <w:bCs/>
          <w:sz w:val="24"/>
          <w:szCs w:val="24"/>
        </w:rPr>
        <w:t xml:space="preserve">Sun, W., Chen, K., and Mei, J. (2024). Integrating the Resource-Based View and Dynamic Capabilities: A comprehensive framework for sustaining competitive advantage in dynamic markets. EPRA International Journal of Economic and Business Review, 12(9), 1–15. </w:t>
      </w:r>
      <w:hyperlink r:id="rId31" w:history="1">
        <w:r w:rsidRPr="0053268D">
          <w:rPr>
            <w:rFonts w:ascii="Times New Roman" w:eastAsia="Times New Roman" w:hAnsi="Times New Roman" w:cs="Times New Roman"/>
            <w:bCs/>
            <w:color w:val="000000" w:themeColor="text1"/>
            <w:sz w:val="24"/>
            <w:szCs w:val="24"/>
          </w:rPr>
          <w:t>https://doi.org/10.36713/epra18157</w:t>
        </w:r>
      </w:hyperlink>
    </w:p>
    <w:p w:rsidR="00E16EEF" w:rsidRPr="00E16EEF" w:rsidRDefault="00E16EEF" w:rsidP="00E16EEF">
      <w:pPr>
        <w:spacing w:after="0" w:line="276" w:lineRule="auto"/>
        <w:ind w:left="567" w:hanging="567"/>
        <w:jc w:val="both"/>
        <w:rPr>
          <w:rFonts w:ascii="Times New Roman" w:eastAsia="Times New Roman" w:hAnsi="Times New Roman" w:cs="Times New Roman"/>
          <w:bCs/>
          <w:sz w:val="24"/>
          <w:szCs w:val="24"/>
        </w:rPr>
      </w:pPr>
      <w:r w:rsidRPr="00E16EEF">
        <w:rPr>
          <w:rFonts w:ascii="Times New Roman" w:eastAsia="Times New Roman" w:hAnsi="Times New Roman" w:cs="Times New Roman"/>
          <w:bCs/>
          <w:sz w:val="24"/>
          <w:szCs w:val="24"/>
        </w:rPr>
        <w:t xml:space="preserve">Teece, D. J., Pisano, G., and Shuen, A. (1997). Dynamic capabilities and strategic management. Strategic Management Journal, 18(7), 509-533. </w:t>
      </w:r>
      <w:hyperlink r:id="rId32" w:history="1">
        <w:r w:rsidRPr="0053268D">
          <w:rPr>
            <w:rFonts w:ascii="Times New Roman" w:eastAsia="Times New Roman" w:hAnsi="Times New Roman" w:cs="Times New Roman"/>
            <w:bCs/>
            <w:color w:val="000000" w:themeColor="text1"/>
            <w:sz w:val="24"/>
            <w:szCs w:val="24"/>
          </w:rPr>
          <w:t>https://doi.org/10.1002/(SICI)1097-0266(199708)18:7&lt;509::AID-SMJ882&gt;3.0.CO;2-Z</w:t>
        </w:r>
      </w:hyperlink>
    </w:p>
    <w:p w:rsidR="00712C91"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10F81">
        <w:rPr>
          <w:rFonts w:ascii="Times New Roman" w:eastAsia="Times New Roman" w:hAnsi="Times New Roman" w:cs="Times New Roman"/>
          <w:sz w:val="24"/>
          <w:szCs w:val="24"/>
        </w:rPr>
        <w:t xml:space="preserve">Werts, C.E., Linn, R.L. and Jöreskog, K.G. (1974) ‘Intraclass reliability estimates: Testing structural assumptions’, </w:t>
      </w:r>
      <w:r w:rsidRPr="00510F81">
        <w:rPr>
          <w:rFonts w:ascii="Times New Roman" w:eastAsia="Times New Roman" w:hAnsi="Times New Roman" w:cs="Times New Roman"/>
          <w:i/>
          <w:iCs/>
          <w:sz w:val="24"/>
          <w:szCs w:val="24"/>
        </w:rPr>
        <w:t>Educational and Psychological Measurement</w:t>
      </w:r>
      <w:r w:rsidRPr="00510F81">
        <w:rPr>
          <w:rFonts w:ascii="Times New Roman" w:eastAsia="Times New Roman" w:hAnsi="Times New Roman" w:cs="Times New Roman"/>
          <w:sz w:val="24"/>
          <w:szCs w:val="24"/>
        </w:rPr>
        <w:t>, 34(1), pp. 25–33.</w:t>
      </w:r>
    </w:p>
    <w:p w:rsidR="00712C91" w:rsidRPr="00510F81" w:rsidRDefault="00712C91" w:rsidP="00712C91">
      <w:pPr>
        <w:spacing w:after="0" w:line="276" w:lineRule="auto"/>
        <w:ind w:left="567" w:hanging="567"/>
        <w:jc w:val="both"/>
        <w:rPr>
          <w:rFonts w:ascii="Times New Roman" w:eastAsia="Times New Roman" w:hAnsi="Times New Roman" w:cs="Times New Roman"/>
          <w:sz w:val="24"/>
          <w:szCs w:val="24"/>
          <w:lang w:val="en-ZA"/>
        </w:rPr>
      </w:pPr>
      <w:r w:rsidRPr="00510F81">
        <w:rPr>
          <w:rFonts w:ascii="Times New Roman" w:eastAsia="Times New Roman" w:hAnsi="Times New Roman" w:cs="Times New Roman"/>
          <w:sz w:val="24"/>
          <w:szCs w:val="24"/>
        </w:rPr>
        <w:t xml:space="preserve">Wong, K.K. (2013) ‘Partial least squares structural equation modeling (PLS-SEM) techniques using SmartPLS’, </w:t>
      </w:r>
      <w:r w:rsidRPr="00510F81">
        <w:rPr>
          <w:rFonts w:ascii="Times New Roman" w:eastAsia="Times New Roman" w:hAnsi="Times New Roman" w:cs="Times New Roman"/>
          <w:i/>
          <w:iCs/>
          <w:sz w:val="24"/>
          <w:szCs w:val="24"/>
        </w:rPr>
        <w:t>Marketing Bulletin</w:t>
      </w:r>
      <w:r w:rsidRPr="00510F81">
        <w:rPr>
          <w:rFonts w:ascii="Times New Roman" w:eastAsia="Times New Roman" w:hAnsi="Times New Roman" w:cs="Times New Roman"/>
          <w:sz w:val="24"/>
          <w:szCs w:val="24"/>
        </w:rPr>
        <w:t>, 24(1), pp. 1–32.</w:t>
      </w:r>
    </w:p>
    <w:p w:rsidR="007524A0" w:rsidRPr="00A33EB4" w:rsidRDefault="007524A0" w:rsidP="002E7D6B">
      <w:pPr>
        <w:spacing w:line="360" w:lineRule="auto"/>
        <w:jc w:val="both"/>
        <w:rPr>
          <w:rFonts w:ascii="Times New Roman" w:hAnsi="Times New Roman" w:cs="Times New Roman"/>
          <w:sz w:val="24"/>
          <w:szCs w:val="24"/>
        </w:rPr>
      </w:pPr>
    </w:p>
    <w:sectPr w:rsidR="007524A0" w:rsidRPr="00A33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17B"/>
    <w:multiLevelType w:val="multilevel"/>
    <w:tmpl w:val="B9B8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6F41"/>
    <w:multiLevelType w:val="multilevel"/>
    <w:tmpl w:val="AA5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70878"/>
    <w:multiLevelType w:val="multilevel"/>
    <w:tmpl w:val="0612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B3DE9"/>
    <w:multiLevelType w:val="multilevel"/>
    <w:tmpl w:val="B2E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75735"/>
    <w:multiLevelType w:val="multilevel"/>
    <w:tmpl w:val="840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A4796"/>
    <w:multiLevelType w:val="multilevel"/>
    <w:tmpl w:val="34DE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57138"/>
    <w:multiLevelType w:val="multilevel"/>
    <w:tmpl w:val="7F4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35300"/>
    <w:multiLevelType w:val="multilevel"/>
    <w:tmpl w:val="F82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60E22"/>
    <w:multiLevelType w:val="multilevel"/>
    <w:tmpl w:val="DD1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6647B"/>
    <w:multiLevelType w:val="multilevel"/>
    <w:tmpl w:val="1728B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A946E7"/>
    <w:multiLevelType w:val="multilevel"/>
    <w:tmpl w:val="7E10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E0426"/>
    <w:multiLevelType w:val="multilevel"/>
    <w:tmpl w:val="91D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983DC6"/>
    <w:multiLevelType w:val="multilevel"/>
    <w:tmpl w:val="166C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CB5952"/>
    <w:multiLevelType w:val="multilevel"/>
    <w:tmpl w:val="C7F6C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533D9"/>
    <w:multiLevelType w:val="multilevel"/>
    <w:tmpl w:val="806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A398D"/>
    <w:multiLevelType w:val="multilevel"/>
    <w:tmpl w:val="245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F35779"/>
    <w:multiLevelType w:val="multilevel"/>
    <w:tmpl w:val="2B4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41B04"/>
    <w:multiLevelType w:val="multilevel"/>
    <w:tmpl w:val="296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73632A"/>
    <w:multiLevelType w:val="multilevel"/>
    <w:tmpl w:val="02F4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D73A68"/>
    <w:multiLevelType w:val="multilevel"/>
    <w:tmpl w:val="EF4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147326"/>
    <w:multiLevelType w:val="multilevel"/>
    <w:tmpl w:val="6EA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D56A65"/>
    <w:multiLevelType w:val="multilevel"/>
    <w:tmpl w:val="FEBC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6D4403"/>
    <w:multiLevelType w:val="multilevel"/>
    <w:tmpl w:val="F7A0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404164"/>
    <w:multiLevelType w:val="multilevel"/>
    <w:tmpl w:val="D1F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0"/>
  </w:num>
  <w:num w:numId="4">
    <w:abstractNumId w:val="5"/>
  </w:num>
  <w:num w:numId="5">
    <w:abstractNumId w:val="20"/>
  </w:num>
  <w:num w:numId="6">
    <w:abstractNumId w:val="22"/>
  </w:num>
  <w:num w:numId="7">
    <w:abstractNumId w:val="12"/>
  </w:num>
  <w:num w:numId="8">
    <w:abstractNumId w:val="23"/>
  </w:num>
  <w:num w:numId="9">
    <w:abstractNumId w:val="7"/>
  </w:num>
  <w:num w:numId="10">
    <w:abstractNumId w:val="21"/>
  </w:num>
  <w:num w:numId="11">
    <w:abstractNumId w:val="17"/>
  </w:num>
  <w:num w:numId="12">
    <w:abstractNumId w:val="1"/>
  </w:num>
  <w:num w:numId="13">
    <w:abstractNumId w:val="6"/>
  </w:num>
  <w:num w:numId="14">
    <w:abstractNumId w:val="14"/>
  </w:num>
  <w:num w:numId="15">
    <w:abstractNumId w:val="11"/>
  </w:num>
  <w:num w:numId="16">
    <w:abstractNumId w:val="19"/>
  </w:num>
  <w:num w:numId="17">
    <w:abstractNumId w:val="13"/>
  </w:num>
  <w:num w:numId="18">
    <w:abstractNumId w:val="10"/>
  </w:num>
  <w:num w:numId="19">
    <w:abstractNumId w:val="3"/>
  </w:num>
  <w:num w:numId="20">
    <w:abstractNumId w:val="4"/>
  </w:num>
  <w:num w:numId="21">
    <w:abstractNumId w:val="18"/>
  </w:num>
  <w:num w:numId="22">
    <w:abstractNumId w:val="9"/>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97"/>
    <w:rsid w:val="00036164"/>
    <w:rsid w:val="00037D1F"/>
    <w:rsid w:val="00043D0A"/>
    <w:rsid w:val="00050E18"/>
    <w:rsid w:val="000956F0"/>
    <w:rsid w:val="000F646C"/>
    <w:rsid w:val="0010255B"/>
    <w:rsid w:val="00131003"/>
    <w:rsid w:val="00152545"/>
    <w:rsid w:val="00170123"/>
    <w:rsid w:val="00184F1A"/>
    <w:rsid w:val="00186C96"/>
    <w:rsid w:val="00193236"/>
    <w:rsid w:val="001B23E3"/>
    <w:rsid w:val="001F25CE"/>
    <w:rsid w:val="00206D00"/>
    <w:rsid w:val="0023234A"/>
    <w:rsid w:val="002354F0"/>
    <w:rsid w:val="00263787"/>
    <w:rsid w:val="00270F1F"/>
    <w:rsid w:val="00293D18"/>
    <w:rsid w:val="002B582E"/>
    <w:rsid w:val="002E7D6B"/>
    <w:rsid w:val="00315080"/>
    <w:rsid w:val="0039126B"/>
    <w:rsid w:val="003B5500"/>
    <w:rsid w:val="003D3496"/>
    <w:rsid w:val="003F5A71"/>
    <w:rsid w:val="003F7BCB"/>
    <w:rsid w:val="00401AF8"/>
    <w:rsid w:val="00416F8B"/>
    <w:rsid w:val="00431362"/>
    <w:rsid w:val="004355CB"/>
    <w:rsid w:val="00447B73"/>
    <w:rsid w:val="0047350E"/>
    <w:rsid w:val="004D509D"/>
    <w:rsid w:val="0053268D"/>
    <w:rsid w:val="005408E1"/>
    <w:rsid w:val="005625D2"/>
    <w:rsid w:val="0057193A"/>
    <w:rsid w:val="005A14EC"/>
    <w:rsid w:val="005F16F4"/>
    <w:rsid w:val="006237AB"/>
    <w:rsid w:val="00647A60"/>
    <w:rsid w:val="006A696E"/>
    <w:rsid w:val="006B1652"/>
    <w:rsid w:val="006C7918"/>
    <w:rsid w:val="006D63F1"/>
    <w:rsid w:val="00712C91"/>
    <w:rsid w:val="007524A0"/>
    <w:rsid w:val="00767E8E"/>
    <w:rsid w:val="00793B45"/>
    <w:rsid w:val="007D545A"/>
    <w:rsid w:val="007D7DB1"/>
    <w:rsid w:val="007E51E3"/>
    <w:rsid w:val="0083359B"/>
    <w:rsid w:val="00850873"/>
    <w:rsid w:val="00856EC1"/>
    <w:rsid w:val="00877A0D"/>
    <w:rsid w:val="008C3DA3"/>
    <w:rsid w:val="008F1CE6"/>
    <w:rsid w:val="008F2A08"/>
    <w:rsid w:val="00916EB6"/>
    <w:rsid w:val="009325BA"/>
    <w:rsid w:val="00937E5B"/>
    <w:rsid w:val="009C0D90"/>
    <w:rsid w:val="009C7C5F"/>
    <w:rsid w:val="00A2608C"/>
    <w:rsid w:val="00A33EB4"/>
    <w:rsid w:val="00A6678A"/>
    <w:rsid w:val="00AA512E"/>
    <w:rsid w:val="00AD4913"/>
    <w:rsid w:val="00B101EB"/>
    <w:rsid w:val="00B1033A"/>
    <w:rsid w:val="00B828B9"/>
    <w:rsid w:val="00BB7050"/>
    <w:rsid w:val="00BF7D1B"/>
    <w:rsid w:val="00C00497"/>
    <w:rsid w:val="00C46C85"/>
    <w:rsid w:val="00C81D1F"/>
    <w:rsid w:val="00C95783"/>
    <w:rsid w:val="00CB066F"/>
    <w:rsid w:val="00CC7B1B"/>
    <w:rsid w:val="00CE1898"/>
    <w:rsid w:val="00D25429"/>
    <w:rsid w:val="00D61E16"/>
    <w:rsid w:val="00D70912"/>
    <w:rsid w:val="00D7115D"/>
    <w:rsid w:val="00D80414"/>
    <w:rsid w:val="00E16EEF"/>
    <w:rsid w:val="00E93F6B"/>
    <w:rsid w:val="00EA379A"/>
    <w:rsid w:val="00EB05F8"/>
    <w:rsid w:val="00ED3CA7"/>
    <w:rsid w:val="00EE384F"/>
    <w:rsid w:val="00F07B5A"/>
    <w:rsid w:val="00F22D67"/>
    <w:rsid w:val="00F801F5"/>
    <w:rsid w:val="00FA01B8"/>
    <w:rsid w:val="00FB1DEC"/>
    <w:rsid w:val="00FC5A0E"/>
    <w:rsid w:val="00FF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382E1-9F1C-4641-9618-5D7FA0B1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6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3787"/>
    <w:rPr>
      <w:color w:val="0563C1" w:themeColor="hyperlink"/>
      <w:u w:val="single"/>
    </w:rPr>
  </w:style>
  <w:style w:type="paragraph" w:styleId="NormalWeb">
    <w:name w:val="Normal (Web)"/>
    <w:basedOn w:val="Normal"/>
    <w:uiPriority w:val="99"/>
    <w:semiHidden/>
    <w:unhideWhenUsed/>
    <w:rsid w:val="00EE38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84F"/>
    <w:rPr>
      <w:b/>
      <w:bCs/>
    </w:rPr>
  </w:style>
  <w:style w:type="character" w:customStyle="1" w:styleId="Heading3Char">
    <w:name w:val="Heading 3 Char"/>
    <w:basedOn w:val="DefaultParagraphFont"/>
    <w:link w:val="Heading3"/>
    <w:uiPriority w:val="9"/>
    <w:rsid w:val="006D63F1"/>
    <w:rPr>
      <w:rFonts w:ascii="Times New Roman" w:eastAsia="Times New Roman" w:hAnsi="Times New Roman" w:cs="Times New Roman"/>
      <w:b/>
      <w:bCs/>
      <w:sz w:val="27"/>
      <w:szCs w:val="27"/>
    </w:rPr>
  </w:style>
  <w:style w:type="character" w:customStyle="1" w:styleId="fal6plv">
    <w:name w:val="fal6plv"/>
    <w:basedOn w:val="DefaultParagraphFont"/>
    <w:rsid w:val="00BB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4804">
      <w:bodyDiv w:val="1"/>
      <w:marLeft w:val="0"/>
      <w:marRight w:val="0"/>
      <w:marTop w:val="0"/>
      <w:marBottom w:val="0"/>
      <w:divBdr>
        <w:top w:val="none" w:sz="0" w:space="0" w:color="auto"/>
        <w:left w:val="none" w:sz="0" w:space="0" w:color="auto"/>
        <w:bottom w:val="none" w:sz="0" w:space="0" w:color="auto"/>
        <w:right w:val="none" w:sz="0" w:space="0" w:color="auto"/>
      </w:divBdr>
    </w:div>
    <w:div w:id="70740139">
      <w:bodyDiv w:val="1"/>
      <w:marLeft w:val="0"/>
      <w:marRight w:val="0"/>
      <w:marTop w:val="0"/>
      <w:marBottom w:val="0"/>
      <w:divBdr>
        <w:top w:val="none" w:sz="0" w:space="0" w:color="auto"/>
        <w:left w:val="none" w:sz="0" w:space="0" w:color="auto"/>
        <w:bottom w:val="none" w:sz="0" w:space="0" w:color="auto"/>
        <w:right w:val="none" w:sz="0" w:space="0" w:color="auto"/>
      </w:divBdr>
      <w:divsChild>
        <w:div w:id="1676613594">
          <w:marLeft w:val="0"/>
          <w:marRight w:val="0"/>
          <w:marTop w:val="0"/>
          <w:marBottom w:val="0"/>
          <w:divBdr>
            <w:top w:val="none" w:sz="0" w:space="0" w:color="auto"/>
            <w:left w:val="none" w:sz="0" w:space="0" w:color="auto"/>
            <w:bottom w:val="none" w:sz="0" w:space="0" w:color="auto"/>
            <w:right w:val="none" w:sz="0" w:space="0" w:color="auto"/>
          </w:divBdr>
          <w:divsChild>
            <w:div w:id="455295964">
              <w:marLeft w:val="0"/>
              <w:marRight w:val="0"/>
              <w:marTop w:val="0"/>
              <w:marBottom w:val="0"/>
              <w:divBdr>
                <w:top w:val="none" w:sz="0" w:space="0" w:color="auto"/>
                <w:left w:val="none" w:sz="0" w:space="0" w:color="auto"/>
                <w:bottom w:val="none" w:sz="0" w:space="0" w:color="auto"/>
                <w:right w:val="none" w:sz="0" w:space="0" w:color="auto"/>
              </w:divBdr>
              <w:divsChild>
                <w:div w:id="17767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7396">
      <w:bodyDiv w:val="1"/>
      <w:marLeft w:val="0"/>
      <w:marRight w:val="0"/>
      <w:marTop w:val="0"/>
      <w:marBottom w:val="0"/>
      <w:divBdr>
        <w:top w:val="none" w:sz="0" w:space="0" w:color="auto"/>
        <w:left w:val="none" w:sz="0" w:space="0" w:color="auto"/>
        <w:bottom w:val="none" w:sz="0" w:space="0" w:color="auto"/>
        <w:right w:val="none" w:sz="0" w:space="0" w:color="auto"/>
      </w:divBdr>
    </w:div>
    <w:div w:id="336813423">
      <w:bodyDiv w:val="1"/>
      <w:marLeft w:val="0"/>
      <w:marRight w:val="0"/>
      <w:marTop w:val="0"/>
      <w:marBottom w:val="0"/>
      <w:divBdr>
        <w:top w:val="none" w:sz="0" w:space="0" w:color="auto"/>
        <w:left w:val="none" w:sz="0" w:space="0" w:color="auto"/>
        <w:bottom w:val="none" w:sz="0" w:space="0" w:color="auto"/>
        <w:right w:val="none" w:sz="0" w:space="0" w:color="auto"/>
      </w:divBdr>
      <w:divsChild>
        <w:div w:id="949051846">
          <w:marLeft w:val="0"/>
          <w:marRight w:val="0"/>
          <w:marTop w:val="0"/>
          <w:marBottom w:val="0"/>
          <w:divBdr>
            <w:top w:val="none" w:sz="0" w:space="0" w:color="auto"/>
            <w:left w:val="none" w:sz="0" w:space="0" w:color="auto"/>
            <w:bottom w:val="none" w:sz="0" w:space="0" w:color="auto"/>
            <w:right w:val="none" w:sz="0" w:space="0" w:color="auto"/>
          </w:divBdr>
          <w:divsChild>
            <w:div w:id="916866738">
              <w:marLeft w:val="0"/>
              <w:marRight w:val="0"/>
              <w:marTop w:val="0"/>
              <w:marBottom w:val="0"/>
              <w:divBdr>
                <w:top w:val="none" w:sz="0" w:space="0" w:color="auto"/>
                <w:left w:val="none" w:sz="0" w:space="0" w:color="auto"/>
                <w:bottom w:val="none" w:sz="0" w:space="0" w:color="auto"/>
                <w:right w:val="none" w:sz="0" w:space="0" w:color="auto"/>
              </w:divBdr>
              <w:divsChild>
                <w:div w:id="1228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4102">
      <w:bodyDiv w:val="1"/>
      <w:marLeft w:val="0"/>
      <w:marRight w:val="0"/>
      <w:marTop w:val="0"/>
      <w:marBottom w:val="0"/>
      <w:divBdr>
        <w:top w:val="none" w:sz="0" w:space="0" w:color="auto"/>
        <w:left w:val="none" w:sz="0" w:space="0" w:color="auto"/>
        <w:bottom w:val="none" w:sz="0" w:space="0" w:color="auto"/>
        <w:right w:val="none" w:sz="0" w:space="0" w:color="auto"/>
      </w:divBdr>
      <w:divsChild>
        <w:div w:id="625086362">
          <w:marLeft w:val="0"/>
          <w:marRight w:val="0"/>
          <w:marTop w:val="120"/>
          <w:marBottom w:val="120"/>
          <w:divBdr>
            <w:top w:val="none" w:sz="0" w:space="0" w:color="auto"/>
            <w:left w:val="none" w:sz="0" w:space="0" w:color="auto"/>
            <w:bottom w:val="none" w:sz="0" w:space="0" w:color="auto"/>
            <w:right w:val="none" w:sz="0" w:space="0" w:color="auto"/>
          </w:divBdr>
        </w:div>
        <w:div w:id="12731905">
          <w:marLeft w:val="0"/>
          <w:marRight w:val="0"/>
          <w:marTop w:val="120"/>
          <w:marBottom w:val="120"/>
          <w:divBdr>
            <w:top w:val="none" w:sz="0" w:space="0" w:color="auto"/>
            <w:left w:val="none" w:sz="0" w:space="0" w:color="auto"/>
            <w:bottom w:val="none" w:sz="0" w:space="0" w:color="auto"/>
            <w:right w:val="none" w:sz="0" w:space="0" w:color="auto"/>
          </w:divBdr>
        </w:div>
        <w:div w:id="1040477958">
          <w:marLeft w:val="0"/>
          <w:marRight w:val="0"/>
          <w:marTop w:val="120"/>
          <w:marBottom w:val="120"/>
          <w:divBdr>
            <w:top w:val="none" w:sz="0" w:space="0" w:color="auto"/>
            <w:left w:val="none" w:sz="0" w:space="0" w:color="auto"/>
            <w:bottom w:val="none" w:sz="0" w:space="0" w:color="auto"/>
            <w:right w:val="none" w:sz="0" w:space="0" w:color="auto"/>
          </w:divBdr>
        </w:div>
        <w:div w:id="1830904785">
          <w:marLeft w:val="0"/>
          <w:marRight w:val="0"/>
          <w:marTop w:val="120"/>
          <w:marBottom w:val="120"/>
          <w:divBdr>
            <w:top w:val="none" w:sz="0" w:space="0" w:color="auto"/>
            <w:left w:val="none" w:sz="0" w:space="0" w:color="auto"/>
            <w:bottom w:val="none" w:sz="0" w:space="0" w:color="auto"/>
            <w:right w:val="none" w:sz="0" w:space="0" w:color="auto"/>
          </w:divBdr>
        </w:div>
        <w:div w:id="2056661479">
          <w:marLeft w:val="0"/>
          <w:marRight w:val="0"/>
          <w:marTop w:val="120"/>
          <w:marBottom w:val="120"/>
          <w:divBdr>
            <w:top w:val="none" w:sz="0" w:space="0" w:color="auto"/>
            <w:left w:val="none" w:sz="0" w:space="0" w:color="auto"/>
            <w:bottom w:val="none" w:sz="0" w:space="0" w:color="auto"/>
            <w:right w:val="none" w:sz="0" w:space="0" w:color="auto"/>
          </w:divBdr>
        </w:div>
      </w:divsChild>
    </w:div>
    <w:div w:id="471100375">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7">
          <w:marLeft w:val="0"/>
          <w:marRight w:val="0"/>
          <w:marTop w:val="0"/>
          <w:marBottom w:val="0"/>
          <w:divBdr>
            <w:top w:val="none" w:sz="0" w:space="0" w:color="auto"/>
            <w:left w:val="none" w:sz="0" w:space="0" w:color="auto"/>
            <w:bottom w:val="none" w:sz="0" w:space="0" w:color="auto"/>
            <w:right w:val="none" w:sz="0" w:space="0" w:color="auto"/>
          </w:divBdr>
          <w:divsChild>
            <w:div w:id="1751004810">
              <w:marLeft w:val="0"/>
              <w:marRight w:val="0"/>
              <w:marTop w:val="0"/>
              <w:marBottom w:val="0"/>
              <w:divBdr>
                <w:top w:val="none" w:sz="0" w:space="0" w:color="auto"/>
                <w:left w:val="none" w:sz="0" w:space="0" w:color="auto"/>
                <w:bottom w:val="none" w:sz="0" w:space="0" w:color="auto"/>
                <w:right w:val="none" w:sz="0" w:space="0" w:color="auto"/>
              </w:divBdr>
              <w:divsChild>
                <w:div w:id="918948288">
                  <w:marLeft w:val="0"/>
                  <w:marRight w:val="0"/>
                  <w:marTop w:val="0"/>
                  <w:marBottom w:val="0"/>
                  <w:divBdr>
                    <w:top w:val="none" w:sz="0" w:space="0" w:color="auto"/>
                    <w:left w:val="none" w:sz="0" w:space="0" w:color="auto"/>
                    <w:bottom w:val="none" w:sz="0" w:space="0" w:color="auto"/>
                    <w:right w:val="none" w:sz="0" w:space="0" w:color="auto"/>
                  </w:divBdr>
                  <w:divsChild>
                    <w:div w:id="1350713336">
                      <w:marLeft w:val="0"/>
                      <w:marRight w:val="0"/>
                      <w:marTop w:val="0"/>
                      <w:marBottom w:val="0"/>
                      <w:divBdr>
                        <w:top w:val="none" w:sz="0" w:space="0" w:color="auto"/>
                        <w:left w:val="none" w:sz="0" w:space="0" w:color="auto"/>
                        <w:bottom w:val="none" w:sz="0" w:space="0" w:color="auto"/>
                        <w:right w:val="none" w:sz="0" w:space="0" w:color="auto"/>
                      </w:divBdr>
                      <w:divsChild>
                        <w:div w:id="17179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7158">
                  <w:marLeft w:val="0"/>
                  <w:marRight w:val="0"/>
                  <w:marTop w:val="0"/>
                  <w:marBottom w:val="0"/>
                  <w:divBdr>
                    <w:top w:val="none" w:sz="0" w:space="0" w:color="auto"/>
                    <w:left w:val="none" w:sz="0" w:space="0" w:color="auto"/>
                    <w:bottom w:val="none" w:sz="0" w:space="0" w:color="auto"/>
                    <w:right w:val="none" w:sz="0" w:space="0" w:color="auto"/>
                  </w:divBdr>
                  <w:divsChild>
                    <w:div w:id="1606770479">
                      <w:marLeft w:val="0"/>
                      <w:marRight w:val="0"/>
                      <w:marTop w:val="0"/>
                      <w:marBottom w:val="0"/>
                      <w:divBdr>
                        <w:top w:val="none" w:sz="0" w:space="0" w:color="auto"/>
                        <w:left w:val="none" w:sz="0" w:space="0" w:color="auto"/>
                        <w:bottom w:val="none" w:sz="0" w:space="0" w:color="auto"/>
                        <w:right w:val="none" w:sz="0" w:space="0" w:color="auto"/>
                      </w:divBdr>
                      <w:divsChild>
                        <w:div w:id="2103647019">
                          <w:marLeft w:val="0"/>
                          <w:marRight w:val="0"/>
                          <w:marTop w:val="0"/>
                          <w:marBottom w:val="0"/>
                          <w:divBdr>
                            <w:top w:val="none" w:sz="0" w:space="0" w:color="auto"/>
                            <w:left w:val="none" w:sz="0" w:space="0" w:color="auto"/>
                            <w:bottom w:val="none" w:sz="0" w:space="0" w:color="auto"/>
                            <w:right w:val="none" w:sz="0" w:space="0" w:color="auto"/>
                          </w:divBdr>
                          <w:divsChild>
                            <w:div w:id="1663463775">
                              <w:marLeft w:val="0"/>
                              <w:marRight w:val="0"/>
                              <w:marTop w:val="0"/>
                              <w:marBottom w:val="0"/>
                              <w:divBdr>
                                <w:top w:val="none" w:sz="0" w:space="0" w:color="auto"/>
                                <w:left w:val="none" w:sz="0" w:space="0" w:color="auto"/>
                                <w:bottom w:val="none" w:sz="0" w:space="0" w:color="auto"/>
                                <w:right w:val="none" w:sz="0" w:space="0" w:color="auto"/>
                              </w:divBdr>
                              <w:divsChild>
                                <w:div w:id="106504917">
                                  <w:marLeft w:val="0"/>
                                  <w:marRight w:val="0"/>
                                  <w:marTop w:val="0"/>
                                  <w:marBottom w:val="0"/>
                                  <w:divBdr>
                                    <w:top w:val="none" w:sz="0" w:space="0" w:color="auto"/>
                                    <w:left w:val="none" w:sz="0" w:space="0" w:color="auto"/>
                                    <w:bottom w:val="none" w:sz="0" w:space="0" w:color="auto"/>
                                    <w:right w:val="none" w:sz="0" w:space="0" w:color="auto"/>
                                  </w:divBdr>
                                  <w:divsChild>
                                    <w:div w:id="910116766">
                                      <w:marLeft w:val="0"/>
                                      <w:marRight w:val="0"/>
                                      <w:marTop w:val="0"/>
                                      <w:marBottom w:val="0"/>
                                      <w:divBdr>
                                        <w:top w:val="none" w:sz="0" w:space="0" w:color="auto"/>
                                        <w:left w:val="none" w:sz="0" w:space="0" w:color="auto"/>
                                        <w:bottom w:val="none" w:sz="0" w:space="0" w:color="auto"/>
                                        <w:right w:val="none" w:sz="0" w:space="0" w:color="auto"/>
                                      </w:divBdr>
                                      <w:divsChild>
                                        <w:div w:id="589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14791">
                  <w:marLeft w:val="0"/>
                  <w:marRight w:val="0"/>
                  <w:marTop w:val="0"/>
                  <w:marBottom w:val="0"/>
                  <w:divBdr>
                    <w:top w:val="none" w:sz="0" w:space="0" w:color="auto"/>
                    <w:left w:val="none" w:sz="0" w:space="0" w:color="auto"/>
                    <w:bottom w:val="none" w:sz="0" w:space="0" w:color="auto"/>
                    <w:right w:val="none" w:sz="0" w:space="0" w:color="auto"/>
                  </w:divBdr>
                  <w:divsChild>
                    <w:div w:id="1735425691">
                      <w:marLeft w:val="0"/>
                      <w:marRight w:val="0"/>
                      <w:marTop w:val="0"/>
                      <w:marBottom w:val="0"/>
                      <w:divBdr>
                        <w:top w:val="none" w:sz="0" w:space="0" w:color="auto"/>
                        <w:left w:val="none" w:sz="0" w:space="0" w:color="auto"/>
                        <w:bottom w:val="none" w:sz="0" w:space="0" w:color="auto"/>
                        <w:right w:val="none" w:sz="0" w:space="0" w:color="auto"/>
                      </w:divBdr>
                      <w:divsChild>
                        <w:div w:id="14579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5334">
                  <w:marLeft w:val="0"/>
                  <w:marRight w:val="0"/>
                  <w:marTop w:val="0"/>
                  <w:marBottom w:val="0"/>
                  <w:divBdr>
                    <w:top w:val="none" w:sz="0" w:space="0" w:color="auto"/>
                    <w:left w:val="none" w:sz="0" w:space="0" w:color="auto"/>
                    <w:bottom w:val="none" w:sz="0" w:space="0" w:color="auto"/>
                    <w:right w:val="none" w:sz="0" w:space="0" w:color="auto"/>
                  </w:divBdr>
                  <w:divsChild>
                    <w:div w:id="309478347">
                      <w:marLeft w:val="0"/>
                      <w:marRight w:val="0"/>
                      <w:marTop w:val="0"/>
                      <w:marBottom w:val="0"/>
                      <w:divBdr>
                        <w:top w:val="none" w:sz="0" w:space="0" w:color="auto"/>
                        <w:left w:val="none" w:sz="0" w:space="0" w:color="auto"/>
                        <w:bottom w:val="none" w:sz="0" w:space="0" w:color="auto"/>
                        <w:right w:val="none" w:sz="0" w:space="0" w:color="auto"/>
                      </w:divBdr>
                      <w:divsChild>
                        <w:div w:id="1726678764">
                          <w:marLeft w:val="0"/>
                          <w:marRight w:val="0"/>
                          <w:marTop w:val="0"/>
                          <w:marBottom w:val="0"/>
                          <w:divBdr>
                            <w:top w:val="none" w:sz="0" w:space="0" w:color="auto"/>
                            <w:left w:val="none" w:sz="0" w:space="0" w:color="auto"/>
                            <w:bottom w:val="none" w:sz="0" w:space="0" w:color="auto"/>
                            <w:right w:val="none" w:sz="0" w:space="0" w:color="auto"/>
                          </w:divBdr>
                          <w:divsChild>
                            <w:div w:id="1539388762">
                              <w:marLeft w:val="0"/>
                              <w:marRight w:val="0"/>
                              <w:marTop w:val="0"/>
                              <w:marBottom w:val="0"/>
                              <w:divBdr>
                                <w:top w:val="none" w:sz="0" w:space="0" w:color="auto"/>
                                <w:left w:val="none" w:sz="0" w:space="0" w:color="auto"/>
                                <w:bottom w:val="none" w:sz="0" w:space="0" w:color="auto"/>
                                <w:right w:val="none" w:sz="0" w:space="0" w:color="auto"/>
                              </w:divBdr>
                              <w:divsChild>
                                <w:div w:id="761800899">
                                  <w:marLeft w:val="0"/>
                                  <w:marRight w:val="0"/>
                                  <w:marTop w:val="0"/>
                                  <w:marBottom w:val="0"/>
                                  <w:divBdr>
                                    <w:top w:val="none" w:sz="0" w:space="0" w:color="auto"/>
                                    <w:left w:val="none" w:sz="0" w:space="0" w:color="auto"/>
                                    <w:bottom w:val="none" w:sz="0" w:space="0" w:color="auto"/>
                                    <w:right w:val="none" w:sz="0" w:space="0" w:color="auto"/>
                                  </w:divBdr>
                                  <w:divsChild>
                                    <w:div w:id="1819877956">
                                      <w:marLeft w:val="0"/>
                                      <w:marRight w:val="0"/>
                                      <w:marTop w:val="0"/>
                                      <w:marBottom w:val="0"/>
                                      <w:divBdr>
                                        <w:top w:val="none" w:sz="0" w:space="0" w:color="auto"/>
                                        <w:left w:val="none" w:sz="0" w:space="0" w:color="auto"/>
                                        <w:bottom w:val="none" w:sz="0" w:space="0" w:color="auto"/>
                                        <w:right w:val="none" w:sz="0" w:space="0" w:color="auto"/>
                                      </w:divBdr>
                                      <w:divsChild>
                                        <w:div w:id="3900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9343">
                  <w:marLeft w:val="0"/>
                  <w:marRight w:val="0"/>
                  <w:marTop w:val="0"/>
                  <w:marBottom w:val="0"/>
                  <w:divBdr>
                    <w:top w:val="none" w:sz="0" w:space="0" w:color="auto"/>
                    <w:left w:val="none" w:sz="0" w:space="0" w:color="auto"/>
                    <w:bottom w:val="none" w:sz="0" w:space="0" w:color="auto"/>
                    <w:right w:val="none" w:sz="0" w:space="0" w:color="auto"/>
                  </w:divBdr>
                  <w:divsChild>
                    <w:div w:id="905381943">
                      <w:marLeft w:val="0"/>
                      <w:marRight w:val="0"/>
                      <w:marTop w:val="0"/>
                      <w:marBottom w:val="0"/>
                      <w:divBdr>
                        <w:top w:val="none" w:sz="0" w:space="0" w:color="auto"/>
                        <w:left w:val="none" w:sz="0" w:space="0" w:color="auto"/>
                        <w:bottom w:val="none" w:sz="0" w:space="0" w:color="auto"/>
                        <w:right w:val="none" w:sz="0" w:space="0" w:color="auto"/>
                      </w:divBdr>
                      <w:divsChild>
                        <w:div w:id="702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7398">
                  <w:marLeft w:val="0"/>
                  <w:marRight w:val="0"/>
                  <w:marTop w:val="0"/>
                  <w:marBottom w:val="0"/>
                  <w:divBdr>
                    <w:top w:val="none" w:sz="0" w:space="0" w:color="auto"/>
                    <w:left w:val="none" w:sz="0" w:space="0" w:color="auto"/>
                    <w:bottom w:val="none" w:sz="0" w:space="0" w:color="auto"/>
                    <w:right w:val="none" w:sz="0" w:space="0" w:color="auto"/>
                  </w:divBdr>
                  <w:divsChild>
                    <w:div w:id="468015655">
                      <w:marLeft w:val="0"/>
                      <w:marRight w:val="0"/>
                      <w:marTop w:val="0"/>
                      <w:marBottom w:val="0"/>
                      <w:divBdr>
                        <w:top w:val="none" w:sz="0" w:space="0" w:color="auto"/>
                        <w:left w:val="none" w:sz="0" w:space="0" w:color="auto"/>
                        <w:bottom w:val="none" w:sz="0" w:space="0" w:color="auto"/>
                        <w:right w:val="none" w:sz="0" w:space="0" w:color="auto"/>
                      </w:divBdr>
                      <w:divsChild>
                        <w:div w:id="1195970004">
                          <w:marLeft w:val="0"/>
                          <w:marRight w:val="0"/>
                          <w:marTop w:val="0"/>
                          <w:marBottom w:val="0"/>
                          <w:divBdr>
                            <w:top w:val="none" w:sz="0" w:space="0" w:color="auto"/>
                            <w:left w:val="none" w:sz="0" w:space="0" w:color="auto"/>
                            <w:bottom w:val="none" w:sz="0" w:space="0" w:color="auto"/>
                            <w:right w:val="none" w:sz="0" w:space="0" w:color="auto"/>
                          </w:divBdr>
                          <w:divsChild>
                            <w:div w:id="752051753">
                              <w:marLeft w:val="0"/>
                              <w:marRight w:val="0"/>
                              <w:marTop w:val="0"/>
                              <w:marBottom w:val="0"/>
                              <w:divBdr>
                                <w:top w:val="none" w:sz="0" w:space="0" w:color="auto"/>
                                <w:left w:val="none" w:sz="0" w:space="0" w:color="auto"/>
                                <w:bottom w:val="none" w:sz="0" w:space="0" w:color="auto"/>
                                <w:right w:val="none" w:sz="0" w:space="0" w:color="auto"/>
                              </w:divBdr>
                              <w:divsChild>
                                <w:div w:id="1665933095">
                                  <w:marLeft w:val="0"/>
                                  <w:marRight w:val="0"/>
                                  <w:marTop w:val="0"/>
                                  <w:marBottom w:val="0"/>
                                  <w:divBdr>
                                    <w:top w:val="none" w:sz="0" w:space="0" w:color="auto"/>
                                    <w:left w:val="none" w:sz="0" w:space="0" w:color="auto"/>
                                    <w:bottom w:val="none" w:sz="0" w:space="0" w:color="auto"/>
                                    <w:right w:val="none" w:sz="0" w:space="0" w:color="auto"/>
                                  </w:divBdr>
                                  <w:divsChild>
                                    <w:div w:id="89618863">
                                      <w:marLeft w:val="0"/>
                                      <w:marRight w:val="0"/>
                                      <w:marTop w:val="0"/>
                                      <w:marBottom w:val="0"/>
                                      <w:divBdr>
                                        <w:top w:val="none" w:sz="0" w:space="0" w:color="auto"/>
                                        <w:left w:val="none" w:sz="0" w:space="0" w:color="auto"/>
                                        <w:bottom w:val="none" w:sz="0" w:space="0" w:color="auto"/>
                                        <w:right w:val="none" w:sz="0" w:space="0" w:color="auto"/>
                                      </w:divBdr>
                                      <w:divsChild>
                                        <w:div w:id="19214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9602">
                  <w:marLeft w:val="0"/>
                  <w:marRight w:val="0"/>
                  <w:marTop w:val="0"/>
                  <w:marBottom w:val="0"/>
                  <w:divBdr>
                    <w:top w:val="none" w:sz="0" w:space="0" w:color="auto"/>
                    <w:left w:val="none" w:sz="0" w:space="0" w:color="auto"/>
                    <w:bottom w:val="none" w:sz="0" w:space="0" w:color="auto"/>
                    <w:right w:val="none" w:sz="0" w:space="0" w:color="auto"/>
                  </w:divBdr>
                  <w:divsChild>
                    <w:div w:id="1034042335">
                      <w:marLeft w:val="0"/>
                      <w:marRight w:val="0"/>
                      <w:marTop w:val="0"/>
                      <w:marBottom w:val="0"/>
                      <w:divBdr>
                        <w:top w:val="none" w:sz="0" w:space="0" w:color="auto"/>
                        <w:left w:val="none" w:sz="0" w:space="0" w:color="auto"/>
                        <w:bottom w:val="none" w:sz="0" w:space="0" w:color="auto"/>
                        <w:right w:val="none" w:sz="0" w:space="0" w:color="auto"/>
                      </w:divBdr>
                      <w:divsChild>
                        <w:div w:id="11653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8126">
                  <w:marLeft w:val="0"/>
                  <w:marRight w:val="0"/>
                  <w:marTop w:val="0"/>
                  <w:marBottom w:val="0"/>
                  <w:divBdr>
                    <w:top w:val="none" w:sz="0" w:space="0" w:color="auto"/>
                    <w:left w:val="none" w:sz="0" w:space="0" w:color="auto"/>
                    <w:bottom w:val="none" w:sz="0" w:space="0" w:color="auto"/>
                    <w:right w:val="none" w:sz="0" w:space="0" w:color="auto"/>
                  </w:divBdr>
                  <w:divsChild>
                    <w:div w:id="395978142">
                      <w:marLeft w:val="0"/>
                      <w:marRight w:val="0"/>
                      <w:marTop w:val="0"/>
                      <w:marBottom w:val="0"/>
                      <w:divBdr>
                        <w:top w:val="none" w:sz="0" w:space="0" w:color="auto"/>
                        <w:left w:val="none" w:sz="0" w:space="0" w:color="auto"/>
                        <w:bottom w:val="none" w:sz="0" w:space="0" w:color="auto"/>
                        <w:right w:val="none" w:sz="0" w:space="0" w:color="auto"/>
                      </w:divBdr>
                      <w:divsChild>
                        <w:div w:id="1998995434">
                          <w:marLeft w:val="0"/>
                          <w:marRight w:val="0"/>
                          <w:marTop w:val="0"/>
                          <w:marBottom w:val="0"/>
                          <w:divBdr>
                            <w:top w:val="none" w:sz="0" w:space="0" w:color="auto"/>
                            <w:left w:val="none" w:sz="0" w:space="0" w:color="auto"/>
                            <w:bottom w:val="none" w:sz="0" w:space="0" w:color="auto"/>
                            <w:right w:val="none" w:sz="0" w:space="0" w:color="auto"/>
                          </w:divBdr>
                          <w:divsChild>
                            <w:div w:id="1091198438">
                              <w:marLeft w:val="0"/>
                              <w:marRight w:val="0"/>
                              <w:marTop w:val="0"/>
                              <w:marBottom w:val="0"/>
                              <w:divBdr>
                                <w:top w:val="none" w:sz="0" w:space="0" w:color="auto"/>
                                <w:left w:val="none" w:sz="0" w:space="0" w:color="auto"/>
                                <w:bottom w:val="none" w:sz="0" w:space="0" w:color="auto"/>
                                <w:right w:val="none" w:sz="0" w:space="0" w:color="auto"/>
                              </w:divBdr>
                              <w:divsChild>
                                <w:div w:id="474883059">
                                  <w:marLeft w:val="0"/>
                                  <w:marRight w:val="0"/>
                                  <w:marTop w:val="0"/>
                                  <w:marBottom w:val="0"/>
                                  <w:divBdr>
                                    <w:top w:val="none" w:sz="0" w:space="0" w:color="auto"/>
                                    <w:left w:val="none" w:sz="0" w:space="0" w:color="auto"/>
                                    <w:bottom w:val="none" w:sz="0" w:space="0" w:color="auto"/>
                                    <w:right w:val="none" w:sz="0" w:space="0" w:color="auto"/>
                                  </w:divBdr>
                                  <w:divsChild>
                                    <w:div w:id="225606735">
                                      <w:marLeft w:val="0"/>
                                      <w:marRight w:val="0"/>
                                      <w:marTop w:val="0"/>
                                      <w:marBottom w:val="0"/>
                                      <w:divBdr>
                                        <w:top w:val="none" w:sz="0" w:space="0" w:color="auto"/>
                                        <w:left w:val="none" w:sz="0" w:space="0" w:color="auto"/>
                                        <w:bottom w:val="none" w:sz="0" w:space="0" w:color="auto"/>
                                        <w:right w:val="none" w:sz="0" w:space="0" w:color="auto"/>
                                      </w:divBdr>
                                      <w:divsChild>
                                        <w:div w:id="4787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437782">
                  <w:marLeft w:val="0"/>
                  <w:marRight w:val="0"/>
                  <w:marTop w:val="0"/>
                  <w:marBottom w:val="0"/>
                  <w:divBdr>
                    <w:top w:val="none" w:sz="0" w:space="0" w:color="auto"/>
                    <w:left w:val="none" w:sz="0" w:space="0" w:color="auto"/>
                    <w:bottom w:val="none" w:sz="0" w:space="0" w:color="auto"/>
                    <w:right w:val="none" w:sz="0" w:space="0" w:color="auto"/>
                  </w:divBdr>
                  <w:divsChild>
                    <w:div w:id="370807366">
                      <w:marLeft w:val="0"/>
                      <w:marRight w:val="0"/>
                      <w:marTop w:val="0"/>
                      <w:marBottom w:val="0"/>
                      <w:divBdr>
                        <w:top w:val="none" w:sz="0" w:space="0" w:color="auto"/>
                        <w:left w:val="none" w:sz="0" w:space="0" w:color="auto"/>
                        <w:bottom w:val="none" w:sz="0" w:space="0" w:color="auto"/>
                        <w:right w:val="none" w:sz="0" w:space="0" w:color="auto"/>
                      </w:divBdr>
                      <w:divsChild>
                        <w:div w:id="1829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2364">
                  <w:marLeft w:val="0"/>
                  <w:marRight w:val="0"/>
                  <w:marTop w:val="0"/>
                  <w:marBottom w:val="0"/>
                  <w:divBdr>
                    <w:top w:val="none" w:sz="0" w:space="0" w:color="auto"/>
                    <w:left w:val="none" w:sz="0" w:space="0" w:color="auto"/>
                    <w:bottom w:val="none" w:sz="0" w:space="0" w:color="auto"/>
                    <w:right w:val="none" w:sz="0" w:space="0" w:color="auto"/>
                  </w:divBdr>
                  <w:divsChild>
                    <w:div w:id="461070884">
                      <w:marLeft w:val="0"/>
                      <w:marRight w:val="0"/>
                      <w:marTop w:val="0"/>
                      <w:marBottom w:val="0"/>
                      <w:divBdr>
                        <w:top w:val="none" w:sz="0" w:space="0" w:color="auto"/>
                        <w:left w:val="none" w:sz="0" w:space="0" w:color="auto"/>
                        <w:bottom w:val="none" w:sz="0" w:space="0" w:color="auto"/>
                        <w:right w:val="none" w:sz="0" w:space="0" w:color="auto"/>
                      </w:divBdr>
                      <w:divsChild>
                        <w:div w:id="1000305025">
                          <w:marLeft w:val="0"/>
                          <w:marRight w:val="0"/>
                          <w:marTop w:val="0"/>
                          <w:marBottom w:val="0"/>
                          <w:divBdr>
                            <w:top w:val="none" w:sz="0" w:space="0" w:color="auto"/>
                            <w:left w:val="none" w:sz="0" w:space="0" w:color="auto"/>
                            <w:bottom w:val="none" w:sz="0" w:space="0" w:color="auto"/>
                            <w:right w:val="none" w:sz="0" w:space="0" w:color="auto"/>
                          </w:divBdr>
                          <w:divsChild>
                            <w:div w:id="1930000234">
                              <w:marLeft w:val="0"/>
                              <w:marRight w:val="0"/>
                              <w:marTop w:val="0"/>
                              <w:marBottom w:val="0"/>
                              <w:divBdr>
                                <w:top w:val="none" w:sz="0" w:space="0" w:color="auto"/>
                                <w:left w:val="none" w:sz="0" w:space="0" w:color="auto"/>
                                <w:bottom w:val="none" w:sz="0" w:space="0" w:color="auto"/>
                                <w:right w:val="none" w:sz="0" w:space="0" w:color="auto"/>
                              </w:divBdr>
                              <w:divsChild>
                                <w:div w:id="953554808">
                                  <w:marLeft w:val="0"/>
                                  <w:marRight w:val="0"/>
                                  <w:marTop w:val="0"/>
                                  <w:marBottom w:val="0"/>
                                  <w:divBdr>
                                    <w:top w:val="none" w:sz="0" w:space="0" w:color="auto"/>
                                    <w:left w:val="none" w:sz="0" w:space="0" w:color="auto"/>
                                    <w:bottom w:val="none" w:sz="0" w:space="0" w:color="auto"/>
                                    <w:right w:val="none" w:sz="0" w:space="0" w:color="auto"/>
                                  </w:divBdr>
                                  <w:divsChild>
                                    <w:div w:id="157162613">
                                      <w:marLeft w:val="0"/>
                                      <w:marRight w:val="0"/>
                                      <w:marTop w:val="0"/>
                                      <w:marBottom w:val="0"/>
                                      <w:divBdr>
                                        <w:top w:val="none" w:sz="0" w:space="0" w:color="auto"/>
                                        <w:left w:val="none" w:sz="0" w:space="0" w:color="auto"/>
                                        <w:bottom w:val="none" w:sz="0" w:space="0" w:color="auto"/>
                                        <w:right w:val="none" w:sz="0" w:space="0" w:color="auto"/>
                                      </w:divBdr>
                                      <w:divsChild>
                                        <w:div w:id="9090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741150">
                  <w:marLeft w:val="0"/>
                  <w:marRight w:val="0"/>
                  <w:marTop w:val="0"/>
                  <w:marBottom w:val="0"/>
                  <w:divBdr>
                    <w:top w:val="none" w:sz="0" w:space="0" w:color="auto"/>
                    <w:left w:val="none" w:sz="0" w:space="0" w:color="auto"/>
                    <w:bottom w:val="none" w:sz="0" w:space="0" w:color="auto"/>
                    <w:right w:val="none" w:sz="0" w:space="0" w:color="auto"/>
                  </w:divBdr>
                  <w:divsChild>
                    <w:div w:id="274294756">
                      <w:marLeft w:val="0"/>
                      <w:marRight w:val="0"/>
                      <w:marTop w:val="0"/>
                      <w:marBottom w:val="0"/>
                      <w:divBdr>
                        <w:top w:val="none" w:sz="0" w:space="0" w:color="auto"/>
                        <w:left w:val="none" w:sz="0" w:space="0" w:color="auto"/>
                        <w:bottom w:val="none" w:sz="0" w:space="0" w:color="auto"/>
                        <w:right w:val="none" w:sz="0" w:space="0" w:color="auto"/>
                      </w:divBdr>
                      <w:divsChild>
                        <w:div w:id="2112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896">
                  <w:marLeft w:val="0"/>
                  <w:marRight w:val="0"/>
                  <w:marTop w:val="0"/>
                  <w:marBottom w:val="0"/>
                  <w:divBdr>
                    <w:top w:val="none" w:sz="0" w:space="0" w:color="auto"/>
                    <w:left w:val="none" w:sz="0" w:space="0" w:color="auto"/>
                    <w:bottom w:val="none" w:sz="0" w:space="0" w:color="auto"/>
                    <w:right w:val="none" w:sz="0" w:space="0" w:color="auto"/>
                  </w:divBdr>
                  <w:divsChild>
                    <w:div w:id="1254045438">
                      <w:marLeft w:val="0"/>
                      <w:marRight w:val="0"/>
                      <w:marTop w:val="0"/>
                      <w:marBottom w:val="0"/>
                      <w:divBdr>
                        <w:top w:val="none" w:sz="0" w:space="0" w:color="auto"/>
                        <w:left w:val="none" w:sz="0" w:space="0" w:color="auto"/>
                        <w:bottom w:val="none" w:sz="0" w:space="0" w:color="auto"/>
                        <w:right w:val="none" w:sz="0" w:space="0" w:color="auto"/>
                      </w:divBdr>
                      <w:divsChild>
                        <w:div w:id="392433957">
                          <w:marLeft w:val="0"/>
                          <w:marRight w:val="0"/>
                          <w:marTop w:val="0"/>
                          <w:marBottom w:val="0"/>
                          <w:divBdr>
                            <w:top w:val="none" w:sz="0" w:space="0" w:color="auto"/>
                            <w:left w:val="none" w:sz="0" w:space="0" w:color="auto"/>
                            <w:bottom w:val="none" w:sz="0" w:space="0" w:color="auto"/>
                            <w:right w:val="none" w:sz="0" w:space="0" w:color="auto"/>
                          </w:divBdr>
                          <w:divsChild>
                            <w:div w:id="314650955">
                              <w:marLeft w:val="0"/>
                              <w:marRight w:val="0"/>
                              <w:marTop w:val="0"/>
                              <w:marBottom w:val="0"/>
                              <w:divBdr>
                                <w:top w:val="none" w:sz="0" w:space="0" w:color="auto"/>
                                <w:left w:val="none" w:sz="0" w:space="0" w:color="auto"/>
                                <w:bottom w:val="none" w:sz="0" w:space="0" w:color="auto"/>
                                <w:right w:val="none" w:sz="0" w:space="0" w:color="auto"/>
                              </w:divBdr>
                              <w:divsChild>
                                <w:div w:id="163975667">
                                  <w:marLeft w:val="0"/>
                                  <w:marRight w:val="0"/>
                                  <w:marTop w:val="0"/>
                                  <w:marBottom w:val="0"/>
                                  <w:divBdr>
                                    <w:top w:val="none" w:sz="0" w:space="0" w:color="auto"/>
                                    <w:left w:val="none" w:sz="0" w:space="0" w:color="auto"/>
                                    <w:bottom w:val="none" w:sz="0" w:space="0" w:color="auto"/>
                                    <w:right w:val="none" w:sz="0" w:space="0" w:color="auto"/>
                                  </w:divBdr>
                                  <w:divsChild>
                                    <w:div w:id="1891305893">
                                      <w:marLeft w:val="0"/>
                                      <w:marRight w:val="0"/>
                                      <w:marTop w:val="0"/>
                                      <w:marBottom w:val="0"/>
                                      <w:divBdr>
                                        <w:top w:val="none" w:sz="0" w:space="0" w:color="auto"/>
                                        <w:left w:val="none" w:sz="0" w:space="0" w:color="auto"/>
                                        <w:bottom w:val="none" w:sz="0" w:space="0" w:color="auto"/>
                                        <w:right w:val="none" w:sz="0" w:space="0" w:color="auto"/>
                                      </w:divBdr>
                                      <w:divsChild>
                                        <w:div w:id="1696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161964">
                  <w:marLeft w:val="0"/>
                  <w:marRight w:val="0"/>
                  <w:marTop w:val="0"/>
                  <w:marBottom w:val="0"/>
                  <w:divBdr>
                    <w:top w:val="none" w:sz="0" w:space="0" w:color="auto"/>
                    <w:left w:val="none" w:sz="0" w:space="0" w:color="auto"/>
                    <w:bottom w:val="none" w:sz="0" w:space="0" w:color="auto"/>
                    <w:right w:val="none" w:sz="0" w:space="0" w:color="auto"/>
                  </w:divBdr>
                  <w:divsChild>
                    <w:div w:id="33232544">
                      <w:marLeft w:val="0"/>
                      <w:marRight w:val="0"/>
                      <w:marTop w:val="0"/>
                      <w:marBottom w:val="0"/>
                      <w:divBdr>
                        <w:top w:val="none" w:sz="0" w:space="0" w:color="auto"/>
                        <w:left w:val="none" w:sz="0" w:space="0" w:color="auto"/>
                        <w:bottom w:val="none" w:sz="0" w:space="0" w:color="auto"/>
                        <w:right w:val="none" w:sz="0" w:space="0" w:color="auto"/>
                      </w:divBdr>
                      <w:divsChild>
                        <w:div w:id="3381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3896">
                  <w:marLeft w:val="0"/>
                  <w:marRight w:val="0"/>
                  <w:marTop w:val="0"/>
                  <w:marBottom w:val="0"/>
                  <w:divBdr>
                    <w:top w:val="none" w:sz="0" w:space="0" w:color="auto"/>
                    <w:left w:val="none" w:sz="0" w:space="0" w:color="auto"/>
                    <w:bottom w:val="none" w:sz="0" w:space="0" w:color="auto"/>
                    <w:right w:val="none" w:sz="0" w:space="0" w:color="auto"/>
                  </w:divBdr>
                  <w:divsChild>
                    <w:div w:id="1522473238">
                      <w:marLeft w:val="0"/>
                      <w:marRight w:val="0"/>
                      <w:marTop w:val="0"/>
                      <w:marBottom w:val="0"/>
                      <w:divBdr>
                        <w:top w:val="none" w:sz="0" w:space="0" w:color="auto"/>
                        <w:left w:val="none" w:sz="0" w:space="0" w:color="auto"/>
                        <w:bottom w:val="none" w:sz="0" w:space="0" w:color="auto"/>
                        <w:right w:val="none" w:sz="0" w:space="0" w:color="auto"/>
                      </w:divBdr>
                      <w:divsChild>
                        <w:div w:id="496531700">
                          <w:marLeft w:val="0"/>
                          <w:marRight w:val="0"/>
                          <w:marTop w:val="0"/>
                          <w:marBottom w:val="0"/>
                          <w:divBdr>
                            <w:top w:val="none" w:sz="0" w:space="0" w:color="auto"/>
                            <w:left w:val="none" w:sz="0" w:space="0" w:color="auto"/>
                            <w:bottom w:val="none" w:sz="0" w:space="0" w:color="auto"/>
                            <w:right w:val="none" w:sz="0" w:space="0" w:color="auto"/>
                          </w:divBdr>
                          <w:divsChild>
                            <w:div w:id="261573891">
                              <w:marLeft w:val="0"/>
                              <w:marRight w:val="0"/>
                              <w:marTop w:val="0"/>
                              <w:marBottom w:val="0"/>
                              <w:divBdr>
                                <w:top w:val="none" w:sz="0" w:space="0" w:color="auto"/>
                                <w:left w:val="none" w:sz="0" w:space="0" w:color="auto"/>
                                <w:bottom w:val="none" w:sz="0" w:space="0" w:color="auto"/>
                                <w:right w:val="none" w:sz="0" w:space="0" w:color="auto"/>
                              </w:divBdr>
                              <w:divsChild>
                                <w:div w:id="179467042">
                                  <w:marLeft w:val="0"/>
                                  <w:marRight w:val="0"/>
                                  <w:marTop w:val="0"/>
                                  <w:marBottom w:val="0"/>
                                  <w:divBdr>
                                    <w:top w:val="none" w:sz="0" w:space="0" w:color="auto"/>
                                    <w:left w:val="none" w:sz="0" w:space="0" w:color="auto"/>
                                    <w:bottom w:val="none" w:sz="0" w:space="0" w:color="auto"/>
                                    <w:right w:val="none" w:sz="0" w:space="0" w:color="auto"/>
                                  </w:divBdr>
                                  <w:divsChild>
                                    <w:div w:id="1328241677">
                                      <w:marLeft w:val="0"/>
                                      <w:marRight w:val="0"/>
                                      <w:marTop w:val="0"/>
                                      <w:marBottom w:val="0"/>
                                      <w:divBdr>
                                        <w:top w:val="none" w:sz="0" w:space="0" w:color="auto"/>
                                        <w:left w:val="none" w:sz="0" w:space="0" w:color="auto"/>
                                        <w:bottom w:val="none" w:sz="0" w:space="0" w:color="auto"/>
                                        <w:right w:val="none" w:sz="0" w:space="0" w:color="auto"/>
                                      </w:divBdr>
                                      <w:divsChild>
                                        <w:div w:id="14485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148308">
                  <w:marLeft w:val="0"/>
                  <w:marRight w:val="0"/>
                  <w:marTop w:val="0"/>
                  <w:marBottom w:val="0"/>
                  <w:divBdr>
                    <w:top w:val="none" w:sz="0" w:space="0" w:color="auto"/>
                    <w:left w:val="none" w:sz="0" w:space="0" w:color="auto"/>
                    <w:bottom w:val="none" w:sz="0" w:space="0" w:color="auto"/>
                    <w:right w:val="none" w:sz="0" w:space="0" w:color="auto"/>
                  </w:divBdr>
                  <w:divsChild>
                    <w:div w:id="1401172164">
                      <w:marLeft w:val="0"/>
                      <w:marRight w:val="0"/>
                      <w:marTop w:val="0"/>
                      <w:marBottom w:val="0"/>
                      <w:divBdr>
                        <w:top w:val="none" w:sz="0" w:space="0" w:color="auto"/>
                        <w:left w:val="none" w:sz="0" w:space="0" w:color="auto"/>
                        <w:bottom w:val="none" w:sz="0" w:space="0" w:color="auto"/>
                        <w:right w:val="none" w:sz="0" w:space="0" w:color="auto"/>
                      </w:divBdr>
                      <w:divsChild>
                        <w:div w:id="18975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7379">
                  <w:marLeft w:val="0"/>
                  <w:marRight w:val="0"/>
                  <w:marTop w:val="0"/>
                  <w:marBottom w:val="0"/>
                  <w:divBdr>
                    <w:top w:val="none" w:sz="0" w:space="0" w:color="auto"/>
                    <w:left w:val="none" w:sz="0" w:space="0" w:color="auto"/>
                    <w:bottom w:val="none" w:sz="0" w:space="0" w:color="auto"/>
                    <w:right w:val="none" w:sz="0" w:space="0" w:color="auto"/>
                  </w:divBdr>
                  <w:divsChild>
                    <w:div w:id="954142552">
                      <w:marLeft w:val="0"/>
                      <w:marRight w:val="0"/>
                      <w:marTop w:val="0"/>
                      <w:marBottom w:val="0"/>
                      <w:divBdr>
                        <w:top w:val="none" w:sz="0" w:space="0" w:color="auto"/>
                        <w:left w:val="none" w:sz="0" w:space="0" w:color="auto"/>
                        <w:bottom w:val="none" w:sz="0" w:space="0" w:color="auto"/>
                        <w:right w:val="none" w:sz="0" w:space="0" w:color="auto"/>
                      </w:divBdr>
                      <w:divsChild>
                        <w:div w:id="399988837">
                          <w:marLeft w:val="0"/>
                          <w:marRight w:val="0"/>
                          <w:marTop w:val="0"/>
                          <w:marBottom w:val="0"/>
                          <w:divBdr>
                            <w:top w:val="none" w:sz="0" w:space="0" w:color="auto"/>
                            <w:left w:val="none" w:sz="0" w:space="0" w:color="auto"/>
                            <w:bottom w:val="none" w:sz="0" w:space="0" w:color="auto"/>
                            <w:right w:val="none" w:sz="0" w:space="0" w:color="auto"/>
                          </w:divBdr>
                          <w:divsChild>
                            <w:div w:id="588275189">
                              <w:marLeft w:val="0"/>
                              <w:marRight w:val="0"/>
                              <w:marTop w:val="0"/>
                              <w:marBottom w:val="0"/>
                              <w:divBdr>
                                <w:top w:val="none" w:sz="0" w:space="0" w:color="auto"/>
                                <w:left w:val="none" w:sz="0" w:space="0" w:color="auto"/>
                                <w:bottom w:val="none" w:sz="0" w:space="0" w:color="auto"/>
                                <w:right w:val="none" w:sz="0" w:space="0" w:color="auto"/>
                              </w:divBdr>
                              <w:divsChild>
                                <w:div w:id="61762422">
                                  <w:marLeft w:val="0"/>
                                  <w:marRight w:val="0"/>
                                  <w:marTop w:val="0"/>
                                  <w:marBottom w:val="0"/>
                                  <w:divBdr>
                                    <w:top w:val="none" w:sz="0" w:space="0" w:color="auto"/>
                                    <w:left w:val="none" w:sz="0" w:space="0" w:color="auto"/>
                                    <w:bottom w:val="none" w:sz="0" w:space="0" w:color="auto"/>
                                    <w:right w:val="none" w:sz="0" w:space="0" w:color="auto"/>
                                  </w:divBdr>
                                  <w:divsChild>
                                    <w:div w:id="1820538257">
                                      <w:marLeft w:val="0"/>
                                      <w:marRight w:val="0"/>
                                      <w:marTop w:val="0"/>
                                      <w:marBottom w:val="0"/>
                                      <w:divBdr>
                                        <w:top w:val="none" w:sz="0" w:space="0" w:color="auto"/>
                                        <w:left w:val="none" w:sz="0" w:space="0" w:color="auto"/>
                                        <w:bottom w:val="none" w:sz="0" w:space="0" w:color="auto"/>
                                        <w:right w:val="none" w:sz="0" w:space="0" w:color="auto"/>
                                      </w:divBdr>
                                      <w:divsChild>
                                        <w:div w:id="10368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693937">
                  <w:marLeft w:val="0"/>
                  <w:marRight w:val="0"/>
                  <w:marTop w:val="0"/>
                  <w:marBottom w:val="0"/>
                  <w:divBdr>
                    <w:top w:val="none" w:sz="0" w:space="0" w:color="auto"/>
                    <w:left w:val="none" w:sz="0" w:space="0" w:color="auto"/>
                    <w:bottom w:val="none" w:sz="0" w:space="0" w:color="auto"/>
                    <w:right w:val="none" w:sz="0" w:space="0" w:color="auto"/>
                  </w:divBdr>
                  <w:divsChild>
                    <w:div w:id="2110080246">
                      <w:marLeft w:val="0"/>
                      <w:marRight w:val="0"/>
                      <w:marTop w:val="0"/>
                      <w:marBottom w:val="0"/>
                      <w:divBdr>
                        <w:top w:val="none" w:sz="0" w:space="0" w:color="auto"/>
                        <w:left w:val="none" w:sz="0" w:space="0" w:color="auto"/>
                        <w:bottom w:val="none" w:sz="0" w:space="0" w:color="auto"/>
                        <w:right w:val="none" w:sz="0" w:space="0" w:color="auto"/>
                      </w:divBdr>
                      <w:divsChild>
                        <w:div w:id="1894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46700">
                  <w:marLeft w:val="0"/>
                  <w:marRight w:val="0"/>
                  <w:marTop w:val="0"/>
                  <w:marBottom w:val="0"/>
                  <w:divBdr>
                    <w:top w:val="none" w:sz="0" w:space="0" w:color="auto"/>
                    <w:left w:val="none" w:sz="0" w:space="0" w:color="auto"/>
                    <w:bottom w:val="none" w:sz="0" w:space="0" w:color="auto"/>
                    <w:right w:val="none" w:sz="0" w:space="0" w:color="auto"/>
                  </w:divBdr>
                  <w:divsChild>
                    <w:div w:id="864639191">
                      <w:marLeft w:val="0"/>
                      <w:marRight w:val="0"/>
                      <w:marTop w:val="0"/>
                      <w:marBottom w:val="0"/>
                      <w:divBdr>
                        <w:top w:val="none" w:sz="0" w:space="0" w:color="auto"/>
                        <w:left w:val="none" w:sz="0" w:space="0" w:color="auto"/>
                        <w:bottom w:val="none" w:sz="0" w:space="0" w:color="auto"/>
                        <w:right w:val="none" w:sz="0" w:space="0" w:color="auto"/>
                      </w:divBdr>
                      <w:divsChild>
                        <w:div w:id="1905406304">
                          <w:marLeft w:val="0"/>
                          <w:marRight w:val="0"/>
                          <w:marTop w:val="0"/>
                          <w:marBottom w:val="0"/>
                          <w:divBdr>
                            <w:top w:val="none" w:sz="0" w:space="0" w:color="auto"/>
                            <w:left w:val="none" w:sz="0" w:space="0" w:color="auto"/>
                            <w:bottom w:val="none" w:sz="0" w:space="0" w:color="auto"/>
                            <w:right w:val="none" w:sz="0" w:space="0" w:color="auto"/>
                          </w:divBdr>
                          <w:divsChild>
                            <w:div w:id="1255822518">
                              <w:marLeft w:val="0"/>
                              <w:marRight w:val="0"/>
                              <w:marTop w:val="0"/>
                              <w:marBottom w:val="0"/>
                              <w:divBdr>
                                <w:top w:val="none" w:sz="0" w:space="0" w:color="auto"/>
                                <w:left w:val="none" w:sz="0" w:space="0" w:color="auto"/>
                                <w:bottom w:val="none" w:sz="0" w:space="0" w:color="auto"/>
                                <w:right w:val="none" w:sz="0" w:space="0" w:color="auto"/>
                              </w:divBdr>
                              <w:divsChild>
                                <w:div w:id="2013953218">
                                  <w:marLeft w:val="0"/>
                                  <w:marRight w:val="0"/>
                                  <w:marTop w:val="0"/>
                                  <w:marBottom w:val="0"/>
                                  <w:divBdr>
                                    <w:top w:val="none" w:sz="0" w:space="0" w:color="auto"/>
                                    <w:left w:val="none" w:sz="0" w:space="0" w:color="auto"/>
                                    <w:bottom w:val="none" w:sz="0" w:space="0" w:color="auto"/>
                                    <w:right w:val="none" w:sz="0" w:space="0" w:color="auto"/>
                                  </w:divBdr>
                                  <w:divsChild>
                                    <w:div w:id="884173491">
                                      <w:marLeft w:val="0"/>
                                      <w:marRight w:val="0"/>
                                      <w:marTop w:val="0"/>
                                      <w:marBottom w:val="0"/>
                                      <w:divBdr>
                                        <w:top w:val="none" w:sz="0" w:space="0" w:color="auto"/>
                                        <w:left w:val="none" w:sz="0" w:space="0" w:color="auto"/>
                                        <w:bottom w:val="none" w:sz="0" w:space="0" w:color="auto"/>
                                        <w:right w:val="none" w:sz="0" w:space="0" w:color="auto"/>
                                      </w:divBdr>
                                      <w:divsChild>
                                        <w:div w:id="17426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267519">
                  <w:marLeft w:val="0"/>
                  <w:marRight w:val="0"/>
                  <w:marTop w:val="0"/>
                  <w:marBottom w:val="0"/>
                  <w:divBdr>
                    <w:top w:val="none" w:sz="0" w:space="0" w:color="auto"/>
                    <w:left w:val="none" w:sz="0" w:space="0" w:color="auto"/>
                    <w:bottom w:val="none" w:sz="0" w:space="0" w:color="auto"/>
                    <w:right w:val="none" w:sz="0" w:space="0" w:color="auto"/>
                  </w:divBdr>
                  <w:divsChild>
                    <w:div w:id="97676460">
                      <w:marLeft w:val="0"/>
                      <w:marRight w:val="0"/>
                      <w:marTop w:val="0"/>
                      <w:marBottom w:val="0"/>
                      <w:divBdr>
                        <w:top w:val="none" w:sz="0" w:space="0" w:color="auto"/>
                        <w:left w:val="none" w:sz="0" w:space="0" w:color="auto"/>
                        <w:bottom w:val="none" w:sz="0" w:space="0" w:color="auto"/>
                        <w:right w:val="none" w:sz="0" w:space="0" w:color="auto"/>
                      </w:divBdr>
                      <w:divsChild>
                        <w:div w:id="1277639702">
                          <w:marLeft w:val="0"/>
                          <w:marRight w:val="0"/>
                          <w:marTop w:val="0"/>
                          <w:marBottom w:val="0"/>
                          <w:divBdr>
                            <w:top w:val="none" w:sz="0" w:space="0" w:color="auto"/>
                            <w:left w:val="none" w:sz="0" w:space="0" w:color="auto"/>
                            <w:bottom w:val="none" w:sz="0" w:space="0" w:color="auto"/>
                            <w:right w:val="none" w:sz="0" w:space="0" w:color="auto"/>
                          </w:divBdr>
                          <w:divsChild>
                            <w:div w:id="1563565837">
                              <w:marLeft w:val="0"/>
                              <w:marRight w:val="0"/>
                              <w:marTop w:val="0"/>
                              <w:marBottom w:val="0"/>
                              <w:divBdr>
                                <w:top w:val="none" w:sz="0" w:space="0" w:color="auto"/>
                                <w:left w:val="none" w:sz="0" w:space="0" w:color="auto"/>
                                <w:bottom w:val="none" w:sz="0" w:space="0" w:color="auto"/>
                                <w:right w:val="none" w:sz="0" w:space="0" w:color="auto"/>
                              </w:divBdr>
                              <w:divsChild>
                                <w:div w:id="1925215506">
                                  <w:marLeft w:val="0"/>
                                  <w:marRight w:val="0"/>
                                  <w:marTop w:val="0"/>
                                  <w:marBottom w:val="0"/>
                                  <w:divBdr>
                                    <w:top w:val="none" w:sz="0" w:space="0" w:color="auto"/>
                                    <w:left w:val="none" w:sz="0" w:space="0" w:color="auto"/>
                                    <w:bottom w:val="none" w:sz="0" w:space="0" w:color="auto"/>
                                    <w:right w:val="none" w:sz="0" w:space="0" w:color="auto"/>
                                  </w:divBdr>
                                  <w:divsChild>
                                    <w:div w:id="2071614059">
                                      <w:marLeft w:val="0"/>
                                      <w:marRight w:val="0"/>
                                      <w:marTop w:val="0"/>
                                      <w:marBottom w:val="0"/>
                                      <w:divBdr>
                                        <w:top w:val="none" w:sz="0" w:space="0" w:color="auto"/>
                                        <w:left w:val="none" w:sz="0" w:space="0" w:color="auto"/>
                                        <w:bottom w:val="none" w:sz="0" w:space="0" w:color="auto"/>
                                        <w:right w:val="none" w:sz="0" w:space="0" w:color="auto"/>
                                      </w:divBdr>
                                      <w:divsChild>
                                        <w:div w:id="4933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4966">
                  <w:marLeft w:val="0"/>
                  <w:marRight w:val="0"/>
                  <w:marTop w:val="0"/>
                  <w:marBottom w:val="0"/>
                  <w:divBdr>
                    <w:top w:val="none" w:sz="0" w:space="0" w:color="auto"/>
                    <w:left w:val="none" w:sz="0" w:space="0" w:color="auto"/>
                    <w:bottom w:val="none" w:sz="0" w:space="0" w:color="auto"/>
                    <w:right w:val="none" w:sz="0" w:space="0" w:color="auto"/>
                  </w:divBdr>
                  <w:divsChild>
                    <w:div w:id="725566790">
                      <w:marLeft w:val="0"/>
                      <w:marRight w:val="0"/>
                      <w:marTop w:val="0"/>
                      <w:marBottom w:val="0"/>
                      <w:divBdr>
                        <w:top w:val="none" w:sz="0" w:space="0" w:color="auto"/>
                        <w:left w:val="none" w:sz="0" w:space="0" w:color="auto"/>
                        <w:bottom w:val="none" w:sz="0" w:space="0" w:color="auto"/>
                        <w:right w:val="none" w:sz="0" w:space="0" w:color="auto"/>
                      </w:divBdr>
                      <w:divsChild>
                        <w:div w:id="650519182">
                          <w:marLeft w:val="0"/>
                          <w:marRight w:val="0"/>
                          <w:marTop w:val="0"/>
                          <w:marBottom w:val="0"/>
                          <w:divBdr>
                            <w:top w:val="none" w:sz="0" w:space="0" w:color="auto"/>
                            <w:left w:val="none" w:sz="0" w:space="0" w:color="auto"/>
                            <w:bottom w:val="none" w:sz="0" w:space="0" w:color="auto"/>
                            <w:right w:val="none" w:sz="0" w:space="0" w:color="auto"/>
                          </w:divBdr>
                          <w:divsChild>
                            <w:div w:id="1000741854">
                              <w:marLeft w:val="0"/>
                              <w:marRight w:val="0"/>
                              <w:marTop w:val="0"/>
                              <w:marBottom w:val="0"/>
                              <w:divBdr>
                                <w:top w:val="none" w:sz="0" w:space="0" w:color="auto"/>
                                <w:left w:val="none" w:sz="0" w:space="0" w:color="auto"/>
                                <w:bottom w:val="none" w:sz="0" w:space="0" w:color="auto"/>
                                <w:right w:val="none" w:sz="0" w:space="0" w:color="auto"/>
                              </w:divBdr>
                              <w:divsChild>
                                <w:div w:id="2117559091">
                                  <w:marLeft w:val="0"/>
                                  <w:marRight w:val="0"/>
                                  <w:marTop w:val="0"/>
                                  <w:marBottom w:val="0"/>
                                  <w:divBdr>
                                    <w:top w:val="none" w:sz="0" w:space="0" w:color="auto"/>
                                    <w:left w:val="none" w:sz="0" w:space="0" w:color="auto"/>
                                    <w:bottom w:val="none" w:sz="0" w:space="0" w:color="auto"/>
                                    <w:right w:val="none" w:sz="0" w:space="0" w:color="auto"/>
                                  </w:divBdr>
                                  <w:divsChild>
                                    <w:div w:id="1183278637">
                                      <w:marLeft w:val="0"/>
                                      <w:marRight w:val="0"/>
                                      <w:marTop w:val="0"/>
                                      <w:marBottom w:val="0"/>
                                      <w:divBdr>
                                        <w:top w:val="none" w:sz="0" w:space="0" w:color="auto"/>
                                        <w:left w:val="none" w:sz="0" w:space="0" w:color="auto"/>
                                        <w:bottom w:val="none" w:sz="0" w:space="0" w:color="auto"/>
                                        <w:right w:val="none" w:sz="0" w:space="0" w:color="auto"/>
                                      </w:divBdr>
                                      <w:divsChild>
                                        <w:div w:id="413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359769">
                  <w:marLeft w:val="0"/>
                  <w:marRight w:val="0"/>
                  <w:marTop w:val="0"/>
                  <w:marBottom w:val="0"/>
                  <w:divBdr>
                    <w:top w:val="none" w:sz="0" w:space="0" w:color="auto"/>
                    <w:left w:val="none" w:sz="0" w:space="0" w:color="auto"/>
                    <w:bottom w:val="none" w:sz="0" w:space="0" w:color="auto"/>
                    <w:right w:val="none" w:sz="0" w:space="0" w:color="auto"/>
                  </w:divBdr>
                  <w:divsChild>
                    <w:div w:id="2081100972">
                      <w:marLeft w:val="0"/>
                      <w:marRight w:val="0"/>
                      <w:marTop w:val="0"/>
                      <w:marBottom w:val="0"/>
                      <w:divBdr>
                        <w:top w:val="none" w:sz="0" w:space="0" w:color="auto"/>
                        <w:left w:val="none" w:sz="0" w:space="0" w:color="auto"/>
                        <w:bottom w:val="none" w:sz="0" w:space="0" w:color="auto"/>
                        <w:right w:val="none" w:sz="0" w:space="0" w:color="auto"/>
                      </w:divBdr>
                      <w:divsChild>
                        <w:div w:id="9051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2370">
          <w:marLeft w:val="0"/>
          <w:marRight w:val="0"/>
          <w:marTop w:val="0"/>
          <w:marBottom w:val="0"/>
          <w:divBdr>
            <w:top w:val="none" w:sz="0" w:space="0" w:color="auto"/>
            <w:left w:val="none" w:sz="0" w:space="0" w:color="auto"/>
            <w:bottom w:val="none" w:sz="0" w:space="0" w:color="auto"/>
            <w:right w:val="none" w:sz="0" w:space="0" w:color="auto"/>
          </w:divBdr>
          <w:divsChild>
            <w:div w:id="252012654">
              <w:marLeft w:val="0"/>
              <w:marRight w:val="0"/>
              <w:marTop w:val="0"/>
              <w:marBottom w:val="0"/>
              <w:divBdr>
                <w:top w:val="none" w:sz="0" w:space="0" w:color="auto"/>
                <w:left w:val="none" w:sz="0" w:space="0" w:color="auto"/>
                <w:bottom w:val="none" w:sz="0" w:space="0" w:color="auto"/>
                <w:right w:val="none" w:sz="0" w:space="0" w:color="auto"/>
              </w:divBdr>
              <w:divsChild>
                <w:div w:id="352994216">
                  <w:marLeft w:val="0"/>
                  <w:marRight w:val="0"/>
                  <w:marTop w:val="0"/>
                  <w:marBottom w:val="0"/>
                  <w:divBdr>
                    <w:top w:val="none" w:sz="0" w:space="0" w:color="auto"/>
                    <w:left w:val="none" w:sz="0" w:space="0" w:color="auto"/>
                    <w:bottom w:val="none" w:sz="0" w:space="0" w:color="auto"/>
                    <w:right w:val="none" w:sz="0" w:space="0" w:color="auto"/>
                  </w:divBdr>
                  <w:divsChild>
                    <w:div w:id="700790875">
                      <w:marLeft w:val="0"/>
                      <w:marRight w:val="0"/>
                      <w:marTop w:val="0"/>
                      <w:marBottom w:val="0"/>
                      <w:divBdr>
                        <w:top w:val="none" w:sz="0" w:space="0" w:color="auto"/>
                        <w:left w:val="none" w:sz="0" w:space="0" w:color="auto"/>
                        <w:bottom w:val="none" w:sz="0" w:space="0" w:color="auto"/>
                        <w:right w:val="none" w:sz="0" w:space="0" w:color="auto"/>
                      </w:divBdr>
                      <w:divsChild>
                        <w:div w:id="1071385742">
                          <w:marLeft w:val="0"/>
                          <w:marRight w:val="0"/>
                          <w:marTop w:val="0"/>
                          <w:marBottom w:val="0"/>
                          <w:divBdr>
                            <w:top w:val="none" w:sz="0" w:space="0" w:color="auto"/>
                            <w:left w:val="none" w:sz="0" w:space="0" w:color="auto"/>
                            <w:bottom w:val="none" w:sz="0" w:space="0" w:color="auto"/>
                            <w:right w:val="none" w:sz="0" w:space="0" w:color="auto"/>
                          </w:divBdr>
                          <w:divsChild>
                            <w:div w:id="909340618">
                              <w:marLeft w:val="0"/>
                              <w:marRight w:val="0"/>
                              <w:marTop w:val="0"/>
                              <w:marBottom w:val="0"/>
                              <w:divBdr>
                                <w:top w:val="none" w:sz="0" w:space="0" w:color="auto"/>
                                <w:left w:val="none" w:sz="0" w:space="0" w:color="auto"/>
                                <w:bottom w:val="none" w:sz="0" w:space="0" w:color="auto"/>
                                <w:right w:val="none" w:sz="0" w:space="0" w:color="auto"/>
                              </w:divBdr>
                              <w:divsChild>
                                <w:div w:id="275522330">
                                  <w:marLeft w:val="0"/>
                                  <w:marRight w:val="0"/>
                                  <w:marTop w:val="0"/>
                                  <w:marBottom w:val="0"/>
                                  <w:divBdr>
                                    <w:top w:val="none" w:sz="0" w:space="0" w:color="auto"/>
                                    <w:left w:val="none" w:sz="0" w:space="0" w:color="auto"/>
                                    <w:bottom w:val="none" w:sz="0" w:space="0" w:color="auto"/>
                                    <w:right w:val="none" w:sz="0" w:space="0" w:color="auto"/>
                                  </w:divBdr>
                                  <w:divsChild>
                                    <w:div w:id="1191914086">
                                      <w:marLeft w:val="0"/>
                                      <w:marRight w:val="0"/>
                                      <w:marTop w:val="0"/>
                                      <w:marBottom w:val="0"/>
                                      <w:divBdr>
                                        <w:top w:val="none" w:sz="0" w:space="0" w:color="auto"/>
                                        <w:left w:val="none" w:sz="0" w:space="0" w:color="auto"/>
                                        <w:bottom w:val="none" w:sz="0" w:space="0" w:color="auto"/>
                                        <w:right w:val="none" w:sz="0" w:space="0" w:color="auto"/>
                                      </w:divBdr>
                                      <w:divsChild>
                                        <w:div w:id="6862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5086">
                  <w:marLeft w:val="0"/>
                  <w:marRight w:val="0"/>
                  <w:marTop w:val="0"/>
                  <w:marBottom w:val="0"/>
                  <w:divBdr>
                    <w:top w:val="none" w:sz="0" w:space="0" w:color="auto"/>
                    <w:left w:val="none" w:sz="0" w:space="0" w:color="auto"/>
                    <w:bottom w:val="none" w:sz="0" w:space="0" w:color="auto"/>
                    <w:right w:val="none" w:sz="0" w:space="0" w:color="auto"/>
                  </w:divBdr>
                  <w:divsChild>
                    <w:div w:id="1035545852">
                      <w:marLeft w:val="0"/>
                      <w:marRight w:val="0"/>
                      <w:marTop w:val="0"/>
                      <w:marBottom w:val="0"/>
                      <w:divBdr>
                        <w:top w:val="none" w:sz="0" w:space="0" w:color="auto"/>
                        <w:left w:val="none" w:sz="0" w:space="0" w:color="auto"/>
                        <w:bottom w:val="none" w:sz="0" w:space="0" w:color="auto"/>
                        <w:right w:val="none" w:sz="0" w:space="0" w:color="auto"/>
                      </w:divBdr>
                      <w:divsChild>
                        <w:div w:id="11517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252938">
      <w:bodyDiv w:val="1"/>
      <w:marLeft w:val="0"/>
      <w:marRight w:val="0"/>
      <w:marTop w:val="0"/>
      <w:marBottom w:val="0"/>
      <w:divBdr>
        <w:top w:val="none" w:sz="0" w:space="0" w:color="auto"/>
        <w:left w:val="none" w:sz="0" w:space="0" w:color="auto"/>
        <w:bottom w:val="none" w:sz="0" w:space="0" w:color="auto"/>
        <w:right w:val="none" w:sz="0" w:space="0" w:color="auto"/>
      </w:divBdr>
      <w:divsChild>
        <w:div w:id="1228567291">
          <w:marLeft w:val="0"/>
          <w:marRight w:val="0"/>
          <w:marTop w:val="0"/>
          <w:marBottom w:val="0"/>
          <w:divBdr>
            <w:top w:val="none" w:sz="0" w:space="0" w:color="auto"/>
            <w:left w:val="none" w:sz="0" w:space="0" w:color="auto"/>
            <w:bottom w:val="none" w:sz="0" w:space="0" w:color="auto"/>
            <w:right w:val="none" w:sz="0" w:space="0" w:color="auto"/>
          </w:divBdr>
          <w:divsChild>
            <w:div w:id="562057714">
              <w:marLeft w:val="0"/>
              <w:marRight w:val="0"/>
              <w:marTop w:val="0"/>
              <w:marBottom w:val="0"/>
              <w:divBdr>
                <w:top w:val="none" w:sz="0" w:space="0" w:color="auto"/>
                <w:left w:val="none" w:sz="0" w:space="0" w:color="auto"/>
                <w:bottom w:val="none" w:sz="0" w:space="0" w:color="auto"/>
                <w:right w:val="none" w:sz="0" w:space="0" w:color="auto"/>
              </w:divBdr>
              <w:divsChild>
                <w:div w:id="20421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4945">
      <w:bodyDiv w:val="1"/>
      <w:marLeft w:val="0"/>
      <w:marRight w:val="0"/>
      <w:marTop w:val="0"/>
      <w:marBottom w:val="0"/>
      <w:divBdr>
        <w:top w:val="none" w:sz="0" w:space="0" w:color="auto"/>
        <w:left w:val="none" w:sz="0" w:space="0" w:color="auto"/>
        <w:bottom w:val="none" w:sz="0" w:space="0" w:color="auto"/>
        <w:right w:val="none" w:sz="0" w:space="0" w:color="auto"/>
      </w:divBdr>
    </w:div>
    <w:div w:id="795298734">
      <w:bodyDiv w:val="1"/>
      <w:marLeft w:val="0"/>
      <w:marRight w:val="0"/>
      <w:marTop w:val="0"/>
      <w:marBottom w:val="0"/>
      <w:divBdr>
        <w:top w:val="none" w:sz="0" w:space="0" w:color="auto"/>
        <w:left w:val="none" w:sz="0" w:space="0" w:color="auto"/>
        <w:bottom w:val="none" w:sz="0" w:space="0" w:color="auto"/>
        <w:right w:val="none" w:sz="0" w:space="0" w:color="auto"/>
      </w:divBdr>
      <w:divsChild>
        <w:div w:id="674649832">
          <w:marLeft w:val="0"/>
          <w:marRight w:val="0"/>
          <w:marTop w:val="0"/>
          <w:marBottom w:val="0"/>
          <w:divBdr>
            <w:top w:val="none" w:sz="0" w:space="0" w:color="auto"/>
            <w:left w:val="none" w:sz="0" w:space="0" w:color="auto"/>
            <w:bottom w:val="none" w:sz="0" w:space="0" w:color="auto"/>
            <w:right w:val="none" w:sz="0" w:space="0" w:color="auto"/>
          </w:divBdr>
          <w:divsChild>
            <w:div w:id="1857037562">
              <w:marLeft w:val="0"/>
              <w:marRight w:val="0"/>
              <w:marTop w:val="0"/>
              <w:marBottom w:val="0"/>
              <w:divBdr>
                <w:top w:val="none" w:sz="0" w:space="0" w:color="auto"/>
                <w:left w:val="none" w:sz="0" w:space="0" w:color="auto"/>
                <w:bottom w:val="none" w:sz="0" w:space="0" w:color="auto"/>
                <w:right w:val="none" w:sz="0" w:space="0" w:color="auto"/>
              </w:divBdr>
              <w:divsChild>
                <w:div w:id="9622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4897">
      <w:bodyDiv w:val="1"/>
      <w:marLeft w:val="0"/>
      <w:marRight w:val="0"/>
      <w:marTop w:val="0"/>
      <w:marBottom w:val="0"/>
      <w:divBdr>
        <w:top w:val="none" w:sz="0" w:space="0" w:color="auto"/>
        <w:left w:val="none" w:sz="0" w:space="0" w:color="auto"/>
        <w:bottom w:val="none" w:sz="0" w:space="0" w:color="auto"/>
        <w:right w:val="none" w:sz="0" w:space="0" w:color="auto"/>
      </w:divBdr>
    </w:div>
    <w:div w:id="841432792">
      <w:bodyDiv w:val="1"/>
      <w:marLeft w:val="0"/>
      <w:marRight w:val="0"/>
      <w:marTop w:val="0"/>
      <w:marBottom w:val="0"/>
      <w:divBdr>
        <w:top w:val="none" w:sz="0" w:space="0" w:color="auto"/>
        <w:left w:val="none" w:sz="0" w:space="0" w:color="auto"/>
        <w:bottom w:val="none" w:sz="0" w:space="0" w:color="auto"/>
        <w:right w:val="none" w:sz="0" w:space="0" w:color="auto"/>
      </w:divBdr>
    </w:div>
    <w:div w:id="928847797">
      <w:bodyDiv w:val="1"/>
      <w:marLeft w:val="0"/>
      <w:marRight w:val="0"/>
      <w:marTop w:val="0"/>
      <w:marBottom w:val="0"/>
      <w:divBdr>
        <w:top w:val="none" w:sz="0" w:space="0" w:color="auto"/>
        <w:left w:val="none" w:sz="0" w:space="0" w:color="auto"/>
        <w:bottom w:val="none" w:sz="0" w:space="0" w:color="auto"/>
        <w:right w:val="none" w:sz="0" w:space="0" w:color="auto"/>
      </w:divBdr>
    </w:div>
    <w:div w:id="967080919">
      <w:bodyDiv w:val="1"/>
      <w:marLeft w:val="0"/>
      <w:marRight w:val="0"/>
      <w:marTop w:val="0"/>
      <w:marBottom w:val="0"/>
      <w:divBdr>
        <w:top w:val="none" w:sz="0" w:space="0" w:color="auto"/>
        <w:left w:val="none" w:sz="0" w:space="0" w:color="auto"/>
        <w:bottom w:val="none" w:sz="0" w:space="0" w:color="auto"/>
        <w:right w:val="none" w:sz="0" w:space="0" w:color="auto"/>
      </w:divBdr>
      <w:divsChild>
        <w:div w:id="638001819">
          <w:marLeft w:val="0"/>
          <w:marRight w:val="0"/>
          <w:marTop w:val="0"/>
          <w:marBottom w:val="0"/>
          <w:divBdr>
            <w:top w:val="none" w:sz="0" w:space="0" w:color="auto"/>
            <w:left w:val="none" w:sz="0" w:space="0" w:color="auto"/>
            <w:bottom w:val="none" w:sz="0" w:space="0" w:color="auto"/>
            <w:right w:val="none" w:sz="0" w:space="0" w:color="auto"/>
          </w:divBdr>
          <w:divsChild>
            <w:div w:id="478887448">
              <w:marLeft w:val="0"/>
              <w:marRight w:val="0"/>
              <w:marTop w:val="0"/>
              <w:marBottom w:val="0"/>
              <w:divBdr>
                <w:top w:val="none" w:sz="0" w:space="0" w:color="auto"/>
                <w:left w:val="none" w:sz="0" w:space="0" w:color="auto"/>
                <w:bottom w:val="none" w:sz="0" w:space="0" w:color="auto"/>
                <w:right w:val="none" w:sz="0" w:space="0" w:color="auto"/>
              </w:divBdr>
              <w:divsChild>
                <w:div w:id="3233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7350">
      <w:bodyDiv w:val="1"/>
      <w:marLeft w:val="0"/>
      <w:marRight w:val="0"/>
      <w:marTop w:val="0"/>
      <w:marBottom w:val="0"/>
      <w:divBdr>
        <w:top w:val="none" w:sz="0" w:space="0" w:color="auto"/>
        <w:left w:val="none" w:sz="0" w:space="0" w:color="auto"/>
        <w:bottom w:val="none" w:sz="0" w:space="0" w:color="auto"/>
        <w:right w:val="none" w:sz="0" w:space="0" w:color="auto"/>
      </w:divBdr>
    </w:div>
    <w:div w:id="1011686117">
      <w:bodyDiv w:val="1"/>
      <w:marLeft w:val="0"/>
      <w:marRight w:val="0"/>
      <w:marTop w:val="0"/>
      <w:marBottom w:val="0"/>
      <w:divBdr>
        <w:top w:val="none" w:sz="0" w:space="0" w:color="auto"/>
        <w:left w:val="none" w:sz="0" w:space="0" w:color="auto"/>
        <w:bottom w:val="none" w:sz="0" w:space="0" w:color="auto"/>
        <w:right w:val="none" w:sz="0" w:space="0" w:color="auto"/>
      </w:divBdr>
    </w:div>
    <w:div w:id="1116103503">
      <w:bodyDiv w:val="1"/>
      <w:marLeft w:val="0"/>
      <w:marRight w:val="0"/>
      <w:marTop w:val="0"/>
      <w:marBottom w:val="0"/>
      <w:divBdr>
        <w:top w:val="none" w:sz="0" w:space="0" w:color="auto"/>
        <w:left w:val="none" w:sz="0" w:space="0" w:color="auto"/>
        <w:bottom w:val="none" w:sz="0" w:space="0" w:color="auto"/>
        <w:right w:val="none" w:sz="0" w:space="0" w:color="auto"/>
      </w:divBdr>
    </w:div>
    <w:div w:id="1565724488">
      <w:bodyDiv w:val="1"/>
      <w:marLeft w:val="0"/>
      <w:marRight w:val="0"/>
      <w:marTop w:val="0"/>
      <w:marBottom w:val="0"/>
      <w:divBdr>
        <w:top w:val="none" w:sz="0" w:space="0" w:color="auto"/>
        <w:left w:val="none" w:sz="0" w:space="0" w:color="auto"/>
        <w:bottom w:val="none" w:sz="0" w:space="0" w:color="auto"/>
        <w:right w:val="none" w:sz="0" w:space="0" w:color="auto"/>
      </w:divBdr>
    </w:div>
    <w:div w:id="1588810810">
      <w:bodyDiv w:val="1"/>
      <w:marLeft w:val="0"/>
      <w:marRight w:val="0"/>
      <w:marTop w:val="0"/>
      <w:marBottom w:val="0"/>
      <w:divBdr>
        <w:top w:val="none" w:sz="0" w:space="0" w:color="auto"/>
        <w:left w:val="none" w:sz="0" w:space="0" w:color="auto"/>
        <w:bottom w:val="none" w:sz="0" w:space="0" w:color="auto"/>
        <w:right w:val="none" w:sz="0" w:space="0" w:color="auto"/>
      </w:divBdr>
    </w:div>
    <w:div w:id="1983149552">
      <w:bodyDiv w:val="1"/>
      <w:marLeft w:val="0"/>
      <w:marRight w:val="0"/>
      <w:marTop w:val="0"/>
      <w:marBottom w:val="0"/>
      <w:divBdr>
        <w:top w:val="none" w:sz="0" w:space="0" w:color="auto"/>
        <w:left w:val="none" w:sz="0" w:space="0" w:color="auto"/>
        <w:bottom w:val="none" w:sz="0" w:space="0" w:color="auto"/>
        <w:right w:val="none" w:sz="0" w:space="0" w:color="auto"/>
      </w:divBdr>
    </w:div>
    <w:div w:id="2013559106">
      <w:bodyDiv w:val="1"/>
      <w:marLeft w:val="0"/>
      <w:marRight w:val="0"/>
      <w:marTop w:val="0"/>
      <w:marBottom w:val="0"/>
      <w:divBdr>
        <w:top w:val="none" w:sz="0" w:space="0" w:color="auto"/>
        <w:left w:val="none" w:sz="0" w:space="0" w:color="auto"/>
        <w:bottom w:val="none" w:sz="0" w:space="0" w:color="auto"/>
        <w:right w:val="none" w:sz="0" w:space="0" w:color="auto"/>
      </w:divBdr>
    </w:div>
    <w:div w:id="2016416422">
      <w:bodyDiv w:val="1"/>
      <w:marLeft w:val="0"/>
      <w:marRight w:val="0"/>
      <w:marTop w:val="0"/>
      <w:marBottom w:val="0"/>
      <w:divBdr>
        <w:top w:val="none" w:sz="0" w:space="0" w:color="auto"/>
        <w:left w:val="none" w:sz="0" w:space="0" w:color="auto"/>
        <w:bottom w:val="none" w:sz="0" w:space="0" w:color="auto"/>
        <w:right w:val="none" w:sz="0" w:space="0" w:color="auto"/>
      </w:divBdr>
      <w:divsChild>
        <w:div w:id="1621304823">
          <w:marLeft w:val="0"/>
          <w:marRight w:val="0"/>
          <w:marTop w:val="0"/>
          <w:marBottom w:val="0"/>
          <w:divBdr>
            <w:top w:val="none" w:sz="0" w:space="0" w:color="auto"/>
            <w:left w:val="none" w:sz="0" w:space="0" w:color="auto"/>
            <w:bottom w:val="none" w:sz="0" w:space="0" w:color="auto"/>
            <w:right w:val="none" w:sz="0" w:space="0" w:color="auto"/>
          </w:divBdr>
          <w:divsChild>
            <w:div w:id="1373379949">
              <w:marLeft w:val="0"/>
              <w:marRight w:val="0"/>
              <w:marTop w:val="0"/>
              <w:marBottom w:val="0"/>
              <w:divBdr>
                <w:top w:val="none" w:sz="0" w:space="0" w:color="auto"/>
                <w:left w:val="none" w:sz="0" w:space="0" w:color="auto"/>
                <w:bottom w:val="none" w:sz="0" w:space="0" w:color="auto"/>
                <w:right w:val="none" w:sz="0" w:space="0" w:color="auto"/>
              </w:divBdr>
              <w:divsChild>
                <w:div w:id="466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2970/grmapb.v4i2.439" TargetMode="External"/><Relationship Id="rId18" Type="http://schemas.openxmlformats.org/officeDocument/2006/relationships/hyperlink" Target="https://doi.org/10.1080/14783363.2017.1378572" TargetMode="External"/><Relationship Id="rId26" Type="http://schemas.openxmlformats.org/officeDocument/2006/relationships/hyperlink" Target="https://doi.org/10.1108/IJQRM-11-2015-0160" TargetMode="External"/><Relationship Id="rId3" Type="http://schemas.openxmlformats.org/officeDocument/2006/relationships/settings" Target="settings.xml"/><Relationship Id="rId21" Type="http://schemas.openxmlformats.org/officeDocument/2006/relationships/hyperlink" Target="https://doi.org/10.1287/mnsc.2014.1984" TargetMode="External"/><Relationship Id="rId34" Type="http://schemas.openxmlformats.org/officeDocument/2006/relationships/theme" Target="theme/theme1.xml"/><Relationship Id="rId7" Type="http://schemas.openxmlformats.org/officeDocument/2006/relationships/hyperlink" Target="mailto:mwiyab@gmail.com" TargetMode="External"/><Relationship Id="rId12" Type="http://schemas.openxmlformats.org/officeDocument/2006/relationships/hyperlink" Target="https://doi.org/10.1016/j.jclepro.2020.123292" TargetMode="External"/><Relationship Id="rId17" Type="http://schemas.openxmlformats.org/officeDocument/2006/relationships/hyperlink" Target="https://doi.org/10.1108/IJQRM-10-2018-0266" TargetMode="External"/><Relationship Id="rId25" Type="http://schemas.openxmlformats.org/officeDocument/2006/relationships/hyperlink" Target="https://doi.org/10.1108/TQM-07-2020-017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04/IJEBR.2019.099975" TargetMode="External"/><Relationship Id="rId20" Type="http://schemas.openxmlformats.org/officeDocument/2006/relationships/hyperlink" Target="https://doi.org/10.5465/annals.2015.0099" TargetMode="External"/><Relationship Id="rId29" Type="http://schemas.openxmlformats.org/officeDocument/2006/relationships/hyperlink" Target="https://doi.org/10.1080/23311916.2023.2183590" TargetMode="External"/><Relationship Id="rId1" Type="http://schemas.openxmlformats.org/officeDocument/2006/relationships/numbering" Target="numbering.xml"/><Relationship Id="rId6" Type="http://schemas.openxmlformats.org/officeDocument/2006/relationships/hyperlink" Target="mailto:chandasichinsambwe@gmail.com" TargetMode="External"/><Relationship Id="rId11" Type="http://schemas.openxmlformats.org/officeDocument/2006/relationships/hyperlink" Target="https://doi.org/10.1108/IJOPM-11-2014-0543" TargetMode="External"/><Relationship Id="rId24" Type="http://schemas.openxmlformats.org/officeDocument/2006/relationships/hyperlink" Target="https://doi.org/10.1108/IJQRM-10-2019-0312" TargetMode="External"/><Relationship Id="rId32" Type="http://schemas.openxmlformats.org/officeDocument/2006/relationships/hyperlink" Target="https://doi.org/10.1002/(SICI)1097-0266(199708)18:7%3c509::AID-SMJ882%3e3.0.CO;2-Z" TargetMode="External"/><Relationship Id="rId5" Type="http://schemas.openxmlformats.org/officeDocument/2006/relationships/hyperlink" Target="mailto:kennedysikota@gmail.com" TargetMode="External"/><Relationship Id="rId15" Type="http://schemas.openxmlformats.org/officeDocument/2006/relationships/hyperlink" Target="https://doi.org/10.5430/ijba.v4n1p66" TargetMode="External"/><Relationship Id="rId23" Type="http://schemas.openxmlformats.org/officeDocument/2006/relationships/hyperlink" Target="https://doi.org/10.1108/JMTM-06-2018-0166" TargetMode="External"/><Relationship Id="rId28" Type="http://schemas.openxmlformats.org/officeDocument/2006/relationships/hyperlink" Target="https://doi.org/10.1080/14783363.2017.1283211" TargetMode="External"/><Relationship Id="rId10" Type="http://schemas.openxmlformats.org/officeDocument/2006/relationships/hyperlink" Target="https://doi.org/10.1108/JEAS-03-2021-0046" TargetMode="External"/><Relationship Id="rId19" Type="http://schemas.openxmlformats.org/officeDocument/2006/relationships/hyperlink" Target="https://doi.org/10.1177/21582440231181432" TargetMode="External"/><Relationship Id="rId31" Type="http://schemas.openxmlformats.org/officeDocument/2006/relationships/hyperlink" Target="https://doi.org/10.36713/epra1815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8/BIJ-02-2020-0082" TargetMode="External"/><Relationship Id="rId22" Type="http://schemas.openxmlformats.org/officeDocument/2006/relationships/hyperlink" Target="https://doi.org/10.1108/JMTM-12-2012-0117" TargetMode="External"/><Relationship Id="rId27" Type="http://schemas.openxmlformats.org/officeDocument/2006/relationships/hyperlink" Target="https://doi.org/10.1016/j.promfg.2018.02.155" TargetMode="External"/><Relationship Id="rId30" Type="http://schemas.openxmlformats.org/officeDocument/2006/relationships/hyperlink" Target="https://doi.org/10.1080/1528008X.2015.101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2671</TotalTime>
  <Pages>31</Pages>
  <Words>9693</Words>
  <Characters>55253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SIKOTA</dc:creator>
  <cp:keywords/>
  <dc:description/>
  <cp:lastModifiedBy>KENNEDY SIKOTA</cp:lastModifiedBy>
  <cp:revision>16</cp:revision>
  <dcterms:created xsi:type="dcterms:W3CDTF">2026-05-23T23:34:00Z</dcterms:created>
  <dcterms:modified xsi:type="dcterms:W3CDTF">2026-06-17T22:13:00Z</dcterms:modified>
</cp:coreProperties>
</file>