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345E" w14:textId="77777777" w:rsidR="00EB086B" w:rsidRDefault="00000000">
      <w:pPr>
        <w:jc w:val="center"/>
      </w:pPr>
      <w:r>
        <w:rPr>
          <w:b/>
          <w:sz w:val="24"/>
        </w:rPr>
        <w:t>Assessment of Responsiveness in Healthcare Services: A Patient-Based Evaluation of Outpatient Department Services at Base Hospital Sammanthurai Using WHO Responsiveness Domains</w:t>
      </w:r>
    </w:p>
    <w:p w14:paraId="5B91FB6A" w14:textId="77777777" w:rsidR="00BA212F" w:rsidRPr="00960CFE" w:rsidRDefault="00BA212F" w:rsidP="00BA212F">
      <w:pPr>
        <w:spacing w:after="0"/>
        <w:jc w:val="center"/>
        <w:rPr>
          <w:rFonts w:cs="Times New Roman"/>
          <w:bCs/>
          <w:i/>
          <w:iCs/>
          <w:sz w:val="24"/>
          <w:szCs w:val="24"/>
          <w:vertAlign w:val="superscript"/>
        </w:rPr>
      </w:pPr>
      <w:proofErr w:type="spellStart"/>
      <w:r>
        <w:rPr>
          <w:rFonts w:cs="Times New Roman"/>
          <w:bCs/>
          <w:i/>
          <w:iCs/>
          <w:sz w:val="24"/>
          <w:szCs w:val="24"/>
        </w:rPr>
        <w:t/>
      </w:r>
      <w:proofErr w:type="spellEnd"/>
      <w:r>
        <w:rPr>
          <w:rFonts w:cs="Times New Roman"/>
          <w:bCs/>
          <w:i/>
          <w:iCs/>
          <w:sz w:val="24"/>
          <w:szCs w:val="24"/>
        </w:rPr>
        <w:t xml:space="preserve"/>
      </w:r>
      <w:r w:rsidRPr="00C11028">
        <w:rPr>
          <w:rFonts w:cs="Times New Roman"/>
          <w:bCs/>
          <w:i/>
          <w:iCs/>
          <w:sz w:val="24"/>
          <w:szCs w:val="24"/>
          <w:vertAlign w:val="superscript"/>
        </w:rPr>
        <w:t/>
      </w:r>
      <w:r w:rsidRPr="00C11028">
        <w:rPr>
          <w:rFonts w:cs="Times New Roman"/>
          <w:bCs/>
          <w:i/>
          <w:iCs/>
          <w:sz w:val="24"/>
          <w:szCs w:val="24"/>
        </w:rPr>
        <w:t xml:space="preserve"/>
      </w:r>
      <w:r>
        <w:rPr>
          <w:rFonts w:cs="Times New Roman"/>
          <w:bCs/>
          <w:i/>
          <w:iCs/>
          <w:sz w:val="24"/>
          <w:szCs w:val="24"/>
        </w:rPr>
        <w:t/>
      </w:r>
      <w:r w:rsidRPr="00C11028">
        <w:rPr>
          <w:rFonts w:cs="Times New Roman"/>
          <w:bCs/>
          <w:i/>
          <w:iCs/>
          <w:sz w:val="24"/>
          <w:szCs w:val="24"/>
          <w:vertAlign w:val="superscript"/>
        </w:rPr>
        <w:t/>
      </w:r>
      <w:r>
        <w:rPr>
          <w:rFonts w:cs="Times New Roman"/>
          <w:bCs/>
          <w:i/>
          <w:iCs/>
          <w:sz w:val="24"/>
          <w:szCs w:val="24"/>
          <w:vertAlign w:val="superscript"/>
        </w:rPr>
        <w:t xml:space="preserve"/>
      </w:r>
      <w:r>
        <w:rPr>
          <w:rStyle w:val="Emphasis"/>
          <w:rFonts w:cs="Times New Roman"/>
          <w:sz w:val="24"/>
          <w:szCs w:val="24"/>
        </w:rPr>
        <w:t/>
      </w:r>
      <w:r w:rsidRPr="00960CFE">
        <w:rPr>
          <w:rStyle w:val="Emphasis"/>
          <w:rFonts w:cs="Times New Roman"/>
          <w:sz w:val="24"/>
          <w:szCs w:val="24"/>
          <w:vertAlign w:val="superscript"/>
        </w:rPr>
        <w:t/>
      </w:r>
    </w:p>
    <w:p w14:paraId="1338E808" w14:textId="02C8BB88" w:rsidR="00BA212F" w:rsidRPr="00960CFE" w:rsidRDefault="00BA212F" w:rsidP="00787E80">
      <w:pPr>
        <w:spacing w:after="0"/>
        <w:jc w:val="center"/>
        <w:rPr>
          <w:rFonts w:cs="Times New Roman"/>
          <w:bCs/>
          <w:i/>
          <w:iCs/>
          <w:sz w:val="24"/>
          <w:szCs w:val="24"/>
          <w:vertAlign w:val="superscript"/>
        </w:rPr>
      </w:pPr>
      <w:proofErr w:type="spellStart"/>
      <w:r>
        <w:rPr>
          <w:rStyle w:val="Emphasis"/>
          <w:rFonts w:cs="Times New Roman"/>
          <w:sz w:val="24"/>
          <w:szCs w:val="24"/>
        </w:rPr>
        <w:t/>
      </w:r>
      <w:proofErr w:type="spellEnd"/>
      <w:r>
        <w:rPr>
          <w:rStyle w:val="Emphasis"/>
          <w:rFonts w:cs="Times New Roman"/>
          <w:sz w:val="24"/>
          <w:szCs w:val="24"/>
        </w:rPr>
        <w:t xml:space="preserve"/>
      </w:r>
      <w:r w:rsidR="00787E80">
        <w:rPr>
          <w:rStyle w:val="Emphasis"/>
          <w:rFonts w:cs="Times New Roman"/>
          <w:sz w:val="24"/>
          <w:szCs w:val="24"/>
        </w:rPr>
        <w:t/>
      </w:r>
      <w:r w:rsidR="00787E80">
        <w:rPr>
          <w:rStyle w:val="Emphasis"/>
          <w:rFonts w:cs="Times New Roman"/>
          <w:sz w:val="24"/>
          <w:szCs w:val="24"/>
          <w:vertAlign w:val="superscript"/>
        </w:rPr>
        <w:t/>
      </w:r>
      <w:r w:rsidR="00787E80">
        <w:rPr>
          <w:rStyle w:val="Emphasis"/>
          <w:rFonts w:cs="Times New Roman"/>
          <w:sz w:val="24"/>
          <w:szCs w:val="24"/>
        </w:rPr>
        <w:t/>
      </w:r>
      <w:r w:rsidR="00787E80">
        <w:rPr>
          <w:rStyle w:val="Emphasis"/>
          <w:rFonts w:cs="Times New Roman"/>
          <w:sz w:val="24"/>
          <w:szCs w:val="24"/>
          <w:vertAlign w:val="superscript"/>
        </w:rPr>
        <w:t/>
      </w:r>
    </w:p>
    <w:p w14:paraId="092A40BE" w14:textId="45484F86" w:rsidR="00BA212F" w:rsidRPr="00C11028" w:rsidRDefault="00787E80" w:rsidP="00BA212F">
      <w:pPr>
        <w:spacing w:after="0"/>
        <w:jc w:val="center"/>
        <w:rPr>
          <w:rFonts w:cs="Times New Roman"/>
          <w:bCs/>
          <w:i/>
          <w:iCs/>
          <w:sz w:val="24"/>
          <w:szCs w:val="24"/>
          <w:vertAlign w:val="superscript"/>
        </w:rPr>
      </w:pPr>
      <w:r>
        <w:rPr>
          <w:rFonts w:cs="Times New Roman"/>
          <w:bCs/>
          <w:i/>
          <w:iCs/>
          <w:sz w:val="24"/>
          <w:szCs w:val="24"/>
        </w:rPr>
        <w:t/>
      </w:r>
      <w:r w:rsidR="00BA212F" w:rsidRPr="00C11028">
        <w:rPr>
          <w:rFonts w:cs="Times New Roman"/>
          <w:bCs/>
          <w:i/>
          <w:iCs/>
          <w:sz w:val="24"/>
          <w:szCs w:val="24"/>
          <w:vertAlign w:val="superscript"/>
        </w:rPr>
        <w:t/>
      </w:r>
    </w:p>
    <w:p w14:paraId="35027797" w14:textId="77777777" w:rsidR="00BA212F" w:rsidRDefault="00BA212F" w:rsidP="00BA212F">
      <w:pPr>
        <w:spacing w:after="0"/>
        <w:jc w:val="center"/>
        <w:rPr>
          <w:rFonts w:cs="Times New Roman"/>
          <w:bCs/>
          <w:i/>
          <w:iCs/>
          <w:sz w:val="24"/>
          <w:szCs w:val="24"/>
          <w:vertAlign w:val="superscript"/>
        </w:rPr>
      </w:pPr>
      <w:r w:rsidRPr="00C11028">
        <w:rPr>
          <w:rFonts w:cs="Times New Roman"/>
          <w:bCs/>
          <w:i/>
          <w:iCs/>
          <w:sz w:val="24"/>
          <w:szCs w:val="24"/>
        </w:rPr>
        <w:t/>
      </w:r>
      <w:r w:rsidRPr="00C11028">
        <w:rPr>
          <w:rFonts w:cs="Times New Roman"/>
          <w:bCs/>
          <w:i/>
          <w:iCs/>
          <w:sz w:val="24"/>
          <w:szCs w:val="24"/>
          <w:vertAlign w:val="superscript"/>
        </w:rPr>
        <w:t/>
      </w:r>
    </w:p>
    <w:p w14:paraId="3AB2A908" w14:textId="77777777" w:rsidR="00BA212F" w:rsidRDefault="00BA212F" w:rsidP="00BA212F">
      <w:pPr>
        <w:spacing w:after="0"/>
        <w:jc w:val="center"/>
        <w:rPr>
          <w:rFonts w:cs="Times New Roman"/>
          <w:bCs/>
          <w:i/>
          <w:iCs/>
          <w:sz w:val="24"/>
          <w:szCs w:val="24"/>
          <w:vertAlign w:val="superscript"/>
        </w:rPr>
      </w:pPr>
      <w:r w:rsidRPr="00C11028">
        <w:rPr>
          <w:rFonts w:cs="Times New Roman"/>
          <w:bCs/>
          <w:i/>
          <w:iCs/>
          <w:sz w:val="24"/>
          <w:szCs w:val="24"/>
        </w:rPr>
        <w:t/>
      </w:r>
      <w:r>
        <w:rPr>
          <w:rFonts w:cs="Times New Roman"/>
          <w:bCs/>
          <w:i/>
          <w:iCs/>
          <w:sz w:val="24"/>
          <w:szCs w:val="24"/>
          <w:vertAlign w:val="superscript"/>
        </w:rPr>
        <w:t/>
      </w:r>
    </w:p>
    <w:p w14:paraId="2292359D" w14:textId="43053A54" w:rsidR="00787E80" w:rsidRPr="00C11028" w:rsidRDefault="00787E80" w:rsidP="00787E80">
      <w:pPr>
        <w:spacing w:after="0"/>
        <w:jc w:val="center"/>
        <w:rPr>
          <w:rFonts w:cs="Times New Roman"/>
          <w:bCs/>
          <w:i/>
          <w:iCs/>
          <w:sz w:val="24"/>
          <w:szCs w:val="24"/>
          <w:vertAlign w:val="superscript"/>
        </w:rPr>
      </w:pPr>
      <w:r>
        <w:rPr>
          <w:rFonts w:cs="Times New Roman"/>
          <w:bCs/>
          <w:i/>
          <w:iCs/>
          <w:sz w:val="24"/>
          <w:szCs w:val="24"/>
        </w:rPr>
        <w:t/>
      </w:r>
      <w:r>
        <w:rPr>
          <w:rFonts w:cs="Times New Roman"/>
          <w:bCs/>
          <w:i/>
          <w:iCs/>
          <w:sz w:val="24"/>
          <w:szCs w:val="24"/>
          <w:vertAlign w:val="superscript"/>
        </w:rPr>
        <w:t/>
      </w:r>
    </w:p>
    <w:p w14:paraId="3865E2DC" w14:textId="77777777" w:rsidR="00787E80" w:rsidRDefault="00787E80" w:rsidP="00787E80">
      <w:pPr>
        <w:spacing w:after="0"/>
        <w:jc w:val="center"/>
        <w:rPr>
          <w:sz w:val="24"/>
        </w:rPr>
      </w:pPr>
      <w:r>
        <w:rPr>
          <w:rFonts w:cs="Times New Roman"/>
          <w:bCs/>
          <w:i/>
          <w:iCs/>
          <w:sz w:val="24"/>
          <w:szCs w:val="24"/>
        </w:rPr>
        <w:t/>
      </w:r>
      <w:r w:rsidRPr="00C11028">
        <w:rPr>
          <w:rFonts w:cs="Times New Roman"/>
          <w:bCs/>
          <w:i/>
          <w:iCs/>
          <w:sz w:val="24"/>
          <w:szCs w:val="24"/>
          <w:vertAlign w:val="superscript"/>
        </w:rPr>
        <w:t/>
      </w:r>
    </w:p>
    <w:p w14:paraId="624F104F" w14:textId="77777777" w:rsidR="00787E80" w:rsidRDefault="00787E80" w:rsidP="00787E80">
      <w:pPr>
        <w:spacing w:after="0"/>
        <w:rPr>
          <w:sz w:val="24"/>
        </w:rPr>
      </w:pPr>
    </w:p>
    <w:p w14:paraId="1A29F974" w14:textId="37BCD549" w:rsidR="00EB086B" w:rsidRPr="00787E80" w:rsidRDefault="00000000" w:rsidP="00787E80">
      <w:pPr>
        <w:spacing w:after="0"/>
        <w:rPr>
          <w:rFonts w:cs="Times New Roman"/>
          <w:b/>
          <w:bCs/>
          <w:i/>
          <w:iCs/>
          <w:sz w:val="24"/>
          <w:szCs w:val="24"/>
          <w:vertAlign w:val="superscript"/>
        </w:rPr>
      </w:pPr>
      <w:r w:rsidRPr="00787E80">
        <w:rPr>
          <w:b/>
          <w:bCs/>
          <w:sz w:val="24"/>
        </w:rPr>
        <w:t>Abstract</w:t>
      </w:r>
    </w:p>
    <w:p w14:paraId="57538EF6" w14:textId="77777777" w:rsidR="00EB086B" w:rsidRDefault="00000000">
      <w:pPr>
        <w:jc w:val="both"/>
      </w:pPr>
      <w:r>
        <w:rPr>
          <w:sz w:val="24"/>
        </w:rPr>
        <w:t>Background: Health-system responsiveness is a core dimension of health-system performance because it captures how people are treated and the environment in which they receive care, beyond clinical outcomes alone. Outpatient departments are high-volume entry points to public hospitals, and patient experience in these settings is strongly shaped by waiting time, communication, privacy, respect, and the physical environment (World Health Organization, 2000; Valentine et al., 2003).</w:t>
      </w:r>
    </w:p>
    <w:p w14:paraId="3BA05992" w14:textId="77777777" w:rsidR="00EB086B" w:rsidRDefault="00000000">
      <w:pPr>
        <w:jc w:val="both"/>
      </w:pPr>
      <w:r>
        <w:rPr>
          <w:sz w:val="24"/>
        </w:rPr>
        <w:t>Objective: This study assessed patient-perceived responsiveness of outpatient department services at Base Hospital Sammanthurai using the World Health Organization responsiveness domains and identified priority areas for quality improvement.</w:t>
      </w:r>
    </w:p>
    <w:p w14:paraId="11990697" w14:textId="77777777" w:rsidR="00EB086B" w:rsidRDefault="00000000">
      <w:pPr>
        <w:jc w:val="both"/>
      </w:pPr>
      <w:r>
        <w:rPr>
          <w:sz w:val="24"/>
        </w:rPr>
        <w:t>Methods: A descriptive cross-sectional patient-based audit was conducted among 100 patients attending the outpatient department from January to March 2026. Data were collected using a structured face-to-face interview checklist developed from the WHO responsiveness framework. The checklist covered dignity, autonomy, confidentiality, communication, prompt attention, quality of basic amenities, access to social support, and choice of provider. Responses were scored on a five-point Likert scale and converted into percentage scores. Analysis was descriptive and included domain ranking, interpretation against a pragmatic 80% benchmark, improvement-gap analysis, and classification into interpersonal and service-organization dimensions. Because only aggregate scores were available for manuscript preparation, inferential tests, reliability statistics, and subgroup comparisons were not performed (Valentine et al., 2003, 2010).</w:t>
      </w:r>
    </w:p>
    <w:p w14:paraId="369E8C73" w14:textId="77777777" w:rsidR="00EB086B" w:rsidRDefault="00000000">
      <w:pPr>
        <w:jc w:val="both"/>
      </w:pPr>
      <w:r>
        <w:rPr>
          <w:sz w:val="24"/>
        </w:rPr>
        <w:t>Results: Overall OPD responsiveness was graded as good. The strongest domains were confidentiality (88), dignity (85), communication (84), and autonomy (83), indicating generally positive patient perceptions of privacy, respectful treatment, provider explanations, and participation in care. Moderate scores were observed for access to social support (74) and quality of basic amenities (73). The weakest domains were prompt attention (65) and choice of provider (65). Using 80% as a pragmatic benchmark, four of eight domains were above the desired level and four were below it. The largest improvement gaps were observed for prompt attention and choice of provider, each 15 percentage points below the benchmark. Waiting time was the weakest item within prompt attention, while linen cleanliness, parking, and explanation of risks emerged as specific areas needing attention.</w:t>
      </w:r>
    </w:p>
    <w:p w14:paraId="7B7ED717" w14:textId="77777777" w:rsidR="00EB086B" w:rsidRDefault="00000000">
      <w:pPr>
        <w:jc w:val="both"/>
      </w:pPr>
      <w:r>
        <w:rPr>
          <w:sz w:val="24"/>
        </w:rPr>
        <w:t xml:space="preserve">Conclusion: The OPD at Base Hospital Sammanthurai appears stronger in interpersonal and ethical dimensions of care than in operational and environmental dimensions. Patient-centered quality </w:t>
      </w:r>
      <w:r>
        <w:rPr>
          <w:sz w:val="24"/>
        </w:rPr>
        <w:lastRenderedPageBreak/>
        <w:t>improvement should therefore prioritize patient-flow redesign, waiting-time reduction, clearer provider-allocation processes, improved amenities, and routine responsiveness monitoring. Repeating the same WHO-based audit after interventions would allow the hospital to measure change and strengthen accountability to service users (Donabedian, 1988; Khan et al., 2021).</w:t>
      </w:r>
    </w:p>
    <w:p w14:paraId="4C0E79DA" w14:textId="77777777" w:rsidR="00EB086B" w:rsidRDefault="00000000">
      <w:pPr>
        <w:jc w:val="both"/>
      </w:pPr>
      <w:r>
        <w:rPr>
          <w:sz w:val="24"/>
        </w:rPr>
        <w:t>Keywords: health-system responsiveness; outpatient department; patient experience; WHO domains; quality improvement; Sri Lanka; public hospital</w:t>
      </w:r>
    </w:p>
    <w:p w14:paraId="62657AA2" w14:textId="77777777" w:rsidR="00EB086B" w:rsidRDefault="00000000">
      <w:pPr>
        <w:pStyle w:val="Heading1"/>
      </w:pPr>
      <w:r>
        <w:rPr>
          <w:rFonts w:ascii="Times New Roman" w:hAnsi="Times New Roman"/>
          <w:sz w:val="24"/>
        </w:rPr>
        <w:t>Introduction</w:t>
      </w:r>
    </w:p>
    <w:p w14:paraId="6A1E7BE8" w14:textId="77777777" w:rsidR="00EB086B" w:rsidRDefault="00000000">
      <w:pPr>
        <w:jc w:val="both"/>
      </w:pPr>
      <w:r>
        <w:rPr>
          <w:sz w:val="24"/>
        </w:rPr>
        <w:t>Quality of care is increasingly understood as a multidimensional concept. Earlier approaches often emphasized technical quality, clinical effectiveness, and mortality or morbidity outcomes. These remain essential, but they do not fully capture what patients experience when they seek care. A patient may receive clinically correct treatment but still experience disrespect, poor privacy, unclear communication, unreasonable waiting, or uncomfortable surroundings. For this reason, patient experience and responsiveness have become important indicators of whether a health service is truly people-centred (Donabedian, 1988; World Health Organization, 2000).</w:t>
      </w:r>
    </w:p>
    <w:p w14:paraId="2E845211" w14:textId="77777777" w:rsidR="00EB086B" w:rsidRDefault="00000000">
      <w:pPr>
        <w:jc w:val="both"/>
      </w:pPr>
      <w:r>
        <w:rPr>
          <w:sz w:val="24"/>
        </w:rPr>
        <w:t>The World Health Organization identified health-system responsiveness as one of the intrinsic goals of health systems. Responsiveness refers to the way individuals are treated and the environment in which they receive care. It differs from clinical quality because it does not directly measure whether the correct diagnosis or treatment was provided. Instead, it measures whether patients were treated with dignity, whether their privacy was protected, whether they received timely attention, whether they understood explanations, and whether the physical and social environment of care was acceptable. This distinction is important because patients judge health services through both technical and non-technical experiences (World Health Organization, 2000; Valentine et al., 2003).</w:t>
      </w:r>
    </w:p>
    <w:p w14:paraId="254D2766" w14:textId="77777777" w:rsidR="00EB086B" w:rsidRDefault="00000000">
      <w:pPr>
        <w:jc w:val="both"/>
      </w:pPr>
      <w:r>
        <w:rPr>
          <w:sz w:val="24"/>
        </w:rPr>
        <w:t>The WHO responsiveness framework is especially suitable for outpatient department assessment. OPDs are among the most heavily used units in public hospitals. Patients may pass through registration, triage or initial screening, consultation, pharmacy, laboratory, radiology, and referral counters within a single visit. Although the consultation itself may be brief, the total patient journey can be long and complex. Long queues, crowded waiting areas, unclear directions, insufficient seating, poor toilet facilities, and limited privacy can reduce perceived quality even when clinical staff provide appropriate treatment (Valentine et al., 2003, 2010).</w:t>
      </w:r>
    </w:p>
    <w:p w14:paraId="1BED4A00" w14:textId="77777777" w:rsidR="00EB086B" w:rsidRDefault="00000000">
      <w:pPr>
        <w:jc w:val="both"/>
      </w:pPr>
      <w:r>
        <w:rPr>
          <w:sz w:val="24"/>
        </w:rPr>
        <w:t>In Sri Lanka, public-sector OPDs remain central to equitable access to care. These services are widely used because they are accessible, low cost to patients at the point of use, and linked to referral pathways for further investigations and inward care. However, public OPDs also face predictable operational pressures. These include high patient volume, limited space, uneven arrival patterns, shortage of consultation rooms, pressure on pharmacy and laboratory services, and inadequate patient information systems. These pressures can affect responsiveness, especially prompt attention and basic amenities (Kalubowila et al., 2017).</w:t>
      </w:r>
    </w:p>
    <w:p w14:paraId="793CA296" w14:textId="77777777" w:rsidR="00EB086B" w:rsidRDefault="00000000">
      <w:pPr>
        <w:jc w:val="both"/>
      </w:pPr>
      <w:r>
        <w:rPr>
          <w:sz w:val="24"/>
        </w:rPr>
        <w:t xml:space="preserve">Responsiveness assessment is also valuable for hospital management because it converts patient experience into measurable service domains. Satisfaction surveys may provide a general impression, but </w:t>
      </w:r>
      <w:r>
        <w:rPr>
          <w:sz w:val="24"/>
        </w:rPr>
        <w:lastRenderedPageBreak/>
        <w:t>they are often influenced by patient expectations and gratitude bias. Responsiveness measures are more structured. They focus on domains that are ethically and operationally important across settings, such as dignity, confidentiality, autonomy, communication, prompt attention, basic amenities, social support, and choice of provider. These domains can be translated into improvement actions, making responsiveness assessment suitable for quality-improvement planning (Mirzoev &amp; Kane, 2017; Valentine et al., 2010).</w:t>
      </w:r>
    </w:p>
    <w:p w14:paraId="2636445D" w14:textId="77777777" w:rsidR="00EB086B" w:rsidRDefault="00000000">
      <w:pPr>
        <w:jc w:val="both"/>
      </w:pPr>
      <w:r>
        <w:rPr>
          <w:sz w:val="24"/>
        </w:rPr>
        <w:t>The present study assessed patient-perceived responsiveness of outpatient department services at Base Hospital Sammanthurai. The study was designed as a facility-level audit using WHO responsiveness domains. The purpose was not only to describe patient perceptions, but also to identify which aspects of the OPD require priority action. The revised manuscript expands the methodology and results sections so that the study is suitable for journal submission and can guide local quality-improvement planning.</w:t>
      </w:r>
    </w:p>
    <w:p w14:paraId="0AE95E9C" w14:textId="77777777" w:rsidR="00EB086B" w:rsidRDefault="00000000">
      <w:pPr>
        <w:pStyle w:val="Heading1"/>
      </w:pPr>
      <w:r>
        <w:rPr>
          <w:rFonts w:ascii="Times New Roman" w:hAnsi="Times New Roman"/>
          <w:sz w:val="24"/>
        </w:rPr>
        <w:t>Background and Justification</w:t>
      </w:r>
    </w:p>
    <w:p w14:paraId="35DF2A57" w14:textId="77777777" w:rsidR="00EB086B" w:rsidRDefault="00000000">
      <w:pPr>
        <w:jc w:val="both"/>
      </w:pPr>
      <w:r>
        <w:rPr>
          <w:sz w:val="24"/>
        </w:rPr>
        <w:t>The concept of responsiveness emerged from a recognition that health systems must be accountable not only for improving health but also for respecting legitimate expectations of the population. In public-sector care, this is particularly important because patients often have limited freedom to select a facility, choose a provider, or negotiate service arrangements. Responsiveness therefore provides a way to assess whether the system treats service users fairly, respectfully, and efficiently (World Health Organization, 2000).</w:t>
      </w:r>
    </w:p>
    <w:p w14:paraId="4D6810C4" w14:textId="77777777" w:rsidR="00EB086B" w:rsidRDefault="00000000">
      <w:pPr>
        <w:jc w:val="both"/>
      </w:pPr>
      <w:r>
        <w:rPr>
          <w:sz w:val="24"/>
        </w:rPr>
        <w:t>Outpatient care is a useful setting for responsiveness assessment for several reasons. First, OPD services are frequently used by a broad cross-section of the population, including patients with acute minor illness, chronic disease, elderly patients, women, children, and persons requiring referrals or follow-up. Second, the OPD journey contains many visible service processes. Delays at registration, unclear queues, incomplete explanations, inadequate seating, crowded consultation areas, and poor signage are easily noticed by patients. Third, OPD improvements can often be implemented through management actions that do not require major capital investment. Examples include queue redesign, patient-flow mapping, signage, staff communication practices, appointment or token systems, cleaning schedules, and feedback mechanisms.</w:t>
      </w:r>
    </w:p>
    <w:p w14:paraId="2C57FBC8" w14:textId="77777777" w:rsidR="00EB086B" w:rsidRDefault="00000000">
      <w:pPr>
        <w:jc w:val="both"/>
      </w:pPr>
      <w:r>
        <w:rPr>
          <w:sz w:val="24"/>
        </w:rPr>
        <w:t>The distinction between responsiveness and satisfaction is important for this study. Satisfaction reflects whether a patient’s expectations were met. Those expectations may be low in resource-constrained settings, meaning that patients may report satisfaction despite objectively poor service conditions. Responsiveness instead focuses on normative domains of care that patients have a legitimate right to expect. A patient should be treated with dignity, receive understandable information, have privacy protected, and access care without unnecessary delay regardless of individual expectations. Therefore, responsiveness is a more structured and defensible concept for hospital performance assessment (Mirzoev &amp; Kane, 2017; Valentine et al., 2010).</w:t>
      </w:r>
    </w:p>
    <w:p w14:paraId="4662F38F" w14:textId="77777777" w:rsidR="00EB086B" w:rsidRDefault="00000000">
      <w:pPr>
        <w:jc w:val="both"/>
      </w:pPr>
      <w:r>
        <w:rPr>
          <w:sz w:val="24"/>
        </w:rPr>
        <w:t xml:space="preserve">At facility level, responsiveness measurement can support managerial decision-making. Domain scores allow managers to identify whether problems are mainly interpersonal, such as disrespectful communication, or operational, such as waiting time and amenities. This distinction matters because different problems require different interventions. Communication problems may require staff training, supervision, scripts, or patient-information materials. Waiting-time problems require process redesign, </w:t>
      </w:r>
      <w:r>
        <w:rPr>
          <w:sz w:val="24"/>
        </w:rPr>
        <w:lastRenderedPageBreak/>
        <w:t>workload redistribution, queue management, and bottleneck reduction. Amenity problems require environmental audits, cleaning systems, maintenance, signage, seating, water, and toilet improvements (Khan et al., 2021).</w:t>
      </w:r>
    </w:p>
    <w:p w14:paraId="5D268EDD" w14:textId="77777777" w:rsidR="00EB086B" w:rsidRDefault="00000000">
      <w:pPr>
        <w:jc w:val="both"/>
      </w:pPr>
      <w:r>
        <w:rPr>
          <w:sz w:val="24"/>
        </w:rPr>
        <w:t>Base Hospital Sammanthurai provides secondary-care services to the surrounding population. As with many public hospitals, the OPD is likely to manage a high daily patient load with finite human and physical resources. A local audit of responsiveness is therefore justified because it provides evidence that can be used by hospital managers to prioritize practical improvements. The study also contributes to the limited facility-level evidence on patient-perceived responsiveness in Sri Lankan public outpatient settings.</w:t>
      </w:r>
    </w:p>
    <w:p w14:paraId="2B438CED" w14:textId="77777777" w:rsidR="00EB086B" w:rsidRDefault="00000000">
      <w:pPr>
        <w:pStyle w:val="Heading1"/>
      </w:pPr>
      <w:r>
        <w:rPr>
          <w:rFonts w:ascii="Times New Roman" w:hAnsi="Times New Roman"/>
          <w:sz w:val="24"/>
        </w:rPr>
        <w:t>Research Gap</w:t>
      </w:r>
    </w:p>
    <w:p w14:paraId="5982355D" w14:textId="77777777" w:rsidR="00EB086B" w:rsidRDefault="00000000">
      <w:pPr>
        <w:jc w:val="both"/>
      </w:pPr>
      <w:r>
        <w:rPr>
          <w:sz w:val="24"/>
        </w:rPr>
        <w:t>Despite the global literature on health-system responsiveness, several gaps remain relevant to this study. First, many facility-level assessments continue to use general patient-satisfaction measures rather than the WHO responsiveness framework. While satisfaction surveys are useful, they may not separate the ethical, interpersonal, and organizational components of patient experience. Second, many studies report overall patient-experience scores without translating findings into specific improvement priorities. Third, local hospital audits often lack a detailed explanation of scoring, domain interpretation, and how results should be used for continuous quality improvement (Khan et al., 2021; Robone et al., 2011).</w:t>
      </w:r>
    </w:p>
    <w:p w14:paraId="734625BF" w14:textId="77777777" w:rsidR="00EB086B" w:rsidRDefault="00000000">
      <w:pPr>
        <w:jc w:val="both"/>
      </w:pPr>
      <w:r>
        <w:rPr>
          <w:sz w:val="24"/>
        </w:rPr>
        <w:t>The present study addresses these gaps by using a domain-based framework, presenting a structured interpretation of each domain, and linking the findings to an operational improvement agenda. The revised analysis provides domain ranking, benchmark-gap analysis, interpersonal versus service-organization classification, and a prioritization matrix. This approach makes the results more useful for hospital managers than a simple statement that overall responsiveness was good.</w:t>
      </w:r>
    </w:p>
    <w:p w14:paraId="6522FEFB" w14:textId="77777777" w:rsidR="00EB086B" w:rsidRDefault="00000000">
      <w:pPr>
        <w:pStyle w:val="Heading1"/>
      </w:pPr>
      <w:r>
        <w:rPr>
          <w:rFonts w:ascii="Times New Roman" w:hAnsi="Times New Roman"/>
          <w:sz w:val="24"/>
        </w:rPr>
        <w:t>Objectives</w:t>
      </w:r>
    </w:p>
    <w:p w14:paraId="0A9CC0EC" w14:textId="77777777" w:rsidR="00EB086B" w:rsidRDefault="00000000">
      <w:pPr>
        <w:jc w:val="both"/>
      </w:pPr>
      <w:r>
        <w:rPr>
          <w:sz w:val="24"/>
        </w:rPr>
        <w:t>The general objective was to assess patient-perceived responsiveness of outpatient department services at Base Hospital Sammanthurai using WHO responsiveness domains.</w:t>
      </w:r>
    </w:p>
    <w:p w14:paraId="3AA1DA21" w14:textId="77777777" w:rsidR="00EB086B" w:rsidRDefault="00000000">
      <w:pPr>
        <w:jc w:val="both"/>
      </w:pPr>
      <w:r>
        <w:rPr>
          <w:sz w:val="24"/>
        </w:rPr>
        <w:t>The specific objectives were: (1) to assess responsiveness scores across the eight WHO domains; (2) to identify the strongest and weakest domains of OPD responsiveness; (3) to classify the findings into interpersonal and service-organization dimensions; (4) to estimate improvement gaps using a pragmatic benchmark; and (5) to propose practical quality-improvement actions based on the identified gaps.</w:t>
      </w:r>
    </w:p>
    <w:p w14:paraId="6E39E6E6" w14:textId="77777777" w:rsidR="00EB086B" w:rsidRDefault="00000000">
      <w:pPr>
        <w:pStyle w:val="Heading1"/>
      </w:pPr>
      <w:r>
        <w:rPr>
          <w:rFonts w:ascii="Times New Roman" w:hAnsi="Times New Roman"/>
          <w:sz w:val="24"/>
        </w:rPr>
        <w:t>Methods</w:t>
      </w:r>
    </w:p>
    <w:p w14:paraId="3E5BE743" w14:textId="77777777" w:rsidR="00EB086B" w:rsidRDefault="00000000">
      <w:pPr>
        <w:pStyle w:val="Heading2"/>
      </w:pPr>
      <w:r>
        <w:rPr>
          <w:rFonts w:ascii="Times New Roman" w:hAnsi="Times New Roman"/>
        </w:rPr>
        <w:t>Study design</w:t>
      </w:r>
    </w:p>
    <w:p w14:paraId="66C3C9C8" w14:textId="77777777" w:rsidR="00EB086B" w:rsidRDefault="00000000">
      <w:pPr>
        <w:jc w:val="both"/>
      </w:pPr>
      <w:r>
        <w:rPr>
          <w:sz w:val="24"/>
        </w:rPr>
        <w:t xml:space="preserve">This was a descriptive cross-sectional patient-based audit of OPD responsiveness. A cross-sectional design was appropriate because the objective was to measure patient-perceived responsiveness at a defined point in time rather than to test a causal hypothesis. The study is best described as an audit or facility-level service evaluation because the findings are intended to inform local quality-improvement action. The manuscript has been structured in line with the reporting principles of observational studies, particularly </w:t>
      </w:r>
      <w:r>
        <w:rPr>
          <w:sz w:val="24"/>
        </w:rPr>
        <w:lastRenderedPageBreak/>
        <w:t>clear description of setting, participants, variables, data sources, scoring, bias, limitations, and interpretation (von Elm et al., 2007).</w:t>
      </w:r>
    </w:p>
    <w:p w14:paraId="0020F2B3" w14:textId="77777777" w:rsidR="00EB086B" w:rsidRDefault="00000000">
      <w:pPr>
        <w:pStyle w:val="Heading2"/>
      </w:pPr>
      <w:r>
        <w:rPr>
          <w:rFonts w:ascii="Times New Roman" w:hAnsi="Times New Roman"/>
        </w:rPr>
        <w:t>Study setting</w:t>
      </w:r>
    </w:p>
    <w:p w14:paraId="0B0B65DE" w14:textId="77777777" w:rsidR="00EB086B" w:rsidRDefault="00000000">
      <w:pPr>
        <w:jc w:val="both"/>
      </w:pPr>
      <w:r>
        <w:rPr>
          <w:sz w:val="24"/>
        </w:rPr>
        <w:t>The study was conducted in the outpatient department of Base Hospital Sammanthurai from January to March 2026. The OPD was selected because it is a high-volume patient-contact point and because patient experience in the OPD reflects both staff behavior and service organization. The OPD journey typically includes arrival, registration, waiting, consultation, referral for investigations or medicines, and exit. Each of these steps can influence perceived responsiveness.</w:t>
      </w:r>
    </w:p>
    <w:p w14:paraId="4F4FA8E6" w14:textId="77777777" w:rsidR="00EB086B" w:rsidRDefault="00000000">
      <w:pPr>
        <w:pStyle w:val="Heading2"/>
      </w:pPr>
      <w:r>
        <w:rPr>
          <w:rFonts w:ascii="Times New Roman" w:hAnsi="Times New Roman"/>
        </w:rPr>
        <w:t>Study population</w:t>
      </w:r>
    </w:p>
    <w:p w14:paraId="3E0F7110" w14:textId="77777777" w:rsidR="00EB086B" w:rsidRDefault="00000000">
      <w:pPr>
        <w:jc w:val="both"/>
      </w:pPr>
      <w:r>
        <w:rPr>
          <w:sz w:val="24"/>
        </w:rPr>
        <w:t>The study population consisted of patients attending the OPD during the study period. Eligible participants were patients who had completed or were near completion of their OPD service encounter and were able to provide informed responses. For patients who were too ill, too young, or unable to respond independently, a caregiver may be considered only if the audit protocol explicitly permits proxy responses. The final manuscript should specify whether proxy respondents were included or excluded. To maintain clarity, the present version describes the respondents as OPD patients unless the author confirms otherwise.</w:t>
      </w:r>
    </w:p>
    <w:p w14:paraId="7171447B" w14:textId="77777777" w:rsidR="00EB086B" w:rsidRDefault="00000000">
      <w:pPr>
        <w:pStyle w:val="Heading2"/>
      </w:pPr>
      <w:r>
        <w:rPr>
          <w:rFonts w:ascii="Times New Roman" w:hAnsi="Times New Roman"/>
        </w:rPr>
        <w:t>Inclusion and exclusion criteria</w:t>
      </w:r>
    </w:p>
    <w:p w14:paraId="215D2270" w14:textId="77777777" w:rsidR="00EB086B" w:rsidRDefault="00000000">
      <w:pPr>
        <w:jc w:val="both"/>
      </w:pPr>
      <w:r>
        <w:rPr>
          <w:sz w:val="24"/>
        </w:rPr>
        <w:t>Patients attending the OPD during the data-collection period were eligible if they were willing to participate and were able to understand and respond to the interview questions. Patients requiring emergency attention, those in obvious distress, those unable to provide meaningful responses, and those who declined participation should be excluded. Patients should not be interviewed before receiving care if doing so could interfere with the service process or influence their subsequent responses.</w:t>
      </w:r>
    </w:p>
    <w:p w14:paraId="0CFEF0FE" w14:textId="77777777" w:rsidR="00EB086B" w:rsidRDefault="00000000">
      <w:pPr>
        <w:pStyle w:val="Heading2"/>
      </w:pPr>
      <w:r>
        <w:rPr>
          <w:rFonts w:ascii="Times New Roman" w:hAnsi="Times New Roman"/>
        </w:rPr>
        <w:t>Sample size and sampling technique</w:t>
      </w:r>
    </w:p>
    <w:p w14:paraId="2B6FECA2" w14:textId="77777777" w:rsidR="00EB086B" w:rsidRDefault="00000000">
      <w:pPr>
        <w:jc w:val="both"/>
      </w:pPr>
      <w:r>
        <w:rPr>
          <w:sz w:val="24"/>
        </w:rPr>
        <w:t>The audit included 100 OPD patients. In a facility-level responsiveness audit, a sample of 100 can provide an initial practical estimate of domain performance and identify improvement priorities. However, it should be interpreted as a baseline audit rather than as a definitive prevalence study. The source draft states that simple random sampling was used. For journal reporting, the sampling procedure should be described operationally. For example, a daily sampling frame could be prepared from the OPD registration sequence, and patients could be selected using a random number table or systematic random interval after estimating the expected daily patient load. If true simple random selection was not feasible, the method should be reported transparently as systematic random sampling or consecutive sampling with efforts to reduce selection bias.</w:t>
      </w:r>
    </w:p>
    <w:p w14:paraId="7FD5CAB4" w14:textId="77777777" w:rsidR="00EB086B" w:rsidRDefault="00000000">
      <w:pPr>
        <w:jc w:val="both"/>
      </w:pPr>
      <w:r>
        <w:rPr>
          <w:sz w:val="24"/>
        </w:rPr>
        <w:t>For future studies, sample-size calculation could be strengthened using a single proportion formula based on expected good responsiveness, desired precision, and confidence level. If the hospital wishes to compare subgroups by age, sex, visit type, or time of visit, a larger sample would be required. For the current manuscript, the sample size is reported as an audit sample and the interpretation is limited to descriptive facility-level findings.</w:t>
      </w:r>
    </w:p>
    <w:p w14:paraId="47CE6303" w14:textId="77777777" w:rsidR="00EB086B" w:rsidRDefault="00000000">
      <w:pPr>
        <w:pStyle w:val="Caption"/>
      </w:pPr>
      <w:r>
        <w:rPr>
          <w:sz w:val="24"/>
        </w:rPr>
        <w:t>Table 1. Summary of methodology</w:t>
      </w:r>
    </w:p>
    <w:tbl>
      <w:tblPr>
        <w:tblStyle w:val="TableGrid"/>
        <w:tblW w:w="0" w:type="auto"/>
        <w:jc w:val="center"/>
        <w:tblLook w:val="04A0" w:firstRow="1" w:lastRow="0" w:firstColumn="1" w:lastColumn="0" w:noHBand="0" w:noVBand="1"/>
      </w:tblPr>
      <w:tblGrid>
        <w:gridCol w:w="2160"/>
        <w:gridCol w:w="6912"/>
      </w:tblGrid>
      <w:tr w:rsidR="00EB086B" w14:paraId="598EC9A4" w14:textId="77777777">
        <w:trPr>
          <w:jc w:val="center"/>
        </w:trPr>
        <w:tc>
          <w:tcPr>
            <w:tcW w:w="2160" w:type="dxa"/>
            <w:shd w:val="clear" w:color="auto" w:fill="D9EAF7"/>
          </w:tcPr>
          <w:p w14:paraId="53B93B16" w14:textId="77777777" w:rsidR="00EB086B" w:rsidRDefault="00000000">
            <w:r>
              <w:rPr>
                <w:b/>
                <w:sz w:val="18"/>
              </w:rPr>
              <w:t>Element</w:t>
            </w:r>
          </w:p>
        </w:tc>
        <w:tc>
          <w:tcPr>
            <w:tcW w:w="6912" w:type="dxa"/>
            <w:shd w:val="clear" w:color="auto" w:fill="D9EAF7"/>
          </w:tcPr>
          <w:p w14:paraId="041CA266" w14:textId="77777777" w:rsidR="00EB086B" w:rsidRDefault="00000000">
            <w:r>
              <w:rPr>
                <w:b/>
                <w:sz w:val="18"/>
              </w:rPr>
              <w:t>Description for the revised manuscript</w:t>
            </w:r>
          </w:p>
        </w:tc>
      </w:tr>
      <w:tr w:rsidR="00EB086B" w14:paraId="2863C962" w14:textId="77777777">
        <w:trPr>
          <w:jc w:val="center"/>
        </w:trPr>
        <w:tc>
          <w:tcPr>
            <w:tcW w:w="2160" w:type="dxa"/>
          </w:tcPr>
          <w:p w14:paraId="55DA8752" w14:textId="77777777" w:rsidR="00EB086B" w:rsidRDefault="00000000">
            <w:r>
              <w:rPr>
                <w:sz w:val="18"/>
              </w:rPr>
              <w:lastRenderedPageBreak/>
              <w:t>Design</w:t>
            </w:r>
          </w:p>
        </w:tc>
        <w:tc>
          <w:tcPr>
            <w:tcW w:w="6912" w:type="dxa"/>
          </w:tcPr>
          <w:p w14:paraId="3B864076" w14:textId="77777777" w:rsidR="00EB086B" w:rsidRDefault="00000000">
            <w:r>
              <w:rPr>
                <w:sz w:val="18"/>
              </w:rPr>
              <w:t>Descriptive cross-sectional patient-based audit/service evaluation.</w:t>
            </w:r>
          </w:p>
        </w:tc>
      </w:tr>
      <w:tr w:rsidR="00EB086B" w14:paraId="1BCB60F6" w14:textId="77777777">
        <w:trPr>
          <w:jc w:val="center"/>
        </w:trPr>
        <w:tc>
          <w:tcPr>
            <w:tcW w:w="2160" w:type="dxa"/>
          </w:tcPr>
          <w:p w14:paraId="17317844" w14:textId="77777777" w:rsidR="00EB086B" w:rsidRDefault="00000000">
            <w:r>
              <w:rPr>
                <w:sz w:val="18"/>
              </w:rPr>
              <w:t>Setting</w:t>
            </w:r>
          </w:p>
        </w:tc>
        <w:tc>
          <w:tcPr>
            <w:tcW w:w="6912" w:type="dxa"/>
          </w:tcPr>
          <w:p w14:paraId="5FDF7D00" w14:textId="77777777" w:rsidR="00EB086B" w:rsidRDefault="00000000">
            <w:r>
              <w:rPr>
                <w:sz w:val="18"/>
              </w:rPr>
              <w:t>Outpatient Department, Base Hospital Sammanthurai.</w:t>
            </w:r>
          </w:p>
        </w:tc>
      </w:tr>
      <w:tr w:rsidR="00EB086B" w14:paraId="06687351" w14:textId="77777777">
        <w:trPr>
          <w:jc w:val="center"/>
        </w:trPr>
        <w:tc>
          <w:tcPr>
            <w:tcW w:w="2160" w:type="dxa"/>
          </w:tcPr>
          <w:p w14:paraId="64538FC9" w14:textId="77777777" w:rsidR="00EB086B" w:rsidRDefault="00000000">
            <w:r>
              <w:rPr>
                <w:sz w:val="18"/>
              </w:rPr>
              <w:t>Period</w:t>
            </w:r>
          </w:p>
        </w:tc>
        <w:tc>
          <w:tcPr>
            <w:tcW w:w="6912" w:type="dxa"/>
          </w:tcPr>
          <w:p w14:paraId="74C00ABA" w14:textId="77777777" w:rsidR="00EB086B" w:rsidRDefault="00000000">
            <w:r>
              <w:rPr>
                <w:sz w:val="18"/>
              </w:rPr>
              <w:t>January to March 2026.</w:t>
            </w:r>
          </w:p>
        </w:tc>
      </w:tr>
      <w:tr w:rsidR="00EB086B" w14:paraId="5D43FD55" w14:textId="77777777">
        <w:trPr>
          <w:jc w:val="center"/>
        </w:trPr>
        <w:tc>
          <w:tcPr>
            <w:tcW w:w="2160" w:type="dxa"/>
          </w:tcPr>
          <w:p w14:paraId="701C938F" w14:textId="77777777" w:rsidR="00EB086B" w:rsidRDefault="00000000">
            <w:r>
              <w:rPr>
                <w:sz w:val="18"/>
              </w:rPr>
              <w:t>Population</w:t>
            </w:r>
          </w:p>
        </w:tc>
        <w:tc>
          <w:tcPr>
            <w:tcW w:w="6912" w:type="dxa"/>
          </w:tcPr>
          <w:p w14:paraId="1355CA71" w14:textId="77777777" w:rsidR="00EB086B" w:rsidRDefault="00000000">
            <w:r>
              <w:rPr>
                <w:sz w:val="18"/>
              </w:rPr>
              <w:t>Patients attending OPD services during the study period.</w:t>
            </w:r>
          </w:p>
        </w:tc>
      </w:tr>
      <w:tr w:rsidR="00EB086B" w14:paraId="1EB1B6C6" w14:textId="77777777">
        <w:trPr>
          <w:jc w:val="center"/>
        </w:trPr>
        <w:tc>
          <w:tcPr>
            <w:tcW w:w="2160" w:type="dxa"/>
          </w:tcPr>
          <w:p w14:paraId="145A8D22" w14:textId="77777777" w:rsidR="00EB086B" w:rsidRDefault="00000000">
            <w:r>
              <w:rPr>
                <w:sz w:val="18"/>
              </w:rPr>
              <w:t>Sample</w:t>
            </w:r>
          </w:p>
        </w:tc>
        <w:tc>
          <w:tcPr>
            <w:tcW w:w="6912" w:type="dxa"/>
          </w:tcPr>
          <w:p w14:paraId="70E5105D" w14:textId="77777777" w:rsidR="00EB086B" w:rsidRDefault="00000000">
            <w:r>
              <w:rPr>
                <w:sz w:val="18"/>
              </w:rPr>
              <w:t>100 OPD patients.</w:t>
            </w:r>
          </w:p>
        </w:tc>
      </w:tr>
      <w:tr w:rsidR="00EB086B" w14:paraId="51801A9A" w14:textId="77777777">
        <w:trPr>
          <w:jc w:val="center"/>
        </w:trPr>
        <w:tc>
          <w:tcPr>
            <w:tcW w:w="2160" w:type="dxa"/>
          </w:tcPr>
          <w:p w14:paraId="22BD8E7E" w14:textId="77777777" w:rsidR="00EB086B" w:rsidRDefault="00000000">
            <w:r>
              <w:rPr>
                <w:sz w:val="18"/>
              </w:rPr>
              <w:t>Sampling</w:t>
            </w:r>
          </w:p>
        </w:tc>
        <w:tc>
          <w:tcPr>
            <w:tcW w:w="6912" w:type="dxa"/>
          </w:tcPr>
          <w:p w14:paraId="5D1032F7" w14:textId="77777777" w:rsidR="00EB086B" w:rsidRDefault="00000000">
            <w:r>
              <w:rPr>
                <w:sz w:val="18"/>
              </w:rPr>
              <w:t>Reported as simple random sampling; operational description should be verified by the author.</w:t>
            </w:r>
          </w:p>
        </w:tc>
      </w:tr>
      <w:tr w:rsidR="00EB086B" w14:paraId="4EA504F4" w14:textId="77777777">
        <w:trPr>
          <w:jc w:val="center"/>
        </w:trPr>
        <w:tc>
          <w:tcPr>
            <w:tcW w:w="2160" w:type="dxa"/>
          </w:tcPr>
          <w:p w14:paraId="3A895CDD" w14:textId="77777777" w:rsidR="00EB086B" w:rsidRDefault="00000000">
            <w:r>
              <w:rPr>
                <w:sz w:val="18"/>
              </w:rPr>
              <w:t>Tool</w:t>
            </w:r>
          </w:p>
        </w:tc>
        <w:tc>
          <w:tcPr>
            <w:tcW w:w="6912" w:type="dxa"/>
          </w:tcPr>
          <w:p w14:paraId="42BC58BC" w14:textId="77777777" w:rsidR="00EB086B" w:rsidRDefault="00000000">
            <w:r>
              <w:rPr>
                <w:sz w:val="18"/>
              </w:rPr>
              <w:t>Structured face-to-face interview checklist based on WHO responsiveness domains.</w:t>
            </w:r>
          </w:p>
        </w:tc>
      </w:tr>
      <w:tr w:rsidR="00EB086B" w14:paraId="0CEB0CBD" w14:textId="77777777">
        <w:trPr>
          <w:jc w:val="center"/>
        </w:trPr>
        <w:tc>
          <w:tcPr>
            <w:tcW w:w="2160" w:type="dxa"/>
          </w:tcPr>
          <w:p w14:paraId="2BBBEA9F" w14:textId="77777777" w:rsidR="00EB086B" w:rsidRDefault="00000000">
            <w:r>
              <w:rPr>
                <w:sz w:val="18"/>
              </w:rPr>
              <w:t>Analysis</w:t>
            </w:r>
          </w:p>
        </w:tc>
        <w:tc>
          <w:tcPr>
            <w:tcW w:w="6912" w:type="dxa"/>
          </w:tcPr>
          <w:p w14:paraId="63249167" w14:textId="77777777" w:rsidR="00EB086B" w:rsidRDefault="00000000">
            <w:r>
              <w:rPr>
                <w:sz w:val="18"/>
              </w:rPr>
              <w:t>Descriptive statistics, domain ranking, benchmark-gap analysis, domain grouping, and improvement-priority matrix.</w:t>
            </w:r>
          </w:p>
        </w:tc>
      </w:tr>
    </w:tbl>
    <w:p w14:paraId="30546CDA" w14:textId="77777777" w:rsidR="00EB086B" w:rsidRDefault="00EB086B"/>
    <w:p w14:paraId="31E0B7E5" w14:textId="77777777" w:rsidR="00EB086B" w:rsidRDefault="00000000">
      <w:pPr>
        <w:pStyle w:val="Heading2"/>
      </w:pPr>
      <w:r>
        <w:rPr>
          <w:rFonts w:ascii="Times New Roman" w:hAnsi="Times New Roman"/>
        </w:rPr>
        <w:t>Study instrument</w:t>
      </w:r>
    </w:p>
    <w:p w14:paraId="14FB97B9" w14:textId="77777777" w:rsidR="00EB086B" w:rsidRDefault="00000000">
      <w:pPr>
        <w:jc w:val="both"/>
      </w:pPr>
      <w:r>
        <w:rPr>
          <w:sz w:val="24"/>
        </w:rPr>
        <w:t>Data were collected using a structured interview checklist based on the WHO responsiveness framework. The domains included dignity, autonomy, confidentiality, communication, prompt attention, quality of basic amenities, access to social support, and choice of provider. The tool was administered through face-to-face interviews. This method was suitable for an OPD setting because it allows respondents with different literacy levels to participate and enables clarification of questions. However, face-to-face administration may introduce courtesy bias; therefore, interviews should be conducted in a neutral manner and, where feasible, away from direct service providers (Valentine et al., 2003, 2010).</w:t>
      </w:r>
    </w:p>
    <w:p w14:paraId="12F84B48" w14:textId="77777777" w:rsidR="00EB086B" w:rsidRDefault="00000000">
      <w:pPr>
        <w:jc w:val="both"/>
      </w:pPr>
      <w:r>
        <w:rPr>
          <w:sz w:val="24"/>
        </w:rPr>
        <w:t>The tool should be described in the final submission with sufficient detail for reproducibility. Each domain should include one or more items. Dignity may include respectful treatment and absence of humiliation. Confidentiality may include privacy during consultation and protection of patient information. Communication may include clarity of explanation, opportunity to ask questions, and understanding of instructions. Autonomy may include involvement in decisions, consent, and explanation of risks and alternatives. Prompt attention may include waiting time and timeliness of service. Basic amenities may include seating, cleanliness, toilets, drinking water, ventilation, linen, signage, and parking. Social support may include the ability of family members or companions to assist when appropriate. Choice of provider may include perceived choice, continuity, and transparency of provider allocation (Valentine et al., 2003).</w:t>
      </w:r>
    </w:p>
    <w:p w14:paraId="5A6CD00A" w14:textId="77777777" w:rsidR="00EB086B" w:rsidRDefault="00000000">
      <w:pPr>
        <w:pStyle w:val="Caption"/>
      </w:pPr>
      <w:r>
        <w:rPr>
          <w:sz w:val="24"/>
        </w:rPr>
        <w:t>Table 2. WHO responsiveness domains and OPD operationalization</w:t>
      </w:r>
    </w:p>
    <w:tbl>
      <w:tblPr>
        <w:tblStyle w:val="TableGrid"/>
        <w:tblW w:w="0" w:type="auto"/>
        <w:jc w:val="center"/>
        <w:tblLook w:val="04A0" w:firstRow="1" w:lastRow="0" w:firstColumn="1" w:lastColumn="0" w:noHBand="0" w:noVBand="1"/>
      </w:tblPr>
      <w:tblGrid>
        <w:gridCol w:w="1728"/>
        <w:gridCol w:w="3600"/>
        <w:gridCol w:w="3888"/>
      </w:tblGrid>
      <w:tr w:rsidR="00EB086B" w14:paraId="7CF96186" w14:textId="77777777">
        <w:trPr>
          <w:jc w:val="center"/>
        </w:trPr>
        <w:tc>
          <w:tcPr>
            <w:tcW w:w="1728" w:type="dxa"/>
            <w:shd w:val="clear" w:color="auto" w:fill="D9EAF7"/>
          </w:tcPr>
          <w:p w14:paraId="1B75E308" w14:textId="77777777" w:rsidR="00EB086B" w:rsidRDefault="00000000">
            <w:r>
              <w:rPr>
                <w:b/>
                <w:sz w:val="18"/>
              </w:rPr>
              <w:t>WHO domain</w:t>
            </w:r>
          </w:p>
        </w:tc>
        <w:tc>
          <w:tcPr>
            <w:tcW w:w="3600" w:type="dxa"/>
            <w:shd w:val="clear" w:color="auto" w:fill="D9EAF7"/>
          </w:tcPr>
          <w:p w14:paraId="149363C1" w14:textId="77777777" w:rsidR="00EB086B" w:rsidRDefault="00000000">
            <w:r>
              <w:rPr>
                <w:b/>
                <w:sz w:val="18"/>
              </w:rPr>
              <w:t>Operational meaning in OPD assessment</w:t>
            </w:r>
          </w:p>
        </w:tc>
        <w:tc>
          <w:tcPr>
            <w:tcW w:w="3888" w:type="dxa"/>
            <w:shd w:val="clear" w:color="auto" w:fill="D9EAF7"/>
          </w:tcPr>
          <w:p w14:paraId="75669F47" w14:textId="77777777" w:rsidR="00EB086B" w:rsidRDefault="00000000">
            <w:r>
              <w:rPr>
                <w:b/>
                <w:sz w:val="18"/>
              </w:rPr>
              <w:t>Examples of likely items</w:t>
            </w:r>
          </w:p>
        </w:tc>
      </w:tr>
      <w:tr w:rsidR="00EB086B" w14:paraId="522AFDD6" w14:textId="77777777">
        <w:trPr>
          <w:jc w:val="center"/>
        </w:trPr>
        <w:tc>
          <w:tcPr>
            <w:tcW w:w="1728" w:type="dxa"/>
          </w:tcPr>
          <w:p w14:paraId="061F3FC1" w14:textId="77777777" w:rsidR="00EB086B" w:rsidRDefault="00000000">
            <w:r>
              <w:rPr>
                <w:sz w:val="18"/>
              </w:rPr>
              <w:t>Dignity</w:t>
            </w:r>
          </w:p>
        </w:tc>
        <w:tc>
          <w:tcPr>
            <w:tcW w:w="3600" w:type="dxa"/>
          </w:tcPr>
          <w:p w14:paraId="77DD7C24" w14:textId="77777777" w:rsidR="00EB086B" w:rsidRDefault="00000000">
            <w:r>
              <w:rPr>
                <w:sz w:val="18"/>
              </w:rPr>
              <w:t>Respectful and non-humiliating treatment of patients.</w:t>
            </w:r>
          </w:p>
        </w:tc>
        <w:tc>
          <w:tcPr>
            <w:tcW w:w="3888" w:type="dxa"/>
          </w:tcPr>
          <w:p w14:paraId="06F077A7" w14:textId="77777777" w:rsidR="00EB086B" w:rsidRDefault="00000000">
            <w:r>
              <w:rPr>
                <w:sz w:val="18"/>
              </w:rPr>
              <w:t>Polite staff behavior; respectful tone; no scolding or humiliation.</w:t>
            </w:r>
          </w:p>
        </w:tc>
      </w:tr>
      <w:tr w:rsidR="00EB086B" w14:paraId="2E09EBB6" w14:textId="77777777">
        <w:trPr>
          <w:jc w:val="center"/>
        </w:trPr>
        <w:tc>
          <w:tcPr>
            <w:tcW w:w="1728" w:type="dxa"/>
          </w:tcPr>
          <w:p w14:paraId="5658CF1C" w14:textId="77777777" w:rsidR="00EB086B" w:rsidRDefault="00000000">
            <w:r>
              <w:rPr>
                <w:sz w:val="18"/>
              </w:rPr>
              <w:t>Autonomy</w:t>
            </w:r>
          </w:p>
        </w:tc>
        <w:tc>
          <w:tcPr>
            <w:tcW w:w="3600" w:type="dxa"/>
          </w:tcPr>
          <w:p w14:paraId="280E533E" w14:textId="77777777" w:rsidR="00EB086B" w:rsidRDefault="00000000">
            <w:r>
              <w:rPr>
                <w:sz w:val="18"/>
              </w:rPr>
              <w:t>Involvement of patients in decisions affecting their care.</w:t>
            </w:r>
          </w:p>
        </w:tc>
        <w:tc>
          <w:tcPr>
            <w:tcW w:w="3888" w:type="dxa"/>
          </w:tcPr>
          <w:p w14:paraId="489C44D8" w14:textId="77777777" w:rsidR="00EB086B" w:rsidRDefault="00000000">
            <w:r>
              <w:rPr>
                <w:sz w:val="18"/>
              </w:rPr>
              <w:t>Consent; participation in decisions; explanation of risks and alternatives.</w:t>
            </w:r>
          </w:p>
        </w:tc>
      </w:tr>
      <w:tr w:rsidR="00EB086B" w14:paraId="18DB493F" w14:textId="77777777">
        <w:trPr>
          <w:jc w:val="center"/>
        </w:trPr>
        <w:tc>
          <w:tcPr>
            <w:tcW w:w="1728" w:type="dxa"/>
          </w:tcPr>
          <w:p w14:paraId="4DA46568" w14:textId="77777777" w:rsidR="00EB086B" w:rsidRDefault="00000000">
            <w:r>
              <w:rPr>
                <w:sz w:val="18"/>
              </w:rPr>
              <w:t>Confidentiality</w:t>
            </w:r>
          </w:p>
        </w:tc>
        <w:tc>
          <w:tcPr>
            <w:tcW w:w="3600" w:type="dxa"/>
          </w:tcPr>
          <w:p w14:paraId="36D31AC7" w14:textId="77777777" w:rsidR="00EB086B" w:rsidRDefault="00000000">
            <w:r>
              <w:rPr>
                <w:sz w:val="18"/>
              </w:rPr>
              <w:t>Protection of privacy and personal health information.</w:t>
            </w:r>
          </w:p>
        </w:tc>
        <w:tc>
          <w:tcPr>
            <w:tcW w:w="3888" w:type="dxa"/>
          </w:tcPr>
          <w:p w14:paraId="5BB70F85" w14:textId="77777777" w:rsidR="00EB086B" w:rsidRDefault="00000000">
            <w:r>
              <w:rPr>
                <w:sz w:val="18"/>
              </w:rPr>
              <w:t>Private consultation; discreet communication; safe handling of records.</w:t>
            </w:r>
          </w:p>
        </w:tc>
      </w:tr>
      <w:tr w:rsidR="00EB086B" w14:paraId="373ADBBA" w14:textId="77777777">
        <w:trPr>
          <w:jc w:val="center"/>
        </w:trPr>
        <w:tc>
          <w:tcPr>
            <w:tcW w:w="1728" w:type="dxa"/>
          </w:tcPr>
          <w:p w14:paraId="2F95A6E4" w14:textId="77777777" w:rsidR="00EB086B" w:rsidRDefault="00000000">
            <w:r>
              <w:rPr>
                <w:sz w:val="18"/>
              </w:rPr>
              <w:t>Communication</w:t>
            </w:r>
          </w:p>
        </w:tc>
        <w:tc>
          <w:tcPr>
            <w:tcW w:w="3600" w:type="dxa"/>
          </w:tcPr>
          <w:p w14:paraId="1B304ABA" w14:textId="77777777" w:rsidR="00EB086B" w:rsidRDefault="00000000">
            <w:r>
              <w:rPr>
                <w:sz w:val="18"/>
              </w:rPr>
              <w:t>Clear, understandable, and sufficient information exchange.</w:t>
            </w:r>
          </w:p>
        </w:tc>
        <w:tc>
          <w:tcPr>
            <w:tcW w:w="3888" w:type="dxa"/>
          </w:tcPr>
          <w:p w14:paraId="26AF8981" w14:textId="77777777" w:rsidR="00EB086B" w:rsidRDefault="00000000">
            <w:r>
              <w:rPr>
                <w:sz w:val="18"/>
              </w:rPr>
              <w:t>Diagnosis and treatment explanation; opportunity to ask questions; follow-up instructions.</w:t>
            </w:r>
          </w:p>
        </w:tc>
      </w:tr>
      <w:tr w:rsidR="00EB086B" w14:paraId="56F57A92" w14:textId="77777777">
        <w:trPr>
          <w:jc w:val="center"/>
        </w:trPr>
        <w:tc>
          <w:tcPr>
            <w:tcW w:w="1728" w:type="dxa"/>
          </w:tcPr>
          <w:p w14:paraId="680C3B72" w14:textId="77777777" w:rsidR="00EB086B" w:rsidRDefault="00000000">
            <w:r>
              <w:rPr>
                <w:sz w:val="18"/>
              </w:rPr>
              <w:t>Prompt attention</w:t>
            </w:r>
          </w:p>
        </w:tc>
        <w:tc>
          <w:tcPr>
            <w:tcW w:w="3600" w:type="dxa"/>
          </w:tcPr>
          <w:p w14:paraId="38516C31" w14:textId="77777777" w:rsidR="00EB086B" w:rsidRDefault="00000000">
            <w:r>
              <w:rPr>
                <w:sz w:val="18"/>
              </w:rPr>
              <w:t>Timeliness of care and avoidance of unnecessary delay.</w:t>
            </w:r>
          </w:p>
        </w:tc>
        <w:tc>
          <w:tcPr>
            <w:tcW w:w="3888" w:type="dxa"/>
          </w:tcPr>
          <w:p w14:paraId="26B05D3B" w14:textId="77777777" w:rsidR="00EB086B" w:rsidRDefault="00000000">
            <w:r>
              <w:rPr>
                <w:sz w:val="18"/>
              </w:rPr>
              <w:t>Waiting time; speed of registration; timely consultation and pharmacy service.</w:t>
            </w:r>
          </w:p>
        </w:tc>
      </w:tr>
      <w:tr w:rsidR="00EB086B" w14:paraId="7932A952" w14:textId="77777777">
        <w:trPr>
          <w:jc w:val="center"/>
        </w:trPr>
        <w:tc>
          <w:tcPr>
            <w:tcW w:w="1728" w:type="dxa"/>
          </w:tcPr>
          <w:p w14:paraId="226C2096" w14:textId="77777777" w:rsidR="00EB086B" w:rsidRDefault="00000000">
            <w:r>
              <w:rPr>
                <w:sz w:val="18"/>
              </w:rPr>
              <w:t>Basic amenities</w:t>
            </w:r>
          </w:p>
        </w:tc>
        <w:tc>
          <w:tcPr>
            <w:tcW w:w="3600" w:type="dxa"/>
          </w:tcPr>
          <w:p w14:paraId="292AE366" w14:textId="77777777" w:rsidR="00EB086B" w:rsidRDefault="00000000">
            <w:r>
              <w:rPr>
                <w:sz w:val="18"/>
              </w:rPr>
              <w:t>Clean, safe, and comfortable physical environment.</w:t>
            </w:r>
          </w:p>
        </w:tc>
        <w:tc>
          <w:tcPr>
            <w:tcW w:w="3888" w:type="dxa"/>
          </w:tcPr>
          <w:p w14:paraId="6D628FC7" w14:textId="77777777" w:rsidR="00EB086B" w:rsidRDefault="00000000">
            <w:r>
              <w:rPr>
                <w:sz w:val="18"/>
              </w:rPr>
              <w:t>Seating; toilets; cleanliness; ventilation; drinking water; signage; parking.</w:t>
            </w:r>
          </w:p>
        </w:tc>
      </w:tr>
      <w:tr w:rsidR="00EB086B" w14:paraId="0CF40BBC" w14:textId="77777777">
        <w:trPr>
          <w:jc w:val="center"/>
        </w:trPr>
        <w:tc>
          <w:tcPr>
            <w:tcW w:w="1728" w:type="dxa"/>
          </w:tcPr>
          <w:p w14:paraId="27969B83" w14:textId="77777777" w:rsidR="00EB086B" w:rsidRDefault="00000000">
            <w:r>
              <w:rPr>
                <w:sz w:val="18"/>
              </w:rPr>
              <w:t>Social support</w:t>
            </w:r>
          </w:p>
        </w:tc>
        <w:tc>
          <w:tcPr>
            <w:tcW w:w="3600" w:type="dxa"/>
          </w:tcPr>
          <w:p w14:paraId="57D8B9A5" w14:textId="77777777" w:rsidR="00EB086B" w:rsidRDefault="00000000">
            <w:r>
              <w:rPr>
                <w:sz w:val="18"/>
              </w:rPr>
              <w:t>Ability to receive assistance from family or companions when appropriate.</w:t>
            </w:r>
          </w:p>
        </w:tc>
        <w:tc>
          <w:tcPr>
            <w:tcW w:w="3888" w:type="dxa"/>
          </w:tcPr>
          <w:p w14:paraId="3056CC9A" w14:textId="77777777" w:rsidR="00EB086B" w:rsidRDefault="00000000">
            <w:r>
              <w:rPr>
                <w:sz w:val="18"/>
              </w:rPr>
              <w:t>Companion support for elderly, disabled, anxious, or language-limited patients.</w:t>
            </w:r>
          </w:p>
        </w:tc>
      </w:tr>
      <w:tr w:rsidR="00EB086B" w14:paraId="05760A65" w14:textId="77777777">
        <w:trPr>
          <w:jc w:val="center"/>
        </w:trPr>
        <w:tc>
          <w:tcPr>
            <w:tcW w:w="1728" w:type="dxa"/>
          </w:tcPr>
          <w:p w14:paraId="0972F255" w14:textId="77777777" w:rsidR="00EB086B" w:rsidRDefault="00000000">
            <w:r>
              <w:rPr>
                <w:sz w:val="18"/>
              </w:rPr>
              <w:t>Choice of provider</w:t>
            </w:r>
          </w:p>
        </w:tc>
        <w:tc>
          <w:tcPr>
            <w:tcW w:w="3600" w:type="dxa"/>
          </w:tcPr>
          <w:p w14:paraId="19C761DA" w14:textId="77777777" w:rsidR="00EB086B" w:rsidRDefault="00000000">
            <w:r>
              <w:rPr>
                <w:sz w:val="18"/>
              </w:rPr>
              <w:t>Patient ability to influence or understand provider allocation.</w:t>
            </w:r>
          </w:p>
        </w:tc>
        <w:tc>
          <w:tcPr>
            <w:tcW w:w="3888" w:type="dxa"/>
          </w:tcPr>
          <w:p w14:paraId="110199CD" w14:textId="77777777" w:rsidR="00EB086B" w:rsidRDefault="00000000">
            <w:r>
              <w:rPr>
                <w:sz w:val="18"/>
              </w:rPr>
              <w:t>Choice or continuity of doctor; clarity about who will see the patient.</w:t>
            </w:r>
          </w:p>
        </w:tc>
      </w:tr>
    </w:tbl>
    <w:p w14:paraId="1C796BA8" w14:textId="77777777" w:rsidR="00EB086B" w:rsidRDefault="00EB086B"/>
    <w:p w14:paraId="7923D0E3" w14:textId="77777777" w:rsidR="00EB086B" w:rsidRDefault="00000000">
      <w:pPr>
        <w:pStyle w:val="Heading2"/>
      </w:pPr>
      <w:r>
        <w:rPr>
          <w:rFonts w:ascii="Times New Roman" w:hAnsi="Times New Roman"/>
        </w:rPr>
        <w:lastRenderedPageBreak/>
        <w:t>Scoring and interpretation</w:t>
      </w:r>
    </w:p>
    <w:p w14:paraId="6E1191E4" w14:textId="77777777" w:rsidR="00EB086B" w:rsidRDefault="00000000">
      <w:pPr>
        <w:jc w:val="both"/>
      </w:pPr>
      <w:r>
        <w:rPr>
          <w:sz w:val="24"/>
        </w:rPr>
        <w:t>Responses were recorded on a five-point Likert scale and converted into percentage scores for each domain. The conversion of Likert responses into percentage scores allows easier interpretation by managers and enables comparison across domains. A higher score indicates better perceived responsiveness. The revised analysis uses a pragmatic interpretation framework: scores of 80 and above are interpreted as strong, scores from 70 to 79 as moderate, and scores below 70 as weak. This threshold is not presented as a universal WHO cut-off; rather, it is used as a practical quality-improvement benchmark for local interpretation.</w:t>
      </w:r>
    </w:p>
    <w:p w14:paraId="3316DA94" w14:textId="77777777" w:rsidR="00EB086B" w:rsidRDefault="00000000">
      <w:pPr>
        <w:jc w:val="both"/>
      </w:pPr>
      <w:r>
        <w:rPr>
          <w:sz w:val="24"/>
        </w:rPr>
        <w:t>The analysis also calculated the gap between each domain score and a benchmark of 80. This benchmark-gap method is useful for identifying domains that require priority attention. A domain scoring 65 has a 15-point gap from the benchmark, while a domain scoring 73 has a 7-point gap. This makes the results more actionable than ranking alone. The domains were further grouped into two categories: interpersonal or respect-related dimensions, and service-organization or environment-related dimensions. This grouping helps identify whether weaknesses are mainly related to staff-patient interaction or to system design.</w:t>
      </w:r>
    </w:p>
    <w:p w14:paraId="0ECC3842" w14:textId="77777777" w:rsidR="00EB086B" w:rsidRDefault="00000000">
      <w:pPr>
        <w:pStyle w:val="Caption"/>
      </w:pPr>
      <w:r>
        <w:rPr>
          <w:sz w:val="24"/>
        </w:rPr>
        <w:t>Table 3. Interpretation framework used for domain scores</w:t>
      </w:r>
    </w:p>
    <w:tbl>
      <w:tblPr>
        <w:tblStyle w:val="TableGrid"/>
        <w:tblW w:w="0" w:type="auto"/>
        <w:jc w:val="center"/>
        <w:tblLook w:val="04A0" w:firstRow="1" w:lastRow="0" w:firstColumn="1" w:lastColumn="0" w:noHBand="0" w:noVBand="1"/>
      </w:tblPr>
      <w:tblGrid>
        <w:gridCol w:w="1872"/>
        <w:gridCol w:w="2304"/>
        <w:gridCol w:w="5040"/>
      </w:tblGrid>
      <w:tr w:rsidR="00EB086B" w14:paraId="71CD8E99" w14:textId="77777777">
        <w:trPr>
          <w:jc w:val="center"/>
        </w:trPr>
        <w:tc>
          <w:tcPr>
            <w:tcW w:w="1872" w:type="dxa"/>
            <w:shd w:val="clear" w:color="auto" w:fill="D9EAF7"/>
          </w:tcPr>
          <w:p w14:paraId="4B97034F" w14:textId="77777777" w:rsidR="00EB086B" w:rsidRDefault="00000000">
            <w:r>
              <w:rPr>
                <w:b/>
                <w:sz w:val="18"/>
              </w:rPr>
              <w:t>Score range</w:t>
            </w:r>
          </w:p>
        </w:tc>
        <w:tc>
          <w:tcPr>
            <w:tcW w:w="2304" w:type="dxa"/>
            <w:shd w:val="clear" w:color="auto" w:fill="D9EAF7"/>
          </w:tcPr>
          <w:p w14:paraId="7B66C48A" w14:textId="77777777" w:rsidR="00EB086B" w:rsidRDefault="00000000">
            <w:r>
              <w:rPr>
                <w:b/>
                <w:sz w:val="18"/>
              </w:rPr>
              <w:t>Interpretation</w:t>
            </w:r>
          </w:p>
        </w:tc>
        <w:tc>
          <w:tcPr>
            <w:tcW w:w="5040" w:type="dxa"/>
            <w:shd w:val="clear" w:color="auto" w:fill="D9EAF7"/>
          </w:tcPr>
          <w:p w14:paraId="308ECFFB" w14:textId="77777777" w:rsidR="00EB086B" w:rsidRDefault="00000000">
            <w:r>
              <w:rPr>
                <w:b/>
                <w:sz w:val="18"/>
              </w:rPr>
              <w:t>Management implication</w:t>
            </w:r>
          </w:p>
        </w:tc>
      </w:tr>
      <w:tr w:rsidR="00EB086B" w14:paraId="22737E6B" w14:textId="77777777">
        <w:trPr>
          <w:jc w:val="center"/>
        </w:trPr>
        <w:tc>
          <w:tcPr>
            <w:tcW w:w="1872" w:type="dxa"/>
          </w:tcPr>
          <w:p w14:paraId="75E4692F" w14:textId="77777777" w:rsidR="00EB086B" w:rsidRDefault="00000000">
            <w:r>
              <w:rPr>
                <w:sz w:val="18"/>
              </w:rPr>
              <w:t>&gt;=80</w:t>
            </w:r>
          </w:p>
        </w:tc>
        <w:tc>
          <w:tcPr>
            <w:tcW w:w="2304" w:type="dxa"/>
          </w:tcPr>
          <w:p w14:paraId="56A4159A" w14:textId="77777777" w:rsidR="00EB086B" w:rsidRDefault="00000000">
            <w:r>
              <w:rPr>
                <w:sz w:val="18"/>
              </w:rPr>
              <w:t>Strong</w:t>
            </w:r>
          </w:p>
        </w:tc>
        <w:tc>
          <w:tcPr>
            <w:tcW w:w="5040" w:type="dxa"/>
          </w:tcPr>
          <w:p w14:paraId="6FDD9394" w14:textId="77777777" w:rsidR="00EB086B" w:rsidRDefault="00000000">
            <w:r>
              <w:rPr>
                <w:sz w:val="18"/>
              </w:rPr>
              <w:t>Maintain performance; institutionalize good practices; monitor periodically.</w:t>
            </w:r>
          </w:p>
        </w:tc>
      </w:tr>
      <w:tr w:rsidR="00EB086B" w14:paraId="51837B19" w14:textId="77777777">
        <w:trPr>
          <w:jc w:val="center"/>
        </w:trPr>
        <w:tc>
          <w:tcPr>
            <w:tcW w:w="1872" w:type="dxa"/>
          </w:tcPr>
          <w:p w14:paraId="43C586B1" w14:textId="77777777" w:rsidR="00EB086B" w:rsidRDefault="00000000">
            <w:r>
              <w:rPr>
                <w:sz w:val="18"/>
              </w:rPr>
              <w:t>70-79</w:t>
            </w:r>
          </w:p>
        </w:tc>
        <w:tc>
          <w:tcPr>
            <w:tcW w:w="2304" w:type="dxa"/>
          </w:tcPr>
          <w:p w14:paraId="0BCD1A82" w14:textId="77777777" w:rsidR="00EB086B" w:rsidRDefault="00000000">
            <w:r>
              <w:rPr>
                <w:sz w:val="18"/>
              </w:rPr>
              <w:t>Moderate</w:t>
            </w:r>
          </w:p>
        </w:tc>
        <w:tc>
          <w:tcPr>
            <w:tcW w:w="5040" w:type="dxa"/>
          </w:tcPr>
          <w:p w14:paraId="567E9769" w14:textId="77777777" w:rsidR="00EB086B" w:rsidRDefault="00000000">
            <w:r>
              <w:rPr>
                <w:sz w:val="18"/>
              </w:rPr>
              <w:t>Acceptable but improvable; identify item-level weaknesses and implement targeted corrections.</w:t>
            </w:r>
          </w:p>
        </w:tc>
      </w:tr>
      <w:tr w:rsidR="00EB086B" w14:paraId="4B6A833F" w14:textId="77777777">
        <w:trPr>
          <w:jc w:val="center"/>
        </w:trPr>
        <w:tc>
          <w:tcPr>
            <w:tcW w:w="1872" w:type="dxa"/>
          </w:tcPr>
          <w:p w14:paraId="3C1653C3" w14:textId="77777777" w:rsidR="00EB086B" w:rsidRDefault="00000000">
            <w:r>
              <w:rPr>
                <w:sz w:val="18"/>
              </w:rPr>
              <w:t>&lt;70</w:t>
            </w:r>
          </w:p>
        </w:tc>
        <w:tc>
          <w:tcPr>
            <w:tcW w:w="2304" w:type="dxa"/>
          </w:tcPr>
          <w:p w14:paraId="3F9825F9" w14:textId="77777777" w:rsidR="00EB086B" w:rsidRDefault="00000000">
            <w:r>
              <w:rPr>
                <w:sz w:val="18"/>
              </w:rPr>
              <w:t>Weak</w:t>
            </w:r>
          </w:p>
        </w:tc>
        <w:tc>
          <w:tcPr>
            <w:tcW w:w="5040" w:type="dxa"/>
          </w:tcPr>
          <w:p w14:paraId="4AF59BE5" w14:textId="77777777" w:rsidR="00EB086B" w:rsidRDefault="00000000">
            <w:r>
              <w:rPr>
                <w:sz w:val="18"/>
              </w:rPr>
              <w:t>Priority for quality improvement; conduct root-cause analysis and monitor corrective action.</w:t>
            </w:r>
          </w:p>
        </w:tc>
      </w:tr>
    </w:tbl>
    <w:p w14:paraId="5039E6AC" w14:textId="77777777" w:rsidR="00EB086B" w:rsidRDefault="00EB086B"/>
    <w:p w14:paraId="585325B5" w14:textId="77777777" w:rsidR="00EB086B" w:rsidRDefault="00000000">
      <w:pPr>
        <w:pStyle w:val="Heading2"/>
      </w:pPr>
      <w:r>
        <w:rPr>
          <w:rFonts w:ascii="Times New Roman" w:hAnsi="Times New Roman"/>
        </w:rPr>
        <w:t>Data analysis</w:t>
      </w:r>
    </w:p>
    <w:p w14:paraId="08DA66B3" w14:textId="77777777" w:rsidR="00EB086B" w:rsidRDefault="00000000">
      <w:pPr>
        <w:jc w:val="both"/>
      </w:pPr>
      <w:r>
        <w:rPr>
          <w:sz w:val="24"/>
        </w:rPr>
        <w:t>The data available for manuscript preparation were aggregate domain scores. Therefore, the analysis was limited to descriptive interpretation. Domain scores were tabulated, ranked from highest to lowest, classified by interpretation category, and compared against the 80% benchmark. Improvement gaps were calculated as 80 minus the observed domain score for domains below the benchmark. Domains above the benchmark were considered strengths. The average score across the eight domains was also calculated to summarize overall responsiveness, but interpretation emphasized the domain profile rather than the overall average because high interpersonal scores can mask operational weaknesses.</w:t>
      </w:r>
    </w:p>
    <w:p w14:paraId="3DA2A19E" w14:textId="77777777" w:rsidR="00EB086B" w:rsidRDefault="00000000">
      <w:pPr>
        <w:jc w:val="both"/>
      </w:pPr>
      <w:r>
        <w:rPr>
          <w:sz w:val="24"/>
        </w:rPr>
        <w:t>Because individual-level responses were not available, it was not possible to calculate confidence intervals, Cronbach’s alpha, item-total correlations, factor structure, or subgroup differences by age, sex, education, visit type, or time of visit. No inferential statistical tests were conducted. This limitation is explicitly reported to avoid overinterpretation. If patient-level data are available later, the analysis can be expanded to include reliability testing, subgroup comparison, and regression analysis to identify predictors of poor responsiveness.</w:t>
      </w:r>
    </w:p>
    <w:p w14:paraId="231EF3E8" w14:textId="77777777" w:rsidR="00EB086B" w:rsidRDefault="00000000">
      <w:pPr>
        <w:pStyle w:val="Heading2"/>
      </w:pPr>
      <w:r>
        <w:rPr>
          <w:rFonts w:ascii="Times New Roman" w:hAnsi="Times New Roman"/>
        </w:rPr>
        <w:t>Ethical considerations</w:t>
      </w:r>
    </w:p>
    <w:p w14:paraId="757FC606" w14:textId="77777777" w:rsidR="00EB086B" w:rsidRDefault="00000000">
      <w:pPr>
        <w:jc w:val="both"/>
      </w:pPr>
      <w:r>
        <w:rPr>
          <w:sz w:val="24"/>
        </w:rPr>
        <w:t xml:space="preserve">Patient-experience research must protect voluntariness and confidentiality. Participants should be informed that participation is voluntary, that refusal will not affect care, and that no identifying information will be reported. Interviews should be conducted in a way that does not disrupt clinical care </w:t>
      </w:r>
      <w:r>
        <w:rPr>
          <w:sz w:val="24"/>
        </w:rPr>
        <w:lastRenderedPageBreak/>
        <w:t>or pressure patients to provide favourable responses. The final manuscript should include the exact ethics approval mechanism, such as institutional ethics committee approval, administrative permission, or audit exemption. Because the uploaded draft did not provide an approval number, this item is left for author verification (World Medical Association, 2013).</w:t>
      </w:r>
    </w:p>
    <w:p w14:paraId="41DCBD9B" w14:textId="77777777" w:rsidR="00EB086B" w:rsidRDefault="00000000">
      <w:pPr>
        <w:pStyle w:val="Heading1"/>
      </w:pPr>
      <w:r>
        <w:rPr>
          <w:rFonts w:ascii="Times New Roman" w:hAnsi="Times New Roman"/>
          <w:sz w:val="24"/>
        </w:rPr>
        <w:t>Results</w:t>
      </w:r>
    </w:p>
    <w:p w14:paraId="4C62ACAA" w14:textId="77777777" w:rsidR="00EB086B" w:rsidRDefault="00000000">
      <w:pPr>
        <w:pStyle w:val="Heading2"/>
      </w:pPr>
      <w:r>
        <w:rPr>
          <w:rFonts w:ascii="Times New Roman" w:hAnsi="Times New Roman"/>
        </w:rPr>
        <w:t>Overall responsiveness profile</w:t>
      </w:r>
    </w:p>
    <w:p w14:paraId="0086C8EF" w14:textId="77777777" w:rsidR="00EB086B" w:rsidRDefault="00000000">
      <w:pPr>
        <w:jc w:val="both"/>
      </w:pPr>
      <w:r>
        <w:rPr>
          <w:sz w:val="24"/>
        </w:rPr>
        <w:t>The overall pattern shows that OPD responsiveness at Base Hospital Sammanthurai was good, with a mean domain score of 75.9 across the eight WHO domains. However, the domain profile was uneven. Four domains scored above the pragmatic benchmark of 80, while four domains scored below it. This indicates that the OPD performs well in several areas but still has clear improvement needs. The highest scores were observed in confidentiality, dignity, communication, and autonomy. The lowest scores were observed in prompt attention and choice of provider (World Health Organization, 2000; Valentine et al., 2003).</w:t>
      </w:r>
    </w:p>
    <w:p w14:paraId="4DD71DC3" w14:textId="77777777" w:rsidR="00EB086B" w:rsidRDefault="00000000">
      <w:pPr>
        <w:jc w:val="both"/>
      </w:pPr>
      <w:r>
        <w:rPr>
          <w:sz w:val="24"/>
        </w:rPr>
        <w:t>The difference between the highest and lowest domain scores was 23 points, from 88 for confidentiality to 65 for prompt attention and choice of provider. This range is important because it shows that the service cannot be described by the overall average alone. Patients appear to experience respectful and confidential interpersonal care, but they also experience operational constraints, especially waiting and limited provider choice.</w:t>
      </w:r>
    </w:p>
    <w:p w14:paraId="509DB0BC" w14:textId="77777777" w:rsidR="00EB086B" w:rsidRDefault="00000000">
      <w:pPr>
        <w:pStyle w:val="Caption"/>
      </w:pPr>
      <w:r>
        <w:rPr>
          <w:sz w:val="24"/>
        </w:rPr>
        <w:t>Table 4. WHO responsiveness domain scores and ranking</w:t>
      </w:r>
    </w:p>
    <w:tbl>
      <w:tblPr>
        <w:tblStyle w:val="TableGrid"/>
        <w:tblW w:w="0" w:type="auto"/>
        <w:jc w:val="center"/>
        <w:tblLook w:val="04A0" w:firstRow="1" w:lastRow="0" w:firstColumn="1" w:lastColumn="0" w:noHBand="0" w:noVBand="1"/>
      </w:tblPr>
      <w:tblGrid>
        <w:gridCol w:w="2160"/>
        <w:gridCol w:w="1008"/>
        <w:gridCol w:w="1440"/>
        <w:gridCol w:w="720"/>
        <w:gridCol w:w="2880"/>
      </w:tblGrid>
      <w:tr w:rsidR="00EB086B" w14:paraId="01FF8454" w14:textId="77777777">
        <w:trPr>
          <w:jc w:val="center"/>
        </w:trPr>
        <w:tc>
          <w:tcPr>
            <w:tcW w:w="2160" w:type="dxa"/>
            <w:shd w:val="clear" w:color="auto" w:fill="D9EAF7"/>
          </w:tcPr>
          <w:p w14:paraId="4C91FB01" w14:textId="77777777" w:rsidR="00EB086B" w:rsidRDefault="00000000">
            <w:r>
              <w:rPr>
                <w:b/>
                <w:sz w:val="18"/>
              </w:rPr>
              <w:t>Domain</w:t>
            </w:r>
          </w:p>
        </w:tc>
        <w:tc>
          <w:tcPr>
            <w:tcW w:w="1008" w:type="dxa"/>
            <w:shd w:val="clear" w:color="auto" w:fill="D9EAF7"/>
          </w:tcPr>
          <w:p w14:paraId="175745FC" w14:textId="77777777" w:rsidR="00EB086B" w:rsidRDefault="00000000">
            <w:r>
              <w:rPr>
                <w:b/>
                <w:sz w:val="18"/>
              </w:rPr>
              <w:t>Score</w:t>
            </w:r>
          </w:p>
        </w:tc>
        <w:tc>
          <w:tcPr>
            <w:tcW w:w="1440" w:type="dxa"/>
            <w:shd w:val="clear" w:color="auto" w:fill="D9EAF7"/>
          </w:tcPr>
          <w:p w14:paraId="0A248840" w14:textId="77777777" w:rsidR="00EB086B" w:rsidRDefault="00000000">
            <w:r>
              <w:rPr>
                <w:b/>
                <w:sz w:val="18"/>
              </w:rPr>
              <w:t>Interpretation</w:t>
            </w:r>
          </w:p>
        </w:tc>
        <w:tc>
          <w:tcPr>
            <w:tcW w:w="720" w:type="dxa"/>
            <w:shd w:val="clear" w:color="auto" w:fill="D9EAF7"/>
          </w:tcPr>
          <w:p w14:paraId="368BBF77" w14:textId="77777777" w:rsidR="00EB086B" w:rsidRDefault="00000000">
            <w:r>
              <w:rPr>
                <w:b/>
                <w:sz w:val="18"/>
              </w:rPr>
              <w:t>Rank</w:t>
            </w:r>
          </w:p>
        </w:tc>
        <w:tc>
          <w:tcPr>
            <w:tcW w:w="2880" w:type="dxa"/>
            <w:shd w:val="clear" w:color="auto" w:fill="D9EAF7"/>
          </w:tcPr>
          <w:p w14:paraId="2A3D0542" w14:textId="77777777" w:rsidR="00EB086B" w:rsidRDefault="00000000">
            <w:r>
              <w:rPr>
                <w:b/>
                <w:sz w:val="18"/>
              </w:rPr>
              <w:t>Main dimension</w:t>
            </w:r>
          </w:p>
        </w:tc>
      </w:tr>
      <w:tr w:rsidR="00EB086B" w14:paraId="6591E347" w14:textId="77777777">
        <w:trPr>
          <w:jc w:val="center"/>
        </w:trPr>
        <w:tc>
          <w:tcPr>
            <w:tcW w:w="2160" w:type="dxa"/>
          </w:tcPr>
          <w:p w14:paraId="42844BB4" w14:textId="77777777" w:rsidR="00EB086B" w:rsidRDefault="00000000">
            <w:r>
              <w:rPr>
                <w:sz w:val="18"/>
              </w:rPr>
              <w:t>Confidentiality</w:t>
            </w:r>
          </w:p>
        </w:tc>
        <w:tc>
          <w:tcPr>
            <w:tcW w:w="1008" w:type="dxa"/>
          </w:tcPr>
          <w:p w14:paraId="68591347" w14:textId="77777777" w:rsidR="00EB086B" w:rsidRDefault="00000000">
            <w:r>
              <w:rPr>
                <w:sz w:val="18"/>
              </w:rPr>
              <w:t>88</w:t>
            </w:r>
          </w:p>
        </w:tc>
        <w:tc>
          <w:tcPr>
            <w:tcW w:w="1440" w:type="dxa"/>
          </w:tcPr>
          <w:p w14:paraId="3C45884C" w14:textId="77777777" w:rsidR="00EB086B" w:rsidRDefault="00000000">
            <w:r>
              <w:rPr>
                <w:sz w:val="18"/>
              </w:rPr>
              <w:t>Strong</w:t>
            </w:r>
          </w:p>
        </w:tc>
        <w:tc>
          <w:tcPr>
            <w:tcW w:w="720" w:type="dxa"/>
          </w:tcPr>
          <w:p w14:paraId="528AAEF7" w14:textId="77777777" w:rsidR="00EB086B" w:rsidRDefault="00000000">
            <w:r>
              <w:rPr>
                <w:sz w:val="18"/>
              </w:rPr>
              <w:t>1</w:t>
            </w:r>
          </w:p>
        </w:tc>
        <w:tc>
          <w:tcPr>
            <w:tcW w:w="2880" w:type="dxa"/>
          </w:tcPr>
          <w:p w14:paraId="2D670E07" w14:textId="77777777" w:rsidR="00EB086B" w:rsidRDefault="00000000">
            <w:r>
              <w:rPr>
                <w:sz w:val="18"/>
              </w:rPr>
              <w:t>Interpersonal/ethical</w:t>
            </w:r>
          </w:p>
        </w:tc>
      </w:tr>
      <w:tr w:rsidR="00EB086B" w14:paraId="5AE6DA12" w14:textId="77777777">
        <w:trPr>
          <w:jc w:val="center"/>
        </w:trPr>
        <w:tc>
          <w:tcPr>
            <w:tcW w:w="2160" w:type="dxa"/>
          </w:tcPr>
          <w:p w14:paraId="28C91899" w14:textId="77777777" w:rsidR="00EB086B" w:rsidRDefault="00000000">
            <w:r>
              <w:rPr>
                <w:sz w:val="18"/>
              </w:rPr>
              <w:t>Dignity</w:t>
            </w:r>
          </w:p>
        </w:tc>
        <w:tc>
          <w:tcPr>
            <w:tcW w:w="1008" w:type="dxa"/>
          </w:tcPr>
          <w:p w14:paraId="45C17E72" w14:textId="77777777" w:rsidR="00EB086B" w:rsidRDefault="00000000">
            <w:r>
              <w:rPr>
                <w:sz w:val="18"/>
              </w:rPr>
              <w:t>85</w:t>
            </w:r>
          </w:p>
        </w:tc>
        <w:tc>
          <w:tcPr>
            <w:tcW w:w="1440" w:type="dxa"/>
          </w:tcPr>
          <w:p w14:paraId="2B1CC597" w14:textId="77777777" w:rsidR="00EB086B" w:rsidRDefault="00000000">
            <w:r>
              <w:rPr>
                <w:sz w:val="18"/>
              </w:rPr>
              <w:t>Strong</w:t>
            </w:r>
          </w:p>
        </w:tc>
        <w:tc>
          <w:tcPr>
            <w:tcW w:w="720" w:type="dxa"/>
          </w:tcPr>
          <w:p w14:paraId="09D4F419" w14:textId="77777777" w:rsidR="00EB086B" w:rsidRDefault="00000000">
            <w:r>
              <w:rPr>
                <w:sz w:val="18"/>
              </w:rPr>
              <w:t>2</w:t>
            </w:r>
          </w:p>
        </w:tc>
        <w:tc>
          <w:tcPr>
            <w:tcW w:w="2880" w:type="dxa"/>
          </w:tcPr>
          <w:p w14:paraId="49A50613" w14:textId="77777777" w:rsidR="00EB086B" w:rsidRDefault="00000000">
            <w:r>
              <w:rPr>
                <w:sz w:val="18"/>
              </w:rPr>
              <w:t>Interpersonal/ethical</w:t>
            </w:r>
          </w:p>
        </w:tc>
      </w:tr>
      <w:tr w:rsidR="00EB086B" w14:paraId="03788D0F" w14:textId="77777777">
        <w:trPr>
          <w:jc w:val="center"/>
        </w:trPr>
        <w:tc>
          <w:tcPr>
            <w:tcW w:w="2160" w:type="dxa"/>
          </w:tcPr>
          <w:p w14:paraId="6548D634" w14:textId="77777777" w:rsidR="00EB086B" w:rsidRDefault="00000000">
            <w:r>
              <w:rPr>
                <w:sz w:val="18"/>
              </w:rPr>
              <w:t>Communication</w:t>
            </w:r>
          </w:p>
        </w:tc>
        <w:tc>
          <w:tcPr>
            <w:tcW w:w="1008" w:type="dxa"/>
          </w:tcPr>
          <w:p w14:paraId="364E77C9" w14:textId="77777777" w:rsidR="00EB086B" w:rsidRDefault="00000000">
            <w:r>
              <w:rPr>
                <w:sz w:val="18"/>
              </w:rPr>
              <w:t>84</w:t>
            </w:r>
          </w:p>
        </w:tc>
        <w:tc>
          <w:tcPr>
            <w:tcW w:w="1440" w:type="dxa"/>
          </w:tcPr>
          <w:p w14:paraId="7B562D43" w14:textId="77777777" w:rsidR="00EB086B" w:rsidRDefault="00000000">
            <w:r>
              <w:rPr>
                <w:sz w:val="18"/>
              </w:rPr>
              <w:t>Strong</w:t>
            </w:r>
          </w:p>
        </w:tc>
        <w:tc>
          <w:tcPr>
            <w:tcW w:w="720" w:type="dxa"/>
          </w:tcPr>
          <w:p w14:paraId="34135BFA" w14:textId="77777777" w:rsidR="00EB086B" w:rsidRDefault="00000000">
            <w:r>
              <w:rPr>
                <w:sz w:val="18"/>
              </w:rPr>
              <w:t>3</w:t>
            </w:r>
          </w:p>
        </w:tc>
        <w:tc>
          <w:tcPr>
            <w:tcW w:w="2880" w:type="dxa"/>
          </w:tcPr>
          <w:p w14:paraId="65BC4A3A" w14:textId="77777777" w:rsidR="00EB086B" w:rsidRDefault="00000000">
            <w:r>
              <w:rPr>
                <w:sz w:val="18"/>
              </w:rPr>
              <w:t>Interpersonal/process</w:t>
            </w:r>
          </w:p>
        </w:tc>
      </w:tr>
      <w:tr w:rsidR="00EB086B" w14:paraId="5DE5FD56" w14:textId="77777777">
        <w:trPr>
          <w:jc w:val="center"/>
        </w:trPr>
        <w:tc>
          <w:tcPr>
            <w:tcW w:w="2160" w:type="dxa"/>
          </w:tcPr>
          <w:p w14:paraId="42C820D6" w14:textId="77777777" w:rsidR="00EB086B" w:rsidRDefault="00000000">
            <w:r>
              <w:rPr>
                <w:sz w:val="18"/>
              </w:rPr>
              <w:t>Autonomy</w:t>
            </w:r>
          </w:p>
        </w:tc>
        <w:tc>
          <w:tcPr>
            <w:tcW w:w="1008" w:type="dxa"/>
          </w:tcPr>
          <w:p w14:paraId="12A087EA" w14:textId="77777777" w:rsidR="00EB086B" w:rsidRDefault="00000000">
            <w:r>
              <w:rPr>
                <w:sz w:val="18"/>
              </w:rPr>
              <w:t>83</w:t>
            </w:r>
          </w:p>
        </w:tc>
        <w:tc>
          <w:tcPr>
            <w:tcW w:w="1440" w:type="dxa"/>
          </w:tcPr>
          <w:p w14:paraId="338ACB24" w14:textId="77777777" w:rsidR="00EB086B" w:rsidRDefault="00000000">
            <w:r>
              <w:rPr>
                <w:sz w:val="18"/>
              </w:rPr>
              <w:t>Strong</w:t>
            </w:r>
          </w:p>
        </w:tc>
        <w:tc>
          <w:tcPr>
            <w:tcW w:w="720" w:type="dxa"/>
          </w:tcPr>
          <w:p w14:paraId="6E9FE138" w14:textId="77777777" w:rsidR="00EB086B" w:rsidRDefault="00000000">
            <w:r>
              <w:rPr>
                <w:sz w:val="18"/>
              </w:rPr>
              <w:t>4</w:t>
            </w:r>
          </w:p>
        </w:tc>
        <w:tc>
          <w:tcPr>
            <w:tcW w:w="2880" w:type="dxa"/>
          </w:tcPr>
          <w:p w14:paraId="06900394" w14:textId="77777777" w:rsidR="00EB086B" w:rsidRDefault="00000000">
            <w:r>
              <w:rPr>
                <w:sz w:val="18"/>
              </w:rPr>
              <w:t>Interpersonal/ethical</w:t>
            </w:r>
          </w:p>
        </w:tc>
      </w:tr>
      <w:tr w:rsidR="00EB086B" w14:paraId="42B3B0CE" w14:textId="77777777">
        <w:trPr>
          <w:jc w:val="center"/>
        </w:trPr>
        <w:tc>
          <w:tcPr>
            <w:tcW w:w="2160" w:type="dxa"/>
          </w:tcPr>
          <w:p w14:paraId="5B34AB66" w14:textId="77777777" w:rsidR="00EB086B" w:rsidRDefault="00000000">
            <w:r>
              <w:rPr>
                <w:sz w:val="18"/>
              </w:rPr>
              <w:t>Access to social support</w:t>
            </w:r>
          </w:p>
        </w:tc>
        <w:tc>
          <w:tcPr>
            <w:tcW w:w="1008" w:type="dxa"/>
          </w:tcPr>
          <w:p w14:paraId="0EA05C1F" w14:textId="77777777" w:rsidR="00EB086B" w:rsidRDefault="00000000">
            <w:r>
              <w:rPr>
                <w:sz w:val="18"/>
              </w:rPr>
              <w:t>74</w:t>
            </w:r>
          </w:p>
        </w:tc>
        <w:tc>
          <w:tcPr>
            <w:tcW w:w="1440" w:type="dxa"/>
          </w:tcPr>
          <w:p w14:paraId="38FAD29A" w14:textId="77777777" w:rsidR="00EB086B" w:rsidRDefault="00000000">
            <w:r>
              <w:rPr>
                <w:sz w:val="18"/>
              </w:rPr>
              <w:t>Moderate</w:t>
            </w:r>
          </w:p>
        </w:tc>
        <w:tc>
          <w:tcPr>
            <w:tcW w:w="720" w:type="dxa"/>
          </w:tcPr>
          <w:p w14:paraId="096E2069" w14:textId="77777777" w:rsidR="00EB086B" w:rsidRDefault="00000000">
            <w:r>
              <w:rPr>
                <w:sz w:val="18"/>
              </w:rPr>
              <w:t>5</w:t>
            </w:r>
          </w:p>
        </w:tc>
        <w:tc>
          <w:tcPr>
            <w:tcW w:w="2880" w:type="dxa"/>
          </w:tcPr>
          <w:p w14:paraId="60DE140A" w14:textId="77777777" w:rsidR="00EB086B" w:rsidRDefault="00000000">
            <w:r>
              <w:rPr>
                <w:sz w:val="18"/>
              </w:rPr>
              <w:t>Service organization</w:t>
            </w:r>
          </w:p>
        </w:tc>
      </w:tr>
      <w:tr w:rsidR="00EB086B" w14:paraId="24875D59" w14:textId="77777777">
        <w:trPr>
          <w:jc w:val="center"/>
        </w:trPr>
        <w:tc>
          <w:tcPr>
            <w:tcW w:w="2160" w:type="dxa"/>
          </w:tcPr>
          <w:p w14:paraId="02929B44" w14:textId="77777777" w:rsidR="00EB086B" w:rsidRDefault="00000000">
            <w:r>
              <w:rPr>
                <w:sz w:val="18"/>
              </w:rPr>
              <w:t>Quality of basic amenities</w:t>
            </w:r>
          </w:p>
        </w:tc>
        <w:tc>
          <w:tcPr>
            <w:tcW w:w="1008" w:type="dxa"/>
          </w:tcPr>
          <w:p w14:paraId="4D5B3DAB" w14:textId="77777777" w:rsidR="00EB086B" w:rsidRDefault="00000000">
            <w:r>
              <w:rPr>
                <w:sz w:val="18"/>
              </w:rPr>
              <w:t>73</w:t>
            </w:r>
          </w:p>
        </w:tc>
        <w:tc>
          <w:tcPr>
            <w:tcW w:w="1440" w:type="dxa"/>
          </w:tcPr>
          <w:p w14:paraId="4059AB48" w14:textId="77777777" w:rsidR="00EB086B" w:rsidRDefault="00000000">
            <w:r>
              <w:rPr>
                <w:sz w:val="18"/>
              </w:rPr>
              <w:t>Moderate</w:t>
            </w:r>
          </w:p>
        </w:tc>
        <w:tc>
          <w:tcPr>
            <w:tcW w:w="720" w:type="dxa"/>
          </w:tcPr>
          <w:p w14:paraId="4B0CB1B0" w14:textId="77777777" w:rsidR="00EB086B" w:rsidRDefault="00000000">
            <w:r>
              <w:rPr>
                <w:sz w:val="18"/>
              </w:rPr>
              <w:t>6</w:t>
            </w:r>
          </w:p>
        </w:tc>
        <w:tc>
          <w:tcPr>
            <w:tcW w:w="2880" w:type="dxa"/>
          </w:tcPr>
          <w:p w14:paraId="4109802F" w14:textId="77777777" w:rsidR="00EB086B" w:rsidRDefault="00000000">
            <w:r>
              <w:rPr>
                <w:sz w:val="18"/>
              </w:rPr>
              <w:t>Environment/structure</w:t>
            </w:r>
          </w:p>
        </w:tc>
      </w:tr>
      <w:tr w:rsidR="00EB086B" w14:paraId="156C3380" w14:textId="77777777">
        <w:trPr>
          <w:jc w:val="center"/>
        </w:trPr>
        <w:tc>
          <w:tcPr>
            <w:tcW w:w="2160" w:type="dxa"/>
          </w:tcPr>
          <w:p w14:paraId="7814E3BD" w14:textId="77777777" w:rsidR="00EB086B" w:rsidRDefault="00000000">
            <w:r>
              <w:rPr>
                <w:sz w:val="18"/>
              </w:rPr>
              <w:t>Choice of provider</w:t>
            </w:r>
          </w:p>
        </w:tc>
        <w:tc>
          <w:tcPr>
            <w:tcW w:w="1008" w:type="dxa"/>
          </w:tcPr>
          <w:p w14:paraId="5471C3A4" w14:textId="77777777" w:rsidR="00EB086B" w:rsidRDefault="00000000">
            <w:r>
              <w:rPr>
                <w:sz w:val="18"/>
              </w:rPr>
              <w:t>65</w:t>
            </w:r>
          </w:p>
        </w:tc>
        <w:tc>
          <w:tcPr>
            <w:tcW w:w="1440" w:type="dxa"/>
          </w:tcPr>
          <w:p w14:paraId="2B6B5FB1" w14:textId="77777777" w:rsidR="00EB086B" w:rsidRDefault="00000000">
            <w:r>
              <w:rPr>
                <w:sz w:val="18"/>
              </w:rPr>
              <w:t>Weak</w:t>
            </w:r>
          </w:p>
        </w:tc>
        <w:tc>
          <w:tcPr>
            <w:tcW w:w="720" w:type="dxa"/>
          </w:tcPr>
          <w:p w14:paraId="5142DF78" w14:textId="77777777" w:rsidR="00EB086B" w:rsidRDefault="00000000">
            <w:r>
              <w:rPr>
                <w:sz w:val="18"/>
              </w:rPr>
              <w:t>7</w:t>
            </w:r>
          </w:p>
        </w:tc>
        <w:tc>
          <w:tcPr>
            <w:tcW w:w="2880" w:type="dxa"/>
          </w:tcPr>
          <w:p w14:paraId="0D83D417" w14:textId="77777777" w:rsidR="00EB086B" w:rsidRDefault="00000000">
            <w:r>
              <w:rPr>
                <w:sz w:val="18"/>
              </w:rPr>
              <w:t>Service organization</w:t>
            </w:r>
          </w:p>
        </w:tc>
      </w:tr>
      <w:tr w:rsidR="00EB086B" w14:paraId="10C46BDD" w14:textId="77777777">
        <w:trPr>
          <w:jc w:val="center"/>
        </w:trPr>
        <w:tc>
          <w:tcPr>
            <w:tcW w:w="2160" w:type="dxa"/>
          </w:tcPr>
          <w:p w14:paraId="7300715D" w14:textId="77777777" w:rsidR="00EB086B" w:rsidRDefault="00000000">
            <w:r>
              <w:rPr>
                <w:sz w:val="18"/>
              </w:rPr>
              <w:t>Prompt attention</w:t>
            </w:r>
          </w:p>
        </w:tc>
        <w:tc>
          <w:tcPr>
            <w:tcW w:w="1008" w:type="dxa"/>
          </w:tcPr>
          <w:p w14:paraId="730A0201" w14:textId="77777777" w:rsidR="00EB086B" w:rsidRDefault="00000000">
            <w:r>
              <w:rPr>
                <w:sz w:val="18"/>
              </w:rPr>
              <w:t>65</w:t>
            </w:r>
          </w:p>
        </w:tc>
        <w:tc>
          <w:tcPr>
            <w:tcW w:w="1440" w:type="dxa"/>
          </w:tcPr>
          <w:p w14:paraId="61FBDEEA" w14:textId="77777777" w:rsidR="00EB086B" w:rsidRDefault="00000000">
            <w:r>
              <w:rPr>
                <w:sz w:val="18"/>
              </w:rPr>
              <w:t>Weak</w:t>
            </w:r>
          </w:p>
        </w:tc>
        <w:tc>
          <w:tcPr>
            <w:tcW w:w="720" w:type="dxa"/>
          </w:tcPr>
          <w:p w14:paraId="16A3AF45" w14:textId="77777777" w:rsidR="00EB086B" w:rsidRDefault="00000000">
            <w:r>
              <w:rPr>
                <w:sz w:val="18"/>
              </w:rPr>
              <w:t>7</w:t>
            </w:r>
          </w:p>
        </w:tc>
        <w:tc>
          <w:tcPr>
            <w:tcW w:w="2880" w:type="dxa"/>
          </w:tcPr>
          <w:p w14:paraId="2087B200" w14:textId="77777777" w:rsidR="00EB086B" w:rsidRDefault="00000000">
            <w:r>
              <w:rPr>
                <w:sz w:val="18"/>
              </w:rPr>
              <w:t>Service organization</w:t>
            </w:r>
          </w:p>
        </w:tc>
      </w:tr>
    </w:tbl>
    <w:p w14:paraId="5A6ACA29" w14:textId="77777777" w:rsidR="00EB086B" w:rsidRDefault="00EB086B"/>
    <w:p w14:paraId="4DDA6EAB" w14:textId="77777777" w:rsidR="00EB086B" w:rsidRDefault="00000000">
      <w:pPr>
        <w:pStyle w:val="Heading2"/>
      </w:pPr>
      <w:r>
        <w:rPr>
          <w:rFonts w:ascii="Times New Roman" w:hAnsi="Times New Roman"/>
        </w:rPr>
        <w:t>Benchmark-gap analysis</w:t>
      </w:r>
    </w:p>
    <w:p w14:paraId="4FD485EA" w14:textId="77777777" w:rsidR="00EB086B" w:rsidRDefault="00000000">
      <w:pPr>
        <w:jc w:val="both"/>
      </w:pPr>
      <w:r>
        <w:rPr>
          <w:sz w:val="24"/>
        </w:rPr>
        <w:t>Using 80 as a pragmatic benchmark, the four domains above the benchmark were confidentiality, dignity, communication, and autonomy. These domains represent strengths and should be maintained through continued supervision, staff orientation, privacy-conscious service arrangements, and reinforcement of respectful communication. The four domains below the benchmark were access to social support, quality of basic amenities, choice of provider, and prompt attention. These require improvement, with prompt attention and choice of provider emerging as the highest-priority domains because both were 15 points below the benchmark (Khan et al., 2021).</w:t>
      </w:r>
    </w:p>
    <w:p w14:paraId="27223C26" w14:textId="77777777" w:rsidR="00EB086B" w:rsidRDefault="00000000">
      <w:pPr>
        <w:pStyle w:val="Caption"/>
      </w:pPr>
      <w:r>
        <w:rPr>
          <w:sz w:val="24"/>
        </w:rPr>
        <w:t>Table 5. Domain benchmark-gap analysis using an 80% pragmatic benchmark</w:t>
      </w:r>
    </w:p>
    <w:tbl>
      <w:tblPr>
        <w:tblStyle w:val="TableGrid"/>
        <w:tblW w:w="0" w:type="auto"/>
        <w:jc w:val="center"/>
        <w:tblLook w:val="04A0" w:firstRow="1" w:lastRow="0" w:firstColumn="1" w:lastColumn="0" w:noHBand="0" w:noVBand="1"/>
      </w:tblPr>
      <w:tblGrid>
        <w:gridCol w:w="2160"/>
        <w:gridCol w:w="1008"/>
        <w:gridCol w:w="3168"/>
        <w:gridCol w:w="2592"/>
      </w:tblGrid>
      <w:tr w:rsidR="00EB086B" w14:paraId="2417C487" w14:textId="77777777">
        <w:trPr>
          <w:jc w:val="center"/>
        </w:trPr>
        <w:tc>
          <w:tcPr>
            <w:tcW w:w="2160" w:type="dxa"/>
            <w:shd w:val="clear" w:color="auto" w:fill="D9EAF7"/>
          </w:tcPr>
          <w:p w14:paraId="676A44FC" w14:textId="77777777" w:rsidR="00EB086B" w:rsidRDefault="00000000">
            <w:r>
              <w:rPr>
                <w:b/>
                <w:sz w:val="18"/>
              </w:rPr>
              <w:t>Domain</w:t>
            </w:r>
          </w:p>
        </w:tc>
        <w:tc>
          <w:tcPr>
            <w:tcW w:w="1008" w:type="dxa"/>
            <w:shd w:val="clear" w:color="auto" w:fill="D9EAF7"/>
          </w:tcPr>
          <w:p w14:paraId="72E566D0" w14:textId="77777777" w:rsidR="00EB086B" w:rsidRDefault="00000000">
            <w:r>
              <w:rPr>
                <w:b/>
                <w:sz w:val="18"/>
              </w:rPr>
              <w:t>Score</w:t>
            </w:r>
          </w:p>
        </w:tc>
        <w:tc>
          <w:tcPr>
            <w:tcW w:w="3168" w:type="dxa"/>
            <w:shd w:val="clear" w:color="auto" w:fill="D9EAF7"/>
          </w:tcPr>
          <w:p w14:paraId="65A62FA6" w14:textId="77777777" w:rsidR="00EB086B" w:rsidRDefault="00000000">
            <w:r>
              <w:rPr>
                <w:b/>
                <w:sz w:val="18"/>
              </w:rPr>
              <w:t>Benchmark status</w:t>
            </w:r>
          </w:p>
        </w:tc>
        <w:tc>
          <w:tcPr>
            <w:tcW w:w="2592" w:type="dxa"/>
            <w:shd w:val="clear" w:color="auto" w:fill="D9EAF7"/>
          </w:tcPr>
          <w:p w14:paraId="337ED756" w14:textId="77777777" w:rsidR="00EB086B" w:rsidRDefault="00000000">
            <w:r>
              <w:rPr>
                <w:b/>
                <w:sz w:val="18"/>
              </w:rPr>
              <w:t>Priority interpretation</w:t>
            </w:r>
          </w:p>
        </w:tc>
      </w:tr>
      <w:tr w:rsidR="00EB086B" w14:paraId="2D2515BD" w14:textId="77777777">
        <w:trPr>
          <w:jc w:val="center"/>
        </w:trPr>
        <w:tc>
          <w:tcPr>
            <w:tcW w:w="2160" w:type="dxa"/>
          </w:tcPr>
          <w:p w14:paraId="3EDB310E" w14:textId="77777777" w:rsidR="00EB086B" w:rsidRDefault="00000000">
            <w:r>
              <w:rPr>
                <w:sz w:val="18"/>
              </w:rPr>
              <w:t>Confidentiality</w:t>
            </w:r>
          </w:p>
        </w:tc>
        <w:tc>
          <w:tcPr>
            <w:tcW w:w="1008" w:type="dxa"/>
          </w:tcPr>
          <w:p w14:paraId="79F5C0E5" w14:textId="77777777" w:rsidR="00EB086B" w:rsidRDefault="00000000">
            <w:r>
              <w:rPr>
                <w:sz w:val="18"/>
              </w:rPr>
              <w:t>88</w:t>
            </w:r>
          </w:p>
        </w:tc>
        <w:tc>
          <w:tcPr>
            <w:tcW w:w="3168" w:type="dxa"/>
          </w:tcPr>
          <w:p w14:paraId="63F61716" w14:textId="77777777" w:rsidR="00EB086B" w:rsidRDefault="00000000">
            <w:r>
              <w:rPr>
                <w:sz w:val="18"/>
              </w:rPr>
              <w:t>Above benchmark</w:t>
            </w:r>
          </w:p>
        </w:tc>
        <w:tc>
          <w:tcPr>
            <w:tcW w:w="2592" w:type="dxa"/>
          </w:tcPr>
          <w:p w14:paraId="72E0979B" w14:textId="77777777" w:rsidR="00EB086B" w:rsidRDefault="00000000">
            <w:r>
              <w:rPr>
                <w:sz w:val="18"/>
              </w:rPr>
              <w:t>Maintain</w:t>
            </w:r>
          </w:p>
        </w:tc>
      </w:tr>
      <w:tr w:rsidR="00EB086B" w14:paraId="232C544D" w14:textId="77777777">
        <w:trPr>
          <w:jc w:val="center"/>
        </w:trPr>
        <w:tc>
          <w:tcPr>
            <w:tcW w:w="2160" w:type="dxa"/>
          </w:tcPr>
          <w:p w14:paraId="02BFB3E1" w14:textId="77777777" w:rsidR="00EB086B" w:rsidRDefault="00000000">
            <w:r>
              <w:rPr>
                <w:sz w:val="18"/>
              </w:rPr>
              <w:t>Dignity</w:t>
            </w:r>
          </w:p>
        </w:tc>
        <w:tc>
          <w:tcPr>
            <w:tcW w:w="1008" w:type="dxa"/>
          </w:tcPr>
          <w:p w14:paraId="0F646568" w14:textId="77777777" w:rsidR="00EB086B" w:rsidRDefault="00000000">
            <w:r>
              <w:rPr>
                <w:sz w:val="18"/>
              </w:rPr>
              <w:t>85</w:t>
            </w:r>
          </w:p>
        </w:tc>
        <w:tc>
          <w:tcPr>
            <w:tcW w:w="3168" w:type="dxa"/>
          </w:tcPr>
          <w:p w14:paraId="1992EFC6" w14:textId="77777777" w:rsidR="00EB086B" w:rsidRDefault="00000000">
            <w:r>
              <w:rPr>
                <w:sz w:val="18"/>
              </w:rPr>
              <w:t>Above benchmark</w:t>
            </w:r>
          </w:p>
        </w:tc>
        <w:tc>
          <w:tcPr>
            <w:tcW w:w="2592" w:type="dxa"/>
          </w:tcPr>
          <w:p w14:paraId="350530C2" w14:textId="77777777" w:rsidR="00EB086B" w:rsidRDefault="00000000">
            <w:r>
              <w:rPr>
                <w:sz w:val="18"/>
              </w:rPr>
              <w:t>Maintain</w:t>
            </w:r>
          </w:p>
        </w:tc>
      </w:tr>
      <w:tr w:rsidR="00EB086B" w14:paraId="0E88F102" w14:textId="77777777">
        <w:trPr>
          <w:jc w:val="center"/>
        </w:trPr>
        <w:tc>
          <w:tcPr>
            <w:tcW w:w="2160" w:type="dxa"/>
          </w:tcPr>
          <w:p w14:paraId="76AACEEF" w14:textId="77777777" w:rsidR="00EB086B" w:rsidRDefault="00000000">
            <w:r>
              <w:rPr>
                <w:sz w:val="18"/>
              </w:rPr>
              <w:lastRenderedPageBreak/>
              <w:t>Communication</w:t>
            </w:r>
          </w:p>
        </w:tc>
        <w:tc>
          <w:tcPr>
            <w:tcW w:w="1008" w:type="dxa"/>
          </w:tcPr>
          <w:p w14:paraId="11D1932C" w14:textId="77777777" w:rsidR="00EB086B" w:rsidRDefault="00000000">
            <w:r>
              <w:rPr>
                <w:sz w:val="18"/>
              </w:rPr>
              <w:t>84</w:t>
            </w:r>
          </w:p>
        </w:tc>
        <w:tc>
          <w:tcPr>
            <w:tcW w:w="3168" w:type="dxa"/>
          </w:tcPr>
          <w:p w14:paraId="3007CB7D" w14:textId="77777777" w:rsidR="00EB086B" w:rsidRDefault="00000000">
            <w:r>
              <w:rPr>
                <w:sz w:val="18"/>
              </w:rPr>
              <w:t>Above benchmark</w:t>
            </w:r>
          </w:p>
        </w:tc>
        <w:tc>
          <w:tcPr>
            <w:tcW w:w="2592" w:type="dxa"/>
          </w:tcPr>
          <w:p w14:paraId="36163F58" w14:textId="77777777" w:rsidR="00EB086B" w:rsidRDefault="00000000">
            <w:r>
              <w:rPr>
                <w:sz w:val="18"/>
              </w:rPr>
              <w:t>Maintain</w:t>
            </w:r>
          </w:p>
        </w:tc>
      </w:tr>
      <w:tr w:rsidR="00EB086B" w14:paraId="3A17D767" w14:textId="77777777">
        <w:trPr>
          <w:jc w:val="center"/>
        </w:trPr>
        <w:tc>
          <w:tcPr>
            <w:tcW w:w="2160" w:type="dxa"/>
          </w:tcPr>
          <w:p w14:paraId="36928BA1" w14:textId="77777777" w:rsidR="00EB086B" w:rsidRDefault="00000000">
            <w:r>
              <w:rPr>
                <w:sz w:val="18"/>
              </w:rPr>
              <w:t>Autonomy</w:t>
            </w:r>
          </w:p>
        </w:tc>
        <w:tc>
          <w:tcPr>
            <w:tcW w:w="1008" w:type="dxa"/>
          </w:tcPr>
          <w:p w14:paraId="2F037848" w14:textId="77777777" w:rsidR="00EB086B" w:rsidRDefault="00000000">
            <w:r>
              <w:rPr>
                <w:sz w:val="18"/>
              </w:rPr>
              <w:t>83</w:t>
            </w:r>
          </w:p>
        </w:tc>
        <w:tc>
          <w:tcPr>
            <w:tcW w:w="3168" w:type="dxa"/>
          </w:tcPr>
          <w:p w14:paraId="332A1F00" w14:textId="77777777" w:rsidR="00EB086B" w:rsidRDefault="00000000">
            <w:r>
              <w:rPr>
                <w:sz w:val="18"/>
              </w:rPr>
              <w:t>Above benchmark</w:t>
            </w:r>
          </w:p>
        </w:tc>
        <w:tc>
          <w:tcPr>
            <w:tcW w:w="2592" w:type="dxa"/>
          </w:tcPr>
          <w:p w14:paraId="71F4095B" w14:textId="77777777" w:rsidR="00EB086B" w:rsidRDefault="00000000">
            <w:r>
              <w:rPr>
                <w:sz w:val="18"/>
              </w:rPr>
              <w:t>Maintain</w:t>
            </w:r>
          </w:p>
        </w:tc>
      </w:tr>
      <w:tr w:rsidR="00EB086B" w14:paraId="72B86114" w14:textId="77777777">
        <w:trPr>
          <w:jc w:val="center"/>
        </w:trPr>
        <w:tc>
          <w:tcPr>
            <w:tcW w:w="2160" w:type="dxa"/>
          </w:tcPr>
          <w:p w14:paraId="3FAF611C" w14:textId="77777777" w:rsidR="00EB086B" w:rsidRDefault="00000000">
            <w:r>
              <w:rPr>
                <w:sz w:val="18"/>
              </w:rPr>
              <w:t>Access to social support</w:t>
            </w:r>
          </w:p>
        </w:tc>
        <w:tc>
          <w:tcPr>
            <w:tcW w:w="1008" w:type="dxa"/>
          </w:tcPr>
          <w:p w14:paraId="462D4F14" w14:textId="77777777" w:rsidR="00EB086B" w:rsidRDefault="00000000">
            <w:r>
              <w:rPr>
                <w:sz w:val="18"/>
              </w:rPr>
              <w:t>74</w:t>
            </w:r>
          </w:p>
        </w:tc>
        <w:tc>
          <w:tcPr>
            <w:tcW w:w="3168" w:type="dxa"/>
          </w:tcPr>
          <w:p w14:paraId="533F9F49" w14:textId="77777777" w:rsidR="00EB086B" w:rsidRDefault="00000000">
            <w:r>
              <w:rPr>
                <w:sz w:val="18"/>
              </w:rPr>
              <w:t>6 points below benchmark</w:t>
            </w:r>
          </w:p>
        </w:tc>
        <w:tc>
          <w:tcPr>
            <w:tcW w:w="2592" w:type="dxa"/>
          </w:tcPr>
          <w:p w14:paraId="4ACE985F" w14:textId="77777777" w:rsidR="00EB086B" w:rsidRDefault="00000000">
            <w:r>
              <w:rPr>
                <w:sz w:val="18"/>
              </w:rPr>
              <w:t>Moderate priority</w:t>
            </w:r>
          </w:p>
        </w:tc>
      </w:tr>
      <w:tr w:rsidR="00EB086B" w14:paraId="3A8FECF0" w14:textId="77777777">
        <w:trPr>
          <w:jc w:val="center"/>
        </w:trPr>
        <w:tc>
          <w:tcPr>
            <w:tcW w:w="2160" w:type="dxa"/>
          </w:tcPr>
          <w:p w14:paraId="2671440A" w14:textId="77777777" w:rsidR="00EB086B" w:rsidRDefault="00000000">
            <w:r>
              <w:rPr>
                <w:sz w:val="18"/>
              </w:rPr>
              <w:t>Quality of basic amenities</w:t>
            </w:r>
          </w:p>
        </w:tc>
        <w:tc>
          <w:tcPr>
            <w:tcW w:w="1008" w:type="dxa"/>
          </w:tcPr>
          <w:p w14:paraId="624BEC34" w14:textId="77777777" w:rsidR="00EB086B" w:rsidRDefault="00000000">
            <w:r>
              <w:rPr>
                <w:sz w:val="18"/>
              </w:rPr>
              <w:t>73</w:t>
            </w:r>
          </w:p>
        </w:tc>
        <w:tc>
          <w:tcPr>
            <w:tcW w:w="3168" w:type="dxa"/>
          </w:tcPr>
          <w:p w14:paraId="15B1660D" w14:textId="77777777" w:rsidR="00EB086B" w:rsidRDefault="00000000">
            <w:r>
              <w:rPr>
                <w:sz w:val="18"/>
              </w:rPr>
              <w:t>7 points below benchmark</w:t>
            </w:r>
          </w:p>
        </w:tc>
        <w:tc>
          <w:tcPr>
            <w:tcW w:w="2592" w:type="dxa"/>
          </w:tcPr>
          <w:p w14:paraId="51A4CE6C" w14:textId="77777777" w:rsidR="00EB086B" w:rsidRDefault="00000000">
            <w:r>
              <w:rPr>
                <w:sz w:val="18"/>
              </w:rPr>
              <w:t>Moderate priority</w:t>
            </w:r>
          </w:p>
        </w:tc>
      </w:tr>
      <w:tr w:rsidR="00EB086B" w14:paraId="002FC74A" w14:textId="77777777">
        <w:trPr>
          <w:jc w:val="center"/>
        </w:trPr>
        <w:tc>
          <w:tcPr>
            <w:tcW w:w="2160" w:type="dxa"/>
          </w:tcPr>
          <w:p w14:paraId="3E8175A6" w14:textId="77777777" w:rsidR="00EB086B" w:rsidRDefault="00000000">
            <w:r>
              <w:rPr>
                <w:sz w:val="18"/>
              </w:rPr>
              <w:t>Choice of provider</w:t>
            </w:r>
          </w:p>
        </w:tc>
        <w:tc>
          <w:tcPr>
            <w:tcW w:w="1008" w:type="dxa"/>
          </w:tcPr>
          <w:p w14:paraId="078B3F91" w14:textId="77777777" w:rsidR="00EB086B" w:rsidRDefault="00000000">
            <w:r>
              <w:rPr>
                <w:sz w:val="18"/>
              </w:rPr>
              <w:t>65</w:t>
            </w:r>
          </w:p>
        </w:tc>
        <w:tc>
          <w:tcPr>
            <w:tcW w:w="3168" w:type="dxa"/>
          </w:tcPr>
          <w:p w14:paraId="0412647D" w14:textId="77777777" w:rsidR="00EB086B" w:rsidRDefault="00000000">
            <w:r>
              <w:rPr>
                <w:sz w:val="18"/>
              </w:rPr>
              <w:t>15 points below benchmark</w:t>
            </w:r>
          </w:p>
        </w:tc>
        <w:tc>
          <w:tcPr>
            <w:tcW w:w="2592" w:type="dxa"/>
          </w:tcPr>
          <w:p w14:paraId="50A5B579" w14:textId="77777777" w:rsidR="00EB086B" w:rsidRDefault="00000000">
            <w:r>
              <w:rPr>
                <w:sz w:val="18"/>
              </w:rPr>
              <w:t>High priority</w:t>
            </w:r>
          </w:p>
        </w:tc>
      </w:tr>
      <w:tr w:rsidR="00EB086B" w14:paraId="03978FC7" w14:textId="77777777">
        <w:trPr>
          <w:jc w:val="center"/>
        </w:trPr>
        <w:tc>
          <w:tcPr>
            <w:tcW w:w="2160" w:type="dxa"/>
          </w:tcPr>
          <w:p w14:paraId="43FD1DAD" w14:textId="77777777" w:rsidR="00EB086B" w:rsidRDefault="00000000">
            <w:r>
              <w:rPr>
                <w:sz w:val="18"/>
              </w:rPr>
              <w:t>Prompt attention</w:t>
            </w:r>
          </w:p>
        </w:tc>
        <w:tc>
          <w:tcPr>
            <w:tcW w:w="1008" w:type="dxa"/>
          </w:tcPr>
          <w:p w14:paraId="60684DBD" w14:textId="77777777" w:rsidR="00EB086B" w:rsidRDefault="00000000">
            <w:r>
              <w:rPr>
                <w:sz w:val="18"/>
              </w:rPr>
              <w:t>65</w:t>
            </w:r>
          </w:p>
        </w:tc>
        <w:tc>
          <w:tcPr>
            <w:tcW w:w="3168" w:type="dxa"/>
          </w:tcPr>
          <w:p w14:paraId="1C7B365C" w14:textId="77777777" w:rsidR="00EB086B" w:rsidRDefault="00000000">
            <w:r>
              <w:rPr>
                <w:sz w:val="18"/>
              </w:rPr>
              <w:t>15 points below benchmark</w:t>
            </w:r>
          </w:p>
        </w:tc>
        <w:tc>
          <w:tcPr>
            <w:tcW w:w="2592" w:type="dxa"/>
          </w:tcPr>
          <w:p w14:paraId="3DE13413" w14:textId="77777777" w:rsidR="00EB086B" w:rsidRDefault="00000000">
            <w:r>
              <w:rPr>
                <w:sz w:val="18"/>
              </w:rPr>
              <w:t>High priority</w:t>
            </w:r>
          </w:p>
        </w:tc>
      </w:tr>
    </w:tbl>
    <w:p w14:paraId="687374B8" w14:textId="77777777" w:rsidR="00EB086B" w:rsidRDefault="00EB086B"/>
    <w:p w14:paraId="3051B639" w14:textId="77777777" w:rsidR="00EB086B" w:rsidRDefault="00000000">
      <w:pPr>
        <w:pStyle w:val="Heading2"/>
      </w:pPr>
      <w:r>
        <w:rPr>
          <w:rFonts w:ascii="Times New Roman" w:hAnsi="Times New Roman"/>
        </w:rPr>
        <w:t>Interpersonal versus service-organization dimensions</w:t>
      </w:r>
    </w:p>
    <w:p w14:paraId="49C87A74" w14:textId="77777777" w:rsidR="00EB086B" w:rsidRDefault="00000000">
      <w:pPr>
        <w:jc w:val="both"/>
      </w:pPr>
      <w:r>
        <w:rPr>
          <w:sz w:val="24"/>
        </w:rPr>
        <w:t>The findings show a clear distinction between interpersonal dimensions and service-organization dimensions. The four strongest domains are mainly related to how staff interact with patients: confidentiality, dignity, communication, and autonomy. These domains reflect ethical conduct, respectful communication, privacy, and patient involvement. The weaker domains are more closely related to service organization and environment: prompt attention, provider choice, basic amenities, and social support. This pattern suggests that the main improvement challenge is not only staff attitude but also OPD system design (Donabedian, 1988; Mirzoev &amp; Kane, 2017).</w:t>
      </w:r>
    </w:p>
    <w:p w14:paraId="2B0E9480" w14:textId="77777777" w:rsidR="00EB086B" w:rsidRDefault="00000000">
      <w:pPr>
        <w:jc w:val="both"/>
      </w:pPr>
      <w:r>
        <w:rPr>
          <w:sz w:val="24"/>
        </w:rPr>
        <w:t>This distinction is managerially useful. If the weakest domains had been dignity or communication, the primary response would be staff training, supervision, and behavioural standards. In this study, however, the weakest domain is prompt attention, which usually requires process redesign. Waiting time is influenced by patient arrival patterns, registration flow, number of consultation points, queue discipline, pharmacy flow, investigation referral process, and clarity of patient routing. Therefore, operational interventions are likely to produce greater improvement than communication training alone.</w:t>
      </w:r>
    </w:p>
    <w:p w14:paraId="6963BC9A" w14:textId="77777777" w:rsidR="00EB086B" w:rsidRDefault="00000000">
      <w:pPr>
        <w:pStyle w:val="Caption"/>
      </w:pPr>
      <w:r>
        <w:rPr>
          <w:sz w:val="24"/>
        </w:rPr>
        <w:t>Table 6. Grouped analysis of interpersonal versus service-organization responsiveness</w:t>
      </w:r>
    </w:p>
    <w:tbl>
      <w:tblPr>
        <w:tblStyle w:val="TableGrid"/>
        <w:tblW w:w="0" w:type="auto"/>
        <w:jc w:val="center"/>
        <w:tblLook w:val="04A0" w:firstRow="1" w:lastRow="0" w:firstColumn="1" w:lastColumn="0" w:noHBand="0" w:noVBand="1"/>
      </w:tblPr>
      <w:tblGrid>
        <w:gridCol w:w="2332"/>
        <w:gridCol w:w="3376"/>
        <w:gridCol w:w="1381"/>
        <w:gridCol w:w="2981"/>
      </w:tblGrid>
      <w:tr w:rsidR="00EB086B" w14:paraId="4F0F2332" w14:textId="77777777">
        <w:trPr>
          <w:jc w:val="center"/>
        </w:trPr>
        <w:tc>
          <w:tcPr>
            <w:tcW w:w="2448" w:type="dxa"/>
            <w:shd w:val="clear" w:color="auto" w:fill="D9EAF7"/>
          </w:tcPr>
          <w:p w14:paraId="32475270" w14:textId="77777777" w:rsidR="00EB086B" w:rsidRDefault="00000000">
            <w:r>
              <w:rPr>
                <w:b/>
                <w:sz w:val="18"/>
              </w:rPr>
              <w:t>Dimension group</w:t>
            </w:r>
          </w:p>
        </w:tc>
        <w:tc>
          <w:tcPr>
            <w:tcW w:w="3600" w:type="dxa"/>
            <w:shd w:val="clear" w:color="auto" w:fill="D9EAF7"/>
          </w:tcPr>
          <w:p w14:paraId="75325B24" w14:textId="77777777" w:rsidR="00EB086B" w:rsidRDefault="00000000">
            <w:r>
              <w:rPr>
                <w:b/>
                <w:sz w:val="18"/>
              </w:rPr>
              <w:t>Included domains</w:t>
            </w:r>
          </w:p>
        </w:tc>
        <w:tc>
          <w:tcPr>
            <w:tcW w:w="1440" w:type="dxa"/>
            <w:shd w:val="clear" w:color="auto" w:fill="D9EAF7"/>
          </w:tcPr>
          <w:p w14:paraId="27DF66B8" w14:textId="77777777" w:rsidR="00EB086B" w:rsidRDefault="00000000">
            <w:r>
              <w:rPr>
                <w:b/>
                <w:sz w:val="18"/>
              </w:rPr>
              <w:t>Average score</w:t>
            </w:r>
          </w:p>
        </w:tc>
        <w:tc>
          <w:tcPr>
            <w:tcW w:w="3168" w:type="dxa"/>
            <w:shd w:val="clear" w:color="auto" w:fill="D9EAF7"/>
          </w:tcPr>
          <w:p w14:paraId="4074773D" w14:textId="77777777" w:rsidR="00EB086B" w:rsidRDefault="00000000">
            <w:r>
              <w:rPr>
                <w:b/>
                <w:sz w:val="18"/>
              </w:rPr>
              <w:t>Interpretation</w:t>
            </w:r>
          </w:p>
        </w:tc>
      </w:tr>
      <w:tr w:rsidR="00EB086B" w14:paraId="2E11AC3C" w14:textId="77777777">
        <w:trPr>
          <w:jc w:val="center"/>
        </w:trPr>
        <w:tc>
          <w:tcPr>
            <w:tcW w:w="2448" w:type="dxa"/>
          </w:tcPr>
          <w:p w14:paraId="12C60C4F" w14:textId="77777777" w:rsidR="00EB086B" w:rsidRDefault="00000000">
            <w:r>
              <w:rPr>
                <w:sz w:val="18"/>
              </w:rPr>
              <w:t>Interpersonal and ethical responsiveness</w:t>
            </w:r>
          </w:p>
        </w:tc>
        <w:tc>
          <w:tcPr>
            <w:tcW w:w="3600" w:type="dxa"/>
          </w:tcPr>
          <w:p w14:paraId="52D2EFB1" w14:textId="77777777" w:rsidR="00EB086B" w:rsidRDefault="00000000">
            <w:r>
              <w:rPr>
                <w:sz w:val="18"/>
              </w:rPr>
              <w:t>Confidentiality, dignity, communication, autonomy</w:t>
            </w:r>
          </w:p>
        </w:tc>
        <w:tc>
          <w:tcPr>
            <w:tcW w:w="1440" w:type="dxa"/>
          </w:tcPr>
          <w:p w14:paraId="01422D99" w14:textId="77777777" w:rsidR="00EB086B" w:rsidRDefault="00000000">
            <w:r>
              <w:rPr>
                <w:sz w:val="18"/>
              </w:rPr>
              <w:t>85.0</w:t>
            </w:r>
          </w:p>
        </w:tc>
        <w:tc>
          <w:tcPr>
            <w:tcW w:w="3168" w:type="dxa"/>
          </w:tcPr>
          <w:p w14:paraId="62DC0751" w14:textId="77777777" w:rsidR="00EB086B" w:rsidRDefault="00000000">
            <w:r>
              <w:rPr>
                <w:sz w:val="18"/>
              </w:rPr>
              <w:t>Strong; reflects good respectful care, privacy, explanation, and involvement.</w:t>
            </w:r>
          </w:p>
        </w:tc>
      </w:tr>
      <w:tr w:rsidR="00EB086B" w14:paraId="7BBF3681" w14:textId="77777777">
        <w:trPr>
          <w:jc w:val="center"/>
        </w:trPr>
        <w:tc>
          <w:tcPr>
            <w:tcW w:w="2448" w:type="dxa"/>
          </w:tcPr>
          <w:p w14:paraId="770937C2" w14:textId="77777777" w:rsidR="00EB086B" w:rsidRDefault="00000000">
            <w:r>
              <w:rPr>
                <w:sz w:val="18"/>
              </w:rPr>
              <w:t>Service-organization and environmental responsiveness</w:t>
            </w:r>
          </w:p>
        </w:tc>
        <w:tc>
          <w:tcPr>
            <w:tcW w:w="3600" w:type="dxa"/>
          </w:tcPr>
          <w:p w14:paraId="37AD15FF" w14:textId="77777777" w:rsidR="00EB086B" w:rsidRDefault="00000000">
            <w:r>
              <w:rPr>
                <w:sz w:val="18"/>
              </w:rPr>
              <w:t>Prompt attention, basic amenities, social support, choice of provider</w:t>
            </w:r>
          </w:p>
        </w:tc>
        <w:tc>
          <w:tcPr>
            <w:tcW w:w="1440" w:type="dxa"/>
          </w:tcPr>
          <w:p w14:paraId="0631AF88" w14:textId="77777777" w:rsidR="00EB086B" w:rsidRDefault="00000000">
            <w:r>
              <w:rPr>
                <w:sz w:val="18"/>
              </w:rPr>
              <w:t>69.25</w:t>
            </w:r>
          </w:p>
        </w:tc>
        <w:tc>
          <w:tcPr>
            <w:tcW w:w="3168" w:type="dxa"/>
          </w:tcPr>
          <w:p w14:paraId="3B27AA5B" w14:textId="77777777" w:rsidR="00EB086B" w:rsidRDefault="00000000">
            <w:r>
              <w:rPr>
                <w:sz w:val="18"/>
              </w:rPr>
              <w:t>Weak to moderate; reflects operational and structural constraints requiring management action.</w:t>
            </w:r>
          </w:p>
        </w:tc>
      </w:tr>
    </w:tbl>
    <w:p w14:paraId="719ADDB5" w14:textId="77777777" w:rsidR="00EB086B" w:rsidRDefault="00EB086B"/>
    <w:p w14:paraId="5D3869B4" w14:textId="77777777" w:rsidR="00EB086B" w:rsidRDefault="00000000">
      <w:pPr>
        <w:pStyle w:val="Heading2"/>
      </w:pPr>
      <w:r>
        <w:rPr>
          <w:rFonts w:ascii="Times New Roman" w:hAnsi="Times New Roman"/>
        </w:rPr>
        <w:t>Domain-specific findings</w:t>
      </w:r>
    </w:p>
    <w:p w14:paraId="583C0F75" w14:textId="77777777" w:rsidR="00EB086B" w:rsidRDefault="00000000">
      <w:pPr>
        <w:jc w:val="both"/>
      </w:pPr>
      <w:r>
        <w:rPr>
          <w:sz w:val="24"/>
        </w:rPr>
        <w:t>Confidentiality was the highest-scoring domain, with a score of 88. This suggests that most respondents perceived that their information and privacy were protected. In a busy OPD, confidentiality can be difficult because consultations may occur in crowded rooms and patients may stand close to counters. The high score is therefore a notable strength. It should be maintained by ensuring adequate consultation privacy, avoiding public discussion of sensitive information, and organizing records in a way that prevents unnecessary exposure (Valentine et al., 2003).</w:t>
      </w:r>
    </w:p>
    <w:p w14:paraId="1329D904" w14:textId="77777777" w:rsidR="00EB086B" w:rsidRDefault="00000000">
      <w:pPr>
        <w:jc w:val="both"/>
      </w:pPr>
      <w:r>
        <w:rPr>
          <w:sz w:val="24"/>
        </w:rPr>
        <w:t>Dignity scored 85, indicating that patients generally perceived respectful treatment. Dignity is one of the most important dimensions of patient-centred care because it affects trust, psychological comfort, and willingness to seek care again. Respectful care is also relatively low-cost but requires strong organizational culture, supervision, and role modelling. The score suggests that staff behaviour is generally perceived positively (Valentine et al., 2003; World Health Organization, 2000).</w:t>
      </w:r>
    </w:p>
    <w:p w14:paraId="47773C4E" w14:textId="77777777" w:rsidR="00EB086B" w:rsidRDefault="00000000">
      <w:pPr>
        <w:jc w:val="both"/>
      </w:pPr>
      <w:r>
        <w:rPr>
          <w:sz w:val="24"/>
        </w:rPr>
        <w:lastRenderedPageBreak/>
        <w:t>Communication scored 84. This indicates that explanations were generally clear and understandable. Good communication is essential in an OPD because patients must understand diagnosis, medication use, warning signs, follow-up instructions, and referral pathways. However, the draft findings indicate that explanation of risks and certain details may be less consistent. This suggests that communication quality is good overall but could be strengthened through standard counselling points and teach-back methods (Valentine et al., 2010).</w:t>
      </w:r>
    </w:p>
    <w:p w14:paraId="44514B9C" w14:textId="77777777" w:rsidR="00EB086B" w:rsidRDefault="00000000">
      <w:pPr>
        <w:jc w:val="both"/>
      </w:pPr>
      <w:r>
        <w:rPr>
          <w:sz w:val="24"/>
        </w:rPr>
        <w:t>Autonomy scored 83, suggesting that patients felt reasonably involved in decisions. However, autonomy is more than obtaining agreement. It requires that patients understand the reason for decisions, alternatives, potential risks, and expected outcomes. In busy OPDs, providers may understandably focus on rapid decision-making. A short structured approach to explanation could strengthen autonomy without adding excessive consultation time (Valentine et al., 2003, 2010).</w:t>
      </w:r>
    </w:p>
    <w:p w14:paraId="7DCE8040" w14:textId="77777777" w:rsidR="00EB086B" w:rsidRDefault="00000000">
      <w:pPr>
        <w:jc w:val="both"/>
      </w:pPr>
      <w:r>
        <w:rPr>
          <w:sz w:val="24"/>
        </w:rPr>
        <w:t>Access to social support scored 74. In outpatient settings, social support is particularly relevant for older patients, persons with disability, patients with language barriers, and anxious or severely symptomatic patients. The moderate score suggests that support is possible but not optimal. Clear companion policies can help balance patient support, crowd control, and confidentiality.</w:t>
      </w:r>
    </w:p>
    <w:p w14:paraId="761B1C9F" w14:textId="77777777" w:rsidR="00EB086B" w:rsidRDefault="00000000">
      <w:pPr>
        <w:jc w:val="both"/>
      </w:pPr>
      <w:r>
        <w:rPr>
          <w:sz w:val="24"/>
        </w:rPr>
        <w:t>Quality of basic amenities scored 73. This indicates that the physical environment is acceptable but requires improvement. The draft identified linen cleanliness and parking as weaker items. Basic amenities are sometimes considered less important than clinical care, but they strongly influence patient perception. Seating, toilets, cleanliness, ventilation, drinking water, signage, and parking affect comfort and dignity, particularly for patients who wait for long periods.</w:t>
      </w:r>
    </w:p>
    <w:p w14:paraId="0925E5E5" w14:textId="77777777" w:rsidR="00EB086B" w:rsidRDefault="00000000">
      <w:pPr>
        <w:jc w:val="both"/>
      </w:pPr>
      <w:r>
        <w:rPr>
          <w:sz w:val="24"/>
        </w:rPr>
        <w:t>Prompt attention scored 65 and was one of the weakest domains. Waiting time was the weakest item within this domain, around 60. This finding is highly important because waiting time is often the most visible OPD problem. Long waiting does not only cause inconvenience; it may worsen discomfort, increase crowding, reduce privacy, and create frustration among patients and staff. It is also a signal of inefficient service flow (Robone et al., 2011; Valentine et al., 2003).</w:t>
      </w:r>
    </w:p>
    <w:p w14:paraId="0DF1257C" w14:textId="77777777" w:rsidR="00EB086B" w:rsidRDefault="00000000">
      <w:pPr>
        <w:jc w:val="both"/>
      </w:pPr>
      <w:r>
        <w:rPr>
          <w:sz w:val="24"/>
        </w:rPr>
        <w:t>Choice of provider also scored 65. In a public hospital OPD, full choice of provider may not be realistic because patients are usually allocated according to duty rosters and service capacity. However, responsiveness can still be improved by making the allocation process more transparent, ensuring that patients know who is seeing them, and providing mechanisms for continuity or special consideration in selected cases such as chronic disease follow-up, sensitive complaints, or language needs.</w:t>
      </w:r>
    </w:p>
    <w:p w14:paraId="7737CEB9" w14:textId="77777777" w:rsidR="00EB086B" w:rsidRDefault="00000000">
      <w:pPr>
        <w:pStyle w:val="Caption"/>
      </w:pPr>
      <w:r>
        <w:rPr>
          <w:sz w:val="24"/>
        </w:rPr>
        <w:t>Table 7. Domain-level interpretation and immediate improvement implications</w:t>
      </w:r>
    </w:p>
    <w:tbl>
      <w:tblPr>
        <w:tblStyle w:val="TableGrid"/>
        <w:tblW w:w="0" w:type="auto"/>
        <w:jc w:val="center"/>
        <w:tblLook w:val="04A0" w:firstRow="1" w:lastRow="0" w:firstColumn="1" w:lastColumn="0" w:noHBand="0" w:noVBand="1"/>
      </w:tblPr>
      <w:tblGrid>
        <w:gridCol w:w="1728"/>
        <w:gridCol w:w="2448"/>
        <w:gridCol w:w="2448"/>
        <w:gridCol w:w="2880"/>
      </w:tblGrid>
      <w:tr w:rsidR="00EB086B" w14:paraId="539D64C9" w14:textId="77777777">
        <w:trPr>
          <w:jc w:val="center"/>
        </w:trPr>
        <w:tc>
          <w:tcPr>
            <w:tcW w:w="1728" w:type="dxa"/>
            <w:shd w:val="clear" w:color="auto" w:fill="D9EAF7"/>
          </w:tcPr>
          <w:p w14:paraId="330296C1" w14:textId="77777777" w:rsidR="00EB086B" w:rsidRDefault="00000000">
            <w:r>
              <w:rPr>
                <w:b/>
                <w:sz w:val="18"/>
              </w:rPr>
              <w:t>Domain</w:t>
            </w:r>
          </w:p>
        </w:tc>
        <w:tc>
          <w:tcPr>
            <w:tcW w:w="2448" w:type="dxa"/>
            <w:shd w:val="clear" w:color="auto" w:fill="D9EAF7"/>
          </w:tcPr>
          <w:p w14:paraId="055E3439" w14:textId="77777777" w:rsidR="00EB086B" w:rsidRDefault="00000000">
            <w:r>
              <w:rPr>
                <w:b/>
                <w:sz w:val="18"/>
              </w:rPr>
              <w:t>Key interpretation</w:t>
            </w:r>
          </w:p>
        </w:tc>
        <w:tc>
          <w:tcPr>
            <w:tcW w:w="2448" w:type="dxa"/>
            <w:shd w:val="clear" w:color="auto" w:fill="D9EAF7"/>
          </w:tcPr>
          <w:p w14:paraId="0A061479" w14:textId="77777777" w:rsidR="00EB086B" w:rsidRDefault="00000000">
            <w:r>
              <w:rPr>
                <w:b/>
                <w:sz w:val="18"/>
              </w:rPr>
              <w:t>Likely root causes</w:t>
            </w:r>
          </w:p>
        </w:tc>
        <w:tc>
          <w:tcPr>
            <w:tcW w:w="2880" w:type="dxa"/>
            <w:shd w:val="clear" w:color="auto" w:fill="D9EAF7"/>
          </w:tcPr>
          <w:p w14:paraId="264C2E6A" w14:textId="77777777" w:rsidR="00EB086B" w:rsidRDefault="00000000">
            <w:r>
              <w:rPr>
                <w:b/>
                <w:sz w:val="18"/>
              </w:rPr>
              <w:t>Suggested immediate response</w:t>
            </w:r>
          </w:p>
        </w:tc>
      </w:tr>
      <w:tr w:rsidR="00EB086B" w14:paraId="0748DF56" w14:textId="77777777">
        <w:trPr>
          <w:jc w:val="center"/>
        </w:trPr>
        <w:tc>
          <w:tcPr>
            <w:tcW w:w="1728" w:type="dxa"/>
          </w:tcPr>
          <w:p w14:paraId="58304969" w14:textId="77777777" w:rsidR="00EB086B" w:rsidRDefault="00000000">
            <w:r>
              <w:rPr>
                <w:sz w:val="18"/>
              </w:rPr>
              <w:t>Confidentiality</w:t>
            </w:r>
          </w:p>
        </w:tc>
        <w:tc>
          <w:tcPr>
            <w:tcW w:w="2448" w:type="dxa"/>
          </w:tcPr>
          <w:p w14:paraId="4F7D2B8B" w14:textId="77777777" w:rsidR="00EB086B" w:rsidRDefault="00000000">
            <w:r>
              <w:rPr>
                <w:sz w:val="18"/>
              </w:rPr>
              <w:t>Strongest domain; privacy perceived positively.</w:t>
            </w:r>
          </w:p>
        </w:tc>
        <w:tc>
          <w:tcPr>
            <w:tcW w:w="2448" w:type="dxa"/>
          </w:tcPr>
          <w:p w14:paraId="0FFC4AA4" w14:textId="77777777" w:rsidR="00EB086B" w:rsidRDefault="00000000">
            <w:r>
              <w:rPr>
                <w:sz w:val="18"/>
              </w:rPr>
              <w:t>Existing staff awareness; adequate consultation conduct.</w:t>
            </w:r>
          </w:p>
        </w:tc>
        <w:tc>
          <w:tcPr>
            <w:tcW w:w="2880" w:type="dxa"/>
          </w:tcPr>
          <w:p w14:paraId="5CC83291" w14:textId="77777777" w:rsidR="00EB086B" w:rsidRDefault="00000000">
            <w:r>
              <w:rPr>
                <w:sz w:val="18"/>
              </w:rPr>
              <w:t>Maintain privacy standards and reinforce discreet communication.</w:t>
            </w:r>
          </w:p>
        </w:tc>
      </w:tr>
      <w:tr w:rsidR="00EB086B" w14:paraId="684BBE3A" w14:textId="77777777">
        <w:trPr>
          <w:jc w:val="center"/>
        </w:trPr>
        <w:tc>
          <w:tcPr>
            <w:tcW w:w="1728" w:type="dxa"/>
          </w:tcPr>
          <w:p w14:paraId="11ACA6FC" w14:textId="77777777" w:rsidR="00EB086B" w:rsidRDefault="00000000">
            <w:r>
              <w:rPr>
                <w:sz w:val="18"/>
              </w:rPr>
              <w:t>Dignity</w:t>
            </w:r>
          </w:p>
        </w:tc>
        <w:tc>
          <w:tcPr>
            <w:tcW w:w="2448" w:type="dxa"/>
          </w:tcPr>
          <w:p w14:paraId="278EC2A0" w14:textId="77777777" w:rsidR="00EB086B" w:rsidRDefault="00000000">
            <w:r>
              <w:rPr>
                <w:sz w:val="18"/>
              </w:rPr>
              <w:t>Respectful treatment perceived positively.</w:t>
            </w:r>
          </w:p>
        </w:tc>
        <w:tc>
          <w:tcPr>
            <w:tcW w:w="2448" w:type="dxa"/>
          </w:tcPr>
          <w:p w14:paraId="2ACD4CFE" w14:textId="77777777" w:rsidR="00EB086B" w:rsidRDefault="00000000">
            <w:r>
              <w:rPr>
                <w:sz w:val="18"/>
              </w:rPr>
              <w:t>Positive staff-patient culture.</w:t>
            </w:r>
          </w:p>
        </w:tc>
        <w:tc>
          <w:tcPr>
            <w:tcW w:w="2880" w:type="dxa"/>
          </w:tcPr>
          <w:p w14:paraId="210F7016" w14:textId="77777777" w:rsidR="00EB086B" w:rsidRDefault="00000000">
            <w:r>
              <w:rPr>
                <w:sz w:val="18"/>
              </w:rPr>
              <w:t>Continue supervision and recognition of respectful care.</w:t>
            </w:r>
          </w:p>
        </w:tc>
      </w:tr>
      <w:tr w:rsidR="00EB086B" w14:paraId="728B03AA" w14:textId="77777777">
        <w:trPr>
          <w:jc w:val="center"/>
        </w:trPr>
        <w:tc>
          <w:tcPr>
            <w:tcW w:w="1728" w:type="dxa"/>
          </w:tcPr>
          <w:p w14:paraId="3CCDA6CA" w14:textId="77777777" w:rsidR="00EB086B" w:rsidRDefault="00000000">
            <w:r>
              <w:rPr>
                <w:sz w:val="18"/>
              </w:rPr>
              <w:t>Communication</w:t>
            </w:r>
          </w:p>
        </w:tc>
        <w:tc>
          <w:tcPr>
            <w:tcW w:w="2448" w:type="dxa"/>
          </w:tcPr>
          <w:p w14:paraId="3884668E" w14:textId="77777777" w:rsidR="00EB086B" w:rsidRDefault="00000000">
            <w:r>
              <w:rPr>
                <w:sz w:val="18"/>
              </w:rPr>
              <w:t>Good overall but may vary by item.</w:t>
            </w:r>
          </w:p>
        </w:tc>
        <w:tc>
          <w:tcPr>
            <w:tcW w:w="2448" w:type="dxa"/>
          </w:tcPr>
          <w:p w14:paraId="4A5F20E3" w14:textId="77777777" w:rsidR="00EB086B" w:rsidRDefault="00000000">
            <w:r>
              <w:rPr>
                <w:sz w:val="18"/>
              </w:rPr>
              <w:t>Time pressure; absence of standard counselling scripts.</w:t>
            </w:r>
          </w:p>
        </w:tc>
        <w:tc>
          <w:tcPr>
            <w:tcW w:w="2880" w:type="dxa"/>
          </w:tcPr>
          <w:p w14:paraId="3E7D935C" w14:textId="77777777" w:rsidR="00EB086B" w:rsidRDefault="00000000">
            <w:r>
              <w:rPr>
                <w:sz w:val="18"/>
              </w:rPr>
              <w:t>Use short standard explanations and teach-back.</w:t>
            </w:r>
          </w:p>
        </w:tc>
      </w:tr>
      <w:tr w:rsidR="00EB086B" w14:paraId="1D00A945" w14:textId="77777777">
        <w:trPr>
          <w:jc w:val="center"/>
        </w:trPr>
        <w:tc>
          <w:tcPr>
            <w:tcW w:w="1728" w:type="dxa"/>
          </w:tcPr>
          <w:p w14:paraId="5A188964" w14:textId="77777777" w:rsidR="00EB086B" w:rsidRDefault="00000000">
            <w:r>
              <w:rPr>
                <w:sz w:val="18"/>
              </w:rPr>
              <w:t>Autonomy</w:t>
            </w:r>
          </w:p>
        </w:tc>
        <w:tc>
          <w:tcPr>
            <w:tcW w:w="2448" w:type="dxa"/>
          </w:tcPr>
          <w:p w14:paraId="7A5BAC19" w14:textId="77777777" w:rsidR="00EB086B" w:rsidRDefault="00000000">
            <w:r>
              <w:rPr>
                <w:sz w:val="18"/>
              </w:rPr>
              <w:t>Good involvement, but risk explanation may be weaker.</w:t>
            </w:r>
          </w:p>
        </w:tc>
        <w:tc>
          <w:tcPr>
            <w:tcW w:w="2448" w:type="dxa"/>
          </w:tcPr>
          <w:p w14:paraId="29E63511" w14:textId="77777777" w:rsidR="00EB086B" w:rsidRDefault="00000000">
            <w:r>
              <w:rPr>
                <w:sz w:val="18"/>
              </w:rPr>
              <w:t>High patient load; limited time for detailed discussion.</w:t>
            </w:r>
          </w:p>
        </w:tc>
        <w:tc>
          <w:tcPr>
            <w:tcW w:w="2880" w:type="dxa"/>
          </w:tcPr>
          <w:p w14:paraId="7F8E9BEC" w14:textId="77777777" w:rsidR="00EB086B" w:rsidRDefault="00000000">
            <w:r>
              <w:rPr>
                <w:sz w:val="18"/>
              </w:rPr>
              <w:t>Standardize consent and risk explanation for common OPD decisions.</w:t>
            </w:r>
          </w:p>
        </w:tc>
      </w:tr>
      <w:tr w:rsidR="00EB086B" w14:paraId="558980C7" w14:textId="77777777">
        <w:trPr>
          <w:jc w:val="center"/>
        </w:trPr>
        <w:tc>
          <w:tcPr>
            <w:tcW w:w="1728" w:type="dxa"/>
          </w:tcPr>
          <w:p w14:paraId="3D6A6B32" w14:textId="77777777" w:rsidR="00EB086B" w:rsidRDefault="00000000">
            <w:r>
              <w:rPr>
                <w:sz w:val="18"/>
              </w:rPr>
              <w:lastRenderedPageBreak/>
              <w:t>Social support</w:t>
            </w:r>
          </w:p>
        </w:tc>
        <w:tc>
          <w:tcPr>
            <w:tcW w:w="2448" w:type="dxa"/>
          </w:tcPr>
          <w:p w14:paraId="369F40AB" w14:textId="77777777" w:rsidR="00EB086B" w:rsidRDefault="00000000">
            <w:r>
              <w:rPr>
                <w:sz w:val="18"/>
              </w:rPr>
              <w:t>Moderate; support available but inconsistent.</w:t>
            </w:r>
          </w:p>
        </w:tc>
        <w:tc>
          <w:tcPr>
            <w:tcW w:w="2448" w:type="dxa"/>
          </w:tcPr>
          <w:p w14:paraId="1680C25B" w14:textId="77777777" w:rsidR="00EB086B" w:rsidRDefault="00000000">
            <w:r>
              <w:rPr>
                <w:sz w:val="18"/>
              </w:rPr>
              <w:t>Crowding; unclear companion policy.</w:t>
            </w:r>
          </w:p>
        </w:tc>
        <w:tc>
          <w:tcPr>
            <w:tcW w:w="2880" w:type="dxa"/>
          </w:tcPr>
          <w:p w14:paraId="64ACD58D" w14:textId="77777777" w:rsidR="00EB086B" w:rsidRDefault="00000000">
            <w:r>
              <w:rPr>
                <w:sz w:val="18"/>
              </w:rPr>
              <w:t>Create clear policy for elderly, disabled, and vulnerable patients.</w:t>
            </w:r>
          </w:p>
        </w:tc>
      </w:tr>
      <w:tr w:rsidR="00EB086B" w14:paraId="23BDFFFA" w14:textId="77777777">
        <w:trPr>
          <w:jc w:val="center"/>
        </w:trPr>
        <w:tc>
          <w:tcPr>
            <w:tcW w:w="1728" w:type="dxa"/>
          </w:tcPr>
          <w:p w14:paraId="171E241E" w14:textId="77777777" w:rsidR="00EB086B" w:rsidRDefault="00000000">
            <w:r>
              <w:rPr>
                <w:sz w:val="18"/>
              </w:rPr>
              <w:t>Basic amenities</w:t>
            </w:r>
          </w:p>
        </w:tc>
        <w:tc>
          <w:tcPr>
            <w:tcW w:w="2448" w:type="dxa"/>
          </w:tcPr>
          <w:p w14:paraId="7A5C53DC" w14:textId="77777777" w:rsidR="00EB086B" w:rsidRDefault="00000000">
            <w:r>
              <w:rPr>
                <w:sz w:val="18"/>
              </w:rPr>
              <w:t>Moderate; environment requires attention.</w:t>
            </w:r>
          </w:p>
        </w:tc>
        <w:tc>
          <w:tcPr>
            <w:tcW w:w="2448" w:type="dxa"/>
          </w:tcPr>
          <w:p w14:paraId="430A0B45" w14:textId="77777777" w:rsidR="00EB086B" w:rsidRDefault="00000000">
            <w:r>
              <w:rPr>
                <w:sz w:val="18"/>
              </w:rPr>
              <w:t>Limited space; maintenance and cleaning gaps; parking constraints.</w:t>
            </w:r>
          </w:p>
        </w:tc>
        <w:tc>
          <w:tcPr>
            <w:tcW w:w="2880" w:type="dxa"/>
          </w:tcPr>
          <w:p w14:paraId="735F2291" w14:textId="77777777" w:rsidR="00EB086B" w:rsidRDefault="00000000">
            <w:r>
              <w:rPr>
                <w:sz w:val="18"/>
              </w:rPr>
              <w:t>Routine amenity audit and quick corrective actions.</w:t>
            </w:r>
          </w:p>
        </w:tc>
      </w:tr>
      <w:tr w:rsidR="00EB086B" w14:paraId="76259A68" w14:textId="77777777">
        <w:trPr>
          <w:jc w:val="center"/>
        </w:trPr>
        <w:tc>
          <w:tcPr>
            <w:tcW w:w="1728" w:type="dxa"/>
          </w:tcPr>
          <w:p w14:paraId="4B11D17E" w14:textId="77777777" w:rsidR="00EB086B" w:rsidRDefault="00000000">
            <w:r>
              <w:rPr>
                <w:sz w:val="18"/>
              </w:rPr>
              <w:t>Choice of provider</w:t>
            </w:r>
          </w:p>
        </w:tc>
        <w:tc>
          <w:tcPr>
            <w:tcW w:w="2448" w:type="dxa"/>
          </w:tcPr>
          <w:p w14:paraId="059EA70B" w14:textId="77777777" w:rsidR="00EB086B" w:rsidRDefault="00000000">
            <w:r>
              <w:rPr>
                <w:sz w:val="18"/>
              </w:rPr>
              <w:t>Weak; limited choice expected in public OPD.</w:t>
            </w:r>
          </w:p>
        </w:tc>
        <w:tc>
          <w:tcPr>
            <w:tcW w:w="2448" w:type="dxa"/>
          </w:tcPr>
          <w:p w14:paraId="327B036D" w14:textId="77777777" w:rsidR="00EB086B" w:rsidRDefault="00000000">
            <w:r>
              <w:rPr>
                <w:sz w:val="18"/>
              </w:rPr>
              <w:t>Roster-based allocation; low transparency.</w:t>
            </w:r>
          </w:p>
        </w:tc>
        <w:tc>
          <w:tcPr>
            <w:tcW w:w="2880" w:type="dxa"/>
          </w:tcPr>
          <w:p w14:paraId="343F2971" w14:textId="77777777" w:rsidR="00EB086B" w:rsidRDefault="00000000">
            <w:r>
              <w:rPr>
                <w:sz w:val="18"/>
              </w:rPr>
              <w:t>Display provider allocation and clarify continuity options.</w:t>
            </w:r>
          </w:p>
        </w:tc>
      </w:tr>
      <w:tr w:rsidR="00EB086B" w14:paraId="770D6D68" w14:textId="77777777">
        <w:trPr>
          <w:jc w:val="center"/>
        </w:trPr>
        <w:tc>
          <w:tcPr>
            <w:tcW w:w="1728" w:type="dxa"/>
          </w:tcPr>
          <w:p w14:paraId="1BA17721" w14:textId="77777777" w:rsidR="00EB086B" w:rsidRDefault="00000000">
            <w:r>
              <w:rPr>
                <w:sz w:val="18"/>
              </w:rPr>
              <w:t>Prompt attention</w:t>
            </w:r>
          </w:p>
        </w:tc>
        <w:tc>
          <w:tcPr>
            <w:tcW w:w="2448" w:type="dxa"/>
          </w:tcPr>
          <w:p w14:paraId="1C63DD52" w14:textId="77777777" w:rsidR="00EB086B" w:rsidRDefault="00000000">
            <w:r>
              <w:rPr>
                <w:sz w:val="18"/>
              </w:rPr>
              <w:t>Weak; waiting time is the main concern.</w:t>
            </w:r>
          </w:p>
        </w:tc>
        <w:tc>
          <w:tcPr>
            <w:tcW w:w="2448" w:type="dxa"/>
          </w:tcPr>
          <w:p w14:paraId="3E2E4C56" w14:textId="77777777" w:rsidR="00EB086B" w:rsidRDefault="00000000">
            <w:r>
              <w:rPr>
                <w:sz w:val="18"/>
              </w:rPr>
              <w:t>Registration and consultation bottlenecks; uneven arrival patterns.</w:t>
            </w:r>
          </w:p>
        </w:tc>
        <w:tc>
          <w:tcPr>
            <w:tcW w:w="2880" w:type="dxa"/>
          </w:tcPr>
          <w:p w14:paraId="113345E7" w14:textId="77777777" w:rsidR="00EB086B" w:rsidRDefault="00000000">
            <w:r>
              <w:rPr>
                <w:sz w:val="18"/>
              </w:rPr>
              <w:t>Map patient flow and redesign queues.</w:t>
            </w:r>
          </w:p>
        </w:tc>
      </w:tr>
    </w:tbl>
    <w:p w14:paraId="592B1B5A" w14:textId="77777777" w:rsidR="00EB086B" w:rsidRDefault="00EB086B"/>
    <w:p w14:paraId="65C52D2D" w14:textId="77777777" w:rsidR="00EB086B" w:rsidRDefault="00000000">
      <w:pPr>
        <w:pStyle w:val="Heading2"/>
      </w:pPr>
      <w:r>
        <w:rPr>
          <w:rFonts w:ascii="Times New Roman" w:hAnsi="Times New Roman"/>
        </w:rPr>
        <w:t>Improvement-priority analysis</w:t>
      </w:r>
    </w:p>
    <w:p w14:paraId="5862FD40" w14:textId="77777777" w:rsidR="00EB086B" w:rsidRDefault="00000000">
      <w:pPr>
        <w:jc w:val="both"/>
      </w:pPr>
      <w:r>
        <w:rPr>
          <w:sz w:val="24"/>
        </w:rPr>
        <w:t>The improvement-priority analysis indicates that prompt attention should be the first operational priority. Although choice of provider scored equally low, prompt attention is likely to affect a larger number of patients and may also influence several other domains. Long waits can worsen perceptions of amenities, communication, dignity, and social support. Reducing waiting time may therefore produce a broad improvement in overall responsiveness.</w:t>
      </w:r>
    </w:p>
    <w:p w14:paraId="689A5B49" w14:textId="77777777" w:rsidR="00EB086B" w:rsidRDefault="00000000">
      <w:pPr>
        <w:jc w:val="both"/>
      </w:pPr>
      <w:r>
        <w:rPr>
          <w:sz w:val="24"/>
        </w:rPr>
        <w:t>The second priority is provider-allocation transparency. Because full provider choice may not be feasible in a public OPD, the realistic goal should be to improve predictability and perceived fairness. Patients should understand the queue, consultation room allocation, and whether special pathways exist. Transparency can reduce anxiety even when actual choice is limited.</w:t>
      </w:r>
    </w:p>
    <w:p w14:paraId="04ACF3F6" w14:textId="77777777" w:rsidR="00EB086B" w:rsidRDefault="00000000">
      <w:pPr>
        <w:jc w:val="both"/>
      </w:pPr>
      <w:r>
        <w:rPr>
          <w:sz w:val="24"/>
        </w:rPr>
        <w:t>The third priority is improvement of basic amenities. Although the score was moderate rather than weak, amenities are visible to all patients and can be improved through regular audits. Clean toilets, adequate seating, drinking water, clear signage, ventilation, waste control, and linen cleanliness should be included in a practical amenity checklist. Parking may require longer-term planning, but short-term improvements such as traffic direction and designated drop-off points may help.</w:t>
      </w:r>
    </w:p>
    <w:p w14:paraId="7A17E22E" w14:textId="77777777" w:rsidR="00EB086B" w:rsidRDefault="00000000">
      <w:pPr>
        <w:pStyle w:val="Caption"/>
      </w:pPr>
      <w:r>
        <w:rPr>
          <w:sz w:val="24"/>
        </w:rPr>
        <w:t>Table 8. Quality-improvement priority matrix</w:t>
      </w:r>
    </w:p>
    <w:tbl>
      <w:tblPr>
        <w:tblStyle w:val="TableGrid"/>
        <w:tblW w:w="0" w:type="auto"/>
        <w:jc w:val="center"/>
        <w:tblLook w:val="04A0" w:firstRow="1" w:lastRow="0" w:firstColumn="1" w:lastColumn="0" w:noHBand="0" w:noVBand="1"/>
      </w:tblPr>
      <w:tblGrid>
        <w:gridCol w:w="826"/>
        <w:gridCol w:w="1646"/>
        <w:gridCol w:w="1997"/>
        <w:gridCol w:w="3326"/>
        <w:gridCol w:w="2275"/>
      </w:tblGrid>
      <w:tr w:rsidR="00EB086B" w14:paraId="2FB43793" w14:textId="77777777">
        <w:trPr>
          <w:jc w:val="center"/>
        </w:trPr>
        <w:tc>
          <w:tcPr>
            <w:tcW w:w="792" w:type="dxa"/>
            <w:shd w:val="clear" w:color="auto" w:fill="D9EAF7"/>
          </w:tcPr>
          <w:p w14:paraId="014CF94C" w14:textId="77777777" w:rsidR="00EB086B" w:rsidRDefault="00000000">
            <w:r>
              <w:rPr>
                <w:b/>
                <w:sz w:val="18"/>
              </w:rPr>
              <w:t>Priority</w:t>
            </w:r>
          </w:p>
        </w:tc>
        <w:tc>
          <w:tcPr>
            <w:tcW w:w="1656" w:type="dxa"/>
            <w:shd w:val="clear" w:color="auto" w:fill="D9EAF7"/>
          </w:tcPr>
          <w:p w14:paraId="01049262" w14:textId="77777777" w:rsidR="00EB086B" w:rsidRDefault="00000000">
            <w:r>
              <w:rPr>
                <w:b/>
                <w:sz w:val="18"/>
              </w:rPr>
              <w:t>Problem area</w:t>
            </w:r>
          </w:p>
        </w:tc>
        <w:tc>
          <w:tcPr>
            <w:tcW w:w="2016" w:type="dxa"/>
            <w:shd w:val="clear" w:color="auto" w:fill="D9EAF7"/>
          </w:tcPr>
          <w:p w14:paraId="27706ECE" w14:textId="77777777" w:rsidR="00EB086B" w:rsidRDefault="00000000">
            <w:r>
              <w:rPr>
                <w:b/>
                <w:sz w:val="18"/>
              </w:rPr>
              <w:t>Evidence from findings</w:t>
            </w:r>
          </w:p>
        </w:tc>
        <w:tc>
          <w:tcPr>
            <w:tcW w:w="3384" w:type="dxa"/>
            <w:shd w:val="clear" w:color="auto" w:fill="D9EAF7"/>
          </w:tcPr>
          <w:p w14:paraId="1F579277" w14:textId="77777777" w:rsidR="00EB086B" w:rsidRDefault="00000000">
            <w:r>
              <w:rPr>
                <w:b/>
                <w:sz w:val="18"/>
              </w:rPr>
              <w:t>Recommended intervention</w:t>
            </w:r>
          </w:p>
        </w:tc>
        <w:tc>
          <w:tcPr>
            <w:tcW w:w="2304" w:type="dxa"/>
            <w:shd w:val="clear" w:color="auto" w:fill="D9EAF7"/>
          </w:tcPr>
          <w:p w14:paraId="7D9A9E34" w14:textId="77777777" w:rsidR="00EB086B" w:rsidRDefault="00000000">
            <w:r>
              <w:rPr>
                <w:b/>
                <w:sz w:val="18"/>
              </w:rPr>
              <w:t>Monitoring indicator</w:t>
            </w:r>
          </w:p>
        </w:tc>
      </w:tr>
      <w:tr w:rsidR="00EB086B" w14:paraId="187D6268" w14:textId="77777777">
        <w:trPr>
          <w:jc w:val="center"/>
        </w:trPr>
        <w:tc>
          <w:tcPr>
            <w:tcW w:w="792" w:type="dxa"/>
          </w:tcPr>
          <w:p w14:paraId="2FC4DC3E" w14:textId="77777777" w:rsidR="00EB086B" w:rsidRDefault="00000000">
            <w:r>
              <w:rPr>
                <w:sz w:val="18"/>
              </w:rPr>
              <w:t>1</w:t>
            </w:r>
          </w:p>
        </w:tc>
        <w:tc>
          <w:tcPr>
            <w:tcW w:w="1656" w:type="dxa"/>
          </w:tcPr>
          <w:p w14:paraId="2E420832" w14:textId="77777777" w:rsidR="00EB086B" w:rsidRDefault="00000000">
            <w:r>
              <w:rPr>
                <w:sz w:val="18"/>
              </w:rPr>
              <w:t>Waiting time and prompt attention</w:t>
            </w:r>
          </w:p>
        </w:tc>
        <w:tc>
          <w:tcPr>
            <w:tcW w:w="2016" w:type="dxa"/>
          </w:tcPr>
          <w:p w14:paraId="36413F8E" w14:textId="77777777" w:rsidR="00EB086B" w:rsidRDefault="00000000">
            <w:r>
              <w:rPr>
                <w:sz w:val="18"/>
              </w:rPr>
              <w:t>Prompt attention scored 65; waiting time was the weakest item.</w:t>
            </w:r>
          </w:p>
        </w:tc>
        <w:tc>
          <w:tcPr>
            <w:tcW w:w="3384" w:type="dxa"/>
          </w:tcPr>
          <w:p w14:paraId="002FF8D1" w14:textId="77777777" w:rsidR="00EB086B" w:rsidRDefault="00000000">
            <w:r>
              <w:rPr>
                <w:sz w:val="18"/>
              </w:rPr>
              <w:t>Conduct patient-flow mapping, identify bottlenecks, introduce or strengthen token/queue systems, separate fast-track for vulnerable patients, and monitor time at each service point.</w:t>
            </w:r>
          </w:p>
        </w:tc>
        <w:tc>
          <w:tcPr>
            <w:tcW w:w="2304" w:type="dxa"/>
          </w:tcPr>
          <w:p w14:paraId="4B690F51" w14:textId="77777777" w:rsidR="00EB086B" w:rsidRDefault="00000000">
            <w:r>
              <w:rPr>
                <w:sz w:val="18"/>
              </w:rPr>
              <w:t>Median waiting time; proportion seen within target time; patient rating of prompt attention.</w:t>
            </w:r>
          </w:p>
        </w:tc>
      </w:tr>
      <w:tr w:rsidR="00EB086B" w14:paraId="59519059" w14:textId="77777777">
        <w:trPr>
          <w:jc w:val="center"/>
        </w:trPr>
        <w:tc>
          <w:tcPr>
            <w:tcW w:w="792" w:type="dxa"/>
          </w:tcPr>
          <w:p w14:paraId="1D34F8B0" w14:textId="77777777" w:rsidR="00EB086B" w:rsidRDefault="00000000">
            <w:r>
              <w:rPr>
                <w:sz w:val="18"/>
              </w:rPr>
              <w:t>2</w:t>
            </w:r>
          </w:p>
        </w:tc>
        <w:tc>
          <w:tcPr>
            <w:tcW w:w="1656" w:type="dxa"/>
          </w:tcPr>
          <w:p w14:paraId="143547AA" w14:textId="77777777" w:rsidR="00EB086B" w:rsidRDefault="00000000">
            <w:r>
              <w:rPr>
                <w:sz w:val="18"/>
              </w:rPr>
              <w:t>Provider allocation and perceived choice</w:t>
            </w:r>
          </w:p>
        </w:tc>
        <w:tc>
          <w:tcPr>
            <w:tcW w:w="2016" w:type="dxa"/>
          </w:tcPr>
          <w:p w14:paraId="5B0B026C" w14:textId="77777777" w:rsidR="00EB086B" w:rsidRDefault="00000000">
            <w:r>
              <w:rPr>
                <w:sz w:val="18"/>
              </w:rPr>
              <w:t>Choice of provider scored 65.</w:t>
            </w:r>
          </w:p>
        </w:tc>
        <w:tc>
          <w:tcPr>
            <w:tcW w:w="3384" w:type="dxa"/>
          </w:tcPr>
          <w:p w14:paraId="5068D5E1" w14:textId="77777777" w:rsidR="00EB086B" w:rsidRDefault="00000000">
            <w:r>
              <w:rPr>
                <w:sz w:val="18"/>
              </w:rPr>
              <w:t>Display duty-room allocation, explain queue logic, create continuity mechanism for selected chronic/sensitive cases where feasible.</w:t>
            </w:r>
          </w:p>
        </w:tc>
        <w:tc>
          <w:tcPr>
            <w:tcW w:w="2304" w:type="dxa"/>
          </w:tcPr>
          <w:p w14:paraId="60E2011D" w14:textId="77777777" w:rsidR="00EB086B" w:rsidRDefault="00000000">
            <w:r>
              <w:rPr>
                <w:sz w:val="18"/>
              </w:rPr>
              <w:t>Patient understanding of provider allocation; complaints related to queue or provider allocation.</w:t>
            </w:r>
          </w:p>
        </w:tc>
      </w:tr>
      <w:tr w:rsidR="00EB086B" w14:paraId="6635CAA0" w14:textId="77777777">
        <w:trPr>
          <w:jc w:val="center"/>
        </w:trPr>
        <w:tc>
          <w:tcPr>
            <w:tcW w:w="792" w:type="dxa"/>
          </w:tcPr>
          <w:p w14:paraId="291B85DE" w14:textId="77777777" w:rsidR="00EB086B" w:rsidRDefault="00000000">
            <w:r>
              <w:rPr>
                <w:sz w:val="18"/>
              </w:rPr>
              <w:t>3</w:t>
            </w:r>
          </w:p>
        </w:tc>
        <w:tc>
          <w:tcPr>
            <w:tcW w:w="1656" w:type="dxa"/>
          </w:tcPr>
          <w:p w14:paraId="1FEB5FD4" w14:textId="77777777" w:rsidR="00EB086B" w:rsidRDefault="00000000">
            <w:r>
              <w:rPr>
                <w:sz w:val="18"/>
              </w:rPr>
              <w:t>Basic amenities</w:t>
            </w:r>
          </w:p>
        </w:tc>
        <w:tc>
          <w:tcPr>
            <w:tcW w:w="2016" w:type="dxa"/>
          </w:tcPr>
          <w:p w14:paraId="23C81B1D" w14:textId="77777777" w:rsidR="00EB086B" w:rsidRDefault="00000000">
            <w:r>
              <w:rPr>
                <w:sz w:val="18"/>
              </w:rPr>
              <w:t>Amenities scored 73; linen cleanliness and parking weaker.</w:t>
            </w:r>
          </w:p>
        </w:tc>
        <w:tc>
          <w:tcPr>
            <w:tcW w:w="3384" w:type="dxa"/>
          </w:tcPr>
          <w:p w14:paraId="4EC4EBDF" w14:textId="77777777" w:rsidR="00EB086B" w:rsidRDefault="00000000">
            <w:r>
              <w:rPr>
                <w:sz w:val="18"/>
              </w:rPr>
              <w:t>Introduce weekly amenity audit covering seating, toilets, cleanliness, drinking water, signage, ventilation, linen and parking flow.</w:t>
            </w:r>
          </w:p>
        </w:tc>
        <w:tc>
          <w:tcPr>
            <w:tcW w:w="2304" w:type="dxa"/>
          </w:tcPr>
          <w:p w14:paraId="739996A9" w14:textId="77777777" w:rsidR="00EB086B" w:rsidRDefault="00000000">
            <w:r>
              <w:rPr>
                <w:sz w:val="18"/>
              </w:rPr>
              <w:t>Amenity audit score; corrective actions completed; patient amenity score.</w:t>
            </w:r>
          </w:p>
        </w:tc>
      </w:tr>
      <w:tr w:rsidR="00EB086B" w14:paraId="7B5401D2" w14:textId="77777777">
        <w:trPr>
          <w:jc w:val="center"/>
        </w:trPr>
        <w:tc>
          <w:tcPr>
            <w:tcW w:w="792" w:type="dxa"/>
          </w:tcPr>
          <w:p w14:paraId="38AB5848" w14:textId="77777777" w:rsidR="00EB086B" w:rsidRDefault="00000000">
            <w:r>
              <w:rPr>
                <w:sz w:val="18"/>
              </w:rPr>
              <w:t>4</w:t>
            </w:r>
          </w:p>
        </w:tc>
        <w:tc>
          <w:tcPr>
            <w:tcW w:w="1656" w:type="dxa"/>
          </w:tcPr>
          <w:p w14:paraId="20669B2C" w14:textId="77777777" w:rsidR="00EB086B" w:rsidRDefault="00000000">
            <w:r>
              <w:rPr>
                <w:sz w:val="18"/>
              </w:rPr>
              <w:t>Risk explanation and informed communication</w:t>
            </w:r>
          </w:p>
        </w:tc>
        <w:tc>
          <w:tcPr>
            <w:tcW w:w="2016" w:type="dxa"/>
          </w:tcPr>
          <w:p w14:paraId="1B5BB8BC" w14:textId="77777777" w:rsidR="00EB086B" w:rsidRDefault="00000000">
            <w:r>
              <w:rPr>
                <w:sz w:val="18"/>
              </w:rPr>
              <w:t>Communication and autonomy strong overall, but risk explanation less consistent.</w:t>
            </w:r>
          </w:p>
        </w:tc>
        <w:tc>
          <w:tcPr>
            <w:tcW w:w="3384" w:type="dxa"/>
          </w:tcPr>
          <w:p w14:paraId="28CABE4B" w14:textId="77777777" w:rsidR="00EB086B" w:rsidRDefault="00000000">
            <w:r>
              <w:rPr>
                <w:sz w:val="18"/>
              </w:rPr>
              <w:t>Use standard counselling prompts and teach-back for medicines, investigations, referrals and warning signs.</w:t>
            </w:r>
          </w:p>
        </w:tc>
        <w:tc>
          <w:tcPr>
            <w:tcW w:w="2304" w:type="dxa"/>
          </w:tcPr>
          <w:p w14:paraId="04F30D5B" w14:textId="77777777" w:rsidR="00EB086B" w:rsidRDefault="00000000">
            <w:r>
              <w:rPr>
                <w:sz w:val="18"/>
              </w:rPr>
              <w:t>Proportion of observed consultations using key counselling points; communication score.</w:t>
            </w:r>
          </w:p>
        </w:tc>
      </w:tr>
      <w:tr w:rsidR="00EB086B" w14:paraId="4CA057BA" w14:textId="77777777">
        <w:trPr>
          <w:jc w:val="center"/>
        </w:trPr>
        <w:tc>
          <w:tcPr>
            <w:tcW w:w="792" w:type="dxa"/>
          </w:tcPr>
          <w:p w14:paraId="60D6C41B" w14:textId="77777777" w:rsidR="00EB086B" w:rsidRDefault="00000000">
            <w:r>
              <w:rPr>
                <w:sz w:val="18"/>
              </w:rPr>
              <w:t>5</w:t>
            </w:r>
          </w:p>
        </w:tc>
        <w:tc>
          <w:tcPr>
            <w:tcW w:w="1656" w:type="dxa"/>
          </w:tcPr>
          <w:p w14:paraId="2A2E3287" w14:textId="77777777" w:rsidR="00EB086B" w:rsidRDefault="00000000">
            <w:r>
              <w:rPr>
                <w:sz w:val="18"/>
              </w:rPr>
              <w:t>Social support</w:t>
            </w:r>
          </w:p>
        </w:tc>
        <w:tc>
          <w:tcPr>
            <w:tcW w:w="2016" w:type="dxa"/>
          </w:tcPr>
          <w:p w14:paraId="49551C0A" w14:textId="77777777" w:rsidR="00EB086B" w:rsidRDefault="00000000">
            <w:r>
              <w:rPr>
                <w:sz w:val="18"/>
              </w:rPr>
              <w:t>Social support scored 74.</w:t>
            </w:r>
          </w:p>
        </w:tc>
        <w:tc>
          <w:tcPr>
            <w:tcW w:w="3384" w:type="dxa"/>
          </w:tcPr>
          <w:p w14:paraId="612191E9" w14:textId="77777777" w:rsidR="00EB086B" w:rsidRDefault="00000000">
            <w:r>
              <w:rPr>
                <w:sz w:val="18"/>
              </w:rPr>
              <w:t>Define companion policy for elderly, disabled, pregnant, paediatric, anxious and language-limited patients while preserving privacy.</w:t>
            </w:r>
          </w:p>
        </w:tc>
        <w:tc>
          <w:tcPr>
            <w:tcW w:w="2304" w:type="dxa"/>
          </w:tcPr>
          <w:p w14:paraId="5FE76F29" w14:textId="77777777" w:rsidR="00EB086B" w:rsidRDefault="00000000">
            <w:r>
              <w:rPr>
                <w:sz w:val="18"/>
              </w:rPr>
              <w:t>Patient rating of social support; crowding complaints; privacy incidents.</w:t>
            </w:r>
          </w:p>
        </w:tc>
      </w:tr>
    </w:tbl>
    <w:p w14:paraId="3E5260A0" w14:textId="77777777" w:rsidR="00EB086B" w:rsidRDefault="00EB086B"/>
    <w:p w14:paraId="79519CBC" w14:textId="77777777" w:rsidR="00EB086B" w:rsidRDefault="00000000">
      <w:pPr>
        <w:pStyle w:val="Heading1"/>
      </w:pPr>
      <w:r>
        <w:rPr>
          <w:rFonts w:ascii="Times New Roman" w:hAnsi="Times New Roman"/>
          <w:sz w:val="24"/>
        </w:rPr>
        <w:t>Discussion</w:t>
      </w:r>
    </w:p>
    <w:p w14:paraId="4AF6C47E" w14:textId="77777777" w:rsidR="00EB086B" w:rsidRDefault="00000000">
      <w:pPr>
        <w:jc w:val="both"/>
      </w:pPr>
      <w:r>
        <w:rPr>
          <w:sz w:val="24"/>
        </w:rPr>
        <w:t>This study assessed OPD responsiveness at Base Hospital Sammanthurai using WHO domains and found a mixed but informative profile. Overall responsiveness was good, but the pattern was uneven. Interpersonal and ethical dimensions were strong, while operational and environmental dimensions were weaker. This is an important finding because it helps hospital managers identify the type of improvement required. The results suggest that the hospital has a good foundation of respectful and confidential care, but patient-flow and service-environment improvements are needed to make the OPD more responsive (World Health Organization, 2000; Valentine et al., 2003).</w:t>
      </w:r>
    </w:p>
    <w:p w14:paraId="77DCFAB3" w14:textId="77777777" w:rsidR="00EB086B" w:rsidRDefault="00000000">
      <w:pPr>
        <w:jc w:val="both"/>
      </w:pPr>
      <w:r>
        <w:rPr>
          <w:sz w:val="24"/>
        </w:rPr>
        <w:t>The high score for confidentiality is encouraging. Confidentiality is central to trust, especially in a hospital setting where patients may disclose sensitive information. In outpatient departments, confidentiality can be threatened by crowding, shared consultation spaces, and public counters. A high score suggests that staff may be maintaining appropriate discretion despite these constraints. This strength should not be taken for granted. Maintaining confidentiality requires continuous attention to consultation layout, voice levels, patient-record handling, and privacy during history-taking and examination (Valentine et al., 2003).</w:t>
      </w:r>
    </w:p>
    <w:p w14:paraId="738A9890" w14:textId="77777777" w:rsidR="00EB086B" w:rsidRDefault="00000000">
      <w:pPr>
        <w:jc w:val="both"/>
      </w:pPr>
      <w:r>
        <w:rPr>
          <w:sz w:val="24"/>
        </w:rPr>
        <w:t>Dignity also scored strongly. Respectful treatment is a core ethical requirement and a key determinant of patient trust. In resource-constrained public hospitals, staff often work under pressure, but patients still expect to be addressed politely and treated without humiliation. The strong dignity score indicates that patients generally perceived staff behaviour positively. This is important because respectful behaviour can reduce anxiety, improve cooperation, and encourage patients to return for follow-up. Maintaining this strength requires supportive supervision, role modelling by senior staff, and prompt correction of disrespectful practices if they occur (World Health Organization, 2000).</w:t>
      </w:r>
    </w:p>
    <w:p w14:paraId="270BCFF7" w14:textId="77777777" w:rsidR="00EB086B" w:rsidRDefault="00000000">
      <w:pPr>
        <w:jc w:val="both"/>
      </w:pPr>
      <w:r>
        <w:rPr>
          <w:sz w:val="24"/>
        </w:rPr>
        <w:t>Communication and autonomy were also above the benchmark. These domains are closely linked. Communication provides the information patients need, while autonomy reflects their ability to participate in decisions. In an OPD, communication must be concise but effective. Patients need to understand what illness is suspected, how to take medicines, when to return, what danger signs to watch for, and where to go next. Even a short explanation can improve adherence and reduce unnecessary re-attendance. The finding that risk explanation may be weaker suggests that communication is strong but not fully standardized. Staff may provide basic instructions but may not consistently explain risks, alternatives, or warning signs. This can be improved through simple counselling checklists for common OPD situations (Valentine et al., 2010).</w:t>
      </w:r>
    </w:p>
    <w:p w14:paraId="0B35EFC1" w14:textId="77777777" w:rsidR="00EB086B" w:rsidRDefault="00000000">
      <w:pPr>
        <w:jc w:val="both"/>
      </w:pPr>
      <w:r>
        <w:rPr>
          <w:sz w:val="24"/>
        </w:rPr>
        <w:t>The weaker score for prompt attention is one of the most important findings of the study. Waiting time is a common problem in public OPDs and is often driven by system-level factors rather than individual staff effort. Patients may wait at registration, outside consultation rooms, at pharmacies, or for investigations. If patients do not understand the queue or expected waiting time, the experience may feel even worse. Long waiting can also create crowding, reduce comfort, increase tension, and make communication more difficult. Therefore, waiting-time reduction should be considered a central responsiveness intervention rather than a minor administrative issue (Kalubowila et al., 2017; Robone et al., 2011).</w:t>
      </w:r>
    </w:p>
    <w:p w14:paraId="2F3B7B5B" w14:textId="77777777" w:rsidR="00EB086B" w:rsidRDefault="00000000">
      <w:pPr>
        <w:jc w:val="both"/>
      </w:pPr>
      <w:r>
        <w:rPr>
          <w:sz w:val="24"/>
        </w:rPr>
        <w:lastRenderedPageBreak/>
        <w:t>A practical response to waiting time should begin with patient-flow mapping. The hospital should map each step from patient arrival to exit and record approximate waiting and service times. This will identify whether the main bottleneck is registration, consultation, pharmacy, investigations, or patient routing. Once bottlenecks are known, the hospital can test small changes using quality-improvement cycles. Possible interventions include better signage, separate queues for elderly or disabled patients, redistribution of staff during peak hours, token systems, appointment or staggered review systems for chronic patients, and improved coordination between OPD and pharmacy.</w:t>
      </w:r>
    </w:p>
    <w:p w14:paraId="17F82D66" w14:textId="77777777" w:rsidR="00EB086B" w:rsidRDefault="00000000">
      <w:pPr>
        <w:jc w:val="both"/>
      </w:pPr>
      <w:r>
        <w:rPr>
          <w:sz w:val="24"/>
        </w:rPr>
        <w:t>Choice of provider was also weak. In a public hospital OPD, this result should be interpreted carefully. Patients may not realistically expect to select any doctor, because provider allocation depends on duty rosters and patient load. However, low choice can still reflect a lack of transparency or continuity. Patients may not know which doctor they will see, why they are assigned to a certain room, or whether they can request continuity for chronic conditions. Improving responsiveness in this domain does not necessarily require unrestricted provider choice. Instead, the hospital can improve information, fairness, and predictability. Displaying duty allocation, explaining queue systems, and allowing continuity arrangements in selected cases may improve perceived control.</w:t>
      </w:r>
    </w:p>
    <w:p w14:paraId="26F265A4" w14:textId="77777777" w:rsidR="00EB086B" w:rsidRDefault="00000000">
      <w:pPr>
        <w:jc w:val="both"/>
      </w:pPr>
      <w:r>
        <w:rPr>
          <w:sz w:val="24"/>
        </w:rPr>
        <w:t>Basic amenities received a moderate score. This finding should not be dismissed because amenities affect all patients, including those who wait for long periods. Clean toilets, adequate seating, ventilation, drinking water, readable signage, and clean linen are visible markers of care quality. They also affect dignity and comfort. Some amenity improvements require resources, but many can be achieved through better maintenance routines, cleaning supervision, simple signage, and patient-flow organization. Parking may be more difficult to address, but even basic traffic-direction measures and drop-off arrangements can improve patient experience.</w:t>
      </w:r>
    </w:p>
    <w:p w14:paraId="3C321846" w14:textId="77777777" w:rsidR="00EB086B" w:rsidRDefault="00000000">
      <w:pPr>
        <w:jc w:val="both"/>
      </w:pPr>
      <w:r>
        <w:rPr>
          <w:sz w:val="24"/>
        </w:rPr>
        <w:t>Access to social support was also moderate. In the OPD context, social support must be balanced with crowd control and confidentiality. Some patients require companions because of age, disability, language difficulty, anxiety, or illness severity. At the same time, unrestricted companion entry may worsen crowding and reduce privacy. A clear companion policy can improve this domain. Such a policy may allow companions for selected vulnerable groups while limiting unnecessary crowding in consultation areas. Staff should apply the policy consistently and respectfully.</w:t>
      </w:r>
    </w:p>
    <w:p w14:paraId="68DA0B25" w14:textId="77777777" w:rsidR="00EB086B" w:rsidRDefault="00000000">
      <w:pPr>
        <w:jc w:val="both"/>
      </w:pPr>
      <w:r>
        <w:rPr>
          <w:sz w:val="24"/>
        </w:rPr>
        <w:t>The grouped analysis showed that interpersonal responsiveness averaged 85, while service-organization and environmental responsiveness averaged 69.25. This difference is perhaps the most important analytical contribution of the revised results. It shows that the hospital’s main weakness is not the basic attitude of staff but the organization of service delivery. This distinction can prevent misdirected interventions. A general customer-care training programme alone would not solve waiting time, amenities, or provider-allocation problems. Similarly, infrastructure improvements alone would not maintain dignity and communication. A balanced approach is required, but operational redesign should receive special attention (Donabedian, 1988; Mirzoev &amp; Kane, 2017).</w:t>
      </w:r>
    </w:p>
    <w:p w14:paraId="0FEA82DB" w14:textId="77777777" w:rsidR="00EB086B" w:rsidRDefault="00000000">
      <w:pPr>
        <w:jc w:val="both"/>
      </w:pPr>
      <w:r>
        <w:rPr>
          <w:sz w:val="24"/>
        </w:rPr>
        <w:t xml:space="preserve">These findings are consistent with the broader responsiveness literature, which emphasizes that responsiveness is shaped by both interpersonal behaviour and health-system organization. Studies of responsiveness have shown that patients value dignity, communication, privacy, and prompt attention across settings. They also show that responsiveness research should not end with measurement. Feedback </w:t>
      </w:r>
      <w:r>
        <w:rPr>
          <w:sz w:val="24"/>
        </w:rPr>
        <w:lastRenderedPageBreak/>
        <w:t>must be translated into system responses. For the present hospital, this means that the audit should be treated as a baseline for quality improvement. A repeat audit after intervention would allow the hospital to measure whether changes have improved patient experience (Khan et al., 2021; Robone et al., 2011).</w:t>
      </w:r>
    </w:p>
    <w:p w14:paraId="32AABB10" w14:textId="77777777" w:rsidR="00EB086B" w:rsidRDefault="00000000">
      <w:pPr>
        <w:jc w:val="both"/>
      </w:pPr>
      <w:r>
        <w:rPr>
          <w:sz w:val="24"/>
        </w:rPr>
        <w:t>The findings also align with Donabedian’s structure-process-outcome model. Basic amenities are structural features. Communication, dignity, confidentiality, autonomy, queue management, and provider allocation are process features. Patient-perceived responsiveness is an outcome of these structures and processes. Therefore, the study supports the idea that improving patient experience requires both structural and process interventions. Managers should not expect patient perceptions to improve without changing the service environment and patient journey (Donabedian, 1988).</w:t>
      </w:r>
    </w:p>
    <w:p w14:paraId="5AD734CB" w14:textId="77777777" w:rsidR="00EB086B" w:rsidRDefault="00000000">
      <w:pPr>
        <w:jc w:val="both"/>
      </w:pPr>
      <w:r>
        <w:rPr>
          <w:sz w:val="24"/>
        </w:rPr>
        <w:t>For journal interpretation, it is important to be cautious about generalization. The sample included 100 patients from one hospital OPD. The results provide a useful facility-level baseline but cannot represent all OPDs in Sri Lanka. In addition, because individual-level data were not available for this manuscript, it was not possible to explore whether older patients, female patients, first-time patients, or patients attending at peak hours reported different responsiveness. These analyses would be valuable in future research. Nevertheless, the domain profile provides useful and actionable evidence for local improvement (von Elm et al., 2007).</w:t>
      </w:r>
    </w:p>
    <w:p w14:paraId="0D1143BD" w14:textId="77777777" w:rsidR="00EB086B" w:rsidRDefault="00000000">
      <w:pPr>
        <w:pStyle w:val="Heading1"/>
      </w:pPr>
      <w:r>
        <w:rPr>
          <w:rFonts w:ascii="Times New Roman" w:hAnsi="Times New Roman"/>
          <w:sz w:val="24"/>
        </w:rPr>
        <w:t>Recommendations</w:t>
      </w:r>
    </w:p>
    <w:p w14:paraId="6A606407" w14:textId="77777777" w:rsidR="00EB086B" w:rsidRDefault="00000000">
      <w:pPr>
        <w:jc w:val="both"/>
      </w:pPr>
      <w:r>
        <w:rPr>
          <w:sz w:val="24"/>
        </w:rPr>
        <w:t>First, the hospital should implement patient-flow redesign to improve prompt attention. This should begin with a one-week patient-flow study, measuring arrival patterns, registration time, waiting time before consultation, consultation time, pharmacy waiting time, and total visit time. The findings should be reviewed by the hospital management team and OPD staff. Based on bottlenecks, the hospital can test practical interventions such as token systems, clearer queues, peak-hour staff redistribution, fast-track arrangements for vulnerable patients, and improved signage.</w:t>
      </w:r>
    </w:p>
    <w:p w14:paraId="0EEA4D7E" w14:textId="77777777" w:rsidR="00EB086B" w:rsidRDefault="00000000">
      <w:pPr>
        <w:jc w:val="both"/>
      </w:pPr>
      <w:r>
        <w:rPr>
          <w:sz w:val="24"/>
        </w:rPr>
        <w:t>Second, the hospital should improve transparency of provider allocation. Patients should be able to see which consultation rooms are functioning, which categories of patients should go where, and how the queue is organized. Where feasible, continuity arrangements can be introduced for selected chronic disease follow-up or sensitive complaints. Even if provider choice is limited, clear information can improve perceived fairness and control.</w:t>
      </w:r>
    </w:p>
    <w:p w14:paraId="4DAB924B" w14:textId="77777777" w:rsidR="00EB086B" w:rsidRDefault="00000000">
      <w:pPr>
        <w:jc w:val="both"/>
      </w:pPr>
      <w:r>
        <w:rPr>
          <w:sz w:val="24"/>
        </w:rPr>
        <w:t>Third, the hospital should conduct routine amenity audits. A simple weekly checklist can cover seating, toilets, cleaning, drinking water, ventilation, waste bins, signage, linen, and parking flow. Corrective actions should be assigned to responsible officers with deadlines. The audit results can be displayed internally and reviewed at quality or hospital management meetings.</w:t>
      </w:r>
    </w:p>
    <w:p w14:paraId="4A1837F0" w14:textId="77777777" w:rsidR="00EB086B" w:rsidRDefault="00000000">
      <w:pPr>
        <w:jc w:val="both"/>
      </w:pPr>
      <w:r>
        <w:rPr>
          <w:sz w:val="24"/>
        </w:rPr>
        <w:t>Fourth, communication and autonomy should be strengthened through standard counselling prompts. For common OPD decisions, staff can use short explanation scripts covering diagnosis or working impression, treatment, medication use, warning signs, follow-up, and when to return. Teach-back can be used selectively, especially for elderly patients, patients with low health literacy, and those receiving complex instructions.</w:t>
      </w:r>
    </w:p>
    <w:p w14:paraId="1E26D339" w14:textId="77777777" w:rsidR="00EB086B" w:rsidRDefault="00000000">
      <w:pPr>
        <w:jc w:val="both"/>
      </w:pPr>
      <w:r>
        <w:rPr>
          <w:sz w:val="24"/>
        </w:rPr>
        <w:lastRenderedPageBreak/>
        <w:t>Fifth, responsiveness monitoring should become routine. The same WHO-based checklist can be repeated quarterly or biannually. Repeated measurement will allow the hospital to track progress, identify whether interventions are working, and maintain accountability to patients. A small dashboard could include domain scores, waiting-time indicators, complaint themes, and corrective actions completed (Khan et al., 2021).</w:t>
      </w:r>
    </w:p>
    <w:p w14:paraId="5281EDCC" w14:textId="77777777" w:rsidR="00EB086B" w:rsidRDefault="00000000">
      <w:pPr>
        <w:pStyle w:val="Heading2"/>
      </w:pPr>
      <w:r>
        <w:rPr>
          <w:rFonts w:ascii="Times New Roman" w:hAnsi="Times New Roman"/>
        </w:rPr>
        <w:t>Proposed action plan</w:t>
      </w:r>
    </w:p>
    <w:p w14:paraId="5D8C9EDF" w14:textId="77777777" w:rsidR="00EB086B" w:rsidRDefault="00000000">
      <w:pPr>
        <w:pStyle w:val="Caption"/>
      </w:pPr>
      <w:r>
        <w:rPr>
          <w:sz w:val="24"/>
        </w:rPr>
        <w:t>Table 9. Proposed OPD responsiveness improvement action plan</w:t>
      </w:r>
    </w:p>
    <w:tbl>
      <w:tblPr>
        <w:tblStyle w:val="TableGrid"/>
        <w:tblW w:w="0" w:type="auto"/>
        <w:jc w:val="center"/>
        <w:tblLook w:val="04A0" w:firstRow="1" w:lastRow="0" w:firstColumn="1" w:lastColumn="0" w:noHBand="0" w:noVBand="1"/>
      </w:tblPr>
      <w:tblGrid>
        <w:gridCol w:w="2300"/>
        <w:gridCol w:w="2016"/>
        <w:gridCol w:w="1295"/>
        <w:gridCol w:w="2158"/>
        <w:gridCol w:w="2301"/>
      </w:tblGrid>
      <w:tr w:rsidR="00EB086B" w14:paraId="119AF1EC" w14:textId="77777777">
        <w:trPr>
          <w:jc w:val="center"/>
        </w:trPr>
        <w:tc>
          <w:tcPr>
            <w:tcW w:w="2304" w:type="dxa"/>
            <w:shd w:val="clear" w:color="auto" w:fill="D9EAF7"/>
          </w:tcPr>
          <w:p w14:paraId="76B7C333" w14:textId="77777777" w:rsidR="00EB086B" w:rsidRDefault="00000000">
            <w:r>
              <w:rPr>
                <w:b/>
                <w:sz w:val="18"/>
              </w:rPr>
              <w:t>Action</w:t>
            </w:r>
          </w:p>
        </w:tc>
        <w:tc>
          <w:tcPr>
            <w:tcW w:w="2016" w:type="dxa"/>
            <w:shd w:val="clear" w:color="auto" w:fill="D9EAF7"/>
          </w:tcPr>
          <w:p w14:paraId="02C874D7" w14:textId="77777777" w:rsidR="00EB086B" w:rsidRDefault="00000000">
            <w:r>
              <w:rPr>
                <w:b/>
                <w:sz w:val="18"/>
              </w:rPr>
              <w:t>Responsible persons</w:t>
            </w:r>
          </w:p>
        </w:tc>
        <w:tc>
          <w:tcPr>
            <w:tcW w:w="1296" w:type="dxa"/>
            <w:shd w:val="clear" w:color="auto" w:fill="D9EAF7"/>
          </w:tcPr>
          <w:p w14:paraId="5F371294" w14:textId="77777777" w:rsidR="00EB086B" w:rsidRDefault="00000000">
            <w:r>
              <w:rPr>
                <w:b/>
                <w:sz w:val="18"/>
              </w:rPr>
              <w:t>Timeline</w:t>
            </w:r>
          </w:p>
        </w:tc>
        <w:tc>
          <w:tcPr>
            <w:tcW w:w="2160" w:type="dxa"/>
            <w:shd w:val="clear" w:color="auto" w:fill="D9EAF7"/>
          </w:tcPr>
          <w:p w14:paraId="5ED093A1" w14:textId="77777777" w:rsidR="00EB086B" w:rsidRDefault="00000000">
            <w:r>
              <w:rPr>
                <w:b/>
                <w:sz w:val="18"/>
              </w:rPr>
              <w:t>Resources required</w:t>
            </w:r>
          </w:p>
        </w:tc>
        <w:tc>
          <w:tcPr>
            <w:tcW w:w="2304" w:type="dxa"/>
            <w:shd w:val="clear" w:color="auto" w:fill="D9EAF7"/>
          </w:tcPr>
          <w:p w14:paraId="02BC6C7F" w14:textId="77777777" w:rsidR="00EB086B" w:rsidRDefault="00000000">
            <w:r>
              <w:rPr>
                <w:b/>
                <w:sz w:val="18"/>
              </w:rPr>
              <w:t>Expected output</w:t>
            </w:r>
          </w:p>
        </w:tc>
      </w:tr>
      <w:tr w:rsidR="00EB086B" w14:paraId="2B3E6C21" w14:textId="77777777">
        <w:trPr>
          <w:jc w:val="center"/>
        </w:trPr>
        <w:tc>
          <w:tcPr>
            <w:tcW w:w="2304" w:type="dxa"/>
          </w:tcPr>
          <w:p w14:paraId="003F9D8B" w14:textId="77777777" w:rsidR="00EB086B" w:rsidRDefault="00000000">
            <w:r>
              <w:rPr>
                <w:sz w:val="18"/>
              </w:rPr>
              <w:t>Conduct OPD patient-flow mapping and waiting-time measurement.</w:t>
            </w:r>
          </w:p>
        </w:tc>
        <w:tc>
          <w:tcPr>
            <w:tcW w:w="2016" w:type="dxa"/>
          </w:tcPr>
          <w:p w14:paraId="238B8775" w14:textId="77777777" w:rsidR="00EB086B" w:rsidRDefault="00000000">
            <w:r>
              <w:rPr>
                <w:sz w:val="18"/>
              </w:rPr>
              <w:t>Medical superintendent/director, OPD in-charge, nursing sister, quality focal point.</w:t>
            </w:r>
          </w:p>
        </w:tc>
        <w:tc>
          <w:tcPr>
            <w:tcW w:w="1296" w:type="dxa"/>
          </w:tcPr>
          <w:p w14:paraId="3AD8628E" w14:textId="77777777" w:rsidR="00EB086B" w:rsidRDefault="00000000">
            <w:r>
              <w:rPr>
                <w:sz w:val="18"/>
              </w:rPr>
              <w:t>Weeks 1-2</w:t>
            </w:r>
          </w:p>
        </w:tc>
        <w:tc>
          <w:tcPr>
            <w:tcW w:w="2160" w:type="dxa"/>
          </w:tcPr>
          <w:p w14:paraId="1A49BBA7" w14:textId="77777777" w:rsidR="00EB086B" w:rsidRDefault="00000000">
            <w:r>
              <w:rPr>
                <w:sz w:val="18"/>
              </w:rPr>
              <w:t>Data sheet, stopwatch or time stamps, staff orientation.</w:t>
            </w:r>
          </w:p>
        </w:tc>
        <w:tc>
          <w:tcPr>
            <w:tcW w:w="2304" w:type="dxa"/>
          </w:tcPr>
          <w:p w14:paraId="19B0B5E2" w14:textId="77777777" w:rsidR="00EB086B" w:rsidRDefault="00000000">
            <w:r>
              <w:rPr>
                <w:sz w:val="18"/>
              </w:rPr>
              <w:t>Bottleneck map and baseline waiting-time profile.</w:t>
            </w:r>
          </w:p>
        </w:tc>
      </w:tr>
      <w:tr w:rsidR="00EB086B" w14:paraId="51894D5E" w14:textId="77777777">
        <w:trPr>
          <w:jc w:val="center"/>
        </w:trPr>
        <w:tc>
          <w:tcPr>
            <w:tcW w:w="2304" w:type="dxa"/>
          </w:tcPr>
          <w:p w14:paraId="14C6FD57" w14:textId="77777777" w:rsidR="00EB086B" w:rsidRDefault="00000000">
            <w:r>
              <w:rPr>
                <w:sz w:val="18"/>
              </w:rPr>
              <w:t>Introduce queue and signage improvements based on bottleneck findings.</w:t>
            </w:r>
          </w:p>
        </w:tc>
        <w:tc>
          <w:tcPr>
            <w:tcW w:w="2016" w:type="dxa"/>
          </w:tcPr>
          <w:p w14:paraId="30F1B3CB" w14:textId="77777777" w:rsidR="00EB086B" w:rsidRDefault="00000000">
            <w:r>
              <w:rPr>
                <w:sz w:val="18"/>
              </w:rPr>
              <w:t>OPD team, administrative officer, maintenance unit.</w:t>
            </w:r>
          </w:p>
        </w:tc>
        <w:tc>
          <w:tcPr>
            <w:tcW w:w="1296" w:type="dxa"/>
          </w:tcPr>
          <w:p w14:paraId="438B4DA2" w14:textId="77777777" w:rsidR="00EB086B" w:rsidRDefault="00000000">
            <w:r>
              <w:rPr>
                <w:sz w:val="18"/>
              </w:rPr>
              <w:t>Weeks 3-6</w:t>
            </w:r>
          </w:p>
        </w:tc>
        <w:tc>
          <w:tcPr>
            <w:tcW w:w="2160" w:type="dxa"/>
          </w:tcPr>
          <w:p w14:paraId="522E265A" w14:textId="77777777" w:rsidR="00EB086B" w:rsidRDefault="00000000">
            <w:r>
              <w:rPr>
                <w:sz w:val="18"/>
              </w:rPr>
              <w:t>Printed signs, token register/system, minor layout adjustments.</w:t>
            </w:r>
          </w:p>
        </w:tc>
        <w:tc>
          <w:tcPr>
            <w:tcW w:w="2304" w:type="dxa"/>
          </w:tcPr>
          <w:p w14:paraId="4F82371E" w14:textId="77777777" w:rsidR="00EB086B" w:rsidRDefault="00000000">
            <w:r>
              <w:rPr>
                <w:sz w:val="18"/>
              </w:rPr>
              <w:t>Clearer patient routing and reduced confusion.</w:t>
            </w:r>
          </w:p>
        </w:tc>
      </w:tr>
      <w:tr w:rsidR="00EB086B" w14:paraId="7592F892" w14:textId="77777777">
        <w:trPr>
          <w:jc w:val="center"/>
        </w:trPr>
        <w:tc>
          <w:tcPr>
            <w:tcW w:w="2304" w:type="dxa"/>
          </w:tcPr>
          <w:p w14:paraId="1B69F654" w14:textId="77777777" w:rsidR="00EB086B" w:rsidRDefault="00000000">
            <w:r>
              <w:rPr>
                <w:sz w:val="18"/>
              </w:rPr>
              <w:t>Create weekly amenity audit checklist.</w:t>
            </w:r>
          </w:p>
        </w:tc>
        <w:tc>
          <w:tcPr>
            <w:tcW w:w="2016" w:type="dxa"/>
          </w:tcPr>
          <w:p w14:paraId="4B1BAC90" w14:textId="77777777" w:rsidR="00EB086B" w:rsidRDefault="00000000">
            <w:r>
              <w:rPr>
                <w:sz w:val="18"/>
              </w:rPr>
              <w:t>Nursing in-charge, public health/quality unit, maintenance supervisor.</w:t>
            </w:r>
          </w:p>
        </w:tc>
        <w:tc>
          <w:tcPr>
            <w:tcW w:w="1296" w:type="dxa"/>
          </w:tcPr>
          <w:p w14:paraId="7FB7E50E" w14:textId="77777777" w:rsidR="00EB086B" w:rsidRDefault="00000000">
            <w:r>
              <w:rPr>
                <w:sz w:val="18"/>
              </w:rPr>
              <w:t>Weeks 1-4 and ongoing</w:t>
            </w:r>
          </w:p>
        </w:tc>
        <w:tc>
          <w:tcPr>
            <w:tcW w:w="2160" w:type="dxa"/>
          </w:tcPr>
          <w:p w14:paraId="4CDB34A2" w14:textId="77777777" w:rsidR="00EB086B" w:rsidRDefault="00000000">
            <w:r>
              <w:rPr>
                <w:sz w:val="18"/>
              </w:rPr>
              <w:t>Checklist, supervision schedule.</w:t>
            </w:r>
          </w:p>
        </w:tc>
        <w:tc>
          <w:tcPr>
            <w:tcW w:w="2304" w:type="dxa"/>
          </w:tcPr>
          <w:p w14:paraId="107F0FEF" w14:textId="77777777" w:rsidR="00EB086B" w:rsidRDefault="00000000">
            <w:r>
              <w:rPr>
                <w:sz w:val="18"/>
              </w:rPr>
              <w:t>Regular monitoring of toilets, seating, cleaning, water, signage and linen.</w:t>
            </w:r>
          </w:p>
        </w:tc>
      </w:tr>
      <w:tr w:rsidR="00EB086B" w14:paraId="1A1E58C3" w14:textId="77777777">
        <w:trPr>
          <w:jc w:val="center"/>
        </w:trPr>
        <w:tc>
          <w:tcPr>
            <w:tcW w:w="2304" w:type="dxa"/>
          </w:tcPr>
          <w:p w14:paraId="2256F473" w14:textId="77777777" w:rsidR="00EB086B" w:rsidRDefault="00000000">
            <w:r>
              <w:rPr>
                <w:sz w:val="18"/>
              </w:rPr>
              <w:t>Display provider allocation and room information.</w:t>
            </w:r>
          </w:p>
        </w:tc>
        <w:tc>
          <w:tcPr>
            <w:tcW w:w="2016" w:type="dxa"/>
          </w:tcPr>
          <w:p w14:paraId="7CEC998B" w14:textId="77777777" w:rsidR="00EB086B" w:rsidRDefault="00000000">
            <w:r>
              <w:rPr>
                <w:sz w:val="18"/>
              </w:rPr>
              <w:t>OPD in-charge and administration.</w:t>
            </w:r>
          </w:p>
        </w:tc>
        <w:tc>
          <w:tcPr>
            <w:tcW w:w="1296" w:type="dxa"/>
          </w:tcPr>
          <w:p w14:paraId="1BCB6B6D" w14:textId="77777777" w:rsidR="00EB086B" w:rsidRDefault="00000000">
            <w:r>
              <w:rPr>
                <w:sz w:val="18"/>
              </w:rPr>
              <w:t>Weeks 3-4</w:t>
            </w:r>
          </w:p>
        </w:tc>
        <w:tc>
          <w:tcPr>
            <w:tcW w:w="2160" w:type="dxa"/>
          </w:tcPr>
          <w:p w14:paraId="65E4E6B9" w14:textId="77777777" w:rsidR="00EB086B" w:rsidRDefault="00000000">
            <w:r>
              <w:rPr>
                <w:sz w:val="18"/>
              </w:rPr>
              <w:t>Notice board or printed duty-room display.</w:t>
            </w:r>
          </w:p>
        </w:tc>
        <w:tc>
          <w:tcPr>
            <w:tcW w:w="2304" w:type="dxa"/>
          </w:tcPr>
          <w:p w14:paraId="197434E8" w14:textId="77777777" w:rsidR="00EB086B" w:rsidRDefault="00000000">
            <w:r>
              <w:rPr>
                <w:sz w:val="18"/>
              </w:rPr>
              <w:t>Improved transparency of provider allocation.</w:t>
            </w:r>
          </w:p>
        </w:tc>
      </w:tr>
      <w:tr w:rsidR="00EB086B" w14:paraId="6BE39803" w14:textId="77777777">
        <w:trPr>
          <w:jc w:val="center"/>
        </w:trPr>
        <w:tc>
          <w:tcPr>
            <w:tcW w:w="2304" w:type="dxa"/>
          </w:tcPr>
          <w:p w14:paraId="193FF853" w14:textId="77777777" w:rsidR="00EB086B" w:rsidRDefault="00000000">
            <w:r>
              <w:rPr>
                <w:sz w:val="18"/>
              </w:rPr>
              <w:t>Introduce short communication prompts for common OPD encounters.</w:t>
            </w:r>
          </w:p>
        </w:tc>
        <w:tc>
          <w:tcPr>
            <w:tcW w:w="2016" w:type="dxa"/>
          </w:tcPr>
          <w:p w14:paraId="46264691" w14:textId="77777777" w:rsidR="00EB086B" w:rsidRDefault="00000000">
            <w:r>
              <w:rPr>
                <w:sz w:val="18"/>
              </w:rPr>
              <w:t>Clinical leads, OPD doctors, nursing officers.</w:t>
            </w:r>
          </w:p>
        </w:tc>
        <w:tc>
          <w:tcPr>
            <w:tcW w:w="1296" w:type="dxa"/>
          </w:tcPr>
          <w:p w14:paraId="456E0E47" w14:textId="77777777" w:rsidR="00EB086B" w:rsidRDefault="00000000">
            <w:r>
              <w:rPr>
                <w:sz w:val="18"/>
              </w:rPr>
              <w:t>Weeks 4-8</w:t>
            </w:r>
          </w:p>
        </w:tc>
        <w:tc>
          <w:tcPr>
            <w:tcW w:w="2160" w:type="dxa"/>
          </w:tcPr>
          <w:p w14:paraId="2A269F53" w14:textId="77777777" w:rsidR="00EB086B" w:rsidRDefault="00000000">
            <w:r>
              <w:rPr>
                <w:sz w:val="18"/>
              </w:rPr>
              <w:t>One-page counselling guide; staff briefing.</w:t>
            </w:r>
          </w:p>
        </w:tc>
        <w:tc>
          <w:tcPr>
            <w:tcW w:w="2304" w:type="dxa"/>
          </w:tcPr>
          <w:p w14:paraId="26BAEB5A" w14:textId="77777777" w:rsidR="00EB086B" w:rsidRDefault="00000000">
            <w:r>
              <w:rPr>
                <w:sz w:val="18"/>
              </w:rPr>
              <w:t>More consistent explanation of treatment, risks and follow-up.</w:t>
            </w:r>
          </w:p>
        </w:tc>
      </w:tr>
      <w:tr w:rsidR="00EB086B" w14:paraId="46CC55C5" w14:textId="77777777">
        <w:trPr>
          <w:jc w:val="center"/>
        </w:trPr>
        <w:tc>
          <w:tcPr>
            <w:tcW w:w="2304" w:type="dxa"/>
          </w:tcPr>
          <w:p w14:paraId="154B8D66" w14:textId="77777777" w:rsidR="00EB086B" w:rsidRDefault="00000000">
            <w:r>
              <w:rPr>
                <w:sz w:val="18"/>
              </w:rPr>
              <w:t>Repeat responsiveness audit.</w:t>
            </w:r>
          </w:p>
        </w:tc>
        <w:tc>
          <w:tcPr>
            <w:tcW w:w="2016" w:type="dxa"/>
          </w:tcPr>
          <w:p w14:paraId="0E7C4186" w14:textId="77777777" w:rsidR="00EB086B" w:rsidRDefault="00000000">
            <w:r>
              <w:rPr>
                <w:sz w:val="18"/>
              </w:rPr>
              <w:t>Quality unit/research team.</w:t>
            </w:r>
          </w:p>
        </w:tc>
        <w:tc>
          <w:tcPr>
            <w:tcW w:w="1296" w:type="dxa"/>
          </w:tcPr>
          <w:p w14:paraId="4FEA5F63" w14:textId="77777777" w:rsidR="00EB086B" w:rsidRDefault="00000000">
            <w:r>
              <w:rPr>
                <w:sz w:val="18"/>
              </w:rPr>
              <w:t>After 3-6 months</w:t>
            </w:r>
          </w:p>
        </w:tc>
        <w:tc>
          <w:tcPr>
            <w:tcW w:w="2160" w:type="dxa"/>
          </w:tcPr>
          <w:p w14:paraId="6D5A2B29" w14:textId="77777777" w:rsidR="00EB086B" w:rsidRDefault="00000000">
            <w:r>
              <w:rPr>
                <w:sz w:val="18"/>
              </w:rPr>
              <w:t>Same WHO-based checklist.</w:t>
            </w:r>
          </w:p>
        </w:tc>
        <w:tc>
          <w:tcPr>
            <w:tcW w:w="2304" w:type="dxa"/>
          </w:tcPr>
          <w:p w14:paraId="3736A7B3" w14:textId="77777777" w:rsidR="00EB086B" w:rsidRDefault="00000000">
            <w:r>
              <w:rPr>
                <w:sz w:val="18"/>
              </w:rPr>
              <w:t>Post-intervention domain scores and improvement assessment.</w:t>
            </w:r>
          </w:p>
        </w:tc>
      </w:tr>
    </w:tbl>
    <w:p w14:paraId="280334F1" w14:textId="77777777" w:rsidR="00EB086B" w:rsidRDefault="00EB086B"/>
    <w:p w14:paraId="1E12DB3E" w14:textId="77777777" w:rsidR="00EB086B" w:rsidRDefault="00000000">
      <w:pPr>
        <w:pStyle w:val="Heading1"/>
      </w:pPr>
      <w:r>
        <w:rPr>
          <w:rFonts w:ascii="Times New Roman" w:hAnsi="Times New Roman"/>
          <w:sz w:val="24"/>
        </w:rPr>
        <w:t>Limitations</w:t>
      </w:r>
    </w:p>
    <w:p w14:paraId="54719D42" w14:textId="77777777" w:rsidR="00EB086B" w:rsidRDefault="00000000">
      <w:pPr>
        <w:jc w:val="both"/>
      </w:pPr>
      <w:r>
        <w:rPr>
          <w:sz w:val="24"/>
        </w:rPr>
        <w:t>The study has several limitations. First, the sample size was limited to 100 patients. While this is useful for a facility-level audit, it limits precision and generalizability. Second, the study was conducted in a single hospital OPD; therefore, findings may not apply to other hospitals with different patient loads, staffing patterns, infrastructure, or service arrangements. Third, the available data for manuscript preparation were aggregate domain scores. This prevented reliability testing, confidence interval estimation, subgroup analysis, and regression modelling (von Elm et al., 2007).</w:t>
      </w:r>
    </w:p>
    <w:p w14:paraId="25AACE9C" w14:textId="77777777" w:rsidR="00EB086B" w:rsidRDefault="00000000">
      <w:pPr>
        <w:jc w:val="both"/>
      </w:pPr>
      <w:r>
        <w:rPr>
          <w:sz w:val="24"/>
        </w:rPr>
        <w:t>Fourth, face-to-face interviews may have introduced courtesy bias. Patients may provide more favourable responses when interviewed within the hospital environment or when they fear that negative comments may affect care. This risk can be reduced in future audits by using independent interviewers, ensuring privacy during interviews, and clearly explaining that responses will not affect services. Fifth, the study did not include direct observation of waiting time or patient flow. Therefore, the prompt-attention score reflects patient perception rather than objectively measured waiting time. A future mixed-method assessment could combine patient interviews, time-motion observation, and staff interviews.</w:t>
      </w:r>
    </w:p>
    <w:p w14:paraId="24C50426" w14:textId="77777777" w:rsidR="00EB086B" w:rsidRDefault="00000000">
      <w:pPr>
        <w:jc w:val="both"/>
      </w:pPr>
      <w:r>
        <w:rPr>
          <w:sz w:val="24"/>
        </w:rPr>
        <w:t xml:space="preserve">Sixth, the manuscript requires final confirmation of ethics approval, questionnaire validation, exact sampling procedure, and whether proxy respondents were included. These details should be completed </w:t>
      </w:r>
      <w:r>
        <w:rPr>
          <w:sz w:val="24"/>
        </w:rPr>
        <w:lastRenderedPageBreak/>
        <w:t>before journal submission. Despite these limitations, the study provides a useful baseline and identifies clear priorities for OPD quality improvement.</w:t>
      </w:r>
    </w:p>
    <w:p w14:paraId="353CF89A" w14:textId="77777777" w:rsidR="00EB086B" w:rsidRDefault="00000000">
      <w:pPr>
        <w:pStyle w:val="Heading1"/>
      </w:pPr>
      <w:r>
        <w:rPr>
          <w:rFonts w:ascii="Times New Roman" w:hAnsi="Times New Roman"/>
          <w:sz w:val="24"/>
        </w:rPr>
        <w:t>Conclusion</w:t>
      </w:r>
    </w:p>
    <w:p w14:paraId="7F19FAC4" w14:textId="77777777" w:rsidR="00EB086B" w:rsidRDefault="00000000">
      <w:pPr>
        <w:jc w:val="both"/>
      </w:pPr>
      <w:r>
        <w:rPr>
          <w:sz w:val="24"/>
        </w:rPr>
        <w:t>The OPD at Base Hospital Sammanthurai demonstrated good overall responsiveness, especially in confidentiality, dignity, communication, and autonomy. These findings suggest that patients generally experience respectful, private, and understandable care. However, prompt attention and choice of provider were weak, while basic amenities and social support were moderate. The strongest analytical message is that interpersonal responsiveness is stronger than service-organization responsiveness. Therefore, future improvement should focus on patient-flow redesign, waiting-time reduction, provider-allocation transparency, amenity improvement, and routine monitoring.</w:t>
      </w:r>
    </w:p>
    <w:p w14:paraId="22B634B4" w14:textId="77777777" w:rsidR="00EB086B" w:rsidRDefault="00000000">
      <w:pPr>
        <w:jc w:val="both"/>
      </w:pPr>
      <w:r>
        <w:rPr>
          <w:sz w:val="24"/>
        </w:rPr>
        <w:t>Responsiveness assessment should not be a one-time exercise. It should become part of a continuous quality-improvement cycle in which patient feedback is measured, discussed, acted upon, and re-measured. By using the WHO responsiveness framework, Base Hospital Sammanthurai can convert patient experience into a practical management tool and strengthen patient-centred public hospital care (Khan et al., 2021; World Health Organization, 2000).</w:t>
      </w:r>
    </w:p>
    <w:p w14:paraId="4310AED6" w14:textId="77777777" w:rsidR="00EB086B" w:rsidRDefault="00000000">
      <w:pPr>
        <w:pStyle w:val="Heading1"/>
      </w:pPr>
      <w:r>
        <w:rPr>
          <w:rFonts w:ascii="Times New Roman" w:hAnsi="Times New Roman"/>
          <w:sz w:val="24"/>
        </w:rPr>
        <w:t>Declarations</w:t>
      </w:r>
    </w:p>
    <w:p w14:paraId="72103296" w14:textId="77777777" w:rsidR="00EB086B" w:rsidRDefault="00000000">
      <w:pPr>
        <w:jc w:val="both"/>
      </w:pPr>
      <w:r>
        <w:rPr>
          <w:sz w:val="24"/>
        </w:rPr>
        <w:t>Ethics approval and consent to participate: To be completed by the author. The final manuscript should specify whether institutional ethics approval, administrative approval, or audit exemption was obtained, including approval number and date where applicable.</w:t>
      </w:r>
    </w:p>
    <w:p w14:paraId="7271A571" w14:textId="77777777" w:rsidR="00EB086B" w:rsidRDefault="00000000">
      <w:pPr>
        <w:jc w:val="both"/>
      </w:pPr>
      <w:r>
        <w:rPr>
          <w:sz w:val="24"/>
        </w:rPr>
        <w:t>Consent for publication: Not applicable if no identifiable patient information is included.</w:t>
      </w:r>
    </w:p>
    <w:p w14:paraId="0CE4D11F" w14:textId="77777777" w:rsidR="00EB086B" w:rsidRDefault="00000000">
      <w:pPr>
        <w:jc w:val="both"/>
      </w:pPr>
      <w:r>
        <w:rPr>
          <w:sz w:val="24"/>
        </w:rPr>
        <w:t>Availability of data and materials: The manuscript was prepared using aggregate domain scores. Individual-level data were not available for the revised analysis. If patient-level data are available, they may be used for additional reliability and subgroup analyses.</w:t>
      </w:r>
    </w:p>
    <w:p w14:paraId="4137497C" w14:textId="77777777" w:rsidR="00EB086B" w:rsidRDefault="00000000">
      <w:pPr>
        <w:jc w:val="both"/>
      </w:pPr>
      <w:r>
        <w:rPr>
          <w:sz w:val="24"/>
        </w:rPr>
        <w:t>Competing interests: The author should declare any competing interests. If none, state: The author declares no competing interests.</w:t>
      </w:r>
    </w:p>
    <w:p w14:paraId="010AEEDF" w14:textId="77777777" w:rsidR="00EB086B" w:rsidRDefault="00000000">
      <w:pPr>
        <w:jc w:val="both"/>
      </w:pPr>
      <w:r>
        <w:rPr>
          <w:sz w:val="24"/>
        </w:rPr>
        <w:t>Funding: The author should state whether the study received any funding. If none, state: This study received no external funding.</w:t>
      </w:r>
    </w:p>
    <w:p w14:paraId="1B7A85CE" w14:textId="77777777" w:rsidR="00EB086B" w:rsidRDefault="00000000">
      <w:pPr>
        <w:jc w:val="both"/>
      </w:pPr>
      <w:r>
        <w:rPr>
          <w:sz w:val="24"/>
        </w:rPr>
        <w:t>Author contributions: To be completed according to journal requirements.</w:t>
      </w:r>
    </w:p>
    <w:p w14:paraId="466BEA6E" w14:textId="77777777" w:rsidR="00EB086B" w:rsidRDefault="00000000">
      <w:pPr>
        <w:jc w:val="both"/>
      </w:pPr>
      <w:r>
        <w:rPr>
          <w:sz w:val="24"/>
        </w:rPr>
        <w:t>Acknowledgements: The author may acknowledge OPD staff, hospital administration, data collectors, and patients who participated in the audit.</w:t>
      </w:r>
    </w:p>
    <w:p w14:paraId="350D64F3" w14:textId="77777777" w:rsidR="00EB086B" w:rsidRDefault="00000000">
      <w:pPr>
        <w:pStyle w:val="Heading1"/>
      </w:pPr>
      <w:r>
        <w:rPr>
          <w:rFonts w:ascii="Times New Roman" w:hAnsi="Times New Roman"/>
          <w:sz w:val="24"/>
        </w:rPr>
        <w:t>References</w:t>
      </w:r>
    </w:p>
    <w:p w14:paraId="5DE69E7C" w14:textId="77777777" w:rsidR="00EB086B" w:rsidRDefault="00000000">
      <w:pPr>
        <w:spacing w:after="120" w:line="240" w:lineRule="auto"/>
        <w:ind w:left="720" w:hanging="720"/>
      </w:pPr>
      <w:r>
        <w:rPr>
          <w:sz w:val="24"/>
        </w:rPr>
        <w:t>Donabedian, A. (1988). The quality of care: How can it be assessed? JAMA, 260(12), 1743-1748. https://doi.org/10.1001/jama.1988.03410120089033</w:t>
      </w:r>
    </w:p>
    <w:p w14:paraId="735ADD93" w14:textId="77777777" w:rsidR="00EB086B" w:rsidRDefault="00000000">
      <w:pPr>
        <w:spacing w:after="120" w:line="240" w:lineRule="auto"/>
        <w:ind w:left="720" w:hanging="720"/>
      </w:pPr>
      <w:r>
        <w:rPr>
          <w:sz w:val="24"/>
        </w:rPr>
        <w:lastRenderedPageBreak/>
        <w:t>Kalubowila, K. C., Perera, D., Senathilaka, I., Alahapperuma, C., Withana, R. D., &amp; Kapparage, P. D. (2017). Patient satisfaction of services of the outpatient department, Base Hospital, Panadura. Journal of the College of Community Physicians of Sri Lanka, 23(2), 63-70. https://doi.org/10.4038/jccpsl.v23i2.8105</w:t>
      </w:r>
    </w:p>
    <w:p w14:paraId="7FF34B22" w14:textId="77777777" w:rsidR="00EB086B" w:rsidRDefault="00000000">
      <w:pPr>
        <w:spacing w:after="120" w:line="240" w:lineRule="auto"/>
        <w:ind w:left="720" w:hanging="720"/>
      </w:pPr>
      <w:r>
        <w:rPr>
          <w:sz w:val="24"/>
        </w:rPr>
        <w:t>Khan, G., Kagwanja, N., Whyle, E., Gilson, L., Molyneux, S., Schaay, N., Tsofa, B., Barasa, E., &amp; Olivier, J. (2021). Health system responsiveness: A systematic evidence mapping review of the global literature. International Journal for Equity in Health, 20, Article 112. https://doi.org/10.1186/s12939-021-01447-w</w:t>
      </w:r>
    </w:p>
    <w:p w14:paraId="3396456C" w14:textId="77777777" w:rsidR="00EB086B" w:rsidRDefault="00000000">
      <w:pPr>
        <w:spacing w:after="120" w:line="240" w:lineRule="auto"/>
        <w:ind w:left="720" w:hanging="720"/>
      </w:pPr>
      <w:r>
        <w:rPr>
          <w:sz w:val="24"/>
        </w:rPr>
        <w:t>Mirzoev, T., &amp; Kane, S. (2017). What is health systems responsiveness? Review of existing knowledge and proposed conceptual framework. BMJ Global Health, 2(4), Article e000486. https://doi.org/10.1136/bmjgh-2017-000486</w:t>
      </w:r>
    </w:p>
    <w:p w14:paraId="26F213A2" w14:textId="77777777" w:rsidR="00EB086B" w:rsidRDefault="00000000">
      <w:pPr>
        <w:spacing w:after="120" w:line="240" w:lineRule="auto"/>
        <w:ind w:left="720" w:hanging="720"/>
      </w:pPr>
      <w:r>
        <w:rPr>
          <w:sz w:val="24"/>
        </w:rPr>
        <w:t>Robone, S., Rice, N., &amp; Smith, P. C. (2011). Health systems responsiveness and its characteristics: A cross-country comparative analysis. Health Services Research, 46(6 Pt 2), 2079-2100. https://doi.org/10.1111/j.1475-6773.2011.01291.x</w:t>
      </w:r>
    </w:p>
    <w:p w14:paraId="2FE7E7B3" w14:textId="77777777" w:rsidR="00EB086B" w:rsidRDefault="00000000">
      <w:pPr>
        <w:spacing w:after="120" w:line="240" w:lineRule="auto"/>
        <w:ind w:left="720" w:hanging="720"/>
      </w:pPr>
      <w:r>
        <w:rPr>
          <w:sz w:val="24"/>
        </w:rPr>
        <w:t>Valentine, N. B., de Silva, A., Kawabata, K., Darby, C., Murray, C. J. L., &amp; Evans, D. B. (2003). Health system responsiveness: Concepts, domains and operationalization. In C. J. L. Murray &amp; D. B. Evans (Eds.), Health systems performance assessment: Debates, methods and empiricism (pp. 573-596). World Health Organization.</w:t>
      </w:r>
    </w:p>
    <w:p w14:paraId="6EB07A31" w14:textId="77777777" w:rsidR="00EB086B" w:rsidRDefault="00000000">
      <w:pPr>
        <w:spacing w:after="120" w:line="240" w:lineRule="auto"/>
        <w:ind w:left="720" w:hanging="720"/>
      </w:pPr>
      <w:r>
        <w:rPr>
          <w:sz w:val="24"/>
        </w:rPr>
        <w:t>Valentine, N. B., Prasad, A., Rice, N., Robone, S., &amp; Chatterji, S. (2010). Health systems responsiveness: A measure of the acceptability of health-care processes and systems from the users’ perspective. In P. C. Smith, E. Mossialos, I. Papanicolas, &amp; S. Leatherman (Eds.), Performance measurement for health system improvement: Experiences, challenges and prospects (pp. 138-186). Cambridge University Press. https://doi.org/10.1017/CBO9780511711800.007</w:t>
      </w:r>
    </w:p>
    <w:p w14:paraId="034CA48A" w14:textId="77777777" w:rsidR="00EB086B" w:rsidRDefault="00000000">
      <w:pPr>
        <w:spacing w:after="120" w:line="240" w:lineRule="auto"/>
        <w:ind w:left="720" w:hanging="720"/>
      </w:pPr>
      <w:r>
        <w:rPr>
          <w:sz w:val="24"/>
        </w:rPr>
        <w:t>von Elm, E., Altman, D. G., Egger, M., Pocock, S. J., Gotzsche, P. C., &amp; Vandenbroucke, J. P. (2007). The Strengthening the Reporting of Observational Studies in Epidemiology (STROBE) statement: Guidelines for reporting observational studies. PLOS Medicine, 4(10), Article e296. https://doi.org/10.1371/journal.pmed.0040296</w:t>
      </w:r>
    </w:p>
    <w:p w14:paraId="2E50E37A" w14:textId="77777777" w:rsidR="00EB086B" w:rsidRDefault="00000000">
      <w:pPr>
        <w:spacing w:after="120" w:line="240" w:lineRule="auto"/>
        <w:ind w:left="720" w:hanging="720"/>
      </w:pPr>
      <w:r>
        <w:rPr>
          <w:sz w:val="24"/>
        </w:rPr>
        <w:t>World Health Organization. (2000). The world health report 2000: Health systems: Improving performance. World Health Organization. https://apps.who.int/iris/handle/10665/42281</w:t>
      </w:r>
    </w:p>
    <w:p w14:paraId="703392A4" w14:textId="77777777" w:rsidR="00EB086B" w:rsidRDefault="00000000">
      <w:pPr>
        <w:spacing w:after="120" w:line="240" w:lineRule="auto"/>
        <w:ind w:left="720" w:hanging="720"/>
      </w:pPr>
      <w:r>
        <w:rPr>
          <w:sz w:val="24"/>
        </w:rPr>
        <w:t>World Medical Association. (2013). World Medical Association Declaration of Helsinki: Ethical principles for medical research involving human subjects. JAMA, 310(20), 2191-2194. https://doi.org/10.1001/jama.2013.281053</w:t>
      </w:r>
    </w:p>
    <w:sectPr w:rsidR="00EB086B"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1284133">
    <w:abstractNumId w:val="8"/>
  </w:num>
  <w:num w:numId="2" w16cid:durableId="1878589562">
    <w:abstractNumId w:val="6"/>
  </w:num>
  <w:num w:numId="3" w16cid:durableId="1827934416">
    <w:abstractNumId w:val="5"/>
  </w:num>
  <w:num w:numId="4" w16cid:durableId="833684112">
    <w:abstractNumId w:val="4"/>
  </w:num>
  <w:num w:numId="5" w16cid:durableId="1499031343">
    <w:abstractNumId w:val="7"/>
  </w:num>
  <w:num w:numId="6" w16cid:durableId="1763068523">
    <w:abstractNumId w:val="3"/>
  </w:num>
  <w:num w:numId="7" w16cid:durableId="950939955">
    <w:abstractNumId w:val="2"/>
  </w:num>
  <w:num w:numId="8" w16cid:durableId="2010252424">
    <w:abstractNumId w:val="1"/>
  </w:num>
  <w:num w:numId="9" w16cid:durableId="80932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410E"/>
    <w:rsid w:val="00395AFB"/>
    <w:rsid w:val="00787E80"/>
    <w:rsid w:val="00AA1D8D"/>
    <w:rsid w:val="00B47730"/>
    <w:rsid w:val="00BA212F"/>
    <w:rsid w:val="00CB0664"/>
    <w:rsid w:val="00EB086B"/>
    <w:rsid w:val="00F01A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ED551"/>
  <w14:defaultImageDpi w14:val="300"/>
  <w15:docId w15:val="{AEBBA607-79C1-9944-B911-A873A2AA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20"/>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8416</Words>
  <Characters>47973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Assessment of Responsiveness in Healthcare Services: A Patient-Based Evaluation of Outpatient Department Services at Base Hospital Sammanthurai Using WHO Responsiveness Domains</vt:lpstr>
    </vt:vector>
  </TitlesOfParts>
  <Manager/>
  <Company/>
  <LinksUpToDate>false</LinksUpToDate>
  <CharactersWithSpaces>56277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Responsiveness in Healthcare Services: A Patient-Based Evaluation of Outpatient Department Services at Base Hospital Sammanthurai Using WHO Responsiveness Domains</dc:title>
  <dc:subject>Expanded journal manuscript on OPD responsiveness</dc:subject>
  <dc:creator>Author Name</dc:creator>
  <cp:keywords>responsiveness, OPD, WHO domains, patient experience, Sri Lanka</cp:keywords>
  <dc:description>generated by python-docx</dc:description>
  <cp:lastModifiedBy>yathavan selvarajan</cp:lastModifiedBy>
  <cp:revision>3</cp:revision>
  <dcterms:created xsi:type="dcterms:W3CDTF">2026-06-01T08:05:00Z</dcterms:created>
  <dcterms:modified xsi:type="dcterms:W3CDTF">2026-06-05T14:32:00Z</dcterms:modified>
  <cp:category/>
</cp:coreProperties>
</file>