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9A02" w14:textId="1974E5E1" w:rsidR="00CA77B0" w:rsidRPr="00577D96" w:rsidRDefault="00CA77B0" w:rsidP="006A5F62">
      <w:pPr>
        <w:spacing w:after="40"/>
        <w:ind w:left="720"/>
        <w:jc w:val="center"/>
        <w:rPr>
          <w:rFonts w:asciiTheme="majorBidi" w:hAnsiTheme="majorBidi" w:cstheme="majorBidi"/>
          <w:b/>
          <w:bCs/>
          <w:sz w:val="36"/>
          <w:szCs w:val="36"/>
        </w:rPr>
      </w:pPr>
      <w:r w:rsidRPr="00577D96">
        <w:rPr>
          <w:rFonts w:asciiTheme="majorBidi" w:hAnsiTheme="majorBidi" w:cstheme="majorBidi"/>
          <w:b/>
          <w:bCs/>
          <w:sz w:val="36"/>
          <w:szCs w:val="36"/>
        </w:rPr>
        <w:t>Comparative Analysis of Adverse Birth Outcomes among Teenage Mothers in Oman, Sri Lanka, and the United States</w:t>
      </w:r>
    </w:p>
    <w:p w14:paraId="0627FF13" w14:textId="77777777" w:rsidR="004E1430" w:rsidRPr="00577D96" w:rsidRDefault="004E1430" w:rsidP="004E1430">
      <w:pPr>
        <w:spacing w:after="0" w:line="240" w:lineRule="auto"/>
        <w:jc w:val="center"/>
        <w:rPr>
          <w:rFonts w:asciiTheme="majorBidi" w:hAnsiTheme="majorBidi" w:cstheme="majorBidi"/>
          <w:b/>
          <w:bCs/>
          <w:sz w:val="24"/>
          <w:szCs w:val="24"/>
        </w:rPr>
      </w:pPr>
    </w:p>
    <w:p w14:paraId="565ECE79" w14:textId="478D8870" w:rsidR="004E1430" w:rsidRPr="00577D96" w:rsidRDefault="007401E5" w:rsidP="004E1430">
      <w:pPr>
        <w:spacing w:after="0" w:line="240" w:lineRule="auto"/>
        <w:jc w:val="center"/>
        <w:rPr>
          <w:rFonts w:asciiTheme="majorBidi" w:hAnsiTheme="majorBidi" w:cstheme="majorBidi"/>
          <w:b/>
          <w:bCs/>
          <w:sz w:val="24"/>
          <w:szCs w:val="24"/>
        </w:rPr>
      </w:pPr>
      <w:r w:rsidRPr="00577D96">
        <w:rPr>
          <w:rFonts w:asciiTheme="majorBidi" w:hAnsiTheme="majorBidi" w:cstheme="majorBidi"/>
          <w:b/>
          <w:bCs/>
          <w:sz w:val="24"/>
          <w:szCs w:val="24"/>
        </w:rPr>
        <w:t/>
      </w:r>
      <w:r w:rsidR="004E1430" w:rsidRPr="00577D96">
        <w:rPr>
          <w:rFonts w:asciiTheme="majorBidi" w:hAnsiTheme="majorBidi" w:cstheme="majorBidi"/>
          <w:b/>
          <w:bCs/>
          <w:sz w:val="24"/>
          <w:szCs w:val="24"/>
          <w:vertAlign w:val="superscript"/>
        </w:rPr>
        <w:t/>
      </w:r>
      <w:r w:rsidRPr="00577D96">
        <w:rPr>
          <w:rFonts w:asciiTheme="majorBidi" w:hAnsiTheme="majorBidi" w:cstheme="majorBidi"/>
          <w:b/>
          <w:bCs/>
          <w:sz w:val="24"/>
          <w:szCs w:val="24"/>
          <w:vertAlign w:val="superscript"/>
        </w:rPr>
        <w:t/>
      </w:r>
      <w:r w:rsidR="004E1430" w:rsidRPr="00577D96">
        <w:rPr>
          <w:rFonts w:asciiTheme="majorBidi" w:hAnsiTheme="majorBidi" w:cstheme="majorBidi"/>
          <w:b/>
          <w:bCs/>
          <w:sz w:val="24"/>
          <w:szCs w:val="24"/>
        </w:rPr>
        <w:t xml:space="preserve"/>
      </w:r>
      <w:proofErr w:type="spellStart"/>
      <w:r w:rsidR="004E1430" w:rsidRPr="00577D96">
        <w:rPr>
          <w:rFonts w:asciiTheme="majorBidi" w:hAnsiTheme="majorBidi" w:cstheme="majorBidi"/>
          <w:b/>
          <w:bCs/>
          <w:sz w:val="24"/>
          <w:szCs w:val="24"/>
        </w:rPr>
        <w:t/>
      </w:r>
      <w:proofErr w:type="spellEnd"/>
      <w:r w:rsidR="004E1430" w:rsidRPr="00577D96">
        <w:rPr>
          <w:rFonts w:asciiTheme="majorBidi" w:hAnsiTheme="majorBidi" w:cstheme="majorBidi"/>
          <w:b/>
          <w:bCs/>
          <w:sz w:val="24"/>
          <w:szCs w:val="24"/>
        </w:rPr>
        <w:t xml:space="preserve"/>
      </w:r>
      <w:proofErr w:type="spellStart"/>
      <w:r w:rsidR="004E1430" w:rsidRPr="00577D96">
        <w:rPr>
          <w:rFonts w:asciiTheme="majorBidi" w:hAnsiTheme="majorBidi" w:cstheme="majorBidi"/>
          <w:b/>
          <w:bCs/>
          <w:sz w:val="24"/>
          <w:szCs w:val="24"/>
        </w:rPr>
        <w:t/>
      </w:r>
      <w:proofErr w:type="spellEnd"/>
      <w:r w:rsidR="004E1430" w:rsidRPr="00577D96">
        <w:rPr>
          <w:rFonts w:asciiTheme="majorBidi" w:hAnsiTheme="majorBidi" w:cstheme="majorBidi"/>
          <w:b/>
          <w:bCs/>
          <w:sz w:val="24"/>
          <w:szCs w:val="24"/>
        </w:rPr>
        <w:t xml:space="preserve"/>
      </w:r>
      <w:r w:rsidR="0037224C" w:rsidRPr="00577D96">
        <w:rPr>
          <w:rFonts w:asciiTheme="majorBidi" w:hAnsiTheme="majorBidi" w:cstheme="majorBidi"/>
          <w:b/>
          <w:bCs/>
          <w:sz w:val="24"/>
          <w:szCs w:val="24"/>
          <w:vertAlign w:val="superscript"/>
        </w:rPr>
        <w:t/>
      </w:r>
    </w:p>
    <w:p w14:paraId="56CDD38A" w14:textId="7B6DC030" w:rsidR="0016428B" w:rsidRPr="00577D96" w:rsidRDefault="00C7549B" w:rsidP="00060C4C">
      <w:pPr>
        <w:pStyle w:val="Heading1"/>
        <w:spacing w:after="120"/>
        <w:ind w:firstLine="720"/>
        <w:jc w:val="both"/>
        <w:rPr>
          <w:rFonts w:asciiTheme="majorBidi" w:hAnsiTheme="majorBidi"/>
          <w:color w:val="auto"/>
          <w:sz w:val="24"/>
          <w:szCs w:val="24"/>
        </w:rPr>
      </w:pPr>
      <w:r w:rsidRPr="00577D96">
        <w:rPr>
          <w:rFonts w:asciiTheme="majorBidi" w:hAnsiTheme="majorBidi"/>
          <w:color w:val="auto"/>
          <w:sz w:val="24"/>
          <w:szCs w:val="24"/>
        </w:rPr>
        <w:t>Abstract</w:t>
      </w:r>
    </w:p>
    <w:p w14:paraId="31394501" w14:textId="77777777" w:rsidR="0016428B" w:rsidRPr="00577D96" w:rsidRDefault="00C7549B" w:rsidP="00060C4C">
      <w:pPr>
        <w:spacing w:after="120"/>
        <w:ind w:left="720"/>
        <w:jc w:val="both"/>
        <w:rPr>
          <w:rFonts w:asciiTheme="majorBidi" w:hAnsiTheme="majorBidi" w:cstheme="majorBidi"/>
          <w:sz w:val="24"/>
          <w:szCs w:val="24"/>
        </w:rPr>
      </w:pPr>
      <w:r w:rsidRPr="00577D96">
        <w:rPr>
          <w:rFonts w:asciiTheme="majorBidi" w:hAnsiTheme="majorBidi" w:cstheme="majorBidi"/>
          <w:b/>
          <w:sz w:val="24"/>
          <w:szCs w:val="24"/>
        </w:rPr>
        <w:t xml:space="preserve">Background: </w:t>
      </w:r>
      <w:r w:rsidRPr="00577D96">
        <w:rPr>
          <w:rFonts w:asciiTheme="majorBidi" w:hAnsiTheme="majorBidi" w:cstheme="majorBidi"/>
          <w:sz w:val="24"/>
          <w:szCs w:val="24"/>
        </w:rPr>
        <w:t>Teenage pregnancy remains a public health and social development concern because it is frequently associated with low birth weight, preterm delivery and other</w:t>
      </w:r>
      <w:r w:rsidRPr="00577D96">
        <w:rPr>
          <w:rFonts w:asciiTheme="majorBidi" w:hAnsiTheme="majorBidi" w:cstheme="majorBidi"/>
          <w:sz w:val="24"/>
          <w:szCs w:val="24"/>
        </w:rPr>
        <w:t xml:space="preserve"> adverse perinatal outcomes. This paper compares selected outcomes of teenage pregnancies with young adult pregnancies in three different settings: Oman, Sri Lanka and the United States.</w:t>
      </w:r>
    </w:p>
    <w:p w14:paraId="7D18F21B" w14:textId="26C5BBBC" w:rsidR="0016428B" w:rsidRPr="00577D96" w:rsidRDefault="00C7549B" w:rsidP="00060C4C">
      <w:pPr>
        <w:spacing w:after="120"/>
        <w:ind w:left="720"/>
        <w:jc w:val="both"/>
        <w:rPr>
          <w:rFonts w:asciiTheme="majorBidi" w:hAnsiTheme="majorBidi" w:cstheme="majorBidi"/>
          <w:sz w:val="24"/>
          <w:szCs w:val="24"/>
        </w:rPr>
      </w:pPr>
      <w:r w:rsidRPr="00577D96">
        <w:rPr>
          <w:rFonts w:asciiTheme="majorBidi" w:hAnsiTheme="majorBidi" w:cstheme="majorBidi"/>
          <w:b/>
          <w:sz w:val="24"/>
          <w:szCs w:val="24"/>
        </w:rPr>
        <w:t xml:space="preserve">Methods: </w:t>
      </w:r>
      <w:r w:rsidRPr="00577D96">
        <w:rPr>
          <w:rFonts w:asciiTheme="majorBidi" w:hAnsiTheme="majorBidi" w:cstheme="majorBidi"/>
          <w:sz w:val="24"/>
          <w:szCs w:val="24"/>
        </w:rPr>
        <w:t>A secondary comparative meta-analysis was prepared from thre</w:t>
      </w:r>
      <w:r w:rsidRPr="00577D96">
        <w:rPr>
          <w:rFonts w:asciiTheme="majorBidi" w:hAnsiTheme="majorBidi" w:cstheme="majorBidi"/>
          <w:sz w:val="24"/>
          <w:szCs w:val="24"/>
        </w:rPr>
        <w:t>e existing studies. The extracted datasets included 307 teenage and 307 adult mothers from Oman, 980 teenage and 336 adult mothers from Sri Lanka, and 1,879,714 teenage and 2,006,650 adult mothers from the United States. Teenage mothers were defined as mot</w:t>
      </w:r>
      <w:r w:rsidRPr="00577D96">
        <w:rPr>
          <w:rFonts w:asciiTheme="majorBidi" w:hAnsiTheme="majorBidi" w:cstheme="majorBidi"/>
          <w:sz w:val="24"/>
          <w:szCs w:val="24"/>
        </w:rPr>
        <w:t xml:space="preserve">hers aged 19 years or below, and adult mothers as those aged 20-24 years. Outcomes were birth weight, low birth weight (LBW; &lt;2500 g), </w:t>
      </w:r>
      <w:r w:rsidRPr="00577D96">
        <w:rPr>
          <w:rFonts w:asciiTheme="majorBidi" w:hAnsiTheme="majorBidi" w:cstheme="majorBidi"/>
          <w:sz w:val="24"/>
          <w:szCs w:val="24"/>
        </w:rPr>
        <w:t>and preterm delivery (&lt;37 completed weeks). Two-sample comparisons, chi-square tests and study-level odds</w:t>
      </w:r>
      <w:r w:rsidRPr="00577D96">
        <w:rPr>
          <w:rFonts w:asciiTheme="majorBidi" w:hAnsiTheme="majorBidi" w:cstheme="majorBidi"/>
          <w:sz w:val="24"/>
          <w:szCs w:val="24"/>
        </w:rPr>
        <w:t xml:space="preserve"> ratios were used. Pooled odds ratios </w:t>
      </w:r>
      <w:r w:rsidRPr="00577D96">
        <w:rPr>
          <w:rFonts w:asciiTheme="majorBidi" w:hAnsiTheme="majorBidi" w:cstheme="majorBidi"/>
          <w:sz w:val="24"/>
          <w:szCs w:val="24"/>
        </w:rPr>
        <w:t xml:space="preserve">were </w:t>
      </w:r>
      <w:r w:rsidRPr="00577D96">
        <w:rPr>
          <w:rFonts w:asciiTheme="majorBidi" w:hAnsiTheme="majorBidi" w:cstheme="majorBidi"/>
          <w:sz w:val="24"/>
          <w:szCs w:val="24"/>
        </w:rPr>
        <w:t>estimated using inverse-variance methods.</w:t>
      </w:r>
    </w:p>
    <w:p w14:paraId="410CDF3C" w14:textId="77777777" w:rsidR="0016428B" w:rsidRPr="00577D96" w:rsidRDefault="00C7549B" w:rsidP="00060C4C">
      <w:pPr>
        <w:spacing w:after="120"/>
        <w:ind w:left="720"/>
        <w:jc w:val="both"/>
        <w:rPr>
          <w:rFonts w:asciiTheme="majorBidi" w:hAnsiTheme="majorBidi" w:cstheme="majorBidi"/>
          <w:sz w:val="24"/>
          <w:szCs w:val="24"/>
        </w:rPr>
      </w:pPr>
      <w:r w:rsidRPr="00577D96">
        <w:rPr>
          <w:rFonts w:asciiTheme="majorBidi" w:hAnsiTheme="majorBidi" w:cstheme="majorBidi"/>
          <w:b/>
          <w:sz w:val="24"/>
          <w:szCs w:val="24"/>
        </w:rPr>
        <w:t xml:space="preserve">Results: </w:t>
      </w:r>
      <w:r w:rsidRPr="00577D96">
        <w:rPr>
          <w:rFonts w:asciiTheme="majorBidi" w:hAnsiTheme="majorBidi" w:cstheme="majorBidi"/>
          <w:sz w:val="24"/>
          <w:szCs w:val="24"/>
        </w:rPr>
        <w:t xml:space="preserve">Birth weight was lower among babies born to teenage mothers in Oman, Sri Lanka and the United States. The </w:t>
      </w:r>
      <w:r w:rsidRPr="00577D96">
        <w:rPr>
          <w:rFonts w:asciiTheme="majorBidi" w:hAnsiTheme="majorBidi" w:cstheme="majorBidi"/>
          <w:sz w:val="24"/>
          <w:szCs w:val="24"/>
        </w:rPr>
        <w:t>pooled odds ratio for LBW among teenage mothers compared</w:t>
      </w:r>
      <w:r w:rsidRPr="00577D96">
        <w:rPr>
          <w:rFonts w:asciiTheme="majorBidi" w:hAnsiTheme="majorBidi" w:cstheme="majorBidi"/>
          <w:sz w:val="24"/>
          <w:szCs w:val="24"/>
        </w:rPr>
        <w:t xml:space="preserve"> with adult mothers was 1.35 (95% CI: 1.34-1.36</w:t>
      </w:r>
      <w:r w:rsidRPr="00577D96">
        <w:rPr>
          <w:rFonts w:asciiTheme="majorBidi" w:hAnsiTheme="majorBidi" w:cstheme="majorBidi"/>
          <w:sz w:val="24"/>
          <w:szCs w:val="24"/>
        </w:rPr>
        <w:t>; I-squared=0.0%). The pooled odds ratio for preterm delivery was 1.45 (95% CI: 1.44-1.46; I-squared=0.0%).</w:t>
      </w:r>
    </w:p>
    <w:p w14:paraId="2C210794" w14:textId="77777777" w:rsidR="00060C4C" w:rsidRPr="00577D96" w:rsidRDefault="00C7549B" w:rsidP="00060C4C">
      <w:pPr>
        <w:spacing w:after="120"/>
        <w:ind w:left="720"/>
        <w:jc w:val="both"/>
        <w:rPr>
          <w:rFonts w:asciiTheme="majorBidi" w:hAnsiTheme="majorBidi" w:cstheme="majorBidi"/>
          <w:sz w:val="24"/>
          <w:szCs w:val="24"/>
        </w:rPr>
      </w:pPr>
      <w:r w:rsidRPr="00577D96">
        <w:rPr>
          <w:rFonts w:asciiTheme="majorBidi" w:hAnsiTheme="majorBidi" w:cstheme="majorBidi"/>
          <w:b/>
          <w:sz w:val="24"/>
          <w:szCs w:val="24"/>
        </w:rPr>
        <w:t xml:space="preserve">Conclusion: </w:t>
      </w:r>
      <w:r w:rsidR="00FE4760" w:rsidRPr="00577D96">
        <w:rPr>
          <w:rFonts w:asciiTheme="majorBidi" w:hAnsiTheme="majorBidi" w:cstheme="majorBidi"/>
          <w:sz w:val="24"/>
          <w:szCs w:val="24"/>
        </w:rPr>
        <w:t>Teenage pregnancy was associated with increased risks of low birth weight (LBW) and preterm delivery across the three countries. The findings support continued investment in adolescent reproductive health education, early antenatal registration, nutritional support, and targeted monitoring of pregnant adolescents. However, evidence from some studies suggests that when adequate antenatal care, appropriate maternal nutrition, and a healthy body mass index (BMI) are achieved, many of the adverse outcomes commonly associated with teenage pregnancy may be substantially reduced, although the risk of preterm delivery may still require special attention.</w:t>
      </w:r>
    </w:p>
    <w:p w14:paraId="697187F4" w14:textId="77777777" w:rsidR="00060C4C" w:rsidRPr="00577D96" w:rsidRDefault="00060C4C" w:rsidP="00060C4C">
      <w:pPr>
        <w:spacing w:after="120"/>
        <w:ind w:left="720"/>
        <w:jc w:val="both"/>
        <w:rPr>
          <w:rFonts w:asciiTheme="majorBidi" w:hAnsiTheme="majorBidi" w:cstheme="majorBidi"/>
          <w:sz w:val="24"/>
          <w:szCs w:val="24"/>
        </w:rPr>
      </w:pPr>
    </w:p>
    <w:p w14:paraId="437998C5" w14:textId="77777777" w:rsidR="00060C4C" w:rsidRPr="00577D96" w:rsidRDefault="00060C4C" w:rsidP="00060C4C">
      <w:pPr>
        <w:spacing w:after="0" w:line="240" w:lineRule="auto"/>
        <w:ind w:firstLine="720"/>
        <w:jc w:val="both"/>
        <w:rPr>
          <w:rFonts w:asciiTheme="majorBidi" w:hAnsiTheme="majorBidi" w:cstheme="majorBidi"/>
          <w:sz w:val="24"/>
          <w:szCs w:val="24"/>
        </w:rPr>
      </w:pPr>
      <w:r w:rsidRPr="00577D96">
        <w:rPr>
          <w:rFonts w:asciiTheme="majorBidi" w:hAnsiTheme="majorBidi" w:cstheme="majorBidi"/>
          <w:sz w:val="24"/>
          <w:szCs w:val="24"/>
        </w:rPr>
        <w:t>m.razmy@squ.edu.om</w:t>
      </w:r>
    </w:p>
    <w:p w14:paraId="2AE6A472" w14:textId="77777777" w:rsidR="00060C4C" w:rsidRPr="00577D96" w:rsidRDefault="00060C4C" w:rsidP="00060C4C">
      <w:pPr>
        <w:spacing w:after="0" w:line="240" w:lineRule="auto"/>
        <w:ind w:firstLine="720"/>
        <w:jc w:val="both"/>
        <w:rPr>
          <w:rFonts w:asciiTheme="majorBidi" w:hAnsiTheme="majorBidi" w:cstheme="majorBidi"/>
          <w:sz w:val="24"/>
          <w:szCs w:val="24"/>
        </w:rPr>
      </w:pPr>
      <w:r w:rsidRPr="00577D96">
        <w:rPr>
          <w:rFonts w:asciiTheme="majorBidi" w:hAnsiTheme="majorBidi" w:cstheme="majorBidi"/>
          <w:sz w:val="24"/>
          <w:szCs w:val="24"/>
        </w:rPr>
        <w:t>amrazmy@seu.ac.lk</w:t>
      </w:r>
    </w:p>
    <w:p w14:paraId="6D3F6BF3" w14:textId="77777777" w:rsidR="00060C4C" w:rsidRPr="00577D96" w:rsidRDefault="00060C4C" w:rsidP="00060C4C">
      <w:pPr>
        <w:spacing w:after="0" w:line="240" w:lineRule="auto"/>
        <w:jc w:val="both"/>
        <w:rPr>
          <w:rFonts w:asciiTheme="majorBidi" w:hAnsiTheme="majorBidi" w:cstheme="majorBidi"/>
          <w:sz w:val="24"/>
          <w:szCs w:val="24"/>
        </w:rPr>
      </w:pPr>
    </w:p>
    <w:p w14:paraId="351D2E82" w14:textId="77777777" w:rsidR="00060C4C" w:rsidRPr="00577D96" w:rsidRDefault="00060C4C" w:rsidP="00060C4C">
      <w:pPr>
        <w:numPr>
          <w:ilvl w:val="0"/>
          <w:numId w:val="11"/>
        </w:numPr>
        <w:spacing w:after="0" w:line="240" w:lineRule="auto"/>
        <w:ind w:left="900" w:hanging="270"/>
        <w:jc w:val="both"/>
        <w:rPr>
          <w:rFonts w:asciiTheme="majorBidi" w:hAnsiTheme="majorBidi" w:cstheme="majorBidi"/>
          <w:sz w:val="24"/>
          <w:szCs w:val="24"/>
        </w:rPr>
      </w:pPr>
      <w:r w:rsidRPr="00577D96">
        <w:rPr>
          <w:rFonts w:asciiTheme="majorBidi" w:hAnsiTheme="majorBidi" w:cstheme="majorBidi"/>
          <w:sz w:val="24"/>
          <w:szCs w:val="24"/>
        </w:rPr>
        <w:t>Department of Statistics, Sultan Qaboos University, Sultanate of Oman</w:t>
      </w:r>
    </w:p>
    <w:p w14:paraId="3B8DF3FD" w14:textId="77777777" w:rsidR="00060C4C" w:rsidRPr="00577D96" w:rsidRDefault="00060C4C" w:rsidP="00060C4C">
      <w:pPr>
        <w:numPr>
          <w:ilvl w:val="0"/>
          <w:numId w:val="11"/>
        </w:numPr>
        <w:spacing w:after="0" w:line="240" w:lineRule="auto"/>
        <w:ind w:left="900" w:hanging="270"/>
        <w:jc w:val="both"/>
        <w:rPr>
          <w:rFonts w:asciiTheme="majorBidi" w:hAnsiTheme="majorBidi" w:cstheme="majorBidi"/>
          <w:sz w:val="24"/>
          <w:szCs w:val="24"/>
        </w:rPr>
      </w:pPr>
      <w:r w:rsidRPr="00577D96">
        <w:rPr>
          <w:rFonts w:asciiTheme="majorBidi" w:hAnsiTheme="majorBidi" w:cstheme="majorBidi"/>
          <w:sz w:val="24"/>
          <w:szCs w:val="24"/>
        </w:rPr>
        <w:t>Department of Mathematical Sciences, Faculty of Applied Sciences, South Eastern University of Sri Lanka, Sri Lanka</w:t>
      </w:r>
    </w:p>
    <w:p w14:paraId="113108FD" w14:textId="0A2C8831" w:rsidR="00CE2762" w:rsidRPr="00577D96" w:rsidRDefault="00CE2762" w:rsidP="00060C4C">
      <w:pPr>
        <w:spacing w:after="120"/>
        <w:ind w:left="720"/>
        <w:jc w:val="both"/>
        <w:rPr>
          <w:rFonts w:asciiTheme="majorBidi" w:hAnsiTheme="majorBidi" w:cstheme="majorBidi"/>
          <w:sz w:val="24"/>
          <w:szCs w:val="24"/>
        </w:rPr>
      </w:pPr>
      <w:r w:rsidRPr="00577D96">
        <w:rPr>
          <w:rFonts w:asciiTheme="majorBidi" w:hAnsiTheme="majorBidi" w:cstheme="majorBidi"/>
          <w:sz w:val="24"/>
          <w:szCs w:val="24"/>
        </w:rPr>
        <w:br w:type="page"/>
      </w:r>
    </w:p>
    <w:p w14:paraId="27C08DE9" w14:textId="092C4A09" w:rsidR="0016428B" w:rsidRPr="00577D96" w:rsidRDefault="00C7549B" w:rsidP="004E1430">
      <w:pPr>
        <w:pStyle w:val="Heading1"/>
        <w:numPr>
          <w:ilvl w:val="0"/>
          <w:numId w:val="10"/>
        </w:numPr>
        <w:spacing w:after="120"/>
        <w:jc w:val="both"/>
        <w:rPr>
          <w:rFonts w:asciiTheme="majorBidi" w:hAnsiTheme="majorBidi"/>
          <w:color w:val="auto"/>
          <w:sz w:val="24"/>
          <w:szCs w:val="24"/>
        </w:rPr>
      </w:pPr>
      <w:r w:rsidRPr="00577D96">
        <w:rPr>
          <w:rFonts w:asciiTheme="majorBidi" w:hAnsiTheme="majorBidi"/>
          <w:color w:val="auto"/>
          <w:sz w:val="24"/>
          <w:szCs w:val="24"/>
        </w:rPr>
        <w:lastRenderedPageBreak/>
        <w:t>Introduction</w:t>
      </w:r>
    </w:p>
    <w:p w14:paraId="1521C9AE" w14:textId="7226868D" w:rsidR="00BA3B2E" w:rsidRPr="00577D96" w:rsidRDefault="00BA3B2E" w:rsidP="0037224C">
      <w:pPr>
        <w:pStyle w:val="isselectedend"/>
        <w:ind w:left="360"/>
        <w:jc w:val="both"/>
        <w:rPr>
          <w:rFonts w:asciiTheme="majorBidi" w:hAnsiTheme="majorBidi" w:cstheme="majorBidi"/>
        </w:rPr>
      </w:pPr>
      <w:r w:rsidRPr="00577D96">
        <w:rPr>
          <w:rFonts w:asciiTheme="majorBidi" w:hAnsiTheme="majorBidi" w:cstheme="majorBidi"/>
        </w:rPr>
        <w:t>Teenage pregnancy is defined as pregnancy occurring among females aged 13–19 years. Despite global declines in adolescent fertility rates, teenage pregnancy remains a significant public health issue. According to the World Health Organization (WHO, 2024), millions of adolescent girls become pregnant each year, particularly in low- and middle-income countries. Adolescent pregnancy has been linked to increased risks of maternal complications, neonatal morbidity, low birth weight (LBW), and preterm birth (WHO, 2023; UNICEF, 2023).</w:t>
      </w:r>
      <w:r w:rsidR="007401E5" w:rsidRPr="00577D96">
        <w:rPr>
          <w:rFonts w:asciiTheme="majorBidi" w:hAnsiTheme="majorBidi" w:cstheme="majorBidi"/>
        </w:rPr>
        <w:t xml:space="preserve"> </w:t>
      </w:r>
      <w:r w:rsidRPr="00577D96">
        <w:rPr>
          <w:rFonts w:asciiTheme="majorBidi" w:hAnsiTheme="majorBidi" w:cstheme="majorBidi"/>
        </w:rPr>
        <w:t xml:space="preserve">Previous studies have identified biological immaturity, inadequate prenatal care, poor nutritional status, low socioeconomic status, and limited access to reproductive health services as key contributors to adverse outcomes among teenage mothers (Fraser et al., 1995; Olausson et al., 1997; </w:t>
      </w:r>
      <w:proofErr w:type="spellStart"/>
      <w:r w:rsidRPr="00577D96">
        <w:rPr>
          <w:rFonts w:asciiTheme="majorBidi" w:hAnsiTheme="majorBidi" w:cstheme="majorBidi"/>
        </w:rPr>
        <w:t>Diabelkova</w:t>
      </w:r>
      <w:proofErr w:type="spellEnd"/>
      <w:r w:rsidRPr="00577D96">
        <w:rPr>
          <w:rFonts w:asciiTheme="majorBidi" w:hAnsiTheme="majorBidi" w:cstheme="majorBidi"/>
        </w:rPr>
        <w:t xml:space="preserve"> et al., 2023). Therefore, teenage pregnancy should not be viewed solely as a clinical issue but also as a maternal health and social development concern.</w:t>
      </w:r>
      <w:r w:rsidR="007401E5" w:rsidRPr="00577D96">
        <w:rPr>
          <w:rFonts w:asciiTheme="majorBidi" w:hAnsiTheme="majorBidi" w:cstheme="majorBidi"/>
        </w:rPr>
        <w:t xml:space="preserve"> </w:t>
      </w:r>
      <w:r w:rsidRPr="00577D96">
        <w:rPr>
          <w:rFonts w:asciiTheme="majorBidi" w:hAnsiTheme="majorBidi" w:cstheme="majorBidi"/>
        </w:rPr>
        <w:t>Globally, adverse birth outcomes remain major contributors to neonatal and under-five morbidity and mortality. Recent evidence suggests that preterm birth and LBW continue to account for a substantial proportion of neonatal deaths worldwide, particularly in disadvantaged populations (WHO, 2023; Bradley et al., 2025; Liang et al., 2024). UNICEF (2023) estimates that millions of infants are born with low birth weight annually, highlighting the continuing public health burden.</w:t>
      </w:r>
      <w:r w:rsidR="0037224C" w:rsidRPr="00577D96">
        <w:rPr>
          <w:rFonts w:asciiTheme="majorBidi" w:hAnsiTheme="majorBidi" w:cstheme="majorBidi"/>
        </w:rPr>
        <w:t xml:space="preserve"> </w:t>
      </w:r>
      <w:r w:rsidRPr="00577D96">
        <w:rPr>
          <w:rFonts w:asciiTheme="majorBidi" w:hAnsiTheme="majorBidi" w:cstheme="majorBidi"/>
        </w:rPr>
        <w:t xml:space="preserve">Several studies have demonstrated a significant association between adolescent pregnancy and adverse birth outcomes. Fraser et al. (1995) reported increased reproductive risks among young mothers, while </w:t>
      </w:r>
      <w:proofErr w:type="spellStart"/>
      <w:r w:rsidRPr="00577D96">
        <w:rPr>
          <w:rFonts w:asciiTheme="majorBidi" w:hAnsiTheme="majorBidi" w:cstheme="majorBidi"/>
        </w:rPr>
        <w:t>Malabarey</w:t>
      </w:r>
      <w:proofErr w:type="spellEnd"/>
      <w:r w:rsidRPr="00577D96">
        <w:rPr>
          <w:rFonts w:asciiTheme="majorBidi" w:hAnsiTheme="majorBidi" w:cstheme="majorBidi"/>
        </w:rPr>
        <w:t xml:space="preserve"> et al. (2012) found elevated risks of adverse neonatal outcomes based on an analysis of approximately 37 million births. Similar findings were reported by </w:t>
      </w:r>
      <w:proofErr w:type="spellStart"/>
      <w:r w:rsidRPr="00577D96">
        <w:rPr>
          <w:rFonts w:asciiTheme="majorBidi" w:hAnsiTheme="majorBidi" w:cstheme="majorBidi"/>
        </w:rPr>
        <w:t>Traisrisilp</w:t>
      </w:r>
      <w:proofErr w:type="spellEnd"/>
      <w:r w:rsidRPr="00577D96">
        <w:rPr>
          <w:rFonts w:asciiTheme="majorBidi" w:hAnsiTheme="majorBidi" w:cstheme="majorBidi"/>
        </w:rPr>
        <w:t xml:space="preserve"> et al. (2015) among very young adolescent mothers. In the United States, Chen et al. (2007) observed significantly increased risks of preterm birth and LBW among adolescent mothers. Comparable findings were reported in Oman by Al-</w:t>
      </w:r>
      <w:proofErr w:type="spellStart"/>
      <w:r w:rsidRPr="00577D96">
        <w:rPr>
          <w:rFonts w:asciiTheme="majorBidi" w:hAnsiTheme="majorBidi" w:cstheme="majorBidi"/>
        </w:rPr>
        <w:t>Haddabi</w:t>
      </w:r>
      <w:proofErr w:type="spellEnd"/>
      <w:r w:rsidRPr="00577D96">
        <w:rPr>
          <w:rFonts w:asciiTheme="majorBidi" w:hAnsiTheme="majorBidi" w:cstheme="majorBidi"/>
        </w:rPr>
        <w:t xml:space="preserve"> et al. (2014) and in Sri Lanka by Rahman, Razmy, and </w:t>
      </w:r>
      <w:proofErr w:type="spellStart"/>
      <w:r w:rsidRPr="00577D96">
        <w:rPr>
          <w:rFonts w:asciiTheme="majorBidi" w:hAnsiTheme="majorBidi" w:cstheme="majorBidi"/>
        </w:rPr>
        <w:t>Rizath</w:t>
      </w:r>
      <w:proofErr w:type="spellEnd"/>
      <w:r w:rsidRPr="00577D96">
        <w:rPr>
          <w:rFonts w:asciiTheme="majorBidi" w:hAnsiTheme="majorBidi" w:cstheme="majorBidi"/>
        </w:rPr>
        <w:t xml:space="preserve"> (2017).</w:t>
      </w:r>
      <w:r w:rsidR="0037224C" w:rsidRPr="00577D96">
        <w:rPr>
          <w:rFonts w:asciiTheme="majorBidi" w:hAnsiTheme="majorBidi" w:cstheme="majorBidi"/>
        </w:rPr>
        <w:t xml:space="preserve"> </w:t>
      </w:r>
      <w:r w:rsidRPr="00577D96">
        <w:rPr>
          <w:rFonts w:asciiTheme="majorBidi" w:hAnsiTheme="majorBidi" w:cstheme="majorBidi"/>
        </w:rPr>
        <w:t>National statistics also indicate that teenage pregnancy continues to contribute to adverse maternal and neonatal outcomes. Data from the United States have shown persistent disparities in birth outcomes among adolescent mothers despite improvements in maternal healthcare services (Martin et al., 2017). Nevertheless, evidence from Sri Lanka suggests that some adverse outcomes may be attributable to underlying maternal factors such as nutritional status, body mass index (BMI), and parity rather than maternal age alone (Rahman et al., 2017).</w:t>
      </w:r>
      <w:r w:rsidR="0037224C" w:rsidRPr="00577D96">
        <w:rPr>
          <w:rFonts w:asciiTheme="majorBidi" w:hAnsiTheme="majorBidi" w:cstheme="majorBidi"/>
        </w:rPr>
        <w:t xml:space="preserve"> </w:t>
      </w:r>
      <w:r w:rsidRPr="00577D96">
        <w:rPr>
          <w:rFonts w:asciiTheme="majorBidi" w:hAnsiTheme="majorBidi" w:cstheme="majorBidi"/>
        </w:rPr>
        <w:t>Although numerous studies have examined teenage pregnancy within individual countries, relatively few studies have compared outcomes across different healthcare systems and sociocultural contexts. Furthermore, the extent to which the relationship between teenage pregnancy and adverse birth outcomes is consistent across countries remains unclear. This study therefore compares adverse birth outcomes among teenage mothers in Oman, Sri Lanka, and the United States. The three countries represent contrasting healthcare, demographic, and socioeconomic settings, providing an opportunity to examine whether teenage pregnancy is consistently associated with adverse neonatal outcomes across different populations.</w:t>
      </w:r>
    </w:p>
    <w:p w14:paraId="663F5169" w14:textId="41E4F8B4" w:rsidR="0016428B" w:rsidRPr="00577D96" w:rsidRDefault="00C7549B" w:rsidP="0037224C">
      <w:pPr>
        <w:pStyle w:val="Heading1"/>
        <w:spacing w:after="120"/>
        <w:ind w:firstLine="360"/>
        <w:jc w:val="both"/>
        <w:rPr>
          <w:rFonts w:asciiTheme="majorBidi" w:hAnsiTheme="majorBidi"/>
          <w:color w:val="auto"/>
          <w:sz w:val="24"/>
          <w:szCs w:val="24"/>
        </w:rPr>
      </w:pPr>
      <w:r w:rsidRPr="00577D96">
        <w:rPr>
          <w:rFonts w:asciiTheme="majorBidi" w:hAnsiTheme="majorBidi"/>
          <w:color w:val="auto"/>
          <w:sz w:val="24"/>
          <w:szCs w:val="24"/>
        </w:rPr>
        <w:t>2. Materials and Methods</w:t>
      </w:r>
    </w:p>
    <w:p w14:paraId="262325AD" w14:textId="77777777" w:rsidR="0016428B" w:rsidRPr="00577D96" w:rsidRDefault="00C7549B" w:rsidP="0037224C">
      <w:pPr>
        <w:pStyle w:val="Heading2"/>
        <w:spacing w:after="120"/>
        <w:ind w:firstLine="360"/>
        <w:jc w:val="both"/>
        <w:rPr>
          <w:rFonts w:asciiTheme="majorBidi" w:hAnsiTheme="majorBidi"/>
          <w:color w:val="auto"/>
          <w:szCs w:val="24"/>
        </w:rPr>
      </w:pPr>
      <w:r w:rsidRPr="00577D96">
        <w:rPr>
          <w:rFonts w:asciiTheme="majorBidi" w:hAnsiTheme="majorBidi"/>
          <w:color w:val="auto"/>
          <w:szCs w:val="24"/>
        </w:rPr>
        <w:t>2.1 Study design and data sources</w:t>
      </w:r>
    </w:p>
    <w:p w14:paraId="37E3741C" w14:textId="50F60B7A" w:rsidR="0016428B" w:rsidRPr="00577D96" w:rsidRDefault="00C7549B" w:rsidP="0037224C">
      <w:pPr>
        <w:spacing w:after="120"/>
        <w:ind w:left="360"/>
        <w:jc w:val="both"/>
        <w:rPr>
          <w:rFonts w:asciiTheme="majorBidi" w:hAnsiTheme="majorBidi" w:cstheme="majorBidi"/>
          <w:sz w:val="24"/>
          <w:szCs w:val="24"/>
        </w:rPr>
      </w:pPr>
      <w:r w:rsidRPr="00577D96">
        <w:rPr>
          <w:rFonts w:asciiTheme="majorBidi" w:hAnsiTheme="majorBidi" w:cstheme="majorBidi"/>
          <w:sz w:val="24"/>
          <w:szCs w:val="24"/>
        </w:rPr>
        <w:t>This was a secondary comparative study and study-level meta-analysis based on three reported datasets from Oman, Sri Lanka and the United States. Th</w:t>
      </w:r>
      <w:r w:rsidRPr="00577D96">
        <w:rPr>
          <w:rFonts w:asciiTheme="majorBidi" w:hAnsiTheme="majorBidi" w:cstheme="majorBidi"/>
          <w:sz w:val="24"/>
          <w:szCs w:val="24"/>
        </w:rPr>
        <w:t>e Oman dataset came from a retrospective case-control study conducted at Sultan Qaboos University Hospital. The Sri Lankan dataset came from a prospective study conducted in the Batticaloa district. The United States dataset came from nationally linked bir</w:t>
      </w:r>
      <w:r w:rsidRPr="00577D96">
        <w:rPr>
          <w:rFonts w:asciiTheme="majorBidi" w:hAnsiTheme="majorBidi" w:cstheme="majorBidi"/>
          <w:sz w:val="24"/>
          <w:szCs w:val="24"/>
        </w:rPr>
        <w:t>th/infant death data for singleton births.</w:t>
      </w:r>
      <w:r w:rsidR="0037224C" w:rsidRPr="00577D96">
        <w:rPr>
          <w:rFonts w:asciiTheme="majorBidi" w:hAnsiTheme="majorBidi" w:cstheme="majorBidi"/>
          <w:sz w:val="24"/>
          <w:szCs w:val="24"/>
        </w:rPr>
        <w:t xml:space="preserve"> </w:t>
      </w:r>
      <w:r w:rsidRPr="00577D96">
        <w:rPr>
          <w:rFonts w:asciiTheme="majorBidi" w:hAnsiTheme="majorBidi" w:cstheme="majorBidi"/>
          <w:sz w:val="24"/>
          <w:szCs w:val="24"/>
        </w:rPr>
        <w:t xml:space="preserve">Adult mothers aged 20-24 years were </w:t>
      </w:r>
      <w:r w:rsidRPr="00577D96">
        <w:rPr>
          <w:rFonts w:asciiTheme="majorBidi" w:hAnsiTheme="majorBidi" w:cstheme="majorBidi"/>
          <w:sz w:val="24"/>
          <w:szCs w:val="24"/>
        </w:rPr>
        <w:lastRenderedPageBreak/>
        <w:t>selected as the comparison group because this age band is commonly used as a low-risk young adult reference group in adolescent pregnancy studies.</w:t>
      </w:r>
    </w:p>
    <w:p w14:paraId="2BEA3868" w14:textId="228B5928" w:rsidR="0016428B" w:rsidRPr="00577D96" w:rsidRDefault="00C7549B" w:rsidP="0037224C">
      <w:pPr>
        <w:pStyle w:val="Heading2"/>
        <w:spacing w:after="120"/>
        <w:ind w:firstLine="360"/>
        <w:jc w:val="both"/>
        <w:rPr>
          <w:rFonts w:asciiTheme="majorBidi" w:hAnsiTheme="majorBidi"/>
          <w:color w:val="auto"/>
          <w:szCs w:val="24"/>
        </w:rPr>
      </w:pPr>
      <w:r w:rsidRPr="00577D96">
        <w:rPr>
          <w:rFonts w:asciiTheme="majorBidi" w:hAnsiTheme="majorBidi"/>
          <w:color w:val="auto"/>
          <w:szCs w:val="24"/>
        </w:rPr>
        <w:t>2.2 Parti</w:t>
      </w:r>
      <w:r w:rsidRPr="00577D96">
        <w:rPr>
          <w:rFonts w:asciiTheme="majorBidi" w:hAnsiTheme="majorBidi"/>
          <w:color w:val="auto"/>
          <w:szCs w:val="24"/>
        </w:rPr>
        <w:t>cipants and definitions</w:t>
      </w:r>
    </w:p>
    <w:p w14:paraId="203BF410" w14:textId="5015A2AB" w:rsidR="005C6A53" w:rsidRPr="00577D96" w:rsidRDefault="005C6A53" w:rsidP="0037224C">
      <w:pPr>
        <w:spacing w:after="120"/>
        <w:ind w:left="360"/>
        <w:jc w:val="both"/>
        <w:rPr>
          <w:rFonts w:asciiTheme="majorBidi" w:hAnsiTheme="majorBidi" w:cstheme="majorBidi"/>
          <w:sz w:val="24"/>
          <w:szCs w:val="24"/>
        </w:rPr>
      </w:pPr>
      <w:r w:rsidRPr="00577D96">
        <w:rPr>
          <w:rFonts w:asciiTheme="majorBidi" w:hAnsiTheme="majorBidi" w:cstheme="majorBidi"/>
          <w:sz w:val="24"/>
          <w:szCs w:val="24"/>
        </w:rPr>
        <w:t>Teenage mothers were defined as mothers aged 19 years or below. Adult mothers were defined as mothers aged 20-24 years. LBW was defined as birth weight below 2500 g. Preterm delivery was defined as delivery before 37 completed weeks of gestation. Where the original report presented percentages and totals, integer event counts were checked for consistency before calculating odds ratios.</w:t>
      </w:r>
      <w:r w:rsidRPr="00577D96">
        <w:rPr>
          <w:rFonts w:asciiTheme="majorBidi" w:hAnsiTheme="majorBidi" w:cstheme="majorBidi"/>
          <w:sz w:val="24"/>
          <w:szCs w:val="24"/>
        </w:rPr>
        <w:t xml:space="preserve"> Table 1 shows the data description.</w:t>
      </w:r>
    </w:p>
    <w:p w14:paraId="269DD572" w14:textId="77777777" w:rsidR="00064C1A" w:rsidRPr="00577D96" w:rsidRDefault="00064C1A" w:rsidP="004E1430">
      <w:pPr>
        <w:spacing w:after="160"/>
        <w:jc w:val="both"/>
        <w:rPr>
          <w:rFonts w:asciiTheme="majorBidi" w:hAnsiTheme="majorBidi" w:cstheme="majorBidi"/>
          <w:sz w:val="24"/>
          <w:szCs w:val="24"/>
        </w:rPr>
      </w:pPr>
    </w:p>
    <w:p w14:paraId="7DECCB76" w14:textId="00465E57" w:rsidR="00064C1A" w:rsidRPr="00577D96" w:rsidRDefault="00064C1A" w:rsidP="0037224C">
      <w:pPr>
        <w:spacing w:after="160"/>
        <w:ind w:firstLine="360"/>
        <w:jc w:val="center"/>
        <w:rPr>
          <w:rFonts w:asciiTheme="majorBidi" w:hAnsiTheme="majorBidi" w:cstheme="majorBidi"/>
          <w:sz w:val="24"/>
          <w:szCs w:val="24"/>
        </w:rPr>
      </w:pPr>
      <w:r w:rsidRPr="00577D96">
        <w:rPr>
          <w:rFonts w:asciiTheme="majorBidi" w:hAnsiTheme="majorBidi" w:cstheme="majorBidi"/>
          <w:sz w:val="24"/>
          <w:szCs w:val="24"/>
        </w:rPr>
        <w:t>Table 1. Study populations included in the comparative analysis.</w:t>
      </w:r>
    </w:p>
    <w:tbl>
      <w:tblPr>
        <w:tblStyle w:val="PlainTable2"/>
        <w:tblW w:w="0" w:type="auto"/>
        <w:jc w:val="center"/>
        <w:tblLook w:val="04A0" w:firstRow="1" w:lastRow="0" w:firstColumn="1" w:lastColumn="0" w:noHBand="0" w:noVBand="1"/>
      </w:tblPr>
      <w:tblGrid>
        <w:gridCol w:w="1416"/>
        <w:gridCol w:w="1706"/>
        <w:gridCol w:w="1421"/>
        <w:gridCol w:w="4266"/>
      </w:tblGrid>
      <w:tr w:rsidR="00577D96" w:rsidRPr="00577D96" w14:paraId="1233E14E" w14:textId="77777777" w:rsidTr="0037224C">
        <w:trPr>
          <w:cnfStyle w:val="100000000000" w:firstRow="1" w:lastRow="0" w:firstColumn="0" w:lastColumn="0" w:oddVBand="0" w:evenVBand="0" w:oddHBand="0"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416" w:type="dxa"/>
            <w:vAlign w:val="center"/>
          </w:tcPr>
          <w:p w14:paraId="5382A647" w14:textId="77777777" w:rsidR="0016428B" w:rsidRPr="00577D96" w:rsidRDefault="00C7549B" w:rsidP="0037224C">
            <w:pPr>
              <w:jc w:val="center"/>
              <w:rPr>
                <w:rFonts w:asciiTheme="majorBidi" w:hAnsiTheme="majorBidi" w:cstheme="majorBidi"/>
                <w:sz w:val="24"/>
                <w:szCs w:val="24"/>
              </w:rPr>
            </w:pPr>
            <w:r w:rsidRPr="00577D96">
              <w:rPr>
                <w:rFonts w:asciiTheme="majorBidi" w:hAnsiTheme="majorBidi" w:cstheme="majorBidi"/>
                <w:sz w:val="24"/>
                <w:szCs w:val="24"/>
              </w:rPr>
              <w:t>Country</w:t>
            </w:r>
          </w:p>
        </w:tc>
        <w:tc>
          <w:tcPr>
            <w:tcW w:w="1706" w:type="dxa"/>
            <w:vAlign w:val="center"/>
          </w:tcPr>
          <w:p w14:paraId="5631C9FC" w14:textId="36717C3D" w:rsidR="0016428B" w:rsidRPr="00577D96" w:rsidRDefault="00064C1A" w:rsidP="0037224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 xml:space="preserve">Number of </w:t>
            </w:r>
            <w:r w:rsidR="00C7549B" w:rsidRPr="00577D96">
              <w:rPr>
                <w:rFonts w:asciiTheme="majorBidi" w:hAnsiTheme="majorBidi" w:cstheme="majorBidi"/>
                <w:sz w:val="24"/>
                <w:szCs w:val="24"/>
              </w:rPr>
              <w:t>Teenage mothers</w:t>
            </w:r>
          </w:p>
        </w:tc>
        <w:tc>
          <w:tcPr>
            <w:tcW w:w="1421" w:type="dxa"/>
            <w:vAlign w:val="center"/>
          </w:tcPr>
          <w:p w14:paraId="4F1E9A5E" w14:textId="1271A777" w:rsidR="0016428B" w:rsidRPr="00577D96" w:rsidRDefault="00064C1A" w:rsidP="0037224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 xml:space="preserve">Number of </w:t>
            </w:r>
            <w:r w:rsidR="00C7549B" w:rsidRPr="00577D96">
              <w:rPr>
                <w:rFonts w:asciiTheme="majorBidi" w:hAnsiTheme="majorBidi" w:cstheme="majorBidi"/>
                <w:sz w:val="24"/>
                <w:szCs w:val="24"/>
              </w:rPr>
              <w:t>Adult mothers</w:t>
            </w:r>
          </w:p>
        </w:tc>
        <w:tc>
          <w:tcPr>
            <w:tcW w:w="4266" w:type="dxa"/>
            <w:vAlign w:val="center"/>
          </w:tcPr>
          <w:p w14:paraId="6414EF79" w14:textId="77777777" w:rsidR="0016428B" w:rsidRPr="00577D96" w:rsidRDefault="00C7549B" w:rsidP="0037224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Data source/design</w:t>
            </w:r>
          </w:p>
        </w:tc>
      </w:tr>
      <w:tr w:rsidR="00577D96" w:rsidRPr="00577D96" w14:paraId="7882C5C0" w14:textId="77777777" w:rsidTr="0037224C">
        <w:trPr>
          <w:cnfStyle w:val="000000100000" w:firstRow="0" w:lastRow="0" w:firstColumn="0" w:lastColumn="0" w:oddVBand="0" w:evenVBand="0" w:oddHBand="1" w:evenHBand="0" w:firstRowFirstColumn="0" w:firstRowLastColumn="0" w:lastRowFirstColumn="0" w:lastRowLastColumn="0"/>
          <w:trHeight w:val="591"/>
          <w:jc w:val="center"/>
        </w:trPr>
        <w:tc>
          <w:tcPr>
            <w:cnfStyle w:val="001000000000" w:firstRow="0" w:lastRow="0" w:firstColumn="1" w:lastColumn="0" w:oddVBand="0" w:evenVBand="0" w:oddHBand="0" w:evenHBand="0" w:firstRowFirstColumn="0" w:firstRowLastColumn="0" w:lastRowFirstColumn="0" w:lastRowLastColumn="0"/>
            <w:tcW w:w="1416" w:type="dxa"/>
            <w:vAlign w:val="center"/>
          </w:tcPr>
          <w:p w14:paraId="6B5739D6" w14:textId="77777777" w:rsidR="0016428B" w:rsidRPr="00577D96" w:rsidRDefault="00C7549B" w:rsidP="0037224C">
            <w:pPr>
              <w:jc w:val="center"/>
              <w:rPr>
                <w:rFonts w:asciiTheme="majorBidi" w:hAnsiTheme="majorBidi" w:cstheme="majorBidi"/>
                <w:sz w:val="24"/>
                <w:szCs w:val="24"/>
              </w:rPr>
            </w:pPr>
            <w:r w:rsidRPr="00577D96">
              <w:rPr>
                <w:rFonts w:asciiTheme="majorBidi" w:hAnsiTheme="majorBidi" w:cstheme="majorBidi"/>
                <w:sz w:val="24"/>
                <w:szCs w:val="24"/>
              </w:rPr>
              <w:t>Oman</w:t>
            </w:r>
          </w:p>
        </w:tc>
        <w:tc>
          <w:tcPr>
            <w:tcW w:w="1706" w:type="dxa"/>
            <w:vAlign w:val="center"/>
          </w:tcPr>
          <w:p w14:paraId="0C52B20B" w14:textId="77777777" w:rsidR="0016428B" w:rsidRPr="00577D96" w:rsidRDefault="00C7549B" w:rsidP="003722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307</w:t>
            </w:r>
          </w:p>
        </w:tc>
        <w:tc>
          <w:tcPr>
            <w:tcW w:w="1421" w:type="dxa"/>
            <w:vAlign w:val="center"/>
          </w:tcPr>
          <w:p w14:paraId="5B8507AB" w14:textId="77777777" w:rsidR="0016428B" w:rsidRPr="00577D96" w:rsidRDefault="00C7549B" w:rsidP="003722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307</w:t>
            </w:r>
          </w:p>
        </w:tc>
        <w:tc>
          <w:tcPr>
            <w:tcW w:w="4266" w:type="dxa"/>
            <w:vAlign w:val="center"/>
          </w:tcPr>
          <w:p w14:paraId="19840364" w14:textId="77777777" w:rsidR="0016428B" w:rsidRPr="00577D96" w:rsidRDefault="00C7549B" w:rsidP="006A5F6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Hospital-based retrospective case-control study</w:t>
            </w:r>
          </w:p>
        </w:tc>
      </w:tr>
      <w:tr w:rsidR="00577D96" w:rsidRPr="00577D96" w14:paraId="70D9A106" w14:textId="77777777" w:rsidTr="0037224C">
        <w:trPr>
          <w:trHeight w:val="683"/>
          <w:jc w:val="center"/>
        </w:trPr>
        <w:tc>
          <w:tcPr>
            <w:cnfStyle w:val="001000000000" w:firstRow="0" w:lastRow="0" w:firstColumn="1" w:lastColumn="0" w:oddVBand="0" w:evenVBand="0" w:oddHBand="0" w:evenHBand="0" w:firstRowFirstColumn="0" w:firstRowLastColumn="0" w:lastRowFirstColumn="0" w:lastRowLastColumn="0"/>
            <w:tcW w:w="1416" w:type="dxa"/>
            <w:vAlign w:val="center"/>
          </w:tcPr>
          <w:p w14:paraId="4BE96051" w14:textId="77777777" w:rsidR="0016428B" w:rsidRPr="00577D96" w:rsidRDefault="00C7549B" w:rsidP="0037224C">
            <w:pPr>
              <w:jc w:val="center"/>
              <w:rPr>
                <w:rFonts w:asciiTheme="majorBidi" w:hAnsiTheme="majorBidi" w:cstheme="majorBidi"/>
                <w:sz w:val="24"/>
                <w:szCs w:val="24"/>
              </w:rPr>
            </w:pPr>
            <w:r w:rsidRPr="00577D96">
              <w:rPr>
                <w:rFonts w:asciiTheme="majorBidi" w:hAnsiTheme="majorBidi" w:cstheme="majorBidi"/>
                <w:sz w:val="24"/>
                <w:szCs w:val="24"/>
              </w:rPr>
              <w:t>Sri Lanka</w:t>
            </w:r>
          </w:p>
        </w:tc>
        <w:tc>
          <w:tcPr>
            <w:tcW w:w="1706" w:type="dxa"/>
            <w:vAlign w:val="center"/>
          </w:tcPr>
          <w:p w14:paraId="5320F025" w14:textId="77777777" w:rsidR="0016428B" w:rsidRPr="00577D96" w:rsidRDefault="00C7549B" w:rsidP="003722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980</w:t>
            </w:r>
          </w:p>
        </w:tc>
        <w:tc>
          <w:tcPr>
            <w:tcW w:w="1421" w:type="dxa"/>
            <w:vAlign w:val="center"/>
          </w:tcPr>
          <w:p w14:paraId="31A9AAC9" w14:textId="77777777" w:rsidR="0016428B" w:rsidRPr="00577D96" w:rsidRDefault="00C7549B" w:rsidP="003722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336</w:t>
            </w:r>
          </w:p>
        </w:tc>
        <w:tc>
          <w:tcPr>
            <w:tcW w:w="4266" w:type="dxa"/>
            <w:vAlign w:val="center"/>
          </w:tcPr>
          <w:p w14:paraId="5509B7B6" w14:textId="77777777" w:rsidR="0016428B" w:rsidRPr="00577D96" w:rsidRDefault="00C7549B" w:rsidP="006A5F6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Prospective study in Batticaloa district; adult subgroup aged 20-24 selected</w:t>
            </w:r>
          </w:p>
        </w:tc>
      </w:tr>
      <w:tr w:rsidR="00577D96" w:rsidRPr="00577D96" w14:paraId="17C9D173" w14:textId="77777777" w:rsidTr="0037224C">
        <w:trPr>
          <w:cnfStyle w:val="000000100000" w:firstRow="0" w:lastRow="0" w:firstColumn="0" w:lastColumn="0" w:oddVBand="0" w:evenVBand="0" w:oddHBand="1"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1416" w:type="dxa"/>
            <w:vAlign w:val="center"/>
          </w:tcPr>
          <w:p w14:paraId="68035033" w14:textId="77777777" w:rsidR="0016428B" w:rsidRPr="00577D96" w:rsidRDefault="00C7549B" w:rsidP="0037224C">
            <w:pPr>
              <w:jc w:val="center"/>
              <w:rPr>
                <w:rFonts w:asciiTheme="majorBidi" w:hAnsiTheme="majorBidi" w:cstheme="majorBidi"/>
                <w:sz w:val="24"/>
                <w:szCs w:val="24"/>
              </w:rPr>
            </w:pPr>
            <w:r w:rsidRPr="00577D96">
              <w:rPr>
                <w:rFonts w:asciiTheme="majorBidi" w:hAnsiTheme="majorBidi" w:cstheme="majorBidi"/>
                <w:sz w:val="24"/>
                <w:szCs w:val="24"/>
              </w:rPr>
              <w:t xml:space="preserve">United </w:t>
            </w:r>
            <w:r w:rsidRPr="00577D96">
              <w:rPr>
                <w:rFonts w:asciiTheme="majorBidi" w:hAnsiTheme="majorBidi" w:cstheme="majorBidi"/>
                <w:sz w:val="24"/>
                <w:szCs w:val="24"/>
              </w:rPr>
              <w:t>States</w:t>
            </w:r>
          </w:p>
        </w:tc>
        <w:tc>
          <w:tcPr>
            <w:tcW w:w="1706" w:type="dxa"/>
            <w:vAlign w:val="center"/>
          </w:tcPr>
          <w:p w14:paraId="62289974" w14:textId="77777777" w:rsidR="0016428B" w:rsidRPr="00577D96" w:rsidRDefault="00C7549B" w:rsidP="003722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1,879,714</w:t>
            </w:r>
          </w:p>
        </w:tc>
        <w:tc>
          <w:tcPr>
            <w:tcW w:w="1421" w:type="dxa"/>
            <w:vAlign w:val="center"/>
          </w:tcPr>
          <w:p w14:paraId="4A93EAAE" w14:textId="77777777" w:rsidR="0016428B" w:rsidRPr="00577D96" w:rsidRDefault="00C7549B" w:rsidP="003722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2,006,650</w:t>
            </w:r>
          </w:p>
        </w:tc>
        <w:tc>
          <w:tcPr>
            <w:tcW w:w="4266" w:type="dxa"/>
            <w:vAlign w:val="center"/>
          </w:tcPr>
          <w:p w14:paraId="279EF280" w14:textId="77777777" w:rsidR="0016428B" w:rsidRPr="00577D96" w:rsidRDefault="00C7549B" w:rsidP="006A5F6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Nationally linked birth/infant death data</w:t>
            </w:r>
          </w:p>
        </w:tc>
      </w:tr>
    </w:tbl>
    <w:p w14:paraId="3C4A6649" w14:textId="77777777" w:rsidR="0016428B" w:rsidRPr="00577D96" w:rsidRDefault="00C7549B" w:rsidP="0037224C">
      <w:pPr>
        <w:pStyle w:val="Heading2"/>
        <w:spacing w:after="120"/>
        <w:ind w:firstLine="720"/>
        <w:jc w:val="both"/>
        <w:rPr>
          <w:rFonts w:asciiTheme="majorBidi" w:hAnsiTheme="majorBidi"/>
          <w:color w:val="auto"/>
          <w:szCs w:val="24"/>
        </w:rPr>
      </w:pPr>
      <w:r w:rsidRPr="00577D96">
        <w:rPr>
          <w:rFonts w:asciiTheme="majorBidi" w:hAnsiTheme="majorBidi"/>
          <w:color w:val="auto"/>
          <w:szCs w:val="24"/>
        </w:rPr>
        <w:t>2.3 Statistical analysis</w:t>
      </w:r>
    </w:p>
    <w:p w14:paraId="0D42D5BE" w14:textId="31F04633" w:rsidR="0016428B" w:rsidRPr="00577D96" w:rsidRDefault="00C7549B" w:rsidP="0037224C">
      <w:pPr>
        <w:spacing w:after="120"/>
        <w:ind w:left="720"/>
        <w:jc w:val="both"/>
        <w:rPr>
          <w:rFonts w:asciiTheme="majorBidi" w:hAnsiTheme="majorBidi" w:cstheme="majorBidi"/>
          <w:sz w:val="24"/>
          <w:szCs w:val="24"/>
        </w:rPr>
      </w:pPr>
      <w:r w:rsidRPr="00577D96">
        <w:rPr>
          <w:rFonts w:asciiTheme="majorBidi" w:hAnsiTheme="majorBidi" w:cstheme="majorBidi"/>
          <w:sz w:val="24"/>
          <w:szCs w:val="24"/>
        </w:rPr>
        <w:t xml:space="preserve">Mean birth weights were compared descriptively across maternal age groups and countries. Chi-square tests were used in the original analysis to examine associations between maternal age group and categorical outcomes. </w:t>
      </w:r>
      <w:r w:rsidR="00064C1A" w:rsidRPr="00577D96">
        <w:rPr>
          <w:rFonts w:asciiTheme="majorBidi" w:hAnsiTheme="majorBidi" w:cstheme="majorBidi"/>
          <w:sz w:val="24"/>
          <w:szCs w:val="24"/>
        </w:rPr>
        <w:t>O</w:t>
      </w:r>
      <w:r w:rsidRPr="00577D96">
        <w:rPr>
          <w:rFonts w:asciiTheme="majorBidi" w:hAnsiTheme="majorBidi" w:cstheme="majorBidi"/>
          <w:sz w:val="24"/>
          <w:szCs w:val="24"/>
        </w:rPr>
        <w:t>dds ratios (ORs) with 95% confidence intervals (CIs) were calculated for LBW and preterm delivery. An OR above 1 indicates higher odds of the adverse outcome among teenage mothers compared with adult mothers. Pooled ORs</w:t>
      </w:r>
      <w:r w:rsidRPr="00577D96">
        <w:rPr>
          <w:rFonts w:asciiTheme="majorBidi" w:hAnsiTheme="majorBidi" w:cstheme="majorBidi"/>
          <w:sz w:val="24"/>
          <w:szCs w:val="24"/>
        </w:rPr>
        <w:t xml:space="preserve"> were </w:t>
      </w:r>
      <w:r w:rsidRPr="00577D96">
        <w:rPr>
          <w:rFonts w:asciiTheme="majorBidi" w:hAnsiTheme="majorBidi" w:cstheme="majorBidi"/>
          <w:sz w:val="24"/>
          <w:szCs w:val="24"/>
        </w:rPr>
        <w:t>estimated using inverse-variance weighting. Heterogeneity was assessed using Cochran Q and I-squared statistics.</w:t>
      </w:r>
      <w:r w:rsidRPr="00577D96">
        <w:rPr>
          <w:rFonts w:asciiTheme="majorBidi" w:hAnsiTheme="majorBidi" w:cstheme="majorBidi"/>
          <w:sz w:val="24"/>
          <w:szCs w:val="24"/>
        </w:rPr>
        <w:t xml:space="preserve"> </w:t>
      </w:r>
      <w:r w:rsidRPr="00577D96">
        <w:rPr>
          <w:rFonts w:asciiTheme="majorBidi" w:hAnsiTheme="majorBidi" w:cstheme="majorBidi"/>
          <w:sz w:val="24"/>
          <w:szCs w:val="24"/>
        </w:rPr>
        <w:t>Because only three study settings were available, heterogeneity estimates should be interpreted cautiously.</w:t>
      </w:r>
    </w:p>
    <w:p w14:paraId="4182573B" w14:textId="77777777" w:rsidR="0016428B" w:rsidRPr="00577D96" w:rsidRDefault="00C7549B" w:rsidP="0037224C">
      <w:pPr>
        <w:pStyle w:val="Heading1"/>
        <w:spacing w:after="120"/>
        <w:ind w:firstLine="720"/>
        <w:jc w:val="both"/>
        <w:rPr>
          <w:rFonts w:asciiTheme="majorBidi" w:hAnsiTheme="majorBidi"/>
          <w:color w:val="auto"/>
          <w:sz w:val="24"/>
          <w:szCs w:val="24"/>
        </w:rPr>
      </w:pPr>
      <w:r w:rsidRPr="00577D96">
        <w:rPr>
          <w:rFonts w:asciiTheme="majorBidi" w:hAnsiTheme="majorBidi"/>
          <w:color w:val="auto"/>
          <w:sz w:val="24"/>
          <w:szCs w:val="24"/>
        </w:rPr>
        <w:t>3. Results</w:t>
      </w:r>
    </w:p>
    <w:p w14:paraId="40595ABC" w14:textId="77777777" w:rsidR="0016428B" w:rsidRPr="00577D96" w:rsidRDefault="00C7549B" w:rsidP="0037224C">
      <w:pPr>
        <w:pStyle w:val="Heading2"/>
        <w:spacing w:after="120"/>
        <w:ind w:firstLine="720"/>
        <w:jc w:val="both"/>
        <w:rPr>
          <w:rFonts w:asciiTheme="majorBidi" w:hAnsiTheme="majorBidi"/>
          <w:color w:val="auto"/>
          <w:szCs w:val="24"/>
        </w:rPr>
      </w:pPr>
      <w:r w:rsidRPr="00577D96">
        <w:rPr>
          <w:rFonts w:asciiTheme="majorBidi" w:hAnsiTheme="majorBidi"/>
          <w:color w:val="auto"/>
          <w:szCs w:val="24"/>
        </w:rPr>
        <w:t>3.1 Birth weight across countries</w:t>
      </w:r>
    </w:p>
    <w:p w14:paraId="0CC81FA7" w14:textId="77777777" w:rsidR="004252DC" w:rsidRPr="00577D96" w:rsidRDefault="00C7549B" w:rsidP="0037224C">
      <w:pPr>
        <w:spacing w:after="120"/>
        <w:ind w:left="720"/>
        <w:jc w:val="both"/>
        <w:rPr>
          <w:rFonts w:asciiTheme="majorBidi" w:hAnsiTheme="majorBidi" w:cstheme="majorBidi"/>
          <w:sz w:val="24"/>
          <w:szCs w:val="24"/>
        </w:rPr>
      </w:pPr>
      <w:r w:rsidRPr="00577D96">
        <w:rPr>
          <w:rFonts w:asciiTheme="majorBidi" w:hAnsiTheme="majorBidi" w:cstheme="majorBidi"/>
          <w:sz w:val="24"/>
          <w:szCs w:val="24"/>
        </w:rPr>
        <w:t xml:space="preserve">Mean birth weight was consistently </w:t>
      </w:r>
      <w:r w:rsidR="00064C1A" w:rsidRPr="00577D96">
        <w:rPr>
          <w:rFonts w:asciiTheme="majorBidi" w:hAnsiTheme="majorBidi" w:cstheme="majorBidi"/>
          <w:sz w:val="24"/>
          <w:szCs w:val="24"/>
        </w:rPr>
        <w:t xml:space="preserve">significantly </w:t>
      </w:r>
      <w:r w:rsidRPr="00577D96">
        <w:rPr>
          <w:rFonts w:asciiTheme="majorBidi" w:hAnsiTheme="majorBidi" w:cstheme="majorBidi"/>
          <w:sz w:val="24"/>
          <w:szCs w:val="24"/>
        </w:rPr>
        <w:t xml:space="preserve">lower among babies born to teenage mothers than among </w:t>
      </w:r>
      <w:r w:rsidRPr="00577D96">
        <w:rPr>
          <w:rFonts w:asciiTheme="majorBidi" w:hAnsiTheme="majorBidi" w:cstheme="majorBidi"/>
          <w:sz w:val="24"/>
          <w:szCs w:val="24"/>
        </w:rPr>
        <w:t>those born to adult mothers in all three countries</w:t>
      </w:r>
      <w:r w:rsidR="00064C1A" w:rsidRPr="00577D96">
        <w:rPr>
          <w:rFonts w:asciiTheme="majorBidi" w:hAnsiTheme="majorBidi" w:cstheme="majorBidi"/>
          <w:sz w:val="24"/>
          <w:szCs w:val="24"/>
        </w:rPr>
        <w:t xml:space="preserve"> (p&lt; 0.05)</w:t>
      </w:r>
      <w:r w:rsidRPr="00577D96">
        <w:rPr>
          <w:rFonts w:asciiTheme="majorBidi" w:hAnsiTheme="majorBidi" w:cstheme="majorBidi"/>
          <w:sz w:val="24"/>
          <w:szCs w:val="24"/>
        </w:rPr>
        <w:t>. The lowest mean birth weights were observed in Oman, followed by Sri Lanka, while the United States had the highest mean birth weights in both maternal age groups</w:t>
      </w:r>
      <w:r w:rsidR="00064C1A" w:rsidRPr="00577D96">
        <w:rPr>
          <w:rFonts w:asciiTheme="majorBidi" w:hAnsiTheme="majorBidi" w:cstheme="majorBidi"/>
          <w:sz w:val="24"/>
          <w:szCs w:val="24"/>
        </w:rPr>
        <w:t xml:space="preserve"> as shown in Table 2</w:t>
      </w:r>
      <w:r w:rsidRPr="00577D96">
        <w:rPr>
          <w:rFonts w:asciiTheme="majorBidi" w:hAnsiTheme="majorBidi" w:cstheme="majorBidi"/>
          <w:sz w:val="24"/>
          <w:szCs w:val="24"/>
        </w:rPr>
        <w:t>.</w:t>
      </w:r>
      <w:r w:rsidR="004252DC" w:rsidRPr="00577D96">
        <w:rPr>
          <w:rFonts w:asciiTheme="majorBidi" w:hAnsiTheme="majorBidi" w:cstheme="majorBidi"/>
          <w:sz w:val="24"/>
          <w:szCs w:val="24"/>
        </w:rPr>
        <w:t xml:space="preserve"> </w:t>
      </w:r>
      <w:r w:rsidR="004252DC" w:rsidRPr="00577D96">
        <w:rPr>
          <w:rFonts w:asciiTheme="majorBidi" w:hAnsiTheme="majorBidi" w:cstheme="majorBidi"/>
          <w:sz w:val="24"/>
          <w:szCs w:val="24"/>
        </w:rPr>
        <w:t>Although the magnitude of the difference varied by country, the direction was consistent. Teenage motherhood was associated with lower mean birth weight in all settings. The absolute difference was largest in Oman and smallest in the United States.</w:t>
      </w:r>
    </w:p>
    <w:p w14:paraId="41C2231D" w14:textId="217A4F0A" w:rsidR="00064C1A" w:rsidRPr="00577D96" w:rsidRDefault="00064C1A" w:rsidP="0037224C">
      <w:pPr>
        <w:spacing w:after="160"/>
        <w:jc w:val="center"/>
        <w:rPr>
          <w:rFonts w:asciiTheme="majorBidi" w:hAnsiTheme="majorBidi" w:cstheme="majorBidi"/>
          <w:sz w:val="24"/>
          <w:szCs w:val="24"/>
        </w:rPr>
      </w:pPr>
      <w:r w:rsidRPr="00577D96">
        <w:rPr>
          <w:rFonts w:asciiTheme="majorBidi" w:hAnsiTheme="majorBidi" w:cstheme="majorBidi"/>
          <w:sz w:val="24"/>
          <w:szCs w:val="24"/>
        </w:rPr>
        <w:lastRenderedPageBreak/>
        <w:t>Table 2. Mean birth weight by country and maternal age category.</w:t>
      </w:r>
    </w:p>
    <w:tbl>
      <w:tblPr>
        <w:tblStyle w:val="PlainTable2"/>
        <w:tblW w:w="8668" w:type="dxa"/>
        <w:jc w:val="center"/>
        <w:tblLook w:val="04A0" w:firstRow="1" w:lastRow="0" w:firstColumn="1" w:lastColumn="0" w:noHBand="0" w:noVBand="1"/>
      </w:tblPr>
      <w:tblGrid>
        <w:gridCol w:w="1341"/>
        <w:gridCol w:w="2544"/>
        <w:gridCol w:w="2612"/>
        <w:gridCol w:w="2171"/>
      </w:tblGrid>
      <w:tr w:rsidR="00577D96" w:rsidRPr="00577D96" w14:paraId="380322FC" w14:textId="77777777" w:rsidTr="0037224C">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341" w:type="dxa"/>
            <w:vMerge w:val="restart"/>
            <w:vAlign w:val="center"/>
          </w:tcPr>
          <w:p w14:paraId="4172B13E" w14:textId="77777777" w:rsidR="00064C1A" w:rsidRPr="00577D96" w:rsidRDefault="00064C1A" w:rsidP="0037224C">
            <w:pPr>
              <w:tabs>
                <w:tab w:val="left" w:pos="3840"/>
              </w:tabs>
              <w:jc w:val="center"/>
              <w:rPr>
                <w:rFonts w:asciiTheme="majorBidi" w:hAnsiTheme="majorBidi" w:cstheme="majorBidi"/>
                <w:sz w:val="24"/>
                <w:szCs w:val="24"/>
              </w:rPr>
            </w:pPr>
            <w:r w:rsidRPr="00577D96">
              <w:rPr>
                <w:rFonts w:asciiTheme="majorBidi" w:hAnsiTheme="majorBidi" w:cstheme="majorBidi"/>
                <w:sz w:val="24"/>
                <w:szCs w:val="24"/>
              </w:rPr>
              <w:t>Country</w:t>
            </w:r>
          </w:p>
        </w:tc>
        <w:tc>
          <w:tcPr>
            <w:tcW w:w="5156" w:type="dxa"/>
            <w:gridSpan w:val="2"/>
            <w:vAlign w:val="center"/>
          </w:tcPr>
          <w:p w14:paraId="68066705" w14:textId="77777777" w:rsidR="00064C1A" w:rsidRPr="00577D96" w:rsidRDefault="00064C1A" w:rsidP="0037224C">
            <w:pPr>
              <w:tabs>
                <w:tab w:val="left" w:pos="3840"/>
              </w:tab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Average Births Weight of the Babies in grams</w:t>
            </w:r>
          </w:p>
        </w:tc>
        <w:tc>
          <w:tcPr>
            <w:tcW w:w="2171" w:type="dxa"/>
            <w:vMerge w:val="restart"/>
            <w:vAlign w:val="center"/>
          </w:tcPr>
          <w:p w14:paraId="58AB204E" w14:textId="77777777" w:rsidR="00064C1A" w:rsidRPr="00577D96" w:rsidRDefault="00064C1A" w:rsidP="0037224C">
            <w:pPr>
              <w:tabs>
                <w:tab w:val="left" w:pos="3840"/>
              </w:tab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Difference in Birth Weight (95% CI)</w:t>
            </w:r>
          </w:p>
        </w:tc>
      </w:tr>
      <w:tr w:rsidR="00577D96" w:rsidRPr="00577D96" w14:paraId="574BF804" w14:textId="77777777" w:rsidTr="0037224C">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1341" w:type="dxa"/>
            <w:vMerge/>
            <w:vAlign w:val="center"/>
          </w:tcPr>
          <w:p w14:paraId="6B61DE6F" w14:textId="77777777" w:rsidR="00064C1A" w:rsidRPr="00577D96" w:rsidRDefault="00064C1A" w:rsidP="0037224C">
            <w:pPr>
              <w:tabs>
                <w:tab w:val="left" w:pos="3840"/>
              </w:tabs>
              <w:jc w:val="center"/>
              <w:rPr>
                <w:rFonts w:asciiTheme="majorBidi" w:hAnsiTheme="majorBidi" w:cstheme="majorBidi"/>
                <w:sz w:val="24"/>
                <w:szCs w:val="24"/>
              </w:rPr>
            </w:pPr>
          </w:p>
        </w:tc>
        <w:tc>
          <w:tcPr>
            <w:tcW w:w="2544" w:type="dxa"/>
            <w:vAlign w:val="center"/>
          </w:tcPr>
          <w:p w14:paraId="09A92318" w14:textId="34E2BE56" w:rsidR="00064C1A" w:rsidRPr="00577D96" w:rsidRDefault="00064C1A" w:rsidP="0037224C">
            <w:pPr>
              <w:tabs>
                <w:tab w:val="left" w:pos="38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Adult Mothers</w:t>
            </w:r>
          </w:p>
        </w:tc>
        <w:tc>
          <w:tcPr>
            <w:tcW w:w="2611" w:type="dxa"/>
            <w:vAlign w:val="center"/>
          </w:tcPr>
          <w:p w14:paraId="38B3F4E2" w14:textId="77777777" w:rsidR="00064C1A" w:rsidRPr="00577D96" w:rsidRDefault="00064C1A" w:rsidP="0037224C">
            <w:pPr>
              <w:tabs>
                <w:tab w:val="left" w:pos="38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Teenage Mothers</w:t>
            </w:r>
          </w:p>
        </w:tc>
        <w:tc>
          <w:tcPr>
            <w:tcW w:w="2171" w:type="dxa"/>
            <w:vMerge/>
            <w:vAlign w:val="center"/>
          </w:tcPr>
          <w:p w14:paraId="6AC65F89" w14:textId="77777777" w:rsidR="00064C1A" w:rsidRPr="00577D96" w:rsidRDefault="00064C1A" w:rsidP="0037224C">
            <w:pPr>
              <w:tabs>
                <w:tab w:val="left" w:pos="38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577D96" w:rsidRPr="00577D96" w14:paraId="354088EF" w14:textId="77777777" w:rsidTr="0037224C">
        <w:trPr>
          <w:trHeight w:val="440"/>
          <w:jc w:val="center"/>
        </w:trPr>
        <w:tc>
          <w:tcPr>
            <w:cnfStyle w:val="001000000000" w:firstRow="0" w:lastRow="0" w:firstColumn="1" w:lastColumn="0" w:oddVBand="0" w:evenVBand="0" w:oddHBand="0" w:evenHBand="0" w:firstRowFirstColumn="0" w:firstRowLastColumn="0" w:lastRowFirstColumn="0" w:lastRowLastColumn="0"/>
            <w:tcW w:w="1341" w:type="dxa"/>
            <w:vAlign w:val="center"/>
          </w:tcPr>
          <w:p w14:paraId="18768500" w14:textId="77777777" w:rsidR="00064C1A" w:rsidRPr="00577D96" w:rsidRDefault="00064C1A" w:rsidP="0037224C">
            <w:pPr>
              <w:tabs>
                <w:tab w:val="left" w:pos="3840"/>
              </w:tabs>
              <w:rPr>
                <w:rFonts w:asciiTheme="majorBidi" w:hAnsiTheme="majorBidi" w:cstheme="majorBidi"/>
                <w:sz w:val="24"/>
                <w:szCs w:val="24"/>
              </w:rPr>
            </w:pPr>
            <w:r w:rsidRPr="00577D96">
              <w:rPr>
                <w:rFonts w:asciiTheme="majorBidi" w:hAnsiTheme="majorBidi" w:cstheme="majorBidi"/>
                <w:sz w:val="24"/>
                <w:szCs w:val="24"/>
              </w:rPr>
              <w:t>Oman</w:t>
            </w:r>
          </w:p>
        </w:tc>
        <w:tc>
          <w:tcPr>
            <w:tcW w:w="2544" w:type="dxa"/>
            <w:vAlign w:val="center"/>
          </w:tcPr>
          <w:p w14:paraId="15D918C9" w14:textId="77777777" w:rsidR="00064C1A" w:rsidRPr="00577D96" w:rsidRDefault="00064C1A" w:rsidP="0037224C">
            <w:pPr>
              <w:tabs>
                <w:tab w:val="left" w:pos="38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2890</w:t>
            </w:r>
          </w:p>
        </w:tc>
        <w:tc>
          <w:tcPr>
            <w:tcW w:w="2611" w:type="dxa"/>
            <w:vAlign w:val="center"/>
          </w:tcPr>
          <w:p w14:paraId="44988AF2" w14:textId="77777777" w:rsidR="00064C1A" w:rsidRPr="00577D96" w:rsidRDefault="00064C1A" w:rsidP="0037224C">
            <w:pPr>
              <w:tabs>
                <w:tab w:val="left" w:pos="38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2750</w:t>
            </w:r>
          </w:p>
        </w:tc>
        <w:tc>
          <w:tcPr>
            <w:tcW w:w="2171" w:type="dxa"/>
            <w:vAlign w:val="center"/>
          </w:tcPr>
          <w:p w14:paraId="2B173B09" w14:textId="77777777" w:rsidR="00064C1A" w:rsidRPr="00577D96" w:rsidRDefault="00064C1A" w:rsidP="0037224C">
            <w:pPr>
              <w:tabs>
                <w:tab w:val="left" w:pos="38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140 (45.8, 234.2)</w:t>
            </w:r>
          </w:p>
        </w:tc>
      </w:tr>
      <w:tr w:rsidR="00577D96" w:rsidRPr="00577D96" w14:paraId="660EC86F" w14:textId="77777777" w:rsidTr="0037224C">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1341" w:type="dxa"/>
            <w:vAlign w:val="center"/>
          </w:tcPr>
          <w:p w14:paraId="07D2094D" w14:textId="77777777" w:rsidR="00064C1A" w:rsidRPr="00577D96" w:rsidRDefault="00064C1A" w:rsidP="0037224C">
            <w:pPr>
              <w:tabs>
                <w:tab w:val="left" w:pos="3840"/>
              </w:tabs>
              <w:rPr>
                <w:rFonts w:asciiTheme="majorBidi" w:hAnsiTheme="majorBidi" w:cstheme="majorBidi"/>
                <w:sz w:val="24"/>
                <w:szCs w:val="24"/>
              </w:rPr>
            </w:pPr>
            <w:r w:rsidRPr="00577D96">
              <w:rPr>
                <w:rFonts w:asciiTheme="majorBidi" w:hAnsiTheme="majorBidi" w:cstheme="majorBidi"/>
                <w:sz w:val="24"/>
                <w:szCs w:val="24"/>
              </w:rPr>
              <w:t>Sri Lanka</w:t>
            </w:r>
          </w:p>
        </w:tc>
        <w:tc>
          <w:tcPr>
            <w:tcW w:w="2544" w:type="dxa"/>
            <w:vAlign w:val="center"/>
          </w:tcPr>
          <w:p w14:paraId="1FBB8599" w14:textId="77777777" w:rsidR="00064C1A" w:rsidRPr="00577D96" w:rsidRDefault="00064C1A" w:rsidP="0037224C">
            <w:pPr>
              <w:tabs>
                <w:tab w:val="left" w:pos="38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2932</w:t>
            </w:r>
          </w:p>
        </w:tc>
        <w:tc>
          <w:tcPr>
            <w:tcW w:w="2611" w:type="dxa"/>
            <w:vAlign w:val="center"/>
          </w:tcPr>
          <w:p w14:paraId="78010204" w14:textId="77777777" w:rsidR="00064C1A" w:rsidRPr="00577D96" w:rsidRDefault="00064C1A" w:rsidP="0037224C">
            <w:pPr>
              <w:tabs>
                <w:tab w:val="left" w:pos="38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2818</w:t>
            </w:r>
          </w:p>
        </w:tc>
        <w:tc>
          <w:tcPr>
            <w:tcW w:w="2171" w:type="dxa"/>
            <w:vAlign w:val="center"/>
          </w:tcPr>
          <w:p w14:paraId="59B73F93" w14:textId="77777777" w:rsidR="00064C1A" w:rsidRPr="00577D96" w:rsidRDefault="00064C1A" w:rsidP="0037224C">
            <w:pPr>
              <w:tabs>
                <w:tab w:val="left" w:pos="38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114(61.63, 166.36)</w:t>
            </w:r>
          </w:p>
        </w:tc>
      </w:tr>
      <w:tr w:rsidR="00577D96" w:rsidRPr="00577D96" w14:paraId="27A7CD2A" w14:textId="77777777" w:rsidTr="0037224C">
        <w:trPr>
          <w:trHeight w:val="440"/>
          <w:jc w:val="center"/>
        </w:trPr>
        <w:tc>
          <w:tcPr>
            <w:cnfStyle w:val="001000000000" w:firstRow="0" w:lastRow="0" w:firstColumn="1" w:lastColumn="0" w:oddVBand="0" w:evenVBand="0" w:oddHBand="0" w:evenHBand="0" w:firstRowFirstColumn="0" w:firstRowLastColumn="0" w:lastRowFirstColumn="0" w:lastRowLastColumn="0"/>
            <w:tcW w:w="1341" w:type="dxa"/>
            <w:vAlign w:val="center"/>
          </w:tcPr>
          <w:p w14:paraId="602C48F4" w14:textId="77777777" w:rsidR="00064C1A" w:rsidRPr="00577D96" w:rsidRDefault="00064C1A" w:rsidP="0037224C">
            <w:pPr>
              <w:tabs>
                <w:tab w:val="left" w:pos="3840"/>
              </w:tabs>
              <w:rPr>
                <w:rFonts w:asciiTheme="majorBidi" w:hAnsiTheme="majorBidi" w:cstheme="majorBidi"/>
                <w:sz w:val="24"/>
                <w:szCs w:val="24"/>
              </w:rPr>
            </w:pPr>
            <w:r w:rsidRPr="00577D96">
              <w:rPr>
                <w:rFonts w:asciiTheme="majorBidi" w:hAnsiTheme="majorBidi" w:cstheme="majorBidi"/>
                <w:sz w:val="24"/>
                <w:szCs w:val="24"/>
              </w:rPr>
              <w:t>USA</w:t>
            </w:r>
          </w:p>
        </w:tc>
        <w:tc>
          <w:tcPr>
            <w:tcW w:w="2544" w:type="dxa"/>
            <w:vAlign w:val="center"/>
          </w:tcPr>
          <w:p w14:paraId="1DF7916F" w14:textId="77777777" w:rsidR="00064C1A" w:rsidRPr="00577D96" w:rsidRDefault="00064C1A" w:rsidP="0037224C">
            <w:pPr>
              <w:tabs>
                <w:tab w:val="left" w:pos="38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3303</w:t>
            </w:r>
          </w:p>
        </w:tc>
        <w:tc>
          <w:tcPr>
            <w:tcW w:w="2611" w:type="dxa"/>
            <w:vAlign w:val="center"/>
          </w:tcPr>
          <w:p w14:paraId="3D930C2B" w14:textId="77777777" w:rsidR="00064C1A" w:rsidRPr="00577D96" w:rsidRDefault="00064C1A" w:rsidP="0037224C">
            <w:pPr>
              <w:tabs>
                <w:tab w:val="left" w:pos="38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3212</w:t>
            </w:r>
          </w:p>
        </w:tc>
        <w:tc>
          <w:tcPr>
            <w:tcW w:w="2171" w:type="dxa"/>
            <w:vAlign w:val="center"/>
          </w:tcPr>
          <w:p w14:paraId="4D4693FA" w14:textId="77777777" w:rsidR="00064C1A" w:rsidRPr="00577D96" w:rsidRDefault="00064C1A" w:rsidP="0037224C">
            <w:pPr>
              <w:tabs>
                <w:tab w:val="left" w:pos="38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91(89.88, 92.11)</w:t>
            </w:r>
          </w:p>
        </w:tc>
      </w:tr>
    </w:tbl>
    <w:p w14:paraId="6C36ED39" w14:textId="1237A590" w:rsidR="00064C1A" w:rsidRPr="00577D96" w:rsidRDefault="00064C1A" w:rsidP="004E1430">
      <w:pPr>
        <w:spacing w:after="160"/>
        <w:jc w:val="both"/>
        <w:rPr>
          <w:rFonts w:asciiTheme="majorBidi" w:hAnsiTheme="majorBidi" w:cstheme="majorBidi"/>
          <w:sz w:val="24"/>
          <w:szCs w:val="24"/>
        </w:rPr>
      </w:pPr>
    </w:p>
    <w:p w14:paraId="5C01FD6D" w14:textId="223E7996" w:rsidR="0016428B" w:rsidRPr="00577D96" w:rsidRDefault="00C7549B" w:rsidP="0037224C">
      <w:pPr>
        <w:pStyle w:val="Heading2"/>
        <w:spacing w:after="120"/>
        <w:ind w:firstLine="720"/>
        <w:jc w:val="both"/>
        <w:rPr>
          <w:rFonts w:asciiTheme="majorBidi" w:hAnsiTheme="majorBidi"/>
          <w:color w:val="auto"/>
          <w:szCs w:val="24"/>
        </w:rPr>
      </w:pPr>
      <w:r w:rsidRPr="00577D96">
        <w:rPr>
          <w:rFonts w:asciiTheme="majorBidi" w:hAnsiTheme="majorBidi"/>
          <w:color w:val="auto"/>
          <w:szCs w:val="24"/>
        </w:rPr>
        <w:t>3.2 Low birth weight</w:t>
      </w:r>
    </w:p>
    <w:p w14:paraId="03D9AD5D" w14:textId="58547BB9" w:rsidR="00FB2E70" w:rsidRPr="00577D96" w:rsidRDefault="00FB2E70" w:rsidP="0037224C">
      <w:pPr>
        <w:ind w:left="720"/>
        <w:jc w:val="both"/>
        <w:rPr>
          <w:rFonts w:asciiTheme="majorBidi" w:hAnsiTheme="majorBidi" w:cstheme="majorBidi"/>
          <w:sz w:val="24"/>
          <w:szCs w:val="24"/>
        </w:rPr>
      </w:pPr>
      <w:r w:rsidRPr="00577D96">
        <w:rPr>
          <w:rFonts w:asciiTheme="majorBidi" w:hAnsiTheme="majorBidi" w:cstheme="majorBidi"/>
          <w:sz w:val="24"/>
          <w:szCs w:val="24"/>
        </w:rPr>
        <w:t>Although statistically significant associations between teenage pregnancy and low birth weight were observed only in the United States, the estimated odds ratios were remarkably similar across all three countries (Oman: OR=1.41; Sri Lanka: OR=1.29; USA: OR=1.35)</w:t>
      </w:r>
      <w:r w:rsidRPr="00577D96">
        <w:rPr>
          <w:rFonts w:asciiTheme="majorBidi" w:hAnsiTheme="majorBidi" w:cstheme="majorBidi"/>
          <w:sz w:val="24"/>
          <w:szCs w:val="24"/>
        </w:rPr>
        <w:t xml:space="preserve"> as shown in Table 3</w:t>
      </w:r>
      <w:r w:rsidRPr="00577D96">
        <w:rPr>
          <w:rFonts w:asciiTheme="majorBidi" w:hAnsiTheme="majorBidi" w:cstheme="majorBidi"/>
          <w:sz w:val="24"/>
          <w:szCs w:val="24"/>
        </w:rPr>
        <w:t>. The lack of statistical significance in Oman and Sri Lanka is therefore likely attributable to their comparatively smaller sample sizes, which resulted in wider confidence intervals encompassing unity. In contrast, the very large sample size available from the United States yielded extremely precise estimates and narrow confidence intervals. The pooled odds ratio of 1.35 together with the absence of heterogeneity (I²=0%) indicates a consistent association between teenage pregnancy and low birth weight across the three countries. These findings suggest that teenage motherhood is associated with approximately 35% higher odds of delivering a low-birth-weight infant regardless of geographical setting, while differences in statistical significance primarily reflect variations in study power rather than meaningful differences in effect magnitude.</w:t>
      </w:r>
    </w:p>
    <w:p w14:paraId="011CE5DB" w14:textId="77777777" w:rsidR="00FB2E70" w:rsidRPr="00577D96" w:rsidRDefault="00FB2E70" w:rsidP="0037224C">
      <w:pPr>
        <w:spacing w:after="160"/>
        <w:jc w:val="center"/>
        <w:rPr>
          <w:rFonts w:asciiTheme="majorBidi" w:hAnsiTheme="majorBidi" w:cstheme="majorBidi"/>
          <w:sz w:val="24"/>
          <w:szCs w:val="24"/>
        </w:rPr>
      </w:pPr>
      <w:r w:rsidRPr="00577D96">
        <w:rPr>
          <w:rFonts w:asciiTheme="majorBidi" w:hAnsiTheme="majorBidi" w:cstheme="majorBidi"/>
          <w:sz w:val="24"/>
          <w:szCs w:val="24"/>
        </w:rPr>
        <w:t>Table 3. Low birth weight among teenage and adult mothers.</w:t>
      </w:r>
    </w:p>
    <w:tbl>
      <w:tblPr>
        <w:tblStyle w:val="PlainTable2"/>
        <w:tblW w:w="0" w:type="auto"/>
        <w:jc w:val="center"/>
        <w:tblLook w:val="04A0" w:firstRow="1" w:lastRow="0" w:firstColumn="1" w:lastColumn="0" w:noHBand="0" w:noVBand="1"/>
      </w:tblPr>
      <w:tblGrid>
        <w:gridCol w:w="1943"/>
        <w:gridCol w:w="2277"/>
        <w:gridCol w:w="2277"/>
        <w:gridCol w:w="2277"/>
      </w:tblGrid>
      <w:tr w:rsidR="00577D96" w:rsidRPr="00577D96" w14:paraId="2CB1F5A6" w14:textId="77777777" w:rsidTr="0037224C">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1943" w:type="dxa"/>
            <w:vAlign w:val="center"/>
          </w:tcPr>
          <w:p w14:paraId="53642B05" w14:textId="77777777" w:rsidR="0016428B" w:rsidRPr="00577D96" w:rsidRDefault="00C7549B" w:rsidP="0037224C">
            <w:pPr>
              <w:jc w:val="center"/>
              <w:rPr>
                <w:rFonts w:asciiTheme="majorBidi" w:hAnsiTheme="majorBidi" w:cstheme="majorBidi"/>
                <w:sz w:val="24"/>
                <w:szCs w:val="24"/>
              </w:rPr>
            </w:pPr>
            <w:r w:rsidRPr="00577D96">
              <w:rPr>
                <w:rFonts w:asciiTheme="majorBidi" w:hAnsiTheme="majorBidi" w:cstheme="majorBidi"/>
                <w:sz w:val="24"/>
                <w:szCs w:val="24"/>
              </w:rPr>
              <w:t>Country</w:t>
            </w:r>
          </w:p>
        </w:tc>
        <w:tc>
          <w:tcPr>
            <w:tcW w:w="2277" w:type="dxa"/>
            <w:vAlign w:val="center"/>
          </w:tcPr>
          <w:p w14:paraId="44D33249" w14:textId="77777777" w:rsidR="0016428B" w:rsidRPr="00577D96" w:rsidRDefault="00C7549B" w:rsidP="0037224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 xml:space="preserve">Teenage </w:t>
            </w:r>
            <w:r w:rsidRPr="00577D96">
              <w:rPr>
                <w:rFonts w:asciiTheme="majorBidi" w:hAnsiTheme="majorBidi" w:cstheme="majorBidi"/>
                <w:sz w:val="24"/>
                <w:szCs w:val="24"/>
              </w:rPr>
              <w:t>LBW</w:t>
            </w:r>
          </w:p>
        </w:tc>
        <w:tc>
          <w:tcPr>
            <w:tcW w:w="2277" w:type="dxa"/>
            <w:vAlign w:val="center"/>
          </w:tcPr>
          <w:p w14:paraId="753D01B1" w14:textId="77777777" w:rsidR="0016428B" w:rsidRPr="00577D96" w:rsidRDefault="00C7549B" w:rsidP="0037224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Adult LBW</w:t>
            </w:r>
          </w:p>
        </w:tc>
        <w:tc>
          <w:tcPr>
            <w:tcW w:w="2277" w:type="dxa"/>
            <w:vAlign w:val="center"/>
          </w:tcPr>
          <w:p w14:paraId="4076E813" w14:textId="77777777" w:rsidR="0016428B" w:rsidRPr="00577D96" w:rsidRDefault="00C7549B" w:rsidP="0037224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Odds ratio (95% CI)</w:t>
            </w:r>
          </w:p>
        </w:tc>
      </w:tr>
      <w:tr w:rsidR="00577D96" w:rsidRPr="00577D96" w14:paraId="623ED957" w14:textId="77777777" w:rsidTr="0037224C">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1943" w:type="dxa"/>
            <w:vAlign w:val="center"/>
          </w:tcPr>
          <w:p w14:paraId="4229A57D" w14:textId="77777777" w:rsidR="0016428B" w:rsidRPr="00577D96" w:rsidRDefault="00C7549B" w:rsidP="0037224C">
            <w:pPr>
              <w:rPr>
                <w:rFonts w:asciiTheme="majorBidi" w:hAnsiTheme="majorBidi" w:cstheme="majorBidi"/>
                <w:sz w:val="24"/>
                <w:szCs w:val="24"/>
              </w:rPr>
            </w:pPr>
            <w:r w:rsidRPr="00577D96">
              <w:rPr>
                <w:rFonts w:asciiTheme="majorBidi" w:hAnsiTheme="majorBidi" w:cstheme="majorBidi"/>
                <w:sz w:val="24"/>
                <w:szCs w:val="24"/>
              </w:rPr>
              <w:t>Oman</w:t>
            </w:r>
          </w:p>
        </w:tc>
        <w:tc>
          <w:tcPr>
            <w:tcW w:w="2277" w:type="dxa"/>
            <w:vAlign w:val="center"/>
          </w:tcPr>
          <w:p w14:paraId="52BE917D" w14:textId="77777777" w:rsidR="0016428B" w:rsidRPr="00577D96" w:rsidRDefault="00C7549B" w:rsidP="003722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71/307 (23.1%)</w:t>
            </w:r>
          </w:p>
        </w:tc>
        <w:tc>
          <w:tcPr>
            <w:tcW w:w="2277" w:type="dxa"/>
            <w:vAlign w:val="center"/>
          </w:tcPr>
          <w:p w14:paraId="73E04385" w14:textId="77777777" w:rsidR="0016428B" w:rsidRPr="00577D96" w:rsidRDefault="00C7549B" w:rsidP="003722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54/307 (17.6%)</w:t>
            </w:r>
          </w:p>
        </w:tc>
        <w:tc>
          <w:tcPr>
            <w:tcW w:w="2277" w:type="dxa"/>
            <w:vAlign w:val="center"/>
          </w:tcPr>
          <w:p w14:paraId="7D8B40B8" w14:textId="77777777" w:rsidR="0016428B" w:rsidRPr="00577D96" w:rsidRDefault="00C7549B" w:rsidP="003722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1.41 (0.95-2.09)</w:t>
            </w:r>
          </w:p>
        </w:tc>
      </w:tr>
      <w:tr w:rsidR="00577D96" w:rsidRPr="00577D96" w14:paraId="3AD8F2A0" w14:textId="77777777" w:rsidTr="0037224C">
        <w:trPr>
          <w:trHeight w:val="335"/>
          <w:jc w:val="center"/>
        </w:trPr>
        <w:tc>
          <w:tcPr>
            <w:cnfStyle w:val="001000000000" w:firstRow="0" w:lastRow="0" w:firstColumn="1" w:lastColumn="0" w:oddVBand="0" w:evenVBand="0" w:oddHBand="0" w:evenHBand="0" w:firstRowFirstColumn="0" w:firstRowLastColumn="0" w:lastRowFirstColumn="0" w:lastRowLastColumn="0"/>
            <w:tcW w:w="1943" w:type="dxa"/>
            <w:vAlign w:val="center"/>
          </w:tcPr>
          <w:p w14:paraId="2024BA3F" w14:textId="77777777" w:rsidR="0016428B" w:rsidRPr="00577D96" w:rsidRDefault="00C7549B" w:rsidP="0037224C">
            <w:pPr>
              <w:rPr>
                <w:rFonts w:asciiTheme="majorBidi" w:hAnsiTheme="majorBidi" w:cstheme="majorBidi"/>
                <w:sz w:val="24"/>
                <w:szCs w:val="24"/>
              </w:rPr>
            </w:pPr>
            <w:r w:rsidRPr="00577D96">
              <w:rPr>
                <w:rFonts w:asciiTheme="majorBidi" w:hAnsiTheme="majorBidi" w:cstheme="majorBidi"/>
                <w:sz w:val="24"/>
                <w:szCs w:val="24"/>
              </w:rPr>
              <w:t>Sri Lanka</w:t>
            </w:r>
          </w:p>
        </w:tc>
        <w:tc>
          <w:tcPr>
            <w:tcW w:w="2277" w:type="dxa"/>
            <w:vAlign w:val="center"/>
          </w:tcPr>
          <w:p w14:paraId="3C09BBFC" w14:textId="77777777" w:rsidR="0016428B" w:rsidRPr="00577D96" w:rsidRDefault="00C7549B" w:rsidP="003722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159/980 (16.2%)</w:t>
            </w:r>
          </w:p>
        </w:tc>
        <w:tc>
          <w:tcPr>
            <w:tcW w:w="2277" w:type="dxa"/>
            <w:vAlign w:val="center"/>
          </w:tcPr>
          <w:p w14:paraId="5C7D75C2" w14:textId="77777777" w:rsidR="0016428B" w:rsidRPr="00577D96" w:rsidRDefault="00C7549B" w:rsidP="003722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44/336 (13.1%)</w:t>
            </w:r>
          </w:p>
        </w:tc>
        <w:tc>
          <w:tcPr>
            <w:tcW w:w="2277" w:type="dxa"/>
            <w:vAlign w:val="center"/>
          </w:tcPr>
          <w:p w14:paraId="541B6AB1" w14:textId="77777777" w:rsidR="0016428B" w:rsidRPr="00577D96" w:rsidRDefault="00C7549B" w:rsidP="003722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1.29 (0.90-1.84)</w:t>
            </w:r>
          </w:p>
        </w:tc>
      </w:tr>
      <w:tr w:rsidR="00577D96" w:rsidRPr="00577D96" w14:paraId="2E913FC0" w14:textId="77777777" w:rsidTr="0037224C">
        <w:trPr>
          <w:cnfStyle w:val="000000100000" w:firstRow="0" w:lastRow="0" w:firstColumn="0" w:lastColumn="0" w:oddVBand="0" w:evenVBand="0" w:oddHBand="1" w:evenHBand="0" w:firstRowFirstColumn="0" w:firstRowLastColumn="0" w:lastRowFirstColumn="0" w:lastRowLastColumn="0"/>
          <w:trHeight w:val="689"/>
          <w:jc w:val="center"/>
        </w:trPr>
        <w:tc>
          <w:tcPr>
            <w:cnfStyle w:val="001000000000" w:firstRow="0" w:lastRow="0" w:firstColumn="1" w:lastColumn="0" w:oddVBand="0" w:evenVBand="0" w:oddHBand="0" w:evenHBand="0" w:firstRowFirstColumn="0" w:firstRowLastColumn="0" w:lastRowFirstColumn="0" w:lastRowLastColumn="0"/>
            <w:tcW w:w="1943" w:type="dxa"/>
            <w:vAlign w:val="center"/>
          </w:tcPr>
          <w:p w14:paraId="2FE0B44D" w14:textId="77777777" w:rsidR="0016428B" w:rsidRPr="00577D96" w:rsidRDefault="00C7549B" w:rsidP="0037224C">
            <w:pPr>
              <w:rPr>
                <w:rFonts w:asciiTheme="majorBidi" w:hAnsiTheme="majorBidi" w:cstheme="majorBidi"/>
                <w:sz w:val="24"/>
                <w:szCs w:val="24"/>
              </w:rPr>
            </w:pPr>
            <w:r w:rsidRPr="00577D96">
              <w:rPr>
                <w:rFonts w:asciiTheme="majorBidi" w:hAnsiTheme="majorBidi" w:cstheme="majorBidi"/>
                <w:sz w:val="24"/>
                <w:szCs w:val="24"/>
              </w:rPr>
              <w:t>United States</w:t>
            </w:r>
          </w:p>
        </w:tc>
        <w:tc>
          <w:tcPr>
            <w:tcW w:w="2277" w:type="dxa"/>
            <w:vAlign w:val="center"/>
          </w:tcPr>
          <w:p w14:paraId="5A71AF16" w14:textId="77777777" w:rsidR="0016428B" w:rsidRPr="00577D96" w:rsidRDefault="00C7549B" w:rsidP="003722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180453/1879714 (9.6%)</w:t>
            </w:r>
          </w:p>
        </w:tc>
        <w:tc>
          <w:tcPr>
            <w:tcW w:w="2277" w:type="dxa"/>
            <w:vAlign w:val="center"/>
          </w:tcPr>
          <w:p w14:paraId="5656B2E9" w14:textId="77777777" w:rsidR="0016428B" w:rsidRPr="00577D96" w:rsidRDefault="00C7549B" w:rsidP="003722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146485/2006650 (7.3%)</w:t>
            </w:r>
          </w:p>
        </w:tc>
        <w:tc>
          <w:tcPr>
            <w:tcW w:w="2277" w:type="dxa"/>
            <w:vAlign w:val="center"/>
          </w:tcPr>
          <w:p w14:paraId="571A7F44" w14:textId="77777777" w:rsidR="0016428B" w:rsidRPr="00577D96" w:rsidRDefault="00C7549B" w:rsidP="003722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1.35 (1.34-1.36)</w:t>
            </w:r>
          </w:p>
        </w:tc>
      </w:tr>
      <w:tr w:rsidR="00577D96" w:rsidRPr="00577D96" w14:paraId="0FC394D4" w14:textId="77777777" w:rsidTr="0037224C">
        <w:trPr>
          <w:trHeight w:val="671"/>
          <w:jc w:val="center"/>
        </w:trPr>
        <w:tc>
          <w:tcPr>
            <w:cnfStyle w:val="001000000000" w:firstRow="0" w:lastRow="0" w:firstColumn="1" w:lastColumn="0" w:oddVBand="0" w:evenVBand="0" w:oddHBand="0" w:evenHBand="0" w:firstRowFirstColumn="0" w:firstRowLastColumn="0" w:lastRowFirstColumn="0" w:lastRowLastColumn="0"/>
            <w:tcW w:w="1943" w:type="dxa"/>
            <w:vAlign w:val="center"/>
          </w:tcPr>
          <w:p w14:paraId="15477FBF" w14:textId="77777777" w:rsidR="0016428B" w:rsidRPr="00577D96" w:rsidRDefault="00C7549B" w:rsidP="0037224C">
            <w:pPr>
              <w:rPr>
                <w:rFonts w:asciiTheme="majorBidi" w:hAnsiTheme="majorBidi" w:cstheme="majorBidi"/>
                <w:sz w:val="24"/>
                <w:szCs w:val="24"/>
              </w:rPr>
            </w:pPr>
            <w:r w:rsidRPr="00577D96">
              <w:rPr>
                <w:rFonts w:asciiTheme="majorBidi" w:hAnsiTheme="majorBidi" w:cstheme="majorBidi"/>
                <w:sz w:val="24"/>
                <w:szCs w:val="24"/>
              </w:rPr>
              <w:t>Pooled estimate</w:t>
            </w:r>
          </w:p>
        </w:tc>
        <w:tc>
          <w:tcPr>
            <w:tcW w:w="2277" w:type="dxa"/>
            <w:vAlign w:val="center"/>
          </w:tcPr>
          <w:p w14:paraId="72FC7170" w14:textId="77777777" w:rsidR="0016428B" w:rsidRPr="00577D96" w:rsidRDefault="00C7549B" w:rsidP="003722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w:t>
            </w:r>
          </w:p>
        </w:tc>
        <w:tc>
          <w:tcPr>
            <w:tcW w:w="2277" w:type="dxa"/>
            <w:vAlign w:val="center"/>
          </w:tcPr>
          <w:p w14:paraId="5998D896" w14:textId="77777777" w:rsidR="0016428B" w:rsidRPr="00577D96" w:rsidRDefault="00C7549B" w:rsidP="003722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w:t>
            </w:r>
          </w:p>
        </w:tc>
        <w:tc>
          <w:tcPr>
            <w:tcW w:w="2277" w:type="dxa"/>
            <w:vAlign w:val="center"/>
          </w:tcPr>
          <w:p w14:paraId="57B9D8EB" w14:textId="77777777" w:rsidR="0016428B" w:rsidRPr="00577D96" w:rsidRDefault="00C7549B" w:rsidP="003722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 xml:space="preserve">1.35 </w:t>
            </w:r>
            <w:r w:rsidRPr="00577D96">
              <w:rPr>
                <w:rFonts w:asciiTheme="majorBidi" w:hAnsiTheme="majorBidi" w:cstheme="majorBidi"/>
                <w:sz w:val="24"/>
                <w:szCs w:val="24"/>
              </w:rPr>
              <w:t>(1.34-1.36); I-squared=0.0%</w:t>
            </w:r>
          </w:p>
        </w:tc>
      </w:tr>
    </w:tbl>
    <w:p w14:paraId="4DDC7482" w14:textId="77777777" w:rsidR="00FB2E70" w:rsidRPr="00577D96" w:rsidRDefault="00FB2E70" w:rsidP="004E1430">
      <w:pPr>
        <w:spacing w:after="120"/>
        <w:jc w:val="both"/>
        <w:rPr>
          <w:rFonts w:asciiTheme="majorBidi" w:hAnsiTheme="majorBidi" w:cstheme="majorBidi"/>
          <w:sz w:val="24"/>
          <w:szCs w:val="24"/>
        </w:rPr>
      </w:pPr>
    </w:p>
    <w:p w14:paraId="5CC4267E" w14:textId="08026EFD" w:rsidR="0016428B" w:rsidRPr="00577D96" w:rsidRDefault="00C7549B" w:rsidP="0037224C">
      <w:pPr>
        <w:pStyle w:val="Heading2"/>
        <w:spacing w:after="120"/>
        <w:ind w:firstLine="720"/>
        <w:jc w:val="both"/>
        <w:rPr>
          <w:rFonts w:asciiTheme="majorBidi" w:hAnsiTheme="majorBidi"/>
          <w:color w:val="auto"/>
          <w:szCs w:val="24"/>
        </w:rPr>
      </w:pPr>
      <w:r w:rsidRPr="00577D96">
        <w:rPr>
          <w:rFonts w:asciiTheme="majorBidi" w:hAnsiTheme="majorBidi"/>
          <w:color w:val="auto"/>
          <w:szCs w:val="24"/>
        </w:rPr>
        <w:t>3.3 Preterm delivery</w:t>
      </w:r>
    </w:p>
    <w:p w14:paraId="27DC83C6" w14:textId="5C03864C" w:rsidR="00FB2E70" w:rsidRPr="00577D96" w:rsidRDefault="00FB2E70" w:rsidP="0037224C">
      <w:pPr>
        <w:spacing w:after="120"/>
        <w:ind w:left="720"/>
        <w:jc w:val="both"/>
        <w:rPr>
          <w:rFonts w:asciiTheme="majorBidi" w:hAnsiTheme="majorBidi" w:cstheme="majorBidi"/>
          <w:sz w:val="24"/>
          <w:szCs w:val="24"/>
        </w:rPr>
      </w:pPr>
      <w:r w:rsidRPr="00577D96">
        <w:rPr>
          <w:rFonts w:asciiTheme="majorBidi" w:hAnsiTheme="majorBidi" w:cstheme="majorBidi"/>
          <w:sz w:val="24"/>
          <w:szCs w:val="24"/>
        </w:rPr>
        <w:t>Preterm delivery was more common among teenage mothers than adult mothers in all three countries. Teenage preterm delivery prevalence was 22.5% in Oman, 18.7% in Sri Lanka and 14.6% in the United States. The pooled OR was 1.45 (95% CI: 1.44-1.46), indicating substantially higher odds of preterm delivery among teenage mothers.</w:t>
      </w:r>
    </w:p>
    <w:p w14:paraId="0E43EAED" w14:textId="77777777" w:rsidR="0037224C" w:rsidRPr="00577D96" w:rsidRDefault="0037224C" w:rsidP="0037224C">
      <w:pPr>
        <w:spacing w:after="120"/>
        <w:ind w:left="720"/>
        <w:jc w:val="both"/>
        <w:rPr>
          <w:rFonts w:asciiTheme="majorBidi" w:hAnsiTheme="majorBidi" w:cstheme="majorBidi"/>
          <w:sz w:val="24"/>
          <w:szCs w:val="24"/>
        </w:rPr>
      </w:pPr>
    </w:p>
    <w:p w14:paraId="1F00C592" w14:textId="77777777" w:rsidR="00FB2E70" w:rsidRPr="00577D96" w:rsidRDefault="00FB2E70" w:rsidP="00450C8B">
      <w:pPr>
        <w:spacing w:after="160"/>
        <w:jc w:val="center"/>
        <w:rPr>
          <w:rFonts w:asciiTheme="majorBidi" w:hAnsiTheme="majorBidi" w:cstheme="majorBidi"/>
          <w:sz w:val="24"/>
          <w:szCs w:val="24"/>
        </w:rPr>
      </w:pPr>
      <w:r w:rsidRPr="00577D96">
        <w:rPr>
          <w:rFonts w:asciiTheme="majorBidi" w:hAnsiTheme="majorBidi" w:cstheme="majorBidi"/>
          <w:sz w:val="24"/>
          <w:szCs w:val="24"/>
        </w:rPr>
        <w:lastRenderedPageBreak/>
        <w:t>Table 4. Preterm delivery among teenage and adult mothers.</w:t>
      </w:r>
    </w:p>
    <w:tbl>
      <w:tblPr>
        <w:tblStyle w:val="PlainTable2"/>
        <w:tblW w:w="0" w:type="auto"/>
        <w:jc w:val="center"/>
        <w:tblLook w:val="04A0" w:firstRow="1" w:lastRow="0" w:firstColumn="1" w:lastColumn="0" w:noHBand="0" w:noVBand="1"/>
      </w:tblPr>
      <w:tblGrid>
        <w:gridCol w:w="2277"/>
        <w:gridCol w:w="2278"/>
        <w:gridCol w:w="2278"/>
        <w:gridCol w:w="2278"/>
      </w:tblGrid>
      <w:tr w:rsidR="00577D96" w:rsidRPr="00577D96" w14:paraId="24BE48C3" w14:textId="77777777" w:rsidTr="00450C8B">
        <w:trPr>
          <w:cnfStyle w:val="100000000000" w:firstRow="1" w:lastRow="0" w:firstColumn="0" w:lastColumn="0" w:oddVBand="0" w:evenVBand="0" w:oddHBand="0" w:evenHBand="0" w:firstRowFirstColumn="0" w:firstRowLastColumn="0" w:lastRowFirstColumn="0" w:lastRowLastColumn="0"/>
          <w:trHeight w:val="721"/>
          <w:jc w:val="center"/>
        </w:trPr>
        <w:tc>
          <w:tcPr>
            <w:cnfStyle w:val="001000000000" w:firstRow="0" w:lastRow="0" w:firstColumn="1" w:lastColumn="0" w:oddVBand="0" w:evenVBand="0" w:oddHBand="0" w:evenHBand="0" w:firstRowFirstColumn="0" w:firstRowLastColumn="0" w:lastRowFirstColumn="0" w:lastRowLastColumn="0"/>
            <w:tcW w:w="2277" w:type="dxa"/>
            <w:vAlign w:val="center"/>
          </w:tcPr>
          <w:p w14:paraId="6C05A675" w14:textId="77777777" w:rsidR="0016428B" w:rsidRPr="00577D96" w:rsidRDefault="00C7549B" w:rsidP="00450C8B">
            <w:pPr>
              <w:rPr>
                <w:rFonts w:asciiTheme="majorBidi" w:hAnsiTheme="majorBidi" w:cstheme="majorBidi"/>
                <w:sz w:val="24"/>
                <w:szCs w:val="24"/>
              </w:rPr>
            </w:pPr>
            <w:r w:rsidRPr="00577D96">
              <w:rPr>
                <w:rFonts w:asciiTheme="majorBidi" w:hAnsiTheme="majorBidi" w:cstheme="majorBidi"/>
                <w:sz w:val="24"/>
                <w:szCs w:val="24"/>
              </w:rPr>
              <w:t>Country</w:t>
            </w:r>
          </w:p>
        </w:tc>
        <w:tc>
          <w:tcPr>
            <w:tcW w:w="2278" w:type="dxa"/>
            <w:vAlign w:val="center"/>
          </w:tcPr>
          <w:p w14:paraId="2FCFDA4E" w14:textId="77777777" w:rsidR="0016428B" w:rsidRPr="00577D96" w:rsidRDefault="00C7549B" w:rsidP="00450C8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Teenage preterm delivery</w:t>
            </w:r>
          </w:p>
        </w:tc>
        <w:tc>
          <w:tcPr>
            <w:tcW w:w="2278" w:type="dxa"/>
            <w:vAlign w:val="center"/>
          </w:tcPr>
          <w:p w14:paraId="53F6A94B" w14:textId="77777777" w:rsidR="0016428B" w:rsidRPr="00577D96" w:rsidRDefault="00C7549B" w:rsidP="00450C8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Adult preterm delivery</w:t>
            </w:r>
          </w:p>
        </w:tc>
        <w:tc>
          <w:tcPr>
            <w:tcW w:w="2278" w:type="dxa"/>
            <w:vAlign w:val="center"/>
          </w:tcPr>
          <w:p w14:paraId="38C97C9C" w14:textId="77777777" w:rsidR="0016428B" w:rsidRPr="00577D96" w:rsidRDefault="00C7549B" w:rsidP="00450C8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Odds ratio (95% CI)</w:t>
            </w:r>
          </w:p>
        </w:tc>
      </w:tr>
      <w:tr w:rsidR="00577D96" w:rsidRPr="00577D96" w14:paraId="4951477A" w14:textId="77777777" w:rsidTr="00450C8B">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2277" w:type="dxa"/>
            <w:vAlign w:val="center"/>
          </w:tcPr>
          <w:p w14:paraId="32FA1D62" w14:textId="77777777" w:rsidR="0016428B" w:rsidRPr="00577D96" w:rsidRDefault="00C7549B" w:rsidP="00450C8B">
            <w:pPr>
              <w:rPr>
                <w:rFonts w:asciiTheme="majorBidi" w:hAnsiTheme="majorBidi" w:cstheme="majorBidi"/>
                <w:sz w:val="24"/>
                <w:szCs w:val="24"/>
              </w:rPr>
            </w:pPr>
            <w:r w:rsidRPr="00577D96">
              <w:rPr>
                <w:rFonts w:asciiTheme="majorBidi" w:hAnsiTheme="majorBidi" w:cstheme="majorBidi"/>
                <w:sz w:val="24"/>
                <w:szCs w:val="24"/>
              </w:rPr>
              <w:t>Oman</w:t>
            </w:r>
          </w:p>
        </w:tc>
        <w:tc>
          <w:tcPr>
            <w:tcW w:w="2278" w:type="dxa"/>
            <w:vAlign w:val="center"/>
          </w:tcPr>
          <w:p w14:paraId="40460973" w14:textId="77777777" w:rsidR="0016428B" w:rsidRPr="00577D96" w:rsidRDefault="00C7549B" w:rsidP="00450C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69/307 (22.5%)</w:t>
            </w:r>
          </w:p>
        </w:tc>
        <w:tc>
          <w:tcPr>
            <w:tcW w:w="2278" w:type="dxa"/>
            <w:vAlign w:val="center"/>
          </w:tcPr>
          <w:p w14:paraId="59E55A3E" w14:textId="77777777" w:rsidR="0016428B" w:rsidRPr="00577D96" w:rsidRDefault="00C7549B" w:rsidP="00450C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42/307 (13.7%)</w:t>
            </w:r>
          </w:p>
        </w:tc>
        <w:tc>
          <w:tcPr>
            <w:tcW w:w="2278" w:type="dxa"/>
            <w:vAlign w:val="center"/>
          </w:tcPr>
          <w:p w14:paraId="4EC3D1B7" w14:textId="77777777" w:rsidR="0016428B" w:rsidRPr="00577D96" w:rsidRDefault="00C7549B" w:rsidP="00450C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1.83 (1.20-2.79)</w:t>
            </w:r>
          </w:p>
        </w:tc>
      </w:tr>
      <w:tr w:rsidR="00577D96" w:rsidRPr="00577D96" w14:paraId="2668FDC1" w14:textId="77777777" w:rsidTr="00450C8B">
        <w:trPr>
          <w:trHeight w:val="360"/>
          <w:jc w:val="center"/>
        </w:trPr>
        <w:tc>
          <w:tcPr>
            <w:cnfStyle w:val="001000000000" w:firstRow="0" w:lastRow="0" w:firstColumn="1" w:lastColumn="0" w:oddVBand="0" w:evenVBand="0" w:oddHBand="0" w:evenHBand="0" w:firstRowFirstColumn="0" w:firstRowLastColumn="0" w:lastRowFirstColumn="0" w:lastRowLastColumn="0"/>
            <w:tcW w:w="2277" w:type="dxa"/>
            <w:vAlign w:val="center"/>
          </w:tcPr>
          <w:p w14:paraId="4E2FDFAC" w14:textId="77777777" w:rsidR="0016428B" w:rsidRPr="00577D96" w:rsidRDefault="00C7549B" w:rsidP="00450C8B">
            <w:pPr>
              <w:rPr>
                <w:rFonts w:asciiTheme="majorBidi" w:hAnsiTheme="majorBidi" w:cstheme="majorBidi"/>
                <w:sz w:val="24"/>
                <w:szCs w:val="24"/>
              </w:rPr>
            </w:pPr>
            <w:r w:rsidRPr="00577D96">
              <w:rPr>
                <w:rFonts w:asciiTheme="majorBidi" w:hAnsiTheme="majorBidi" w:cstheme="majorBidi"/>
                <w:sz w:val="24"/>
                <w:szCs w:val="24"/>
              </w:rPr>
              <w:t>Sri Lanka</w:t>
            </w:r>
          </w:p>
        </w:tc>
        <w:tc>
          <w:tcPr>
            <w:tcW w:w="2278" w:type="dxa"/>
            <w:vAlign w:val="center"/>
          </w:tcPr>
          <w:p w14:paraId="1DA4A6D9" w14:textId="77777777" w:rsidR="0016428B" w:rsidRPr="00577D96" w:rsidRDefault="00C7549B" w:rsidP="00450C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183/980 (18.7%)</w:t>
            </w:r>
          </w:p>
        </w:tc>
        <w:tc>
          <w:tcPr>
            <w:tcW w:w="2278" w:type="dxa"/>
            <w:vAlign w:val="center"/>
          </w:tcPr>
          <w:p w14:paraId="50A192BF" w14:textId="77777777" w:rsidR="0016428B" w:rsidRPr="00577D96" w:rsidRDefault="00C7549B" w:rsidP="00450C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43/336 (12.8%)</w:t>
            </w:r>
          </w:p>
        </w:tc>
        <w:tc>
          <w:tcPr>
            <w:tcW w:w="2278" w:type="dxa"/>
            <w:vAlign w:val="center"/>
          </w:tcPr>
          <w:p w14:paraId="618780E7" w14:textId="77777777" w:rsidR="0016428B" w:rsidRPr="00577D96" w:rsidRDefault="00C7549B" w:rsidP="00450C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1.56 (1.09-2.24)</w:t>
            </w:r>
          </w:p>
        </w:tc>
      </w:tr>
      <w:tr w:rsidR="00577D96" w:rsidRPr="00577D96" w14:paraId="4A4CB432" w14:textId="77777777" w:rsidTr="00450C8B">
        <w:trPr>
          <w:cnfStyle w:val="000000100000" w:firstRow="0" w:lastRow="0" w:firstColumn="0" w:lastColumn="0" w:oddVBand="0" w:evenVBand="0" w:oddHBand="1" w:evenHBand="0" w:firstRowFirstColumn="0" w:firstRowLastColumn="0" w:lastRowFirstColumn="0" w:lastRowLastColumn="0"/>
          <w:trHeight w:val="721"/>
          <w:jc w:val="center"/>
        </w:trPr>
        <w:tc>
          <w:tcPr>
            <w:cnfStyle w:val="001000000000" w:firstRow="0" w:lastRow="0" w:firstColumn="1" w:lastColumn="0" w:oddVBand="0" w:evenVBand="0" w:oddHBand="0" w:evenHBand="0" w:firstRowFirstColumn="0" w:firstRowLastColumn="0" w:lastRowFirstColumn="0" w:lastRowLastColumn="0"/>
            <w:tcW w:w="2277" w:type="dxa"/>
            <w:vAlign w:val="center"/>
          </w:tcPr>
          <w:p w14:paraId="24DB94CE" w14:textId="77777777" w:rsidR="0016428B" w:rsidRPr="00577D96" w:rsidRDefault="00C7549B" w:rsidP="00450C8B">
            <w:pPr>
              <w:rPr>
                <w:rFonts w:asciiTheme="majorBidi" w:hAnsiTheme="majorBidi" w:cstheme="majorBidi"/>
                <w:sz w:val="24"/>
                <w:szCs w:val="24"/>
              </w:rPr>
            </w:pPr>
            <w:r w:rsidRPr="00577D96">
              <w:rPr>
                <w:rFonts w:asciiTheme="majorBidi" w:hAnsiTheme="majorBidi" w:cstheme="majorBidi"/>
                <w:sz w:val="24"/>
                <w:szCs w:val="24"/>
              </w:rPr>
              <w:t xml:space="preserve">United </w:t>
            </w:r>
            <w:r w:rsidRPr="00577D96">
              <w:rPr>
                <w:rFonts w:asciiTheme="majorBidi" w:hAnsiTheme="majorBidi" w:cstheme="majorBidi"/>
                <w:sz w:val="24"/>
                <w:szCs w:val="24"/>
              </w:rPr>
              <w:t>States</w:t>
            </w:r>
          </w:p>
        </w:tc>
        <w:tc>
          <w:tcPr>
            <w:tcW w:w="2278" w:type="dxa"/>
            <w:vAlign w:val="center"/>
          </w:tcPr>
          <w:p w14:paraId="16E86573" w14:textId="77777777" w:rsidR="0016428B" w:rsidRPr="00577D96" w:rsidRDefault="00C7549B" w:rsidP="00450C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274814/1879713 (14.6%)</w:t>
            </w:r>
          </w:p>
        </w:tc>
        <w:tc>
          <w:tcPr>
            <w:tcW w:w="2278" w:type="dxa"/>
            <w:vAlign w:val="center"/>
          </w:tcPr>
          <w:p w14:paraId="6C88B29C" w14:textId="77777777" w:rsidR="0016428B" w:rsidRPr="00577D96" w:rsidRDefault="00C7549B" w:rsidP="00450C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211902/2006649 (10.6%)</w:t>
            </w:r>
          </w:p>
        </w:tc>
        <w:tc>
          <w:tcPr>
            <w:tcW w:w="2278" w:type="dxa"/>
            <w:vAlign w:val="center"/>
          </w:tcPr>
          <w:p w14:paraId="5338EF99" w14:textId="77777777" w:rsidR="0016428B" w:rsidRPr="00577D96" w:rsidRDefault="00C7549B" w:rsidP="00450C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1.45 (1.44-1.46)</w:t>
            </w:r>
          </w:p>
        </w:tc>
      </w:tr>
      <w:tr w:rsidR="00577D96" w:rsidRPr="00577D96" w14:paraId="00C68CB3" w14:textId="77777777" w:rsidTr="00450C8B">
        <w:trPr>
          <w:trHeight w:val="721"/>
          <w:jc w:val="center"/>
        </w:trPr>
        <w:tc>
          <w:tcPr>
            <w:cnfStyle w:val="001000000000" w:firstRow="0" w:lastRow="0" w:firstColumn="1" w:lastColumn="0" w:oddVBand="0" w:evenVBand="0" w:oddHBand="0" w:evenHBand="0" w:firstRowFirstColumn="0" w:firstRowLastColumn="0" w:lastRowFirstColumn="0" w:lastRowLastColumn="0"/>
            <w:tcW w:w="2277" w:type="dxa"/>
            <w:vAlign w:val="center"/>
          </w:tcPr>
          <w:p w14:paraId="7BA9C66A" w14:textId="77777777" w:rsidR="0016428B" w:rsidRPr="00577D96" w:rsidRDefault="00C7549B" w:rsidP="00450C8B">
            <w:pPr>
              <w:rPr>
                <w:rFonts w:asciiTheme="majorBidi" w:hAnsiTheme="majorBidi" w:cstheme="majorBidi"/>
                <w:sz w:val="24"/>
                <w:szCs w:val="24"/>
              </w:rPr>
            </w:pPr>
            <w:r w:rsidRPr="00577D96">
              <w:rPr>
                <w:rFonts w:asciiTheme="majorBidi" w:hAnsiTheme="majorBidi" w:cstheme="majorBidi"/>
                <w:sz w:val="24"/>
                <w:szCs w:val="24"/>
              </w:rPr>
              <w:t>Pooled estimate</w:t>
            </w:r>
          </w:p>
        </w:tc>
        <w:tc>
          <w:tcPr>
            <w:tcW w:w="2278" w:type="dxa"/>
            <w:vAlign w:val="center"/>
          </w:tcPr>
          <w:p w14:paraId="3B2DD20F" w14:textId="77777777" w:rsidR="0016428B" w:rsidRPr="00577D96" w:rsidRDefault="00C7549B" w:rsidP="00450C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w:t>
            </w:r>
          </w:p>
        </w:tc>
        <w:tc>
          <w:tcPr>
            <w:tcW w:w="2278" w:type="dxa"/>
            <w:vAlign w:val="center"/>
          </w:tcPr>
          <w:p w14:paraId="67E06589" w14:textId="77777777" w:rsidR="0016428B" w:rsidRPr="00577D96" w:rsidRDefault="00C7549B" w:rsidP="00450C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w:t>
            </w:r>
          </w:p>
        </w:tc>
        <w:tc>
          <w:tcPr>
            <w:tcW w:w="2278" w:type="dxa"/>
            <w:vAlign w:val="center"/>
          </w:tcPr>
          <w:p w14:paraId="26A41BAD" w14:textId="77777777" w:rsidR="0016428B" w:rsidRPr="00577D96" w:rsidRDefault="00C7549B" w:rsidP="00450C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77D96">
              <w:rPr>
                <w:rFonts w:asciiTheme="majorBidi" w:hAnsiTheme="majorBidi" w:cstheme="majorBidi"/>
                <w:sz w:val="24"/>
                <w:szCs w:val="24"/>
              </w:rPr>
              <w:t>1.45 (1.44-1.46); I-squared=0.0%</w:t>
            </w:r>
          </w:p>
        </w:tc>
      </w:tr>
    </w:tbl>
    <w:p w14:paraId="7C410FCB" w14:textId="77777777" w:rsidR="00FB2E70" w:rsidRPr="00577D96" w:rsidRDefault="00FB2E70" w:rsidP="004E1430">
      <w:pPr>
        <w:spacing w:after="120"/>
        <w:jc w:val="both"/>
        <w:rPr>
          <w:rFonts w:asciiTheme="majorBidi" w:hAnsiTheme="majorBidi" w:cstheme="majorBidi"/>
          <w:sz w:val="24"/>
          <w:szCs w:val="24"/>
        </w:rPr>
      </w:pPr>
    </w:p>
    <w:p w14:paraId="047FBDBC" w14:textId="77777777" w:rsidR="0016428B" w:rsidRPr="00577D96" w:rsidRDefault="00C7549B" w:rsidP="00450C8B">
      <w:pPr>
        <w:pStyle w:val="Heading1"/>
        <w:spacing w:after="120"/>
        <w:ind w:firstLine="720"/>
        <w:jc w:val="both"/>
        <w:rPr>
          <w:rFonts w:asciiTheme="majorBidi" w:hAnsiTheme="majorBidi"/>
          <w:color w:val="auto"/>
          <w:sz w:val="24"/>
          <w:szCs w:val="24"/>
        </w:rPr>
      </w:pPr>
      <w:r w:rsidRPr="00577D96">
        <w:rPr>
          <w:rFonts w:asciiTheme="majorBidi" w:hAnsiTheme="majorBidi"/>
          <w:color w:val="auto"/>
          <w:sz w:val="24"/>
          <w:szCs w:val="24"/>
        </w:rPr>
        <w:t>4. Discussion</w:t>
      </w:r>
    </w:p>
    <w:p w14:paraId="1918D6F2" w14:textId="1C1B8C08" w:rsidR="0016428B" w:rsidRPr="00577D96" w:rsidRDefault="00C7549B" w:rsidP="00450C8B">
      <w:pPr>
        <w:spacing w:after="120"/>
        <w:ind w:left="720"/>
        <w:jc w:val="both"/>
        <w:rPr>
          <w:rFonts w:asciiTheme="majorBidi" w:hAnsiTheme="majorBidi" w:cstheme="majorBidi"/>
          <w:sz w:val="24"/>
          <w:szCs w:val="24"/>
        </w:rPr>
      </w:pPr>
      <w:r w:rsidRPr="00577D96">
        <w:rPr>
          <w:rFonts w:asciiTheme="majorBidi" w:hAnsiTheme="majorBidi" w:cstheme="majorBidi"/>
          <w:sz w:val="24"/>
          <w:szCs w:val="24"/>
        </w:rPr>
        <w:t xml:space="preserve">This comparative meta-analytic study shows a consistent association between teenage motherhood and adverse perinatal outcomes across Oman, Sri Lanka and the United </w:t>
      </w:r>
      <w:r w:rsidRPr="00577D96">
        <w:rPr>
          <w:rFonts w:asciiTheme="majorBidi" w:hAnsiTheme="majorBidi" w:cstheme="majorBidi"/>
          <w:sz w:val="24"/>
          <w:szCs w:val="24"/>
        </w:rPr>
        <w:t>States. Babies born to teenage mothers had lower mean birth weight in all three settings. Teenage mothers also had higher prevalence of LBW and preterm delivery. The pooled results suggest that teenage motherhood is associated with approximately 35% higher</w:t>
      </w:r>
      <w:r w:rsidRPr="00577D96">
        <w:rPr>
          <w:rFonts w:asciiTheme="majorBidi" w:hAnsiTheme="majorBidi" w:cstheme="majorBidi"/>
          <w:sz w:val="24"/>
          <w:szCs w:val="24"/>
        </w:rPr>
        <w:t xml:space="preserve"> odds of LBW and 45% higher odds of preterm delivery compared with young adult motherhood.</w:t>
      </w:r>
      <w:r w:rsidR="00450C8B" w:rsidRPr="00577D96">
        <w:rPr>
          <w:rFonts w:asciiTheme="majorBidi" w:hAnsiTheme="majorBidi" w:cstheme="majorBidi"/>
          <w:sz w:val="24"/>
          <w:szCs w:val="24"/>
        </w:rPr>
        <w:t xml:space="preserve"> </w:t>
      </w:r>
      <w:r w:rsidRPr="00577D96">
        <w:rPr>
          <w:rFonts w:asciiTheme="majorBidi" w:hAnsiTheme="majorBidi" w:cstheme="majorBidi"/>
          <w:sz w:val="24"/>
          <w:szCs w:val="24"/>
        </w:rPr>
        <w:t xml:space="preserve">The findings are consistent with the broader literature on adolescent pregnancy. Biological immaturity may contribute to poorer outcomes through incomplete maternal </w:t>
      </w:r>
      <w:r w:rsidRPr="00577D96">
        <w:rPr>
          <w:rFonts w:asciiTheme="majorBidi" w:hAnsiTheme="majorBidi" w:cstheme="majorBidi"/>
          <w:sz w:val="24"/>
          <w:szCs w:val="24"/>
        </w:rPr>
        <w:t>growth, competition for nutrients between the adolescent mother and fetus, and higher vulnerability to obstetric complications. However, biological explanations alone are insufficient. Social determinants such as poverty, lower educational attainment, dela</w:t>
      </w:r>
      <w:r w:rsidRPr="00577D96">
        <w:rPr>
          <w:rFonts w:asciiTheme="majorBidi" w:hAnsiTheme="majorBidi" w:cstheme="majorBidi"/>
          <w:sz w:val="24"/>
          <w:szCs w:val="24"/>
        </w:rPr>
        <w:t>yed or inadequate antenatal care, poor nutrition, stigma and limited decision-making power may also increase risk among teenage mothers.</w:t>
      </w:r>
      <w:r w:rsidR="00450C8B" w:rsidRPr="00577D96">
        <w:rPr>
          <w:rFonts w:asciiTheme="majorBidi" w:hAnsiTheme="majorBidi" w:cstheme="majorBidi"/>
          <w:sz w:val="24"/>
          <w:szCs w:val="24"/>
        </w:rPr>
        <w:t xml:space="preserve"> </w:t>
      </w:r>
      <w:r w:rsidRPr="00577D96">
        <w:rPr>
          <w:rFonts w:asciiTheme="majorBidi" w:hAnsiTheme="majorBidi" w:cstheme="majorBidi"/>
          <w:sz w:val="24"/>
          <w:szCs w:val="24"/>
        </w:rPr>
        <w:t>The cross-country differences are also informative. The United States had the highest mean birth weights and the lowest</w:t>
      </w:r>
      <w:r w:rsidRPr="00577D96">
        <w:rPr>
          <w:rFonts w:asciiTheme="majorBidi" w:hAnsiTheme="majorBidi" w:cstheme="majorBidi"/>
          <w:sz w:val="24"/>
          <w:szCs w:val="24"/>
        </w:rPr>
        <w:t xml:space="preserve"> prevalence of LBW and preterm delivery among teenage mothers in this dataset. Oman had the lowest mean birth weight and the highest prevalence of both LBW and preterm delivery among teenage mothers. Sri Lanka occupied an intermediate position. These diffe</w:t>
      </w:r>
      <w:r w:rsidRPr="00577D96">
        <w:rPr>
          <w:rFonts w:asciiTheme="majorBidi" w:hAnsiTheme="majorBidi" w:cstheme="majorBidi"/>
          <w:sz w:val="24"/>
          <w:szCs w:val="24"/>
        </w:rPr>
        <w:t>rences may reflect variation in data sources, sampling frames, socio-economic profile, antenatal care systems, maternal nutrition and recording procedures.</w:t>
      </w:r>
      <w:r w:rsidR="00450C8B" w:rsidRPr="00577D96">
        <w:rPr>
          <w:rFonts w:asciiTheme="majorBidi" w:hAnsiTheme="majorBidi" w:cstheme="majorBidi"/>
          <w:sz w:val="24"/>
          <w:szCs w:val="24"/>
        </w:rPr>
        <w:t xml:space="preserve"> </w:t>
      </w:r>
      <w:proofErr w:type="gramStart"/>
      <w:r w:rsidRPr="00577D96">
        <w:rPr>
          <w:rFonts w:asciiTheme="majorBidi" w:hAnsiTheme="majorBidi" w:cstheme="majorBidi"/>
          <w:sz w:val="24"/>
          <w:szCs w:val="24"/>
        </w:rPr>
        <w:t>The</w:t>
      </w:r>
      <w:proofErr w:type="gramEnd"/>
      <w:r w:rsidRPr="00577D96">
        <w:rPr>
          <w:rFonts w:asciiTheme="majorBidi" w:hAnsiTheme="majorBidi" w:cstheme="majorBidi"/>
          <w:sz w:val="24"/>
          <w:szCs w:val="24"/>
        </w:rPr>
        <w:t xml:space="preserve"> public health implications are clear. Teenage pregnancy prevention remains important, but preven</w:t>
      </w:r>
      <w:r w:rsidRPr="00577D96">
        <w:rPr>
          <w:rFonts w:asciiTheme="majorBidi" w:hAnsiTheme="majorBidi" w:cstheme="majorBidi"/>
          <w:sz w:val="24"/>
          <w:szCs w:val="24"/>
        </w:rPr>
        <w:t>tion alone is not sufficient. Pregnant adolescents require early identification, respectful antenatal care, nutritional assessment, psychosocial support and closer follow-up for fetal growth and preterm birth risk. Schools, primary health care services and</w:t>
      </w:r>
      <w:r w:rsidRPr="00577D96">
        <w:rPr>
          <w:rFonts w:asciiTheme="majorBidi" w:hAnsiTheme="majorBidi" w:cstheme="majorBidi"/>
          <w:sz w:val="24"/>
          <w:szCs w:val="24"/>
        </w:rPr>
        <w:t xml:space="preserve"> community organizations can play an important role in reproductive health education and early referral.</w:t>
      </w:r>
      <w:r w:rsidR="00450C8B" w:rsidRPr="00577D96">
        <w:rPr>
          <w:rFonts w:asciiTheme="majorBidi" w:hAnsiTheme="majorBidi" w:cstheme="majorBidi"/>
          <w:sz w:val="24"/>
          <w:szCs w:val="24"/>
        </w:rPr>
        <w:t xml:space="preserve"> </w:t>
      </w:r>
      <w:r w:rsidRPr="00577D96">
        <w:rPr>
          <w:rFonts w:asciiTheme="majorBidi" w:hAnsiTheme="majorBidi" w:cstheme="majorBidi"/>
          <w:sz w:val="24"/>
          <w:szCs w:val="24"/>
        </w:rPr>
        <w:t>The study has limitations. First, it is based on secondary data from three studies with different designs and periods. Second, individual-level adjustm</w:t>
      </w:r>
      <w:r w:rsidRPr="00577D96">
        <w:rPr>
          <w:rFonts w:asciiTheme="majorBidi" w:hAnsiTheme="majorBidi" w:cstheme="majorBidi"/>
          <w:sz w:val="24"/>
          <w:szCs w:val="24"/>
        </w:rPr>
        <w:t>ent for confounders such as BMI, parity, education, income, marital status and antenatal care attendance was not possible. Third, the large USA sample strongly influences pooled estimates even though inverse-variance methods were used. Fourth, the availabl</w:t>
      </w:r>
      <w:r w:rsidRPr="00577D96">
        <w:rPr>
          <w:rFonts w:asciiTheme="majorBidi" w:hAnsiTheme="majorBidi" w:cstheme="majorBidi"/>
          <w:sz w:val="24"/>
          <w:szCs w:val="24"/>
        </w:rPr>
        <w:t xml:space="preserve">e data permitted </w:t>
      </w:r>
      <w:r w:rsidRPr="00577D96">
        <w:rPr>
          <w:rFonts w:asciiTheme="majorBidi" w:hAnsiTheme="majorBidi" w:cstheme="majorBidi"/>
          <w:sz w:val="24"/>
          <w:szCs w:val="24"/>
        </w:rPr>
        <w:lastRenderedPageBreak/>
        <w:t>only study-level meta-analysis rather than individual participant meta-analysis. Finally, some inconsistencies in the original project tables required conservative data checking before analysis.</w:t>
      </w:r>
    </w:p>
    <w:p w14:paraId="377CCDAF" w14:textId="2E75B0AF" w:rsidR="007428E7" w:rsidRPr="00577D96" w:rsidRDefault="007428E7" w:rsidP="00450C8B">
      <w:pPr>
        <w:pStyle w:val="Heading1"/>
        <w:spacing w:after="120"/>
        <w:ind w:left="720"/>
        <w:jc w:val="both"/>
        <w:rPr>
          <w:rFonts w:asciiTheme="majorBidi" w:hAnsiTheme="majorBidi"/>
          <w:b w:val="0"/>
          <w:bCs w:val="0"/>
          <w:color w:val="auto"/>
          <w:sz w:val="24"/>
          <w:szCs w:val="24"/>
        </w:rPr>
      </w:pPr>
      <w:r w:rsidRPr="00577D96">
        <w:rPr>
          <w:rFonts w:asciiTheme="majorBidi" w:hAnsiTheme="majorBidi"/>
          <w:b w:val="0"/>
          <w:bCs w:val="0"/>
          <w:color w:val="auto"/>
          <w:sz w:val="24"/>
          <w:szCs w:val="24"/>
        </w:rPr>
        <w:t xml:space="preserve">An interesting finding from the Sri Lankan study by Rahman et al. (2017) is that teenage pregnancy was not directly associated with several adverse obstetric and perinatal outcomes after accounting for maternal characteristics. In that study, preterm birth was the only adverse outcome directly associated with teenage motherhood, whereas other adverse outcomes were largely attributable to factors that were more prevalent among teenage mothers, particularly lower </w:t>
      </w:r>
      <w:r w:rsidR="00272B95">
        <w:rPr>
          <w:rFonts w:asciiTheme="majorBidi" w:hAnsiTheme="majorBidi"/>
          <w:b w:val="0"/>
          <w:bCs w:val="0"/>
          <w:color w:val="auto"/>
          <w:sz w:val="24"/>
          <w:szCs w:val="24"/>
        </w:rPr>
        <w:t>BMI</w:t>
      </w:r>
      <w:r w:rsidRPr="00577D96">
        <w:rPr>
          <w:rFonts w:asciiTheme="majorBidi" w:hAnsiTheme="majorBidi"/>
          <w:b w:val="0"/>
          <w:bCs w:val="0"/>
          <w:color w:val="auto"/>
          <w:sz w:val="24"/>
          <w:szCs w:val="24"/>
        </w:rPr>
        <w:t xml:space="preserve"> and nulliparity. Furthermore, no significant differences were observed between teenage and adult mothers regarding intrauterine growth restriction, perinatal complications, or lower segment caesarean section. These findings suggest that the adverse outcomes frequently attributed to teenage pregnancy may, in part, be mediated through modifiable maternal risk factors rather than maternal age alone. In some cultural settings, particularly in parts of South Asia and the Middle East, teenage pregnancy may be socially accepted within marriage and is not always unintended. Under such circumstances, where adequate prenatal care, good maternal nutritional status, and healthy BMI are maintained, the risks associated with teenage pregnancy may be substantially reduced. Nevertheless, the consistently higher prevalence of preterm delivery observed across Oman, Sri Lanka, and the United States indicates that adolescent mothers remain a vulnerable group requiring careful antenatal monitoring and targeted healthcare interventions.</w:t>
      </w:r>
    </w:p>
    <w:p w14:paraId="799C9A7E" w14:textId="72260438" w:rsidR="0016428B" w:rsidRPr="00577D96" w:rsidRDefault="00C7549B" w:rsidP="00450C8B">
      <w:pPr>
        <w:pStyle w:val="Heading1"/>
        <w:spacing w:after="120"/>
        <w:ind w:firstLine="720"/>
        <w:jc w:val="both"/>
        <w:rPr>
          <w:rFonts w:asciiTheme="majorBidi" w:hAnsiTheme="majorBidi"/>
          <w:color w:val="auto"/>
          <w:sz w:val="24"/>
          <w:szCs w:val="24"/>
        </w:rPr>
      </w:pPr>
      <w:r w:rsidRPr="00577D96">
        <w:rPr>
          <w:rFonts w:asciiTheme="majorBidi" w:hAnsiTheme="majorBidi"/>
          <w:color w:val="auto"/>
          <w:sz w:val="24"/>
          <w:szCs w:val="24"/>
        </w:rPr>
        <w:t>5. Conclusion</w:t>
      </w:r>
    </w:p>
    <w:p w14:paraId="36CF92EA" w14:textId="61802E50" w:rsidR="00FE4760" w:rsidRPr="00577D96" w:rsidRDefault="00C7549B" w:rsidP="00450C8B">
      <w:pPr>
        <w:spacing w:after="120"/>
        <w:ind w:left="720"/>
        <w:jc w:val="both"/>
        <w:rPr>
          <w:rFonts w:asciiTheme="majorBidi" w:hAnsiTheme="majorBidi" w:cstheme="majorBidi"/>
          <w:sz w:val="24"/>
          <w:szCs w:val="24"/>
        </w:rPr>
      </w:pPr>
      <w:r w:rsidRPr="00577D96">
        <w:rPr>
          <w:rFonts w:asciiTheme="majorBidi" w:hAnsiTheme="majorBidi" w:cstheme="majorBidi"/>
          <w:sz w:val="24"/>
          <w:szCs w:val="24"/>
        </w:rPr>
        <w:t xml:space="preserve">Teenage pregnancy was associated with lower mean birth weight, higher </w:t>
      </w:r>
      <w:r w:rsidR="00FE4760" w:rsidRPr="00577D96">
        <w:rPr>
          <w:rFonts w:asciiTheme="majorBidi" w:hAnsiTheme="majorBidi" w:cstheme="majorBidi"/>
          <w:sz w:val="24"/>
          <w:szCs w:val="24"/>
        </w:rPr>
        <w:t>LBW</w:t>
      </w:r>
      <w:r w:rsidRPr="00577D96">
        <w:rPr>
          <w:rFonts w:asciiTheme="majorBidi" w:hAnsiTheme="majorBidi" w:cstheme="majorBidi"/>
          <w:sz w:val="24"/>
          <w:szCs w:val="24"/>
        </w:rPr>
        <w:t xml:space="preserve"> and higher preterm delivery in Oman, Sri Lanka and the United States. The pooled analysis indicat</w:t>
      </w:r>
      <w:r w:rsidRPr="00577D96">
        <w:rPr>
          <w:rFonts w:asciiTheme="majorBidi" w:hAnsiTheme="majorBidi" w:cstheme="majorBidi"/>
          <w:sz w:val="24"/>
          <w:szCs w:val="24"/>
        </w:rPr>
        <w:t>ed increased odds of both low birth weight and preterm delivery among teenage mothers compared with adult mothers aged 20-24 years. These findings support targeted adolescent reproductive health programmes, improved antenatal care access, maternal nutritio</w:t>
      </w:r>
      <w:r w:rsidRPr="00577D96">
        <w:rPr>
          <w:rFonts w:asciiTheme="majorBidi" w:hAnsiTheme="majorBidi" w:cstheme="majorBidi"/>
          <w:sz w:val="24"/>
          <w:szCs w:val="24"/>
        </w:rPr>
        <w:t xml:space="preserve">n support and closer monitoring of pregnant teenagers. Future studies should use individual-level data and adjust for BMI, parity, education, income, marital status and antenatal care attendance to clarify the pathways linking teenage pregnancy to adverse </w:t>
      </w:r>
      <w:r w:rsidRPr="00577D96">
        <w:rPr>
          <w:rFonts w:asciiTheme="majorBidi" w:hAnsiTheme="majorBidi" w:cstheme="majorBidi"/>
          <w:sz w:val="24"/>
          <w:szCs w:val="24"/>
        </w:rPr>
        <w:t>birth outcomes.</w:t>
      </w:r>
      <w:r w:rsidR="00FE4760" w:rsidRPr="00577D96">
        <w:rPr>
          <w:rFonts w:asciiTheme="majorBidi" w:hAnsiTheme="majorBidi" w:cstheme="majorBidi"/>
          <w:sz w:val="24"/>
          <w:szCs w:val="24"/>
        </w:rPr>
        <w:t xml:space="preserve"> The </w:t>
      </w:r>
      <w:r w:rsidR="00FE4760" w:rsidRPr="00577D96">
        <w:rPr>
          <w:rFonts w:asciiTheme="majorBidi" w:hAnsiTheme="majorBidi" w:cstheme="majorBidi"/>
          <w:sz w:val="24"/>
          <w:szCs w:val="24"/>
        </w:rPr>
        <w:t>evidence from some studies suggests that when adequate antenatal care, appropriate maternal nutrition, and a healthy BMI are achieved, many of the adverse outcomes commonly associated with teenage pregnancy may be substantially reduced, although the risk of preterm delivery may still require special attention.</w:t>
      </w:r>
    </w:p>
    <w:p w14:paraId="2D3C18F4" w14:textId="38C348E0" w:rsidR="0016428B" w:rsidRPr="00577D96" w:rsidRDefault="00C7549B" w:rsidP="00450C8B">
      <w:pPr>
        <w:pStyle w:val="Heading1"/>
        <w:spacing w:after="120"/>
        <w:ind w:firstLine="720"/>
        <w:jc w:val="both"/>
        <w:rPr>
          <w:rFonts w:asciiTheme="majorBidi" w:hAnsiTheme="majorBidi"/>
          <w:color w:val="auto"/>
          <w:sz w:val="24"/>
          <w:szCs w:val="24"/>
        </w:rPr>
      </w:pPr>
      <w:r w:rsidRPr="00577D96">
        <w:rPr>
          <w:rFonts w:asciiTheme="majorBidi" w:hAnsiTheme="majorBidi"/>
          <w:color w:val="auto"/>
          <w:sz w:val="24"/>
          <w:szCs w:val="24"/>
        </w:rPr>
        <w:t>Declarations</w:t>
      </w:r>
    </w:p>
    <w:p w14:paraId="75961105" w14:textId="266216C5" w:rsidR="0016428B" w:rsidRPr="00577D96" w:rsidRDefault="00C7549B" w:rsidP="00450C8B">
      <w:pPr>
        <w:spacing w:after="120"/>
        <w:ind w:left="720"/>
        <w:jc w:val="both"/>
        <w:rPr>
          <w:rFonts w:asciiTheme="majorBidi" w:hAnsiTheme="majorBidi" w:cstheme="majorBidi"/>
          <w:sz w:val="24"/>
          <w:szCs w:val="24"/>
        </w:rPr>
      </w:pPr>
      <w:r w:rsidRPr="00577D96">
        <w:rPr>
          <w:rFonts w:asciiTheme="majorBidi" w:hAnsiTheme="majorBidi" w:cstheme="majorBidi"/>
          <w:b/>
          <w:sz w:val="24"/>
          <w:szCs w:val="24"/>
        </w:rPr>
        <w:t xml:space="preserve">Ethical approval: </w:t>
      </w:r>
      <w:r w:rsidRPr="00577D96">
        <w:rPr>
          <w:rFonts w:asciiTheme="majorBidi" w:hAnsiTheme="majorBidi" w:cstheme="majorBidi"/>
          <w:sz w:val="24"/>
          <w:szCs w:val="24"/>
        </w:rPr>
        <w:t xml:space="preserve">This manuscript is based on secondary analysis of previously published and de-identified data. No new human participant data were collected for this draft. </w:t>
      </w:r>
    </w:p>
    <w:p w14:paraId="1917D87E" w14:textId="77777777" w:rsidR="0016428B" w:rsidRPr="00577D96" w:rsidRDefault="00C7549B" w:rsidP="00450C8B">
      <w:pPr>
        <w:spacing w:after="120"/>
        <w:ind w:firstLine="720"/>
        <w:jc w:val="both"/>
        <w:rPr>
          <w:rFonts w:asciiTheme="majorBidi" w:hAnsiTheme="majorBidi" w:cstheme="majorBidi"/>
          <w:sz w:val="24"/>
          <w:szCs w:val="24"/>
        </w:rPr>
      </w:pPr>
      <w:r w:rsidRPr="00577D96">
        <w:rPr>
          <w:rFonts w:asciiTheme="majorBidi" w:hAnsiTheme="majorBidi" w:cstheme="majorBidi"/>
          <w:b/>
          <w:sz w:val="24"/>
          <w:szCs w:val="24"/>
        </w:rPr>
        <w:t xml:space="preserve">Funding: </w:t>
      </w:r>
      <w:r w:rsidRPr="00577D96">
        <w:rPr>
          <w:rFonts w:asciiTheme="majorBidi" w:hAnsiTheme="majorBidi" w:cstheme="majorBidi"/>
          <w:sz w:val="24"/>
          <w:szCs w:val="24"/>
        </w:rPr>
        <w:t>No specific funding was received for this manuscript.</w:t>
      </w:r>
    </w:p>
    <w:p w14:paraId="42D90E00" w14:textId="77777777" w:rsidR="0016428B" w:rsidRPr="00577D96" w:rsidRDefault="00C7549B" w:rsidP="00450C8B">
      <w:pPr>
        <w:spacing w:after="120"/>
        <w:ind w:firstLine="720"/>
        <w:jc w:val="both"/>
        <w:rPr>
          <w:rFonts w:asciiTheme="majorBidi" w:hAnsiTheme="majorBidi" w:cstheme="majorBidi"/>
          <w:sz w:val="24"/>
          <w:szCs w:val="24"/>
        </w:rPr>
      </w:pPr>
      <w:r w:rsidRPr="00577D96">
        <w:rPr>
          <w:rFonts w:asciiTheme="majorBidi" w:hAnsiTheme="majorBidi" w:cstheme="majorBidi"/>
          <w:b/>
          <w:sz w:val="24"/>
          <w:szCs w:val="24"/>
        </w:rPr>
        <w:t xml:space="preserve">Conflict of interest: </w:t>
      </w:r>
      <w:r w:rsidRPr="00577D96">
        <w:rPr>
          <w:rFonts w:asciiTheme="majorBidi" w:hAnsiTheme="majorBidi" w:cstheme="majorBidi"/>
          <w:sz w:val="24"/>
          <w:szCs w:val="24"/>
        </w:rPr>
        <w:t>The authors declare no conflict of interest.</w:t>
      </w:r>
    </w:p>
    <w:p w14:paraId="1BFAE0A2" w14:textId="3918E4C2" w:rsidR="0016428B" w:rsidRPr="00577D96" w:rsidRDefault="00C7549B" w:rsidP="00450C8B">
      <w:pPr>
        <w:spacing w:after="120"/>
        <w:ind w:left="720"/>
        <w:jc w:val="both"/>
        <w:rPr>
          <w:rFonts w:asciiTheme="majorBidi" w:hAnsiTheme="majorBidi" w:cstheme="majorBidi"/>
          <w:sz w:val="24"/>
          <w:szCs w:val="24"/>
        </w:rPr>
      </w:pPr>
      <w:r w:rsidRPr="00577D96">
        <w:rPr>
          <w:rFonts w:asciiTheme="majorBidi" w:hAnsiTheme="majorBidi" w:cstheme="majorBidi"/>
          <w:b/>
          <w:sz w:val="24"/>
          <w:szCs w:val="24"/>
        </w:rPr>
        <w:lastRenderedPageBreak/>
        <w:t xml:space="preserve">Data availability: </w:t>
      </w:r>
      <w:r w:rsidRPr="00577D96">
        <w:rPr>
          <w:rFonts w:asciiTheme="majorBidi" w:hAnsiTheme="majorBidi" w:cstheme="majorBidi"/>
          <w:sz w:val="24"/>
          <w:szCs w:val="24"/>
        </w:rPr>
        <w:t>The data used in this analysis were extracted from the c</w:t>
      </w:r>
      <w:r w:rsidRPr="00577D96">
        <w:rPr>
          <w:rFonts w:asciiTheme="majorBidi" w:hAnsiTheme="majorBidi" w:cstheme="majorBidi"/>
          <w:sz w:val="24"/>
          <w:szCs w:val="24"/>
        </w:rPr>
        <w:t>ited source studies and the project report. Final submission should include the exact bibliographic details and any supplementary tables required by the journal.</w:t>
      </w:r>
    </w:p>
    <w:p w14:paraId="0B0CBAB3" w14:textId="02631ECD" w:rsidR="00450C8B" w:rsidRPr="00577D96" w:rsidRDefault="00450C8B" w:rsidP="00450C8B">
      <w:pPr>
        <w:spacing w:after="120"/>
        <w:ind w:left="720"/>
        <w:jc w:val="both"/>
        <w:rPr>
          <w:rFonts w:asciiTheme="majorBidi" w:hAnsiTheme="majorBidi" w:cstheme="majorBidi"/>
          <w:sz w:val="24"/>
          <w:szCs w:val="24"/>
        </w:rPr>
      </w:pPr>
    </w:p>
    <w:p w14:paraId="2FA153AC" w14:textId="4A140810" w:rsidR="00450C8B" w:rsidRPr="00577D96" w:rsidRDefault="00450C8B" w:rsidP="00450C8B">
      <w:pPr>
        <w:spacing w:after="120"/>
        <w:ind w:left="720"/>
        <w:jc w:val="both"/>
        <w:rPr>
          <w:rFonts w:asciiTheme="majorBidi" w:hAnsiTheme="majorBidi" w:cstheme="majorBidi"/>
          <w:sz w:val="24"/>
          <w:szCs w:val="24"/>
        </w:rPr>
      </w:pPr>
      <w:r w:rsidRPr="00577D96">
        <w:rPr>
          <w:rFonts w:asciiTheme="majorBidi" w:hAnsiTheme="majorBidi" w:cstheme="majorBidi"/>
          <w:b/>
          <w:bCs/>
          <w:sz w:val="24"/>
          <w:szCs w:val="24"/>
        </w:rPr>
        <w:t>Acknowledgements</w:t>
      </w:r>
      <w:r w:rsidRPr="00577D96">
        <w:rPr>
          <w:rFonts w:asciiTheme="majorBidi" w:hAnsiTheme="majorBidi" w:cstheme="majorBidi"/>
          <w:b/>
          <w:bCs/>
          <w:sz w:val="24"/>
          <w:szCs w:val="24"/>
        </w:rPr>
        <w:t xml:space="preserve">: </w:t>
      </w:r>
      <w:r w:rsidRPr="00577D96">
        <w:rPr>
          <w:rFonts w:asciiTheme="majorBidi" w:hAnsiTheme="majorBidi" w:cstheme="majorBidi"/>
          <w:sz w:val="24"/>
          <w:szCs w:val="24"/>
        </w:rPr>
        <w:t xml:space="preserve">The authors acknowledge the use of </w:t>
      </w:r>
      <w:proofErr w:type="spellStart"/>
      <w:r w:rsidRPr="00577D96">
        <w:rPr>
          <w:rFonts w:asciiTheme="majorBidi" w:hAnsiTheme="majorBidi" w:cstheme="majorBidi"/>
          <w:sz w:val="24"/>
          <w:szCs w:val="24"/>
        </w:rPr>
        <w:t>OpenAI's</w:t>
      </w:r>
      <w:proofErr w:type="spellEnd"/>
      <w:r w:rsidRPr="00577D96">
        <w:rPr>
          <w:rFonts w:asciiTheme="majorBidi" w:hAnsiTheme="majorBidi" w:cstheme="majorBidi"/>
          <w:sz w:val="24"/>
          <w:szCs w:val="24"/>
        </w:rPr>
        <w:t xml:space="preserve"> </w:t>
      </w:r>
      <w:proofErr w:type="spellStart"/>
      <w:r w:rsidRPr="00577D96">
        <w:rPr>
          <w:rFonts w:asciiTheme="majorBidi" w:hAnsiTheme="majorBidi" w:cstheme="majorBidi"/>
          <w:sz w:val="24"/>
          <w:szCs w:val="24"/>
        </w:rPr>
        <w:t>ChatGPT</w:t>
      </w:r>
      <w:proofErr w:type="spellEnd"/>
      <w:r w:rsidRPr="00577D96">
        <w:rPr>
          <w:rFonts w:asciiTheme="majorBidi" w:hAnsiTheme="majorBidi" w:cstheme="majorBidi"/>
          <w:sz w:val="24"/>
          <w:szCs w:val="24"/>
        </w:rPr>
        <w:t xml:space="preserve"> to assist with language editing, grammatical corrections, formatting, and improvement of manuscript readability. The authors reviewed, verified, and take full responsibility for all content, interpretations, analyses, and conclusions presented in this manuscript.</w:t>
      </w:r>
    </w:p>
    <w:p w14:paraId="651FC36B" w14:textId="0E98C960" w:rsidR="00450C8B" w:rsidRPr="00577D96" w:rsidRDefault="00450C8B" w:rsidP="00450C8B"/>
    <w:p w14:paraId="4DE9BE14" w14:textId="77777777" w:rsidR="00450C8B" w:rsidRPr="00577D96" w:rsidRDefault="00450C8B" w:rsidP="00450C8B">
      <w:pPr>
        <w:pStyle w:val="NormalWeb"/>
        <w:rPr>
          <w:b/>
          <w:bCs/>
        </w:rPr>
      </w:pPr>
      <w:r w:rsidRPr="00577D96">
        <w:tab/>
      </w:r>
      <w:r w:rsidRPr="00577D96">
        <w:rPr>
          <w:b/>
          <w:bCs/>
        </w:rPr>
        <w:t>References</w:t>
      </w:r>
    </w:p>
    <w:p w14:paraId="1B2DF2AA" w14:textId="76CF42AF"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r w:rsidRPr="00577D96">
        <w:rPr>
          <w:rFonts w:cs="Times New Roman"/>
          <w:sz w:val="24"/>
          <w:szCs w:val="24"/>
        </w:rPr>
        <w:t>Al-</w:t>
      </w:r>
      <w:proofErr w:type="spellStart"/>
      <w:r w:rsidRPr="00577D96">
        <w:rPr>
          <w:rFonts w:cs="Times New Roman"/>
          <w:sz w:val="24"/>
          <w:szCs w:val="24"/>
        </w:rPr>
        <w:t>Haddabi</w:t>
      </w:r>
      <w:proofErr w:type="spellEnd"/>
      <w:r w:rsidRPr="00577D96">
        <w:rPr>
          <w:rFonts w:cs="Times New Roman"/>
          <w:sz w:val="24"/>
          <w:szCs w:val="24"/>
        </w:rPr>
        <w:t>, R., Al-Bash, M., Al-</w:t>
      </w:r>
      <w:proofErr w:type="spellStart"/>
      <w:r w:rsidRPr="00577D96">
        <w:rPr>
          <w:rFonts w:cs="Times New Roman"/>
          <w:sz w:val="24"/>
          <w:szCs w:val="24"/>
        </w:rPr>
        <w:t>Mabaihsi</w:t>
      </w:r>
      <w:proofErr w:type="spellEnd"/>
      <w:r w:rsidRPr="00577D96">
        <w:rPr>
          <w:rFonts w:cs="Times New Roman"/>
          <w:sz w:val="24"/>
          <w:szCs w:val="24"/>
        </w:rPr>
        <w:t>, N., Al-</w:t>
      </w:r>
      <w:proofErr w:type="spellStart"/>
      <w:r w:rsidRPr="00577D96">
        <w:rPr>
          <w:rFonts w:cs="Times New Roman"/>
          <w:sz w:val="24"/>
          <w:szCs w:val="24"/>
        </w:rPr>
        <w:t>Maqbali</w:t>
      </w:r>
      <w:proofErr w:type="spellEnd"/>
      <w:r w:rsidRPr="00577D96">
        <w:rPr>
          <w:rFonts w:cs="Times New Roman"/>
          <w:sz w:val="24"/>
          <w:szCs w:val="24"/>
        </w:rPr>
        <w:t>, N., Al-</w:t>
      </w:r>
      <w:proofErr w:type="spellStart"/>
      <w:r w:rsidRPr="00577D96">
        <w:rPr>
          <w:rFonts w:cs="Times New Roman"/>
          <w:sz w:val="24"/>
          <w:szCs w:val="24"/>
        </w:rPr>
        <w:t>Dhughaishi</w:t>
      </w:r>
      <w:proofErr w:type="spellEnd"/>
      <w:r w:rsidRPr="00577D96">
        <w:rPr>
          <w:rFonts w:cs="Times New Roman"/>
          <w:sz w:val="24"/>
          <w:szCs w:val="24"/>
        </w:rPr>
        <w:t>, T., &amp; Abu-</w:t>
      </w:r>
      <w:proofErr w:type="spellStart"/>
      <w:r w:rsidRPr="00577D96">
        <w:rPr>
          <w:rFonts w:cs="Times New Roman"/>
          <w:sz w:val="24"/>
          <w:szCs w:val="24"/>
        </w:rPr>
        <w:t>Heija</w:t>
      </w:r>
      <w:proofErr w:type="spellEnd"/>
      <w:r w:rsidRPr="00577D96">
        <w:rPr>
          <w:rFonts w:cs="Times New Roman"/>
          <w:sz w:val="24"/>
          <w:szCs w:val="24"/>
        </w:rPr>
        <w:t xml:space="preserve">, A. (2014). Obstetric and perinatal outcomes of teenage pregnant women attending a tertiary teaching hospital in Oman. </w:t>
      </w:r>
      <w:r w:rsidRPr="00577D96">
        <w:rPr>
          <w:rFonts w:cs="Times New Roman"/>
          <w:i/>
          <w:iCs/>
          <w:sz w:val="24"/>
          <w:szCs w:val="24"/>
        </w:rPr>
        <w:t>Oman Medical Journal, 29</w:t>
      </w:r>
      <w:r w:rsidRPr="00577D96">
        <w:rPr>
          <w:rFonts w:cs="Times New Roman"/>
          <w:sz w:val="24"/>
          <w:szCs w:val="24"/>
        </w:rPr>
        <w:t xml:space="preserve">(6), 399–403. </w:t>
      </w:r>
      <w:hyperlink r:id="rId8" w:history="1">
        <w:r w:rsidRPr="00577D96">
          <w:rPr>
            <w:rFonts w:cs="Times New Roman"/>
            <w:sz w:val="24"/>
            <w:szCs w:val="24"/>
            <w:u w:val="single"/>
          </w:rPr>
          <w:t>https://doi.org/10.5001/omj.2014.108</w:t>
        </w:r>
      </w:hyperlink>
    </w:p>
    <w:p w14:paraId="4CC31EBA" w14:textId="0D085C9F"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r w:rsidRPr="00577D96">
        <w:rPr>
          <w:rFonts w:cs="Times New Roman"/>
          <w:sz w:val="24"/>
          <w:szCs w:val="24"/>
        </w:rPr>
        <w:t xml:space="preserve">Bradley, E., et al. (2025). </w:t>
      </w:r>
      <w:r w:rsidRPr="00577D96">
        <w:rPr>
          <w:rFonts w:cs="Times New Roman"/>
          <w:i/>
          <w:iCs/>
          <w:sz w:val="24"/>
          <w:szCs w:val="24"/>
        </w:rPr>
        <w:t>Born too soon: Global epidemiology of preterm birth</w:t>
      </w:r>
      <w:r w:rsidRPr="00577D96">
        <w:rPr>
          <w:rFonts w:cs="Times New Roman"/>
          <w:sz w:val="24"/>
          <w:szCs w:val="24"/>
        </w:rPr>
        <w:t>.</w:t>
      </w:r>
    </w:p>
    <w:p w14:paraId="747E9D89" w14:textId="5452C64A"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r w:rsidRPr="00577D96">
        <w:rPr>
          <w:rFonts w:cs="Times New Roman"/>
          <w:sz w:val="24"/>
          <w:szCs w:val="24"/>
        </w:rPr>
        <w:t xml:space="preserve">Chen, X. K., Wen, S. W., Fleming, N., </w:t>
      </w:r>
      <w:proofErr w:type="spellStart"/>
      <w:r w:rsidRPr="00577D96">
        <w:rPr>
          <w:rFonts w:cs="Times New Roman"/>
          <w:sz w:val="24"/>
          <w:szCs w:val="24"/>
        </w:rPr>
        <w:t>Demissie</w:t>
      </w:r>
      <w:proofErr w:type="spellEnd"/>
      <w:r w:rsidRPr="00577D96">
        <w:rPr>
          <w:rFonts w:cs="Times New Roman"/>
          <w:sz w:val="24"/>
          <w:szCs w:val="24"/>
        </w:rPr>
        <w:t xml:space="preserve">, K., Rhoads, G. G., &amp; Walker, M. (2007). Teenage pregnancy and adverse birth outcomes: A large population-based retrospective cohort study. </w:t>
      </w:r>
      <w:r w:rsidRPr="00577D96">
        <w:rPr>
          <w:rFonts w:cs="Times New Roman"/>
          <w:i/>
          <w:iCs/>
          <w:sz w:val="24"/>
          <w:szCs w:val="24"/>
        </w:rPr>
        <w:t>International Journal of Epidemiology, 36</w:t>
      </w:r>
      <w:r w:rsidRPr="00577D96">
        <w:rPr>
          <w:rFonts w:cs="Times New Roman"/>
          <w:sz w:val="24"/>
          <w:szCs w:val="24"/>
        </w:rPr>
        <w:t xml:space="preserve">(2), 368–373. </w:t>
      </w:r>
      <w:hyperlink r:id="rId9" w:history="1">
        <w:r w:rsidRPr="00577D96">
          <w:rPr>
            <w:rStyle w:val="Hyperlink"/>
            <w:rFonts w:cs="Times New Roman"/>
            <w:color w:val="auto"/>
            <w:sz w:val="24"/>
            <w:szCs w:val="24"/>
          </w:rPr>
          <w:t>https://doi.org/10.1093/ije/dyl284</w:t>
        </w:r>
      </w:hyperlink>
    </w:p>
    <w:p w14:paraId="386E740D" w14:textId="193D993E"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proofErr w:type="spellStart"/>
      <w:r w:rsidRPr="00577D96">
        <w:rPr>
          <w:rFonts w:cs="Times New Roman"/>
          <w:sz w:val="24"/>
          <w:szCs w:val="24"/>
        </w:rPr>
        <w:t>Diabelkova</w:t>
      </w:r>
      <w:proofErr w:type="spellEnd"/>
      <w:r w:rsidRPr="00577D96">
        <w:rPr>
          <w:rFonts w:cs="Times New Roman"/>
          <w:sz w:val="24"/>
          <w:szCs w:val="24"/>
        </w:rPr>
        <w:t xml:space="preserve">, J., et al. (2023). Adolescent pregnancy outcomes and risk factors. </w:t>
      </w:r>
      <w:r w:rsidRPr="00577D96">
        <w:rPr>
          <w:rFonts w:cs="Times New Roman"/>
          <w:i/>
          <w:iCs/>
          <w:sz w:val="24"/>
          <w:szCs w:val="24"/>
        </w:rPr>
        <w:t>International Journal of Environmental Research and Public Health</w:t>
      </w:r>
      <w:r w:rsidRPr="00577D96">
        <w:rPr>
          <w:rFonts w:cs="Times New Roman"/>
          <w:sz w:val="24"/>
          <w:szCs w:val="24"/>
        </w:rPr>
        <w:t>.</w:t>
      </w:r>
    </w:p>
    <w:p w14:paraId="0066E421" w14:textId="31B3831C"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r w:rsidRPr="00577D96">
        <w:rPr>
          <w:rFonts w:cs="Times New Roman"/>
          <w:sz w:val="24"/>
          <w:szCs w:val="24"/>
        </w:rPr>
        <w:t xml:space="preserve">Fraser, A. M., Brockert, J. E., &amp; Ward, R. H. (1995). Association of young maternal age with adverse reproductive outcomes. </w:t>
      </w:r>
      <w:r w:rsidRPr="00577D96">
        <w:rPr>
          <w:rFonts w:cs="Times New Roman"/>
          <w:i/>
          <w:iCs/>
          <w:sz w:val="24"/>
          <w:szCs w:val="24"/>
        </w:rPr>
        <w:t>New England Journal of Medicine, 332</w:t>
      </w:r>
      <w:r w:rsidRPr="00577D96">
        <w:rPr>
          <w:rFonts w:cs="Times New Roman"/>
          <w:sz w:val="24"/>
          <w:szCs w:val="24"/>
        </w:rPr>
        <w:t>(17), 1113–1117.</w:t>
      </w:r>
    </w:p>
    <w:p w14:paraId="064A6B75" w14:textId="7B4829DE"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r w:rsidRPr="00577D96">
        <w:rPr>
          <w:rFonts w:cs="Times New Roman"/>
          <w:sz w:val="24"/>
          <w:szCs w:val="24"/>
        </w:rPr>
        <w:t xml:space="preserve">Liang, X., et al. (2024). Global, regional, and national burden of preterm birth. </w:t>
      </w:r>
      <w:proofErr w:type="spellStart"/>
      <w:r w:rsidRPr="00577D96">
        <w:rPr>
          <w:rFonts w:cs="Times New Roman"/>
          <w:i/>
          <w:iCs/>
          <w:sz w:val="24"/>
          <w:szCs w:val="24"/>
        </w:rPr>
        <w:t>EClinicalMedicine</w:t>
      </w:r>
      <w:proofErr w:type="spellEnd"/>
      <w:r w:rsidRPr="00577D96">
        <w:rPr>
          <w:rFonts w:cs="Times New Roman"/>
          <w:sz w:val="24"/>
          <w:szCs w:val="24"/>
        </w:rPr>
        <w:t>.</w:t>
      </w:r>
    </w:p>
    <w:p w14:paraId="70091416" w14:textId="3EF79B40"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proofErr w:type="spellStart"/>
      <w:r w:rsidRPr="00577D96">
        <w:rPr>
          <w:rFonts w:cs="Times New Roman"/>
          <w:sz w:val="24"/>
          <w:szCs w:val="24"/>
        </w:rPr>
        <w:t>Malabarey</w:t>
      </w:r>
      <w:proofErr w:type="spellEnd"/>
      <w:r w:rsidRPr="00577D96">
        <w:rPr>
          <w:rFonts w:cs="Times New Roman"/>
          <w:sz w:val="24"/>
          <w:szCs w:val="24"/>
        </w:rPr>
        <w:t xml:space="preserve">, O. T., </w:t>
      </w:r>
      <w:proofErr w:type="spellStart"/>
      <w:r w:rsidRPr="00577D96">
        <w:rPr>
          <w:rFonts w:cs="Times New Roman"/>
          <w:sz w:val="24"/>
          <w:szCs w:val="24"/>
        </w:rPr>
        <w:t>Balayla</w:t>
      </w:r>
      <w:proofErr w:type="spellEnd"/>
      <w:r w:rsidRPr="00577D96">
        <w:rPr>
          <w:rFonts w:cs="Times New Roman"/>
          <w:sz w:val="24"/>
          <w:szCs w:val="24"/>
        </w:rPr>
        <w:t xml:space="preserve">, J., </w:t>
      </w:r>
      <w:proofErr w:type="spellStart"/>
      <w:r w:rsidRPr="00577D96">
        <w:rPr>
          <w:rFonts w:cs="Times New Roman"/>
          <w:sz w:val="24"/>
          <w:szCs w:val="24"/>
        </w:rPr>
        <w:t>Klam</w:t>
      </w:r>
      <w:proofErr w:type="spellEnd"/>
      <w:r w:rsidRPr="00577D96">
        <w:rPr>
          <w:rFonts w:cs="Times New Roman"/>
          <w:sz w:val="24"/>
          <w:szCs w:val="24"/>
        </w:rPr>
        <w:t xml:space="preserve">, S. L., </w:t>
      </w:r>
      <w:proofErr w:type="spellStart"/>
      <w:r w:rsidRPr="00577D96">
        <w:rPr>
          <w:rFonts w:cs="Times New Roman"/>
          <w:sz w:val="24"/>
          <w:szCs w:val="24"/>
        </w:rPr>
        <w:t>Shrim</w:t>
      </w:r>
      <w:proofErr w:type="spellEnd"/>
      <w:r w:rsidRPr="00577D96">
        <w:rPr>
          <w:rFonts w:cs="Times New Roman"/>
          <w:sz w:val="24"/>
          <w:szCs w:val="24"/>
        </w:rPr>
        <w:t xml:space="preserve">, A., &amp; </w:t>
      </w:r>
      <w:proofErr w:type="spellStart"/>
      <w:r w:rsidRPr="00577D96">
        <w:rPr>
          <w:rFonts w:cs="Times New Roman"/>
          <w:sz w:val="24"/>
          <w:szCs w:val="24"/>
        </w:rPr>
        <w:t>Abenhaim</w:t>
      </w:r>
      <w:proofErr w:type="spellEnd"/>
      <w:r w:rsidRPr="00577D96">
        <w:rPr>
          <w:rFonts w:cs="Times New Roman"/>
          <w:sz w:val="24"/>
          <w:szCs w:val="24"/>
        </w:rPr>
        <w:t xml:space="preserve">, H. A. (2012). Pregnancies in young adolescent mothers: A population-based study on 37 million births. </w:t>
      </w:r>
      <w:r w:rsidRPr="00577D96">
        <w:rPr>
          <w:rFonts w:cs="Times New Roman"/>
          <w:i/>
          <w:iCs/>
          <w:sz w:val="24"/>
          <w:szCs w:val="24"/>
        </w:rPr>
        <w:t>Journal of Pediatric and Adolescent Gynecology</w:t>
      </w:r>
      <w:r w:rsidRPr="00577D96">
        <w:rPr>
          <w:rFonts w:cs="Times New Roman"/>
          <w:sz w:val="24"/>
          <w:szCs w:val="24"/>
        </w:rPr>
        <w:t>.</w:t>
      </w:r>
    </w:p>
    <w:p w14:paraId="27547B21" w14:textId="2FA52AA9"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r w:rsidRPr="00577D96">
        <w:rPr>
          <w:rFonts w:cs="Times New Roman"/>
          <w:sz w:val="24"/>
          <w:szCs w:val="24"/>
        </w:rPr>
        <w:t xml:space="preserve">Martin, J. A., Hamilton, B. E., Osterman, M. J. K., Driscoll, A. K., &amp; Mathews, T. J. (2017). </w:t>
      </w:r>
      <w:r w:rsidRPr="00577D96">
        <w:rPr>
          <w:rFonts w:cs="Times New Roman"/>
          <w:i/>
          <w:iCs/>
          <w:sz w:val="24"/>
          <w:szCs w:val="24"/>
        </w:rPr>
        <w:t>Births: Final data for 2015</w:t>
      </w:r>
      <w:r w:rsidRPr="00577D96">
        <w:rPr>
          <w:rFonts w:cs="Times New Roman"/>
          <w:sz w:val="24"/>
          <w:szCs w:val="24"/>
        </w:rPr>
        <w:t xml:space="preserve">. </w:t>
      </w:r>
      <w:r w:rsidRPr="00577D96">
        <w:rPr>
          <w:rFonts w:cs="Times New Roman"/>
          <w:i/>
          <w:iCs/>
          <w:sz w:val="24"/>
          <w:szCs w:val="24"/>
        </w:rPr>
        <w:t>National Vital Statistics Reports</w:t>
      </w:r>
      <w:r w:rsidRPr="00577D96">
        <w:rPr>
          <w:rFonts w:cs="Times New Roman"/>
          <w:sz w:val="24"/>
          <w:szCs w:val="24"/>
        </w:rPr>
        <w:t>.</w:t>
      </w:r>
    </w:p>
    <w:p w14:paraId="6F045A4E" w14:textId="450B52C8"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r w:rsidRPr="00577D96">
        <w:rPr>
          <w:rFonts w:cs="Times New Roman"/>
          <w:sz w:val="24"/>
          <w:szCs w:val="24"/>
        </w:rPr>
        <w:t xml:space="preserve">Olausson, P. O., </w:t>
      </w:r>
      <w:proofErr w:type="spellStart"/>
      <w:r w:rsidRPr="00577D96">
        <w:rPr>
          <w:rFonts w:cs="Times New Roman"/>
          <w:sz w:val="24"/>
          <w:szCs w:val="24"/>
        </w:rPr>
        <w:t>Cnattingius</w:t>
      </w:r>
      <w:proofErr w:type="spellEnd"/>
      <w:r w:rsidRPr="00577D96">
        <w:rPr>
          <w:rFonts w:cs="Times New Roman"/>
          <w:sz w:val="24"/>
          <w:szCs w:val="24"/>
        </w:rPr>
        <w:t xml:space="preserve">, S., &amp; Goldenberg, R. L. (1997). Determinants of poor pregnancy outcomes among teenagers in Sweden. </w:t>
      </w:r>
      <w:r w:rsidRPr="00577D96">
        <w:rPr>
          <w:rFonts w:cs="Times New Roman"/>
          <w:i/>
          <w:iCs/>
          <w:sz w:val="24"/>
          <w:szCs w:val="24"/>
        </w:rPr>
        <w:t>Obstetrics &amp; Gynecology</w:t>
      </w:r>
      <w:r w:rsidRPr="00577D96">
        <w:rPr>
          <w:rFonts w:cs="Times New Roman"/>
          <w:sz w:val="24"/>
          <w:szCs w:val="24"/>
        </w:rPr>
        <w:t>.</w:t>
      </w:r>
    </w:p>
    <w:p w14:paraId="150960D1" w14:textId="118066B4"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r w:rsidRPr="00577D96">
        <w:rPr>
          <w:rFonts w:cs="Times New Roman"/>
          <w:sz w:val="24"/>
          <w:szCs w:val="24"/>
        </w:rPr>
        <w:t xml:space="preserve">Rahman, A. L., Razmy, A. M., &amp; </w:t>
      </w:r>
      <w:proofErr w:type="spellStart"/>
      <w:r w:rsidRPr="00577D96">
        <w:rPr>
          <w:rFonts w:cs="Times New Roman"/>
          <w:sz w:val="24"/>
          <w:szCs w:val="24"/>
        </w:rPr>
        <w:t>Rizath</w:t>
      </w:r>
      <w:proofErr w:type="spellEnd"/>
      <w:r w:rsidRPr="00577D96">
        <w:rPr>
          <w:rFonts w:cs="Times New Roman"/>
          <w:sz w:val="24"/>
          <w:szCs w:val="24"/>
        </w:rPr>
        <w:t xml:space="preserve">, M. M. (2017). Obstetric and perinatal outcomes of teenage pregnancies: A cross-sectional study. </w:t>
      </w:r>
      <w:proofErr w:type="spellStart"/>
      <w:r w:rsidRPr="00577D96">
        <w:rPr>
          <w:rFonts w:cs="Times New Roman"/>
          <w:i/>
          <w:iCs/>
          <w:sz w:val="24"/>
          <w:szCs w:val="24"/>
        </w:rPr>
        <w:t>OALib</w:t>
      </w:r>
      <w:proofErr w:type="spellEnd"/>
      <w:r w:rsidRPr="00577D96">
        <w:rPr>
          <w:rFonts w:cs="Times New Roman"/>
          <w:i/>
          <w:iCs/>
          <w:sz w:val="24"/>
          <w:szCs w:val="24"/>
        </w:rPr>
        <w:t xml:space="preserve"> Journal, 4</w:t>
      </w:r>
      <w:r w:rsidRPr="00577D96">
        <w:rPr>
          <w:rFonts w:cs="Times New Roman"/>
          <w:sz w:val="24"/>
          <w:szCs w:val="24"/>
        </w:rPr>
        <w:t xml:space="preserve">(9), 1–9. </w:t>
      </w:r>
      <w:hyperlink r:id="rId10" w:history="1">
        <w:r w:rsidRPr="00577D96">
          <w:rPr>
            <w:rFonts w:cs="Times New Roman"/>
            <w:sz w:val="24"/>
            <w:szCs w:val="24"/>
            <w:u w:val="single"/>
          </w:rPr>
          <w:t>https://doi.org/10.4236/oalib.1103839</w:t>
        </w:r>
      </w:hyperlink>
    </w:p>
    <w:p w14:paraId="23D3FCC8" w14:textId="5C42A80E"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proofErr w:type="spellStart"/>
      <w:r w:rsidRPr="00577D96">
        <w:rPr>
          <w:rFonts w:cs="Times New Roman"/>
          <w:sz w:val="24"/>
          <w:szCs w:val="24"/>
        </w:rPr>
        <w:t>Traisrisilp</w:t>
      </w:r>
      <w:proofErr w:type="spellEnd"/>
      <w:r w:rsidRPr="00577D96">
        <w:rPr>
          <w:rFonts w:cs="Times New Roman"/>
          <w:sz w:val="24"/>
          <w:szCs w:val="24"/>
        </w:rPr>
        <w:t xml:space="preserve">, K., </w:t>
      </w:r>
      <w:proofErr w:type="spellStart"/>
      <w:r w:rsidRPr="00577D96">
        <w:rPr>
          <w:rFonts w:cs="Times New Roman"/>
          <w:sz w:val="24"/>
          <w:szCs w:val="24"/>
        </w:rPr>
        <w:t>Jaiprom</w:t>
      </w:r>
      <w:proofErr w:type="spellEnd"/>
      <w:r w:rsidRPr="00577D96">
        <w:rPr>
          <w:rFonts w:cs="Times New Roman"/>
          <w:sz w:val="24"/>
          <w:szCs w:val="24"/>
        </w:rPr>
        <w:t xml:space="preserve">, J., </w:t>
      </w:r>
      <w:proofErr w:type="spellStart"/>
      <w:r w:rsidRPr="00577D96">
        <w:rPr>
          <w:rFonts w:cs="Times New Roman"/>
          <w:sz w:val="24"/>
          <w:szCs w:val="24"/>
        </w:rPr>
        <w:t>Luewan</w:t>
      </w:r>
      <w:proofErr w:type="spellEnd"/>
      <w:r w:rsidRPr="00577D96">
        <w:rPr>
          <w:rFonts w:cs="Times New Roman"/>
          <w:sz w:val="24"/>
          <w:szCs w:val="24"/>
        </w:rPr>
        <w:t xml:space="preserve">, S., &amp; </w:t>
      </w:r>
      <w:proofErr w:type="spellStart"/>
      <w:r w:rsidRPr="00577D96">
        <w:rPr>
          <w:rFonts w:cs="Times New Roman"/>
          <w:sz w:val="24"/>
          <w:szCs w:val="24"/>
        </w:rPr>
        <w:t>Tongsong</w:t>
      </w:r>
      <w:proofErr w:type="spellEnd"/>
      <w:r w:rsidRPr="00577D96">
        <w:rPr>
          <w:rFonts w:cs="Times New Roman"/>
          <w:sz w:val="24"/>
          <w:szCs w:val="24"/>
        </w:rPr>
        <w:t xml:space="preserve">, T. (2015). Pregnancy outcomes among mothers aged 15 years or less. </w:t>
      </w:r>
      <w:r w:rsidRPr="00577D96">
        <w:rPr>
          <w:rFonts w:cs="Times New Roman"/>
          <w:i/>
          <w:iCs/>
          <w:sz w:val="24"/>
          <w:szCs w:val="24"/>
        </w:rPr>
        <w:t xml:space="preserve">Journal of Obstetrics and </w:t>
      </w:r>
      <w:proofErr w:type="spellStart"/>
      <w:r w:rsidRPr="00577D96">
        <w:rPr>
          <w:rFonts w:cs="Times New Roman"/>
          <w:i/>
          <w:iCs/>
          <w:sz w:val="24"/>
          <w:szCs w:val="24"/>
        </w:rPr>
        <w:t>Gynaecology</w:t>
      </w:r>
      <w:proofErr w:type="spellEnd"/>
      <w:r w:rsidRPr="00577D96">
        <w:rPr>
          <w:rFonts w:cs="Times New Roman"/>
          <w:i/>
          <w:iCs/>
          <w:sz w:val="24"/>
          <w:szCs w:val="24"/>
        </w:rPr>
        <w:t xml:space="preserve"> Research</w:t>
      </w:r>
      <w:r w:rsidRPr="00577D96">
        <w:rPr>
          <w:rFonts w:cs="Times New Roman"/>
          <w:sz w:val="24"/>
          <w:szCs w:val="24"/>
        </w:rPr>
        <w:t>.</w:t>
      </w:r>
    </w:p>
    <w:p w14:paraId="169549BE" w14:textId="351F4542"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r w:rsidRPr="00577D96">
        <w:rPr>
          <w:rFonts w:cs="Times New Roman"/>
          <w:sz w:val="24"/>
          <w:szCs w:val="24"/>
        </w:rPr>
        <w:t xml:space="preserve">UNICEF. (2023). </w:t>
      </w:r>
      <w:r w:rsidRPr="00577D96">
        <w:rPr>
          <w:rFonts w:cs="Times New Roman"/>
          <w:i/>
          <w:iCs/>
          <w:sz w:val="24"/>
          <w:szCs w:val="24"/>
        </w:rPr>
        <w:t>Low birthweight</w:t>
      </w:r>
      <w:r w:rsidRPr="00577D96">
        <w:rPr>
          <w:rFonts w:cs="Times New Roman"/>
          <w:sz w:val="24"/>
          <w:szCs w:val="24"/>
        </w:rPr>
        <w:t xml:space="preserve">. UNICEF Data. </w:t>
      </w:r>
      <w:hyperlink r:id="rId11" w:history="1">
        <w:r w:rsidRPr="00577D96">
          <w:rPr>
            <w:rFonts w:cs="Times New Roman"/>
            <w:sz w:val="24"/>
            <w:szCs w:val="24"/>
            <w:u w:val="single"/>
          </w:rPr>
          <w:t>https://data.unicef.org/topic/nutrition/low-birthweight/</w:t>
        </w:r>
      </w:hyperlink>
    </w:p>
    <w:p w14:paraId="1A3C86C2" w14:textId="77777777"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r w:rsidRPr="00577D96">
        <w:rPr>
          <w:rFonts w:cs="Times New Roman"/>
          <w:sz w:val="24"/>
          <w:szCs w:val="24"/>
        </w:rPr>
        <w:t xml:space="preserve">World Health Organization. (2023). </w:t>
      </w:r>
      <w:r w:rsidRPr="00577D96">
        <w:rPr>
          <w:rFonts w:cs="Times New Roman"/>
          <w:i/>
          <w:iCs/>
          <w:sz w:val="24"/>
          <w:szCs w:val="24"/>
        </w:rPr>
        <w:t>Preterm birth</w:t>
      </w:r>
      <w:r w:rsidRPr="00577D96">
        <w:rPr>
          <w:rFonts w:cs="Times New Roman"/>
          <w:sz w:val="24"/>
          <w:szCs w:val="24"/>
        </w:rPr>
        <w:t xml:space="preserve">. WHO Fact Sheet. </w:t>
      </w:r>
      <w:hyperlink r:id="rId12" w:history="1">
        <w:r w:rsidRPr="00577D96">
          <w:rPr>
            <w:rFonts w:cs="Times New Roman"/>
            <w:sz w:val="24"/>
            <w:szCs w:val="24"/>
            <w:u w:val="single"/>
          </w:rPr>
          <w:t>https://www.who.int/news-room/fact-sheets/detail/preterm-birth</w:t>
        </w:r>
      </w:hyperlink>
    </w:p>
    <w:p w14:paraId="016FEDE1" w14:textId="7D720526" w:rsidR="00450C8B" w:rsidRPr="00577D96" w:rsidRDefault="00450C8B" w:rsidP="00577D96">
      <w:pPr>
        <w:pStyle w:val="ListParagraph"/>
        <w:numPr>
          <w:ilvl w:val="0"/>
          <w:numId w:val="12"/>
        </w:numPr>
        <w:spacing w:before="100" w:beforeAutospacing="1" w:after="100" w:afterAutospacing="1" w:line="240" w:lineRule="auto"/>
        <w:jc w:val="both"/>
        <w:rPr>
          <w:rFonts w:cs="Times New Roman"/>
          <w:sz w:val="24"/>
          <w:szCs w:val="24"/>
        </w:rPr>
      </w:pPr>
      <w:r w:rsidRPr="00577D96">
        <w:rPr>
          <w:rFonts w:cs="Times New Roman"/>
          <w:sz w:val="24"/>
          <w:szCs w:val="24"/>
        </w:rPr>
        <w:t xml:space="preserve">World Health Organization. (2024). </w:t>
      </w:r>
      <w:r w:rsidRPr="00577D96">
        <w:rPr>
          <w:rFonts w:cs="Times New Roman"/>
          <w:i/>
          <w:iCs/>
          <w:sz w:val="24"/>
          <w:szCs w:val="24"/>
        </w:rPr>
        <w:t>Adolescent pregnancy</w:t>
      </w:r>
      <w:r w:rsidRPr="00577D96">
        <w:rPr>
          <w:rFonts w:cs="Times New Roman"/>
          <w:sz w:val="24"/>
          <w:szCs w:val="24"/>
        </w:rPr>
        <w:t xml:space="preserve">. WHO Fact Sheet. </w:t>
      </w:r>
      <w:hyperlink r:id="rId13" w:history="1">
        <w:r w:rsidRPr="00577D96">
          <w:rPr>
            <w:rFonts w:cs="Times New Roman"/>
            <w:sz w:val="24"/>
            <w:szCs w:val="24"/>
            <w:u w:val="single"/>
          </w:rPr>
          <w:t>https://www.who.int/news-room/fact-sheets/detail/adolescent-pregnancy</w:t>
        </w:r>
      </w:hyperlink>
    </w:p>
    <w:p w14:paraId="167211C3" w14:textId="3E0583EA" w:rsidR="00450C8B" w:rsidRPr="00577D96" w:rsidRDefault="00450C8B" w:rsidP="00450C8B"/>
    <w:p w14:paraId="7431DE50" w14:textId="382A9F5F" w:rsidR="007401E5" w:rsidRPr="00577D96" w:rsidRDefault="007401E5" w:rsidP="004E1430">
      <w:pPr>
        <w:spacing w:after="60"/>
        <w:ind w:left="360" w:hanging="360"/>
        <w:jc w:val="both"/>
        <w:rPr>
          <w:rFonts w:asciiTheme="majorBidi" w:hAnsiTheme="majorBidi" w:cstheme="majorBidi"/>
          <w:sz w:val="24"/>
          <w:szCs w:val="24"/>
        </w:rPr>
      </w:pPr>
    </w:p>
    <w:p w14:paraId="5630C02C" w14:textId="27494ED3" w:rsidR="007401E5" w:rsidRPr="00577D96" w:rsidRDefault="007401E5" w:rsidP="004E1430">
      <w:pPr>
        <w:spacing w:after="60"/>
        <w:ind w:left="360" w:hanging="360"/>
        <w:jc w:val="both"/>
        <w:rPr>
          <w:rFonts w:asciiTheme="majorBidi" w:hAnsiTheme="majorBidi" w:cstheme="majorBidi"/>
          <w:sz w:val="24"/>
          <w:szCs w:val="24"/>
        </w:rPr>
      </w:pPr>
    </w:p>
    <w:sectPr w:rsidR="007401E5" w:rsidRPr="00577D96" w:rsidSect="000346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E3C0" w14:textId="77777777" w:rsidR="00C7549B" w:rsidRDefault="00C7549B">
      <w:pPr>
        <w:spacing w:after="0" w:line="240" w:lineRule="auto"/>
      </w:pPr>
      <w:r>
        <w:separator/>
      </w:r>
    </w:p>
  </w:endnote>
  <w:endnote w:type="continuationSeparator" w:id="0">
    <w:p w14:paraId="37B194ED" w14:textId="77777777" w:rsidR="00C7549B" w:rsidRDefault="00C75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47AA" w14:textId="77777777" w:rsidR="00C7549B" w:rsidRDefault="00C7549B">
      <w:pPr>
        <w:spacing w:after="0" w:line="240" w:lineRule="auto"/>
      </w:pPr>
      <w:r>
        <w:separator/>
      </w:r>
    </w:p>
  </w:footnote>
  <w:footnote w:type="continuationSeparator" w:id="0">
    <w:p w14:paraId="45FBE9D7" w14:textId="77777777" w:rsidR="00C7549B" w:rsidRDefault="00C75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F053BEC"/>
    <w:multiLevelType w:val="hybridMultilevel"/>
    <w:tmpl w:val="E6423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A4126"/>
    <w:multiLevelType w:val="multilevel"/>
    <w:tmpl w:val="096CEC7E"/>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620" w:hanging="72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11" w15:restartNumberingAfterBreak="0">
    <w:nsid w:val="5D804AC2"/>
    <w:multiLevelType w:val="hybridMultilevel"/>
    <w:tmpl w:val="2E0CC7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0C4C"/>
    <w:rsid w:val="0006458C"/>
    <w:rsid w:val="00064C1A"/>
    <w:rsid w:val="0015074B"/>
    <w:rsid w:val="0016428B"/>
    <w:rsid w:val="00272B95"/>
    <w:rsid w:val="0029639D"/>
    <w:rsid w:val="00326F90"/>
    <w:rsid w:val="0037224C"/>
    <w:rsid w:val="004252DC"/>
    <w:rsid w:val="00450C8B"/>
    <w:rsid w:val="004E1430"/>
    <w:rsid w:val="00577D96"/>
    <w:rsid w:val="005C6A53"/>
    <w:rsid w:val="006A5F62"/>
    <w:rsid w:val="007401E5"/>
    <w:rsid w:val="007428E7"/>
    <w:rsid w:val="007D6653"/>
    <w:rsid w:val="00AA1D8D"/>
    <w:rsid w:val="00B47730"/>
    <w:rsid w:val="00BA3B2E"/>
    <w:rsid w:val="00C7549B"/>
    <w:rsid w:val="00CA77B0"/>
    <w:rsid w:val="00CB0664"/>
    <w:rsid w:val="00CE2762"/>
    <w:rsid w:val="00FB2E70"/>
    <w:rsid w:val="00FC693F"/>
    <w:rsid w:val="00FE4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5A60C"/>
  <w14:defaultImageDpi w14:val="300"/>
  <w15:docId w15:val="{D9E6225D-005F-4407-9E56-F6D0805C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2">
    <w:name w:val="Plain Table 2"/>
    <w:basedOn w:val="TableNormal"/>
    <w:uiPriority w:val="99"/>
    <w:rsid w:val="00064C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sselectedend">
    <w:name w:val="isselectedend"/>
    <w:basedOn w:val="Normal"/>
    <w:rsid w:val="00BA3B2E"/>
    <w:pPr>
      <w:spacing w:before="100" w:beforeAutospacing="1" w:after="100" w:afterAutospacing="1" w:line="240" w:lineRule="auto"/>
    </w:pPr>
    <w:rPr>
      <w:rFonts w:cs="Times New Roman"/>
      <w:sz w:val="24"/>
      <w:szCs w:val="24"/>
    </w:rPr>
  </w:style>
  <w:style w:type="paragraph" w:styleId="NormalWeb">
    <w:name w:val="Normal (Web)"/>
    <w:basedOn w:val="Normal"/>
    <w:uiPriority w:val="99"/>
    <w:semiHidden/>
    <w:unhideWhenUsed/>
    <w:rsid w:val="00BA3B2E"/>
    <w:pPr>
      <w:spacing w:before="100" w:beforeAutospacing="1" w:after="100" w:afterAutospacing="1" w:line="240" w:lineRule="auto"/>
    </w:pPr>
    <w:rPr>
      <w:rFonts w:cs="Times New Roman"/>
      <w:sz w:val="24"/>
      <w:szCs w:val="24"/>
    </w:rPr>
  </w:style>
  <w:style w:type="character" w:styleId="Hyperlink">
    <w:name w:val="Hyperlink"/>
    <w:basedOn w:val="DefaultParagraphFont"/>
    <w:uiPriority w:val="99"/>
    <w:unhideWhenUsed/>
    <w:rsid w:val="00450C8B"/>
    <w:rPr>
      <w:color w:val="0000FF"/>
      <w:u w:val="single"/>
    </w:rPr>
  </w:style>
  <w:style w:type="character" w:styleId="UnresolvedMention">
    <w:name w:val="Unresolved Mention"/>
    <w:basedOn w:val="DefaultParagraphFont"/>
    <w:uiPriority w:val="99"/>
    <w:semiHidden/>
    <w:unhideWhenUsed/>
    <w:rsid w:val="00450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7637">
      <w:bodyDiv w:val="1"/>
      <w:marLeft w:val="0"/>
      <w:marRight w:val="0"/>
      <w:marTop w:val="0"/>
      <w:marBottom w:val="0"/>
      <w:divBdr>
        <w:top w:val="none" w:sz="0" w:space="0" w:color="auto"/>
        <w:left w:val="none" w:sz="0" w:space="0" w:color="auto"/>
        <w:bottom w:val="none" w:sz="0" w:space="0" w:color="auto"/>
        <w:right w:val="none" w:sz="0" w:space="0" w:color="auto"/>
      </w:divBdr>
    </w:div>
    <w:div w:id="323749745">
      <w:bodyDiv w:val="1"/>
      <w:marLeft w:val="0"/>
      <w:marRight w:val="0"/>
      <w:marTop w:val="0"/>
      <w:marBottom w:val="0"/>
      <w:divBdr>
        <w:top w:val="none" w:sz="0" w:space="0" w:color="auto"/>
        <w:left w:val="none" w:sz="0" w:space="0" w:color="auto"/>
        <w:bottom w:val="none" w:sz="0" w:space="0" w:color="auto"/>
        <w:right w:val="none" w:sz="0" w:space="0" w:color="auto"/>
      </w:divBdr>
    </w:div>
    <w:div w:id="340930336">
      <w:bodyDiv w:val="1"/>
      <w:marLeft w:val="0"/>
      <w:marRight w:val="0"/>
      <w:marTop w:val="0"/>
      <w:marBottom w:val="0"/>
      <w:divBdr>
        <w:top w:val="none" w:sz="0" w:space="0" w:color="auto"/>
        <w:left w:val="none" w:sz="0" w:space="0" w:color="auto"/>
        <w:bottom w:val="none" w:sz="0" w:space="0" w:color="auto"/>
        <w:right w:val="none" w:sz="0" w:space="0" w:color="auto"/>
      </w:divBdr>
    </w:div>
    <w:div w:id="388456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01/omj.2014.108" TargetMode="External"/><Relationship Id="rId13" Type="http://schemas.openxmlformats.org/officeDocument/2006/relationships/hyperlink" Target="https://www.who.int/news-room/fact-sheets/detail/adolescent-pregnan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room/fact-sheets/detail/preterm-bir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unicef.org/topic/nutrition/low-birthweigh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4236/oalib.1103839" TargetMode="External"/><Relationship Id="rId4" Type="http://schemas.openxmlformats.org/officeDocument/2006/relationships/settings" Target="settings.xml"/><Relationship Id="rId9" Type="http://schemas.openxmlformats.org/officeDocument/2006/relationships/hyperlink" Target="https://doi.org/10.1093/ije/dyl28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2996</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Mohamed Razmy</cp:lastModifiedBy>
  <cp:revision>4</cp:revision>
  <dcterms:created xsi:type="dcterms:W3CDTF">2026-06-04T09:53:00Z</dcterms:created>
  <dcterms:modified xsi:type="dcterms:W3CDTF">2026-06-04T09:54:00Z</dcterms:modified>
  <cp:category/>
</cp:coreProperties>
</file>