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jc w:val="center"/>
        <w:rPr>
          <w:b w:val="1"/>
          <w:bCs w:val="1"/>
          <w:sz w:val="36"/>
          <w:szCs w:val="36"/>
        </w:rPr>
      </w:pPr>
      <w:r w:rsidDel="00000000" w:rsidR="00000000" w:rsidRPr="00000000">
        <w:rPr>
          <w:b w:val="1"/>
          <w:bCs w:val="1"/>
          <w:sz w:val="36"/>
          <w:szCs w:val="36"/>
          <w:rtl w:val="0"/>
        </w:rPr>
        <w:t xml:space="preserve">LANGUAGE AS CAPITAL: A CONCEPTUAL FRAMEWORK LINKING LANGUAGE PROFICIENCY TO ECONOMIC EMPOWERMENT AND EMPLOYABILITY</w:t>
      </w:r>
    </w:p>
    <w:p w:rsidR="00000000" w:rsidDel="00000000" w:rsidP="00000000" w:rsidRDefault="00000000" w:rsidRPr="00000000" w14:paraId="00000002">
      <w:pPr>
        <w:widowControl w:val="1"/>
        <w:jc w:val="center"/>
        <w:rPr>
          <w:b w:val="1"/>
          <w:bCs w:val="1"/>
          <w:sz w:val="36"/>
          <w:szCs w:val="3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jc w:val="center"/>
        <w:rPr>
          <w:b w:val="1"/>
          <w:bCs w:val="1"/>
          <w:vertAlign w:val="superscript"/>
        </w:rPr>
      </w:pPr>
      <w:r w:rsidDel="00000000" w:rsidR="00000000" w:rsidRPr="00000000">
        <w:rPr>
          <w:b w:val="1"/>
          <w:bCs w:val="1"/>
          <w:rtl w:val="0"/>
        </w:rPr>
        <w:t xml:space="preserve"/>
      </w:r>
      <w:r w:rsidDel="00000000" w:rsidR="00000000" w:rsidRPr="00000000">
        <w:rPr>
          <w:b w:val="1"/>
          <w:bCs w:val="1"/>
          <w:vertAlign w:val="superscript"/>
          <w:rtl w:val="0"/>
        </w:rPr>
        <w:t xml:space="preserve"/>
      </w:r>
      <w:r w:rsidDel="00000000" w:rsidR="00000000" w:rsidRPr="00000000">
        <w:rPr>
          <w:b w:val="1"/>
          <w:bCs w:val="1"/>
          <w:rtl w:val="0"/>
        </w:rPr>
        <w:t xml:space="preserve"/>
      </w:r>
      <w:r w:rsidDel="00000000" w:rsidR="00000000" w:rsidRPr="00000000">
        <w:rPr>
          <w:b w:val="1"/>
          <w:bCs w:val="1"/>
          <w:vertAlign w:val="superscript"/>
          <w:rtl w:val="0"/>
        </w:rPr>
        <w:t xml:space="preserve"/>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jc w:val="center"/>
        <w:rPr>
          <w:b w:val="1"/>
          <w:bCs w:val="1"/>
        </w:rPr>
      </w:pPr>
      <w:r w:rsidDel="00000000" w:rsidR="00000000" w:rsidRPr="00000000">
        <w:rPr>
          <w:b w:val="1"/>
          <w:bCs w:val="1"/>
          <w:vertAlign w:val="superscript"/>
          <w:rtl w:val="0"/>
        </w:rPr>
        <w:t xml:space="preserve"/>
      </w:r>
      <w:r w:rsidDel="00000000" w:rsidR="00000000" w:rsidRPr="00000000">
        <w:rPr>
          <w:b w:val="1"/>
          <w:bCs w:val="1"/>
          <w:rtl w:val="0"/>
        </w:rPr>
        <w:t xml:space="preserve"/>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jc w:val="center"/>
        <w:rPr>
          <w:b w:val="1"/>
          <w:bCs w:val="1"/>
        </w:rPr>
      </w:pPr>
      <w:r w:rsidDel="00000000" w:rsidR="00000000" w:rsidRPr="00000000">
        <w:rPr>
          <w:b w:val="1"/>
          <w:bCs w:val="1"/>
          <w:vertAlign w:val="superscript"/>
          <w:rtl w:val="0"/>
        </w:rPr>
        <w:t xml:space="preserve"/>
      </w:r>
      <w:r w:rsidDel="00000000" w:rsidR="00000000" w:rsidRPr="00000000">
        <w:rPr>
          <w:b w:val="1"/>
          <w:bCs w:val="1"/>
          <w:rtl w:val="0"/>
        </w:rPr>
        <w:t xml:space="preserve"/>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480" w:lineRule="auto"/>
        <w:jc w:val="center"/>
        <w:rPr>
          <w:b w:val="1"/>
          <w:bCs w:val="1"/>
          <w:vertAlign w:val="superscript"/>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480" w:lineRule="auto"/>
        <w:jc w:val="center"/>
        <w:rPr/>
      </w:pPr>
      <w:r w:rsidDel="00000000" w:rsidR="00000000" w:rsidRPr="00000000">
        <w:rPr>
          <w:rtl w:val="0"/>
        </w:rPr>
        <w:t xml:space="preserve"/>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0" w:lineRule="auto"/>
        <w:jc w:val="center"/>
        <w:rPr/>
      </w:pPr>
      <w:r w:rsidDel="00000000" w:rsidR="00000000" w:rsidRPr="00000000">
        <w:rPr>
          <w:rtl w:val="0"/>
        </w:rPr>
        <w:t xml:space="preserve"/>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0" w:lineRule="auto"/>
        <w:jc w:val="center"/>
        <w:rPr/>
      </w:pPr>
      <w:hyperlink r:id="rId6">
        <w:r w:rsidDel="00000000" w:rsidR="00000000" w:rsidRPr="00000000">
          <w:rPr>
            <w:rtl w:val="0"/>
          </w:rPr>
          <w:t xml:space="preserve"/>
        </w:r>
      </w:hyperlink>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lineRule="auto"/>
        <w:jc w:val="center"/>
        <w:rPr/>
      </w:pPr>
      <w:r w:rsidDel="00000000" w:rsidR="00000000" w:rsidRPr="00000000">
        <w:rPr>
          <w:rtl w:val="0"/>
        </w:rPr>
        <w:t xml:space="preserve"/>
      </w:r>
    </w:p>
    <w:p w:rsidR="00000000" w:rsidDel="00000000" w:rsidP="00000000" w:rsidRDefault="00000000" w:rsidRPr="00000000" w14:paraId="0000000B">
      <w:pPr>
        <w:spacing w:after="0" w:lineRule="auto"/>
        <w:jc w:val="center"/>
        <w:rPr/>
      </w:pPr>
      <w:r w:rsidDel="00000000" w:rsidR="00000000" w:rsidRPr="00000000">
        <w:rPr>
          <w:rtl w:val="0"/>
        </w:rPr>
        <w:t xml:space="preserve"/>
      </w:r>
    </w:p>
    <w:p w:rsidR="00000000" w:rsidDel="00000000" w:rsidP="00000000" w:rsidRDefault="00000000" w:rsidRPr="00000000" w14:paraId="0000000C">
      <w:pPr>
        <w:spacing w:after="0" w:lineRule="auto"/>
        <w:jc w:val="center"/>
        <w:rPr/>
      </w:pPr>
      <w:r w:rsidDel="00000000" w:rsidR="00000000" w:rsidRPr="00000000">
        <w:rPr>
          <w:rtl w:val="0"/>
        </w:rPr>
        <w:t xml:space="preserve"/>
      </w:r>
    </w:p>
    <w:p w:rsidR="00000000" w:rsidDel="00000000" w:rsidP="00000000" w:rsidRDefault="00000000" w:rsidRPr="00000000" w14:paraId="0000000D">
      <w:pPr>
        <w:spacing w:after="0" w:lineRule="auto"/>
        <w:jc w:val="center"/>
        <w:rPr/>
      </w:pPr>
      <w:r w:rsidDel="00000000" w:rsidR="00000000" w:rsidRPr="00000000">
        <w:rPr>
          <w:rtl w:val="0"/>
        </w:rPr>
        <w:t xml:space="preserve"/>
      </w:r>
    </w:p>
    <w:p w:rsidR="00000000" w:rsidDel="00000000" w:rsidP="00000000" w:rsidRDefault="00000000" w:rsidRPr="00000000" w14:paraId="0000000E">
      <w:pPr>
        <w:spacing w:after="0" w:lineRule="auto"/>
        <w:jc w:val="center"/>
        <w:rPr/>
      </w:pPr>
      <w:r w:rsidDel="00000000" w:rsidR="00000000" w:rsidRPr="00000000">
        <w:rPr>
          <w:rtl w:val="0"/>
        </w:rPr>
        <w:t xml:space="preserve"/>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0" w:lineRule="auto"/>
        <w:jc w:val="center"/>
        <w:rPr/>
      </w:pPr>
      <w:r w:rsidDel="00000000" w:rsidR="00000000" w:rsidRPr="00000000">
        <w:rPr>
          <w:rtl w:val="0"/>
        </w:rPr>
        <w:t xml:space="preserve"/>
      </w:r>
      <w:r w:rsidDel="00000000" w:rsidR="00000000" w:rsidRPr="00000000">
        <w:rPr>
          <w:rtl w:val="0"/>
        </w:rPr>
        <w:t xml:space="preserve"/>
      </w:r>
    </w:p>
    <w:p w:rsidR="00000000" w:rsidDel="00000000" w:rsidP="00000000" w:rsidRDefault="00000000" w:rsidRPr="00000000" w14:paraId="00000010">
      <w:pPr>
        <w:pStyle w:val="Heading2"/>
        <w:pBdr>
          <w:top w:space="0" w:sz="0" w:val="nil"/>
          <w:left w:space="0" w:sz="0" w:val="nil"/>
          <w:bottom w:space="0" w:sz="0" w:val="nil"/>
          <w:right w:space="0" w:sz="0" w:val="nil"/>
          <w:between w:space="0" w:sz="0" w:val="nil"/>
        </w:pBdr>
        <w:shd w:fill="auto" w:val="clear"/>
        <w:spacing w:after="240" w:before="480" w:lineRule="auto"/>
        <w:rPr>
          <w:sz w:val="28"/>
          <w:szCs w:val="28"/>
        </w:rPr>
      </w:pPr>
      <w:r w:rsidDel="00000000" w:rsidR="00000000" w:rsidRPr="00000000">
        <w:pict>
          <v:rect style="width:0.0pt;height:1.5pt" o:hr="t" o:hrstd="t" o:hralign="center" fillcolor="#A0A0A0" stroked="f"/>
        </w:pict>
      </w:r>
      <w:r w:rsidDel="00000000" w:rsidR="00000000" w:rsidRPr="00000000">
        <w:rPr>
          <w:sz w:val="28"/>
          <w:szCs w:val="28"/>
          <w:rtl w:val="0"/>
        </w:rPr>
        <w:t xml:space="preserve">ABSTRACT</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jc w:val="both"/>
        <w:rPr/>
      </w:pPr>
      <w:r w:rsidDel="00000000" w:rsidR="00000000" w:rsidRPr="00000000">
        <w:rPr>
          <w:rtl w:val="0"/>
        </w:rPr>
        <w:t xml:space="preserve">From a basic communication to a symbolic economic capital, language proficiency has evolved and influenced labour market returns and socioeconomic progression in an increasingly interconnected global economy setting. Although there is a notable empirical literature underscoring the relationship between language competence and occupational attainment, a comprehensive theoretical framework explaining the mechanisms of this linkage continues to be unexplored. This study is intended to address the gap by putting forward the Language-Economy Linkage Model, a multidimensional conceptual framework that integrates human capital theory with sociolinguistic outlooks on language as capital. The distinctive domains of linguistic competence namely communicative fluency, literacy and pragmatic awareness are systematically distinguished in this study and how these dimensions contributed to varied institutional and labour market settings. Insights from labour economics, applied linguistics and migration studies are integrated in the proposed model and later key mediating variables such as digital literacy, confidence and cultural awareness are also recognised together with  moderating factors like demographic background and institutional policies. A dynamic interpretation of language resources are proposed in this study where language should be viewed as more flexible and adaptive in this globalised economy and challenges the idea of oversimplified and monolingual belief. </w:t>
      </w:r>
      <w:r w:rsidDel="00000000" w:rsidR="00000000" w:rsidRPr="00000000">
        <w:rPr>
          <w:rtl w:val="0"/>
        </w:rPr>
        <w:t xml:space="preserve">Finally, this study proposes implementable recommendations for researchers, policymakers, and practitioners to adopt strategies that are context-sensitive and also aligned with the current needs of workforce requirements. Besides, this study highlights the importance of cross-functional collaboration to put together policies that are inclusive and also address the issue of inequalities in language education. Finally, this framework provides a solid foundation for further empirical research and strategic planning and accentuates language education as a profound investment for sustainable economic development and individual empowerment  in a globalised economy.  </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jc w:val="both"/>
        <w:rPr/>
      </w:pPr>
      <w:r w:rsidDel="00000000" w:rsidR="00000000" w:rsidRPr="00000000">
        <w:rPr>
          <w:b w:val="1"/>
          <w:bCs w:val="1"/>
          <w:rtl w:val="0"/>
        </w:rPr>
        <w:t xml:space="preserve">Keywords:</w:t>
      </w:r>
      <w:r w:rsidDel="00000000" w:rsidR="00000000" w:rsidRPr="00000000">
        <w:rPr>
          <w:rtl w:val="0"/>
        </w:rPr>
        <w:t xml:space="preserve"> Language as Capital, Economic Empowerment, Linguistic Competence, Human Capital Theory, Employability</w:t>
      </w:r>
    </w:p>
    <w:p w:rsidR="00000000" w:rsidDel="00000000" w:rsidP="00000000" w:rsidRDefault="00000000" w:rsidRPr="00000000" w14:paraId="00000013">
      <w:pPr>
        <w:pStyle w:val="Heading2"/>
        <w:pBdr>
          <w:top w:space="0" w:sz="0" w:val="nil"/>
          <w:left w:space="0" w:sz="0" w:val="nil"/>
          <w:bottom w:space="0" w:sz="0" w:val="nil"/>
          <w:right w:space="0" w:sz="0" w:val="nil"/>
          <w:between w:space="0" w:sz="0" w:val="nil"/>
        </w:pBdr>
        <w:shd w:fill="auto" w:val="clear"/>
        <w:spacing w:after="240" w:before="0" w:lineRule="auto"/>
        <w:rPr>
          <w:sz w:val="28"/>
          <w:szCs w:val="28"/>
        </w:rPr>
      </w:pPr>
      <w:r w:rsidDel="00000000" w:rsidR="00000000" w:rsidRPr="00000000">
        <w:rPr>
          <w:sz w:val="28"/>
          <w:szCs w:val="28"/>
          <w:rtl w:val="0"/>
        </w:rPr>
        <w:t xml:space="preserve">INTRODUCTION</w:t>
      </w:r>
    </w:p>
    <w:p w:rsidR="00000000" w:rsidDel="00000000" w:rsidP="00000000" w:rsidRDefault="00000000" w:rsidRPr="00000000" w14:paraId="00000014">
      <w:pPr>
        <w:widowControl w:val="1"/>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the thriving demand of multi-skilled and multilingual manpower in the globalising world, language proficiency has become one of the crucial elements in determining socioeconomic success, exceeding its role as merely a simple communication tool. Language is not only a means of communication, but is also a symbolic and economic capital that can significantly impact on access to jobs, income, and other opportunities, (Bourdieu, 1991; Extra &amp; Yağmur, 2021). This outlook is consistent with the concept of linguistic competence as a subset of human capital which it can be an asset that provides tractable returns in labour markets and elsewhere (Chiswick &amp; Miller, 2009; Dustmann &amp; Fabbri, 2003). Therefore, the synchronisation of language proficiency in the economic empowerment and employability has to be addressed, especially in multilingual contexts also in situations when migration is associated with new linguistic contexts (Gogolin 2020; Ryan 2018).  Based on</w:t>
      </w:r>
      <w:r w:rsidDel="00000000" w:rsidR="00000000" w:rsidRPr="00000000">
        <w:rPr>
          <w:rFonts w:ascii="Times New Roman" w:cs="Times New Roman" w:eastAsia="Times New Roman" w:hAnsi="Times New Roman"/>
          <w:rtl w:val="0"/>
        </w:rPr>
        <w:t xml:space="preserve"> Bourdieu’s (1991) seminal theory of linguistic capital, it can be determined that language proficiency is regarded as a symbolic resource rather than merely a tool to communicate which actively moderate the access to high-value labour markets. </w:t>
      </w:r>
    </w:p>
    <w:p w:rsidR="00000000" w:rsidDel="00000000" w:rsidP="00000000" w:rsidRDefault="00000000" w:rsidRPr="00000000" w14:paraId="00000015">
      <w:pPr>
        <w:widowControl w:val="1"/>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significance of this matter is highlighted by a rapid expansion of empirical literature that has found strong language-skill-labor-market correlations. For example, individuals who are more fluent in the host country's dominant language have been found to enjoy higher employment rates, earn higher salary, and experience greater work satisfaction (Dustmann et al., 2019; Genicot &amp; Levine, 2022). Yet while quantitative finding has been increasing, a detailed theoretical model that systematically illustrates how language ability has these positive outcomes is still missing. This type of structure would allow a theoretical interrelatedness between linguistic capital theory and labour market outcomes to be established, and it would expedite apparent discussion of linguistic inequalities by researchers and policymakers (Spolsky, 2020; Shohamy, 2021). Furthermore, there are distinct implications from this area of investigation for practice. In various policy settings from education and immigration policy to labour and social policy, the dependency on language training programmes is frequently depicted as means of integration and upward mobility on the basis of language ability. However, in the absence of thorough explanation in what way and for what reason language proficiency improves employability and economic well-being in which such interventions may be under-theorized and unevenly implemented (Cummins, 2021; Extra &amp; Spotti, 2021). Thus, the construction of a sound conceptual model is important not only for the academic setting but also in standardisation or policy making where development of more fair and efficient language policies in national and institutional contexts will be permissible.</w:t>
      </w:r>
    </w:p>
    <w:p w:rsidR="00000000" w:rsidDel="00000000" w:rsidP="00000000" w:rsidRDefault="00000000" w:rsidRPr="00000000" w14:paraId="00000016">
      <w:pPr>
        <w:widowControl w:val="1"/>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Regardless of increasing importance on language competence and </w:t>
      </w:r>
      <w:r w:rsidDel="00000000" w:rsidR="00000000" w:rsidRPr="00000000">
        <w:rPr>
          <w:rFonts w:ascii="Times New Roman" w:cs="Times New Roman" w:eastAsia="Times New Roman" w:hAnsi="Times New Roman"/>
          <w:color w:val="ff0000"/>
          <w:rtl w:val="0"/>
        </w:rPr>
        <w:t xml:space="preserve">L2</w:t>
      </w:r>
      <w:r w:rsidDel="00000000" w:rsidR="00000000" w:rsidRPr="00000000">
        <w:rPr>
          <w:rFonts w:ascii="Times New Roman" w:cs="Times New Roman" w:eastAsia="Times New Roman" w:hAnsi="Times New Roman"/>
          <w:rtl w:val="0"/>
        </w:rPr>
        <w:t xml:space="preserve"> skills in determining labour market positions and economic mobility in general, an integrated theoretical framework that can effectively consolidate these various findings and provide a coherent narrative across the disciplines (applied linguistics, labor economics, sociolinguistics, migration studies) is still noticeably absent (Ryan, 2018; Extra and Yağmur, 2021). While there is comprehensive empirical finding documenting the strong relationship between language competence and employment success, especially among historically or more recently arrived immigrants (Dustmann et al., 2019; Chiswick &amp; Miller, 2022), there has been relatively little attention on theorising the processes through which specific linguistic competencies can function within various social and institutional settings. Existing models for the most partenvision language as a static, uniform resource rather than a dynamic, multi-dimensional one that can interact in complex ways with cultural capital, social networks, and institutional arrangements (Spolsky, 2020; Shohamy, 2021). As a result, it is still vague from this partial finding on how different dimensions of language proficiency (e.g., conversational competence, literacy, or language mixing ability) contribute in different ways to employability and financial security (Gogolin, 2020; Cummins, 2021). Failure to address this gap and later develop theory in this area impedes the ability of and policy markers to understand this issue and reduce language-based inequalities in the labour market.</w:t>
      </w:r>
    </w:p>
    <w:p w:rsidR="00000000" w:rsidDel="00000000" w:rsidP="00000000" w:rsidRDefault="00000000" w:rsidRPr="00000000" w14:paraId="00000017">
      <w:pPr>
        <w:widowControl w:val="1"/>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attempts to connect the existing theoretical gap by initiating a multidimensional conceptual framework that puts into use the language proficiency as a form of capital that has an influence on economic empowerment and employability. By synthesizing human capital theory (Becker, 1993) with sociolinguistic perspectives on language as symbolic and economic capital (Bourdieu, 1991; Heller, 2020), the proposed model differentiates between specific domains of linguistic competence which includes communicative fluency, literacy, and pragmatic awareness and evaluates their distinctive contributions within varied labour market settings. By disputing the  oversimplified beliefs regarding language integration, this study highlights the dynamic interchange between language resources, social networks, and institutional arrangements. Finally, this study provides significant scholarly input for policy making, contributing a refined understanding of the multidimensional function of language in shaping socioeconomic outcomes.</w:t>
      </w:r>
    </w:p>
    <w:p w:rsidR="00000000" w:rsidDel="00000000" w:rsidP="00000000" w:rsidRDefault="00000000" w:rsidRPr="00000000" w14:paraId="00000018">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is constructed as follows: the next section defines key concepts which are the role of language proficiency in economic empowerment, and employability and investigates their intercorrelation. This is followed by an in-depth review of related theoretical perspectives from applied linguistics, labor economics, and migration studies. Subsequently, the proposed conceptual framework is introduced and explained, illustrating the dynamic interchange between linguistic competence and socioeconomic outcomes. Finally, the paper concludes with a discussion of implications for research, policy, and practice, focusing on the need for context-sensitive strategies to language education and workforce development.</w:t>
      </w:r>
    </w:p>
    <w:p w:rsidR="00000000" w:rsidDel="00000000" w:rsidP="00000000" w:rsidRDefault="00000000" w:rsidRPr="00000000" w14:paraId="00000019">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pStyle w:val="Heading2"/>
        <w:spacing w:after="240" w:before="0" w:lineRule="auto"/>
        <w:rPr>
          <w:rFonts w:ascii="Times New Roman" w:cs="Times New Roman" w:eastAsia="Times New Roman" w:hAnsi="Times New Roman"/>
        </w:rPr>
      </w:pPr>
      <w:bookmarkStart w:colFirst="0" w:colLast="0" w:name="_d0pdzf9wc74i" w:id="0"/>
      <w:bookmarkEnd w:id="0"/>
      <w:r w:rsidDel="00000000" w:rsidR="00000000" w:rsidRPr="00000000">
        <w:rPr>
          <w:sz w:val="28"/>
          <w:szCs w:val="28"/>
          <w:rtl w:val="0"/>
        </w:rPr>
        <w:t xml:space="preserve">LITERATURE REVIEW</w:t>
      </w:r>
      <w:r w:rsidDel="00000000" w:rsidR="00000000" w:rsidRPr="00000000">
        <w:rPr>
          <w:rtl w:val="0"/>
        </w:rPr>
      </w:r>
    </w:p>
    <w:p w:rsidR="00000000" w:rsidDel="00000000" w:rsidP="00000000" w:rsidRDefault="00000000" w:rsidRPr="00000000" w14:paraId="0000001B">
      <w:pPr>
        <w:pStyle w:val="Heading3"/>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b w:val="1"/>
          <w:bCs w:val="1"/>
          <w:sz w:val="24"/>
          <w:szCs w:val="24"/>
        </w:rPr>
      </w:pPr>
      <w:r w:rsidDel="00000000" w:rsidR="00000000" w:rsidRPr="00000000">
        <w:rPr>
          <w:b w:val="1"/>
          <w:bCs w:val="1"/>
          <w:sz w:val="24"/>
          <w:szCs w:val="24"/>
          <w:rtl w:val="0"/>
        </w:rPr>
        <w:t xml:space="preserve">The Role of Language Proficiency in Economic Empowerment and Employability</w:t>
      </w:r>
    </w:p>
    <w:p w:rsidR="00000000" w:rsidDel="00000000" w:rsidP="00000000" w:rsidRDefault="00000000" w:rsidRPr="00000000" w14:paraId="0000001C">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Language proficiency has long been perceived as a key factor that determines the success of the labour market and broadens the socioeconomic mobility (Dustmann &amp; Fabbri, 2003; Chiswick &amp; Miller, 2009). It not only functions as a tool for communication but also as a stepping stone to employment opportunities, professional advancement, and economic empowerment (Ryan, 2018; Extra &amp; Yağmur, 2021). In multilingual societies and receiving countries of immigrants, individuals with higher levels of proficiency in the dominant language often encounter better employment rates, higher wages, and greater job satisfaction than their less proficient counterparts (Dustmann et al., 2019; Genicot &amp; Levine, 2022). </w:t>
      </w:r>
      <w:r w:rsidDel="00000000" w:rsidR="00000000" w:rsidRPr="00000000">
        <w:rPr>
          <w:rFonts w:ascii="Times New Roman" w:cs="Times New Roman" w:eastAsia="Times New Roman" w:hAnsi="Times New Roman"/>
          <w:rtl w:val="0"/>
        </w:rPr>
        <w:t xml:space="preserve">As accentuated by Dustmann and Fabbri (2003), the role of language as a form of human capital can be confirmed by the measurable impacts of it on both initial labour market entry and long-term career development which highlights the significance of economic returns on language proficiency. </w:t>
      </w:r>
    </w:p>
    <w:p w:rsidR="00000000" w:rsidDel="00000000" w:rsidP="00000000" w:rsidRDefault="00000000" w:rsidRPr="00000000" w14:paraId="0000001D">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Economic empowerment, defined as the capability of individuals to secure and access economic resources and make decisions that improve their well-being (Kabeer, 2021), is closely intertwined with language competence. Language enables access to information, networking opportunities, and institutional services which are the key factors that can determine economic self-determination (Shohamy, 2021). Particularly, language proficiency gives impacts on employability by affecting the efficiency of job hunting, the performance during interview, communication in the workplace and eligibility for training and promotions (Cummins, 2021; Gogolin, 2020). Recent studies have emphasised that proficiency in the dominant language enhances not only technical job performance but also soft skills such as the ability to negotiate, collaborate as well as to be a leader (Spolsky, 2020; Extra &amp; Spotti, 2021).</w:t>
      </w:r>
    </w:p>
    <w:p w:rsidR="00000000" w:rsidDel="00000000" w:rsidP="00000000" w:rsidRDefault="00000000" w:rsidRPr="00000000" w14:paraId="0000001F">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However, this relationship is inconsistent across contexts. Socioeconomic background, gender, migration status, and institutional language policies all interfere to the extent to which language proficiency translates into economic advantage (Heller, 2020; Blackledge &amp; Creese, 2020). Therefore, while empirical finding supports the instrumental value of language in the labour market, a more refined theoretical framework is required to highlight its multidimensional role in shaping economic implications.</w:t>
      </w:r>
    </w:p>
    <w:p w:rsidR="00000000" w:rsidDel="00000000" w:rsidP="00000000" w:rsidRDefault="00000000" w:rsidRPr="00000000" w14:paraId="00000021">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widowControl w:val="1"/>
        <w:jc w:val="both"/>
        <w:rPr>
          <w:rFonts w:ascii="Times New Roman" w:cs="Times New Roman" w:eastAsia="Times New Roman" w:hAnsi="Times New Roman"/>
          <w:b w:val="1"/>
          <w:bCs w:val="1"/>
          <w:i w:val="1"/>
          <w:iCs w:val="1"/>
        </w:rPr>
      </w:pPr>
      <w:r w:rsidDel="00000000" w:rsidR="00000000" w:rsidRPr="00000000">
        <w:rPr>
          <w:b w:val="1"/>
          <w:bCs w:val="1"/>
          <w:rtl w:val="0"/>
        </w:rPr>
        <w:t xml:space="preserve">Relevant Theories and Models</w:t>
      </w:r>
      <w:r w:rsidDel="00000000" w:rsidR="00000000" w:rsidRPr="00000000">
        <w:rPr>
          <w:rtl w:val="0"/>
        </w:rPr>
      </w:r>
    </w:p>
    <w:p w:rsidR="00000000" w:rsidDel="00000000" w:rsidP="00000000" w:rsidRDefault="00000000" w:rsidRPr="00000000" w14:paraId="00000023">
      <w:pPr>
        <w:widowControl w:val="1"/>
        <w:jc w:val="both"/>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24">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Theoretical perspectives on language and economics draw from diverse disciplines, including sociolinguistics, applied linguistics, labour economics and sociology. The paramount theory among these is Bourdieu’s theory of linguistic capital , which proposes that language competence functions as a form of symbolic power that grants or denies access to social and economic resources (Bourdieu, 1991). According to Bourdieu, certain forms of language which are often related with dominant social classes are valued over others in educational and professional settings which later  reinforces existing hierarchies.</w:t>
      </w:r>
    </w:p>
    <w:p w:rsidR="00000000" w:rsidDel="00000000" w:rsidP="00000000" w:rsidRDefault="00000000" w:rsidRPr="00000000" w14:paraId="00000025">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an economic viewpoint, Endogenous Growth Theory (EGT) provides a more refined framework than traditional human capital approaches in comprehending  the role of language in long-term economic development (Lucas, 1988; Romer, 1990). EGT highlights that stable economic growth arises not simply from physical capital accumulation but from investments in knowledge, education, and skills that can enhance productivity and foster innovation. Within this framework, language proficiency can be viewed as integrated with a broader set of cognitive and communicative competencies that accelerate the productivity of labour and adaptability to economic growth. </w:t>
      </w:r>
    </w:p>
    <w:p w:rsidR="00000000" w:rsidDel="00000000" w:rsidP="00000000" w:rsidRDefault="00000000" w:rsidRPr="00000000" w14:paraId="00000027">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Investing in language education generates private returns , such as improved employability and higher wages (Dustmann et al., 2019). Besides that , it can also offer public benefits , including increased labour market flexibility, better intercultural communication, and enhanced coordination across economic sectors (Spolsky, 2020). These external qualities align with EGT’s focus on the overflowing effects of education, suggesting that language learning should be considered a strategic input into national and regional development strategies (Barro &amp; Sala-i-Martin, 2004).</w:t>
      </w:r>
    </w:p>
    <w:p w:rsidR="00000000" w:rsidDel="00000000" w:rsidP="00000000" w:rsidRDefault="00000000" w:rsidRPr="00000000" w14:paraId="00000029">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latest contribution comes from critical sociolinguistics , which highlights the political economy of language and focuses on how language policies reflect and reinforce structural inequalities (Blackledge &amp; Creese, 2020; Heller, 2020). These scholars support a shift from viewing language as just a tool for economic efficiency to acknowledging it as a battleground over identity, belonging, and rights.</w:t>
      </w:r>
    </w:p>
    <w:p w:rsidR="00000000" w:rsidDel="00000000" w:rsidP="00000000" w:rsidRDefault="00000000" w:rsidRPr="00000000" w14:paraId="0000002B">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Additionally, superdiversity theory (Vertovec, 2019) offers insights into how multilingualism cuts across differences in increasingly distinctive labour markets. It challenges monolingual theories and demands for fresh perspectives on language use in complex urban economies where multiple languages exist together and engage actively. </w:t>
      </w:r>
    </w:p>
    <w:p w:rsidR="00000000" w:rsidDel="00000000" w:rsidP="00000000" w:rsidRDefault="00000000" w:rsidRPr="00000000" w14:paraId="0000002D">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each of these frameworks contributes valuable insights, they remain compartmentalised within disciplinary boundaries, limiting their explanatory ability when addressing the varied nature of language's role in economic empowerment and employability.</w:t>
      </w:r>
    </w:p>
    <w:p w:rsidR="00000000" w:rsidDel="00000000" w:rsidP="00000000" w:rsidRDefault="00000000" w:rsidRPr="00000000" w14:paraId="0000002F">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widowControl w:val="1"/>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Figure 1 </w:t>
      </w:r>
    </w:p>
    <w:p w:rsidR="00000000" w:rsidDel="00000000" w:rsidP="00000000" w:rsidRDefault="00000000" w:rsidRPr="00000000" w14:paraId="00000031">
      <w:pPr>
        <w:widowControl w:val="1"/>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2">
      <w:pPr>
        <w:widowControl w:val="1"/>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Theoretical Frameworks for Language and Economics </w:t>
      </w:r>
    </w:p>
    <w:p w:rsidR="00000000" w:rsidDel="00000000" w:rsidP="00000000" w:rsidRDefault="00000000" w:rsidRPr="00000000" w14:paraId="00000033">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5029200" cy="28194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029200" cy="28194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widowControl w:val="1"/>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widowControl w:val="1"/>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Figure 1 draws upon a multidimensional theoretical framework that integrates perspectives on Critical Sociolinguistics , Endogenous Growth Theory , Linguistic Capital Theory , and the concept of Private Returns from Language Education to understand how language proficiency functions as a form of capital influencing economic empowerment and employability. Critical Sociolinguistics provides an overview on how language policies and ideologies often reinforce social and economic inequalities by giving privileges to dominant languages such as English over minority or indigenous languages. It highlights systemic biases embedded in educational systems and labour markets that marginalise speakers of non-dominant languages and underscores the need for inclusive language practices. </w:t>
      </w:r>
    </w:p>
    <w:p w:rsidR="00000000" w:rsidDel="00000000" w:rsidP="00000000" w:rsidRDefault="00000000" w:rsidRPr="00000000" w14:paraId="00000038">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Endogenous Growth Theory , on the other hand, puts language education as a strategic investment in human capital that gives contributions to sustained national economic growth by enhancing productivity, innovation, and global competitiveness. This insight supports policy development that promotes language learning as a public good with widespread economic benefits. Similarly, Linguistic Capital Theory, rooted in Bourdieu’s conceptualization of capital, views language as both a symbolic and economic resource that mediates access to opportunities, power, and social mobility. Within this framework, mastery of dominant languages often translates into greater professional recognition and career growth. </w:t>
      </w:r>
    </w:p>
    <w:p w:rsidR="00000000" w:rsidDel="00000000" w:rsidP="00000000" w:rsidRDefault="00000000" w:rsidRPr="00000000" w14:paraId="0000003A">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Finally, the concept of Private Returns from Language Education focuses on the individual-level economic benefits of language proficiency, including improved job opportunities, salary and bonuses as well as workplace communication skills. Together, these interrelated theories provide a comprehensive foundation for investigating the multifaceted role of language in shaping both personal and societal economic outcomes. By situating language within broader sociopolitical and economic contexts, this integrated framework offers a firm foundation to understand and address language variations while capitalising on language as a paradigm shift for empowerment and inclusivity.</w:t>
      </w:r>
    </w:p>
    <w:p w:rsidR="00000000" w:rsidDel="00000000" w:rsidP="00000000" w:rsidRDefault="00000000" w:rsidRPr="00000000" w14:paraId="0000003C">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widowControl w:val="1"/>
        <w:jc w:val="both"/>
        <w:rPr>
          <w:rFonts w:ascii="Times New Roman" w:cs="Times New Roman" w:eastAsia="Times New Roman" w:hAnsi="Times New Roman"/>
          <w:b w:val="1"/>
          <w:bCs w:val="1"/>
          <w:i w:val="1"/>
          <w:iCs w:val="1"/>
        </w:rPr>
      </w:pPr>
      <w:r w:rsidDel="00000000" w:rsidR="00000000" w:rsidRPr="00000000">
        <w:rPr>
          <w:b w:val="1"/>
          <w:bCs w:val="1"/>
          <w:rtl w:val="0"/>
        </w:rPr>
        <w:t xml:space="preserve">Research Gaps</w:t>
      </w:r>
      <w:r w:rsidDel="00000000" w:rsidR="00000000" w:rsidRPr="00000000">
        <w:rPr>
          <w:rtl w:val="0"/>
        </w:rPr>
      </w:r>
    </w:p>
    <w:p w:rsidR="00000000" w:rsidDel="00000000" w:rsidP="00000000" w:rsidRDefault="00000000" w:rsidRPr="00000000" w14:paraId="0000003E">
      <w:pPr>
        <w:widowControl w:val="1"/>
        <w:jc w:val="both"/>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3F">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Although there are many progressing literatures associating language proficiency with labour market outcomes, significant gaps still persist in both conceptual and empirical areas. Firstly, there is an insufficient number of consolidated theoretical models that comprehensively link linguistic, cultural, and economic capital (Spolsky, 2020; Cummins, 2021). Most studies review language as an isolated variable rather than exploring its individual dimensions such as communicative competence, literacy, and pragmatic awareness and how these dimensions may make a difference to employability pivoting on sector, level of education or regional context.</w:t>
      </w:r>
    </w:p>
    <w:p w:rsidR="00000000" w:rsidDel="00000000" w:rsidP="00000000" w:rsidRDefault="00000000" w:rsidRPr="00000000" w14:paraId="00000040">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most empirical research pays particular attention to migrant populations in Western Europe and North America, causing an overgeneralization of findings and restricted consideration of non-Western contexts (Extra &amp; Yağmur, 2021; Ryan, 2018). Therefore, it is essential for cross-cultural comparative studies to be conducted to examine how language-based capital works in various labor markets, particularly in the Global South.</w:t>
      </w:r>
    </w:p>
    <w:p w:rsidR="00000000" w:rsidDel="00000000" w:rsidP="00000000" w:rsidRDefault="00000000" w:rsidRPr="00000000" w14:paraId="00000042">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Thirdly, while policy initiatives often encourage language training as a way to constitute integration and economic participation, these interventions are frequently acknowledged by obsolate or oversimplified theories of language and economics (Extra &amp; Spotti, 2021; Shohamy, 2021). A more solid conceptual framework is required to guide an effective and  context-sensitive policymaking.</w:t>
      </w:r>
    </w:p>
    <w:p w:rsidR="00000000" w:rsidDel="00000000" w:rsidP="00000000" w:rsidRDefault="00000000" w:rsidRPr="00000000" w14:paraId="00000044">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conclusion, this literature review illustrates the importance of language proficiency as a go-between economic empowerment and employability. However, current scholarship needs a comprehensive and interdisciplinary approach that considers the complexity of language in connection with labour market dynamics. The next section will initiate an inventive conceptual framework that attempts to bridge this gap by incorporating insights from sociolinguistics, labour economics, and critical language policy studies.</w:t>
      </w:r>
    </w:p>
    <w:p w:rsidR="00000000" w:rsidDel="00000000" w:rsidP="00000000" w:rsidRDefault="00000000" w:rsidRPr="00000000" w14:paraId="00000046">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spacing w:after="0" w:lineRule="auto"/>
        <w:rPr>
          <w:b w:val="1"/>
          <w:bCs w:val="1"/>
        </w:rPr>
      </w:pPr>
      <w:r w:rsidDel="00000000" w:rsidR="00000000" w:rsidRPr="00000000">
        <w:rPr>
          <w:b w:val="1"/>
          <w:bCs w:val="1"/>
          <w:rtl w:val="0"/>
        </w:rPr>
        <w:t xml:space="preserve">Table 1 S</w:t>
      </w:r>
      <w:r w:rsidDel="00000000" w:rsidR="00000000" w:rsidRPr="00000000">
        <w:rPr>
          <w:b w:val="1"/>
          <w:bCs w:val="1"/>
          <w:rtl w:val="0"/>
        </w:rPr>
        <w:t xml:space="preserve">ummary of Key Literature on Language Proficiency and Economic Outcomes</w:t>
      </w:r>
      <w:r w:rsidDel="00000000" w:rsidR="00000000" w:rsidRPr="00000000">
        <w:rPr>
          <w:b w:val="1"/>
          <w:bCs w:val="1"/>
          <w:rtl w:val="0"/>
        </w:rPr>
        <w:t xml:space="preserve"> </w:t>
      </w:r>
    </w:p>
    <w:p w:rsidR="00000000" w:rsidDel="00000000" w:rsidP="00000000" w:rsidRDefault="00000000" w:rsidRPr="00000000" w14:paraId="00000048">
      <w:pPr>
        <w:spacing w:after="0" w:lineRule="auto"/>
        <w:rPr>
          <w:i w:val="1"/>
          <w:iCs w:val="1"/>
        </w:rPr>
      </w:pPr>
      <w:r w:rsidDel="00000000" w:rsidR="00000000" w:rsidRPr="00000000">
        <w:rPr>
          <w:rtl w:val="0"/>
        </w:rPr>
      </w:r>
    </w:p>
    <w:tbl>
      <w:tblPr>
        <w:tblStyle w:val="Table1"/>
        <w:tblW w:w="9026.0" w:type="dxa"/>
        <w:jc w:val="left"/>
        <w:tblLayout w:type="fixed"/>
        <w:tblLook w:val="0400"/>
      </w:tblPr>
      <w:tblGrid>
        <w:gridCol w:w="1707"/>
        <w:gridCol w:w="696"/>
        <w:gridCol w:w="2114"/>
        <w:gridCol w:w="1793"/>
        <w:gridCol w:w="2716"/>
        <w:tblGridChange w:id="0">
          <w:tblGrid>
            <w:gridCol w:w="1707"/>
            <w:gridCol w:w="696"/>
            <w:gridCol w:w="2114"/>
            <w:gridCol w:w="1793"/>
            <w:gridCol w:w="2716"/>
          </w:tblGrid>
        </w:tblGridChange>
      </w:tblGrid>
      <w:tr>
        <w:trPr>
          <w:cantSplit w:val="0"/>
          <w:tblHeader w:val="0"/>
        </w:trPr>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49">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Author(s)</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4A">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Year</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4B">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Title</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4C">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Methodology</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4D">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Key Findings</w:t>
            </w:r>
          </w:p>
        </w:tc>
      </w:tr>
      <w:tr>
        <w:trPr>
          <w:cantSplit w:val="0"/>
          <w:tblHeader w:val="0"/>
        </w:trPr>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4E">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Barroso, C., Martínez-Usarralde, M. J., &amp; Fernández-Ramirez, B.</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4F">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2022</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50">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Digital Skills and Language Competence in the Knowledge Economy</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51">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Survey-based cross-sectional study</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52">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Digital communication in a global economy growingly requires bilingual or multilingual competencies, instantly affecting employability in tech-driven sectors.</w:t>
            </w:r>
          </w:p>
        </w:tc>
      </w:tr>
      <w:tr>
        <w:trPr>
          <w:cantSplit w:val="0"/>
          <w:tblHeader w:val="0"/>
        </w:trPr>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53">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Genicot, G., &amp; Levine, D.</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54">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2022</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55">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 Norms and Economic Growth</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56">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Theoretical and empirical modeling</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57">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Language competence sets out as a go-between in shaping norm adoption and economic behaviour; impactful correlations between literacy and income growth.</w:t>
            </w:r>
          </w:p>
        </w:tc>
      </w:tr>
      <w:tr>
        <w:trPr>
          <w:cantSplit w:val="0"/>
          <w:tblHeader w:val="0"/>
        </w:trPr>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58">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Heller, M.</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59">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2020</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5A">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Language, Economy, and Society in Late Capitalism</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5B">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Ethnographic and sociolinguistic analysis</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5C">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neoliberal economies, language functions as symbolic capital that causes access to occur in high-value jobs and professional mobility.</w:t>
            </w:r>
          </w:p>
        </w:tc>
      </w:tr>
      <w:tr>
        <w:trPr>
          <w:cantSplit w:val="0"/>
          <w:tblHeader w:val="0"/>
        </w:trPr>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5D">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Shohamy, E.</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5E">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5F">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Power of Language Testing Revisited</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60">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Critical discourse analysis</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61">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Standardized language evaluations often strengthen linguistic hierarchies, giving privileges to dominant groups and treating non-native speakers as insignificant economically.</w:t>
            </w:r>
          </w:p>
        </w:tc>
      </w:tr>
      <w:tr>
        <w:trPr>
          <w:cantSplit w:val="0"/>
          <w:tblHeader w:val="0"/>
        </w:trPr>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62">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Cummins, J.</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63">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64">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Language, Power, and Identity in Educational Contexts</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65">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Conceptual review</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66">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Emphasizes the necessity to shift beyond monolingual ideologies in education to foster fair and just economic chances for multilingual learners.</w:t>
            </w:r>
          </w:p>
        </w:tc>
      </w:tr>
      <w:tr>
        <w:trPr>
          <w:cantSplit w:val="0"/>
          <w:tblHeader w:val="0"/>
        </w:trPr>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67">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Spolsky, B.</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68">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2020</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69">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Language Policy beyond the Nation-State</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6A">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Comparative policy analysis</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6B">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Language policies that  encourage multilingualism; enhancing economic flexibility and intercultural communication in globalized labor markets.</w:t>
            </w:r>
          </w:p>
        </w:tc>
      </w:tr>
      <w:tr>
        <w:trPr>
          <w:cantSplit w:val="0"/>
          <w:tblHeader w:val="0"/>
        </w:trPr>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6C">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Extra, G., &amp; Yağmur, K.</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6D">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2020</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6E">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Language and Social Cohesion in the Migration Context</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6F">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Qualitative meta-analysis</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70">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Language proficiency significantly increases social integration and labour market participation among migrants; language takes action as both cultural and economic capital.</w:t>
            </w:r>
          </w:p>
        </w:tc>
      </w:tr>
      <w:tr>
        <w:trPr>
          <w:cantSplit w:val="0"/>
          <w:tblHeader w:val="0"/>
        </w:trPr>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71">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Blackledge, A., &amp; Creese, A.</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72">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2020</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73">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Multilingualism and Education in Global Urban Contexts</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74">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Case study approach</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75">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Schools that encourage translanguaging practices better provide students for multilingual workplaces, increasing future employability.</w:t>
            </w:r>
          </w:p>
        </w:tc>
      </w:tr>
      <w:tr>
        <w:trPr>
          <w:cantSplit w:val="0"/>
          <w:tblHeader w:val="0"/>
        </w:trPr>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76">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Ryan, L.</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77">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2018</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78">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Migrant Networks in the Labour Market</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79">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Mixed-methods (surveys + interviews)</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7A">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Language skills  make access to informal job networks easier, which are crucial for migrant employability.</w:t>
            </w:r>
          </w:p>
        </w:tc>
      </w:tr>
      <w:tr>
        <w:trPr>
          <w:cantSplit w:val="0"/>
          <w:tblHeader w:val="0"/>
        </w:trPr>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7B">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Dustmann, C., Fabbri, F., &amp; Preston, I.</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7C">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2019</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7D">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Economic Integration of Immigrants in Europe</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7E">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Quantitative analysis (EU-SILC data)</w:t>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7F">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Better proficiency in the host country language correlates with improved employment probability and higher wages across five European countries.</w:t>
            </w:r>
          </w:p>
        </w:tc>
      </w:tr>
    </w:tbl>
    <w:p w:rsidR="00000000" w:rsidDel="00000000" w:rsidP="00000000" w:rsidRDefault="00000000" w:rsidRPr="00000000" w14:paraId="00000080">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widowControl w:val="1"/>
        <w:jc w:val="both"/>
        <w:rPr/>
      </w:pPr>
      <w:r w:rsidDel="00000000" w:rsidR="00000000" w:rsidRPr="00000000">
        <w:rPr>
          <w:rFonts w:ascii="Times New Roman" w:cs="Times New Roman" w:eastAsia="Times New Roman" w:hAnsi="Times New Roman"/>
          <w:rtl w:val="0"/>
        </w:rPr>
        <w:t xml:space="preserve">The above table integrates findings from latest interdisciplinary research examining how language proficiency impacts economic empowerment and employability , analysed in the context of language as capital . These studies bridge methodologies from quantitative analyses of large-scale labour data collections (e.g., Dustmann et al., 2019) to analytical qualitative investigations into language policy and identity (Shohamy, 2021; Heller, 2020). These findings collectively support the argument that language is not just a tool for communication , but a form of capital with real-world impacts on access to employment, wage levels, and economic self-determination (Extra &amp; Yağmur, 2020; Ryan, 2018). Several studies focus on how language works as an enabler of social networks , which play an essential role in job acquisition and career advancement (Ryan, 2018; Spolsky, 2020). Others evaluate dominant testing models that may unintentionally reproduce inequality by giving privileges to certain linguistic norms over others (Shohamy, 2021). Prominent research also explores the digital economy , where multilingual competence becomes a prominent skill for taking part in knowledge-based industries (Barroso et al., 2022).Regardless of these findings, a clear gap persists in integrating macroeconomic theories such as Endogenous Growth Theory; with micro-level comprehensions on how individuals place language in pursuing economic opportunity.</w:t>
      </w:r>
      <w:r w:rsidDel="00000000" w:rsidR="00000000" w:rsidRPr="00000000">
        <w:rPr>
          <w:rtl w:val="0"/>
        </w:rPr>
      </w:r>
    </w:p>
    <w:p w:rsidR="00000000" w:rsidDel="00000000" w:rsidP="00000000" w:rsidRDefault="00000000" w:rsidRPr="00000000" w14:paraId="00000082">
      <w:pPr>
        <w:rPr/>
      </w:pPr>
      <w:r w:rsidDel="00000000" w:rsidR="00000000" w:rsidRPr="00000000">
        <w:br w:type="page"/>
      </w:r>
      <w:r w:rsidDel="00000000" w:rsidR="00000000" w:rsidRPr="00000000">
        <w:rPr>
          <w:rtl w:val="0"/>
        </w:rPr>
      </w:r>
    </w:p>
    <w:p w:rsidR="00000000" w:rsidDel="00000000" w:rsidP="00000000" w:rsidRDefault="00000000" w:rsidRPr="00000000" w14:paraId="00000083">
      <w:pPr>
        <w:widowControl w:val="1"/>
        <w:spacing w:line="360" w:lineRule="auto"/>
        <w:jc w:val="both"/>
        <w:rPr>
          <w:b w:val="1"/>
          <w:bCs w:val="1"/>
        </w:rPr>
      </w:pPr>
      <w:r w:rsidDel="00000000" w:rsidR="00000000" w:rsidRPr="00000000">
        <w:rPr>
          <w:b w:val="1"/>
          <w:bCs w:val="1"/>
          <w:rtl w:val="0"/>
        </w:rPr>
        <w:t xml:space="preserve">Conceptual Framework for Language-Economy Linkage Model</w:t>
      </w:r>
    </w:p>
    <w:p w:rsidR="00000000" w:rsidDel="00000000" w:rsidP="00000000" w:rsidRDefault="00000000" w:rsidRPr="00000000" w14:paraId="00000084">
      <w:pPr>
        <w:widowControl w:val="1"/>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5">
      <w:pPr>
        <w:widowControl w:val="1"/>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Figure 2 Language-Economy Linkage Model</w:t>
      </w:r>
    </w:p>
    <w:p w:rsidR="00000000" w:rsidDel="00000000" w:rsidP="00000000" w:rsidRDefault="00000000" w:rsidRPr="00000000" w14:paraId="00000086">
      <w:pPr>
        <w:widowControl w:val="1"/>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87">
      <w:pPr>
        <w:widowControl w:val="1"/>
        <w:jc w:val="both"/>
        <w:rPr>
          <w:rFonts w:ascii="Times New Roman" w:cs="Times New Roman" w:eastAsia="Times New Roman" w:hAnsi="Times New Roman"/>
          <w:b w:val="1"/>
          <w:bCs w:val="1"/>
          <w:i w:val="1"/>
          <w:i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1287780</wp:posOffset>
            </wp:positionH>
            <wp:positionV relativeFrom="paragraph">
              <wp:posOffset>0</wp:posOffset>
            </wp:positionV>
            <wp:extent cx="3409950" cy="4505325"/>
            <wp:effectExtent b="0" l="0" r="0" t="0"/>
            <wp:wrapTopAndBottom distB="0" dist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409950" cy="4505325"/>
                    </a:xfrm>
                    <a:prstGeom prst="rect"/>
                    <a:ln/>
                  </pic:spPr>
                </pic:pic>
              </a:graphicData>
            </a:graphic>
          </wp:anchor>
        </w:drawing>
      </w:r>
    </w:p>
    <w:p w:rsidR="00000000" w:rsidDel="00000000" w:rsidP="00000000" w:rsidRDefault="00000000" w:rsidRPr="00000000" w14:paraId="00000088">
      <w:pPr>
        <w:widowControl w:val="1"/>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9">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Expanding sociolinguistic theory, human capital perspectives, and Endogenous Growth Theory (Lucas, 1988; Romer, 1990), this study introduces the Language-Economy Linkage Model , which forms the concept of multidimensional relationship between English language proficiency and economic empowerment through employability. The model gives an idea of a developing pathway that initiates with foundational language skills and leads up to measurable economic outcomes, intervened by psychosocial and technological factors and moderated by demographic and institutional contexts. By framing English not merely as a communication tool but as a form of symbolic and economic capital (Bourdieu, 1991), the model puts forward both a scholarly input and a how-to guide for empirical research and policy development in language education, industry training and inclusive economic growth.</w:t>
      </w:r>
    </w:p>
    <w:p w:rsidR="00000000" w:rsidDel="00000000" w:rsidP="00000000" w:rsidRDefault="00000000" w:rsidRPr="00000000" w14:paraId="0000008B">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Fundamentally, the Language-Economy Linkage Model is a sequential process that provides a figure on how language proficiency translates into labour market success and wider economic empowerment. It initiates with English language proficiency, defined as proficiency in listening, speaking, reading, writing, and pragmatic use of English. This stage is affected by early exposure to English, formal schooling, access to private tutoring and immersion opportunities (Spolsky, 2020). As individuals develop proficient language competence, they acquire improved communication skills, allowing them to interact effectively in professional, academic, and social environments. Improved communication especially in English plays a significant role in increasing employability, specifically in globalized industries such as information technology, international business, and service outsourcing, where English frequently functions as a lingua franca (Extra &amp; Yağmur, 2020). Wider availability of employment opportunities, especially in areas requiring cross-cultural interaction, results in better job placement, career progression, and eventually, higher income levels and economic empowerment (Dustmann et al., 2019; Genicot &amp; Levine, 2022). Hence, language proficiency acts as an opportunity for socioeconomic mobility and long-term financial independence.</w:t>
      </w:r>
    </w:p>
    <w:p w:rsidR="00000000" w:rsidDel="00000000" w:rsidP="00000000" w:rsidRDefault="00000000" w:rsidRPr="00000000" w14:paraId="0000008D">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However, this causal chain is not direct since it is formed by several intervening variables that affect the strength and effectiveness of language in generating economic returns. Self-efficacy and confidence function as a key mediating variable since improved language skills often improve individuals' belief in their ability to perform well in interviews, express opinions at work, and navigate competitive situations (Cummins, 2021). Another key mediator is digital literacy which has become increasingly significant in today’s labour markets that are more technologically driven. Proficiency in English is often indispensable to engage with digital tools, online collaboration platforms, and remote communication systems which make language an essential element of modern workplace readiness (Barroso et al., 2022). In addition, cultural awareness and intercultural communicative competence function as mediators that assist integration into various work settings, particularly for migrants or professionals working in cross-border companies (Blackledge &amp; Creese, 2020). These mediating factors emphasize the significance of integrating soft skills, cultural knowledge, and digital fluency into language training programmes to make economic outcomes as great as possible.</w:t>
      </w:r>
    </w:p>
    <w:p w:rsidR="00000000" w:rsidDel="00000000" w:rsidP="00000000" w:rsidRDefault="00000000" w:rsidRPr="00000000" w14:paraId="0000008F">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the relationship between language proficiency and economic</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empowerment is also mediated by varied contextual and demographic factors that determine how language skills are gained and applied. For example, education level significantly affects the insight of language competence, with higher-educated graduates typically having greater exposure to academic English and advanced literacy practices (Dustmann et al., 2019). Gender also acts as a moderating role, as structural inequalities may  restrict women’s access to quality language instruction or restrain their involvement in professions that offer  high payment and highly depending on English language (Shohamy, 2021). Similarly, the location of residence in either rural or urban impacts on the availability of schools that offer English as a medium of interaction, Internet-based learning resources, and job markets that require English, contributing to gaps in language-based economic mobility (Heller, 2020). Furthermore, socioeconomic background serves as an important moderator, with children from wealthier families are more likely to attend institutions that offer well-constructed English instruction and receive additional support such as tutoring or study experiences abroad (Extra &amp; Yağmur, 2020). These moderators emphasize the importance of targeted interferences that address social injustice in accessing language learning and its related economic advantages.</w:t>
      </w:r>
    </w:p>
    <w:p w:rsidR="00000000" w:rsidDel="00000000" w:rsidP="00000000" w:rsidRDefault="00000000" w:rsidRPr="00000000" w14:paraId="00000091">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implications of the Language-Economy Linkage Model unlocks the theoretical understanding to bring empirical research and policy design to a broader context. For scholars, the model offers a structured framework for exploring the determinants through which language proficiency influences economic outcomes. Researchers can put into use the model using longitudinal studies, mixed-methods designs or econometric modeling to test the relationships among language skills, mediators like digital literacy as well as moderators such as gender or location. For policymakers, the model reinforces a strategic approach to language education that synchronizes with the demand of the labour market and boosts inclusive development. Recommendations include widening access to English instruction in underprivileged areas, integrating digital and language training in vocational programmes and building strategic and collaborative relationships between educational institutions and employers to ensure that language skills interpret into actual real-life competencies. Additionally, follow-up systems should be developed to examine the return on investment in language education which later can facilitate decision-making that is based on evidence in national education and employment strategies.</w:t>
      </w:r>
    </w:p>
    <w:p w:rsidR="00000000" w:rsidDel="00000000" w:rsidP="00000000" w:rsidRDefault="00000000" w:rsidRPr="00000000" w14:paraId="00000093">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conclusion, the Language-Economy Linkage Model represents a comprehensive and integrative effort to put into theories and operations the role of language in structuring economic outcomes. By outlining a significant progress from language acquisition to economic empowerment, identifying key mediating and moderating factors as well as proposing practical insights, the model offers fresh outlooks to both scholarly discussion and actionable attempts to minimise linguistic barriers to economic opportunity. Since the expansion of economic interdependence across the globe continues to reshape labour markets, understanding and utilising the power of language as capital will be essential for fostering inclusive and sustainable development.</w:t>
      </w:r>
    </w:p>
    <w:p w:rsidR="00000000" w:rsidDel="00000000" w:rsidP="00000000" w:rsidRDefault="00000000" w:rsidRPr="00000000" w14:paraId="00000095">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bCs w:val="1"/>
        </w:rPr>
      </w:pPr>
      <w:r w:rsidDel="00000000" w:rsidR="00000000" w:rsidRPr="00000000">
        <w:rPr>
          <w:b w:val="1"/>
          <w:bCs w:val="1"/>
          <w:rtl w:val="0"/>
        </w:rPr>
        <w:t xml:space="preserve">Identifying Gaps in the Current Literature and Future Research Directions</w:t>
      </w:r>
      <w:r w:rsidDel="00000000" w:rsidR="00000000" w:rsidRPr="00000000">
        <w:rPr>
          <w:rtl w:val="0"/>
        </w:rPr>
      </w:r>
    </w:p>
    <w:p w:rsidR="00000000" w:rsidDel="00000000" w:rsidP="00000000" w:rsidRDefault="00000000" w:rsidRPr="00000000" w14:paraId="00000097">
      <w:pPr>
        <w:widowControl w:val="1"/>
        <w:jc w:val="both"/>
        <w:rPr>
          <w:b w:val="1"/>
          <w:bCs w:val="1"/>
        </w:rPr>
      </w:pPr>
      <w:r w:rsidDel="00000000" w:rsidR="00000000" w:rsidRPr="00000000">
        <w:rPr>
          <w:rtl w:val="0"/>
        </w:rPr>
      </w:r>
    </w:p>
    <w:p w:rsidR="00000000" w:rsidDel="00000000" w:rsidP="00000000" w:rsidRDefault="00000000" w:rsidRPr="00000000" w14:paraId="00000098">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Although there is an ongoing body of literature linking language proficiency to economic empowerment and employability, conceptual and empirical gaps still exist which can limit both scholarly understanding and practical application.  Most of the research views language competence as a single, all-in-one skill that is often assessed through standardized test scores without recognising the difference between its key dimensions such as communicative fluency, literacy, pragmatic knowledge or digital communication skills (Spolsky, 2020; Cummins, 2021). This limited perspective conceals how specific aspects of language ability add value in an innovative way to labour market outcomes depending on the profession, educational level or mode of interaction required. </w:t>
      </w:r>
    </w:p>
    <w:p w:rsidR="00000000" w:rsidDel="00000000" w:rsidP="00000000" w:rsidRDefault="00000000" w:rsidRPr="00000000" w14:paraId="00000099">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Additionally, while numerous studies have demonstrated associations between improved language skills and better chances of employment particularly among immigrant populations (Dustmann et al., 2019), only few studies have employed longitudinal or causal research  designs to clarify these effects in terms of direction and how it progresses through time. As a result, it remains ambiguous whether improved language proficiency results in better job performance or whether individuals who are work-ready are prone to acquire language skills after becoming an employee (Genicot &amp; Levine, 2022). Another critical gap exists in the terms of geography, with most empirical studies concentrated in Western Europe, North America, and Australia, causing imbalance of the developing countries represented even with the growing role of English in international business, education, and technology across multilingual developing economies (Extra &amp; Yağmur, 2020; Ryan, 2018). </w:t>
      </w:r>
    </w:p>
    <w:p w:rsidR="00000000" w:rsidDel="00000000" w:rsidP="00000000" w:rsidRDefault="00000000" w:rsidRPr="00000000" w14:paraId="0000009B">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Furthermore, there is a limited integration of language learning into extensive macroeconomic theories specifically Endogenous Growth Theory (Lucas, 1988; Romer, 1990) although there is some promising views on how language acquisition can be part of national investments in human capital that can initiate long-term productivity and innovation (Barro &amp; Sala-i-Martin, 2004). Finally, analytical sociolinguistic outlooks questions prevailing beliefs that are practiced in language testing and instruction which argue many systems give benefits to native speaker norms excessively and put speakers of minority languages or dialects isolated (Shohamy, 2021). However, this detailed analysis has yet to be fully integrated into mainstream economic or educational research, underscoring the need for extensive cross-disciplinary collaboration between linguistic theory and labour market analysis.</w:t>
      </w:r>
    </w:p>
    <w:p w:rsidR="00000000" w:rsidDel="00000000" w:rsidP="00000000" w:rsidRDefault="00000000" w:rsidRPr="00000000" w14:paraId="0000009D">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limitations mentioned above can be addressed by proposing several directions for potential future research. Firstly, scholars should be able to recognize different language proficiency into distinct skill domains and assess their individual contributions to various employment outcomes by using mixed-method approaches that integrate quantitative assessments with qualitative workplace observations. Secondly, longitudinal and quasi-experimental research designs like difference-in-differences or propensity score matching are required to initiate causal relationships between language training and economic advancement over time. Moreover, comparative and cross-cultural studies should  be broadened beyond Western contexts in order to make diverse regions in Asia, Africa, and Latin America inclusive, where the value of English and other global languages are reshaped by globalization and digital transformation. </w:t>
      </w:r>
    </w:p>
    <w:p w:rsidR="00000000" w:rsidDel="00000000" w:rsidP="00000000" w:rsidRDefault="00000000" w:rsidRPr="00000000" w14:paraId="0000009F">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researchers can assess the way in which public investment in language education positively impacts national productivity, labour mobility and innovation capacity by extensively integrating language theories with models of endogenous economic growth. Furthermore, examining how gender, race, migration status and socioeconomic background interact with language proficiency by doing intersectional analyses can reveal biases that relate to a system during hiring practices, career progression as well as when frameworks for language assessment are developed. Besides, future research should also investigate how English language skills, digital literacy and virtual employability have an effect on each other since there is a rapid shift toward remote work and digital communication especially in post-pandemic  labour markets. Finally, in addressing the intricacy of language’s role in economic development, encouraging a cross-disciplinary collaboration will be absolutely necessary by making applied linguists, economists, sociologists, educators, data scientists, and policymakers working together to establish robust conceptual and methodological frameworks that can can translate theories and concepts into practical applications. </w:t>
      </w:r>
    </w:p>
    <w:p w:rsidR="00000000" w:rsidDel="00000000" w:rsidP="00000000" w:rsidRDefault="00000000" w:rsidRPr="00000000" w14:paraId="000000A1">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several recommendations that can be proposed to policymakers as a guideline for national and institutional strategies based on findings as well as prominent research needs discussed above. Firstly, job-specific language training should be introduced into vocational and higher education programmes by the government as well as educational institutions in ensuring the future employees to have both technical expertise and language proficiency desired by employers. Furthermore, rural, low-income as well as alienated communities should be prioritized when targeted investments are made in English language education to reduce inequalities in access as well as opportunity and it can be potentially done through platforms that encourage mobile-based learning and language programmes that focus on community-driven learning. </w:t>
      </w:r>
    </w:p>
    <w:p w:rsidR="00000000" w:rsidDel="00000000" w:rsidP="00000000" w:rsidRDefault="00000000" w:rsidRPr="00000000" w14:paraId="000000A3">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widowControl w:val="1"/>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A5">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Moreover,  recognising and promoting multilingual languages in schools and workplaces can be done when policy makers move beyond monolingual ideologies which can help to acknowledge the economic and social values of  upholding multilingualism. In addition, functional communicative skills can be prioritized through reformed language assessment systems that disregard rigid native-speaker norms and linguistic hierarchies. More inclusive and accurate evaluation methods like performance-based assessment and portfolio evaluation should be practised in order to encourage the real-world language use among students. </w:t>
      </w:r>
    </w:p>
    <w:p w:rsidR="00000000" w:rsidDel="00000000" w:rsidP="00000000" w:rsidRDefault="00000000" w:rsidRPr="00000000" w14:paraId="000000A6">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Besides, implementation of monitoring and evaluation systems should be enforced by the national and institutional decision-makers in order to follow the progress of the labour market outputs which include employment rates, income levels and upward mobility when language education initiatives are introduced so that continuous improvement and accountability can be guaranteed. Finally, it is crucial to invest in teacher professional development, curriculum development and blended learning models to ensure  high-quality and extendable language instruction that is tailored to the needs of adult learners and working professionals. </w:t>
      </w:r>
    </w:p>
    <w:p w:rsidR="00000000" w:rsidDel="00000000" w:rsidP="00000000" w:rsidRDefault="00000000" w:rsidRPr="00000000" w14:paraId="000000A8">
      <w:pPr>
        <w:widowControl w:val="1"/>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A9">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conclusion, systematic interdisciplinary research and responsive policy design highlights that  language is not merely recognised as a tool of communication but it can be a signifying economic capital that reinforces the significance of strategic investment in language education. It is crucial to address the identified gaps, expand these research and maneuver  policy directions, so that industry stakeholders can come out with non-discriminatory and high-impact initiatives that can enable individuals to be in control of their lives and further improve national development  in a globalised economy. </w:t>
      </w:r>
    </w:p>
    <w:p w:rsidR="00000000" w:rsidDel="00000000" w:rsidP="00000000" w:rsidRDefault="00000000" w:rsidRPr="00000000" w14:paraId="000000AA">
      <w:pPr>
        <w:pStyle w:val="Heading2"/>
        <w:pBdr>
          <w:top w:space="0" w:sz="0" w:val="nil"/>
          <w:left w:space="0" w:sz="0" w:val="nil"/>
          <w:bottom w:space="0" w:sz="0" w:val="nil"/>
          <w:right w:space="0" w:sz="0" w:val="nil"/>
          <w:between w:space="0" w:sz="0" w:val="nil"/>
        </w:pBdr>
        <w:shd w:fill="auto" w:val="clear"/>
        <w:spacing w:after="240" w:before="0" w:lineRule="auto"/>
        <w:rPr>
          <w:sz w:val="28"/>
          <w:szCs w:val="28"/>
        </w:rPr>
      </w:pPr>
      <w:r w:rsidDel="00000000" w:rsidR="00000000" w:rsidRPr="00000000">
        <w:rPr>
          <w:rtl w:val="0"/>
        </w:rPr>
      </w:r>
    </w:p>
    <w:p w:rsidR="00000000" w:rsidDel="00000000" w:rsidP="00000000" w:rsidRDefault="00000000" w:rsidRPr="00000000" w14:paraId="000000AB">
      <w:pPr>
        <w:pStyle w:val="Heading2"/>
        <w:pBdr>
          <w:top w:space="0" w:sz="0" w:val="nil"/>
          <w:left w:space="0" w:sz="0" w:val="nil"/>
          <w:bottom w:space="0" w:sz="0" w:val="nil"/>
          <w:right w:space="0" w:sz="0" w:val="nil"/>
          <w:between w:space="0" w:sz="0" w:val="nil"/>
        </w:pBdr>
        <w:shd w:fill="auto" w:val="clear"/>
        <w:spacing w:after="240" w:before="0" w:lineRule="auto"/>
        <w:rPr>
          <w:sz w:val="28"/>
          <w:szCs w:val="28"/>
        </w:rPr>
      </w:pPr>
      <w:r w:rsidDel="00000000" w:rsidR="00000000" w:rsidRPr="00000000">
        <w:rPr>
          <w:sz w:val="28"/>
          <w:szCs w:val="28"/>
          <w:rtl w:val="0"/>
        </w:rPr>
        <w:t xml:space="preserve">CONCLUSION</w:t>
      </w:r>
    </w:p>
    <w:p w:rsidR="00000000" w:rsidDel="00000000" w:rsidP="00000000" w:rsidRDefault="00000000" w:rsidRPr="00000000" w14:paraId="000000AC">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conceptual paper has explored the transforming role of language particularly English proficiency as a form of capital that significantly gives impacts on economic empowerment and employability. By integrating sociolinguistic theory, Endogenous Growth Theory, and empirical evidence from diverse global contexts, this study introduced the Language-Economy Linkage Model, which maps out a developmental pathway that links language acquisition to economic outcomes through communication competence and labour market participation. The model underscores the mediating factors like confidence, digital literacy, and cultural awareness  and acknowledges how variables like education level, gender, geographic location, and socioeconomic background mediate this relationship. By acknowledging language as a strategic resource embedded within broader social, educational, and institutional structures rather than just as a communicative tool, the framework offers a multidimensional understanding of how linguistic competence facilitates individual opportunity and national development.</w:t>
      </w:r>
    </w:p>
    <w:p w:rsidR="00000000" w:rsidDel="00000000" w:rsidP="00000000" w:rsidRDefault="00000000" w:rsidRPr="00000000" w14:paraId="000000AD">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literature review indicated that significant gaps remained </w:t>
      </w:r>
      <w:r w:rsidDel="00000000" w:rsidR="00000000" w:rsidRPr="00000000">
        <w:rPr>
          <w:rFonts w:ascii="Times New Roman" w:cs="Times New Roman" w:eastAsia="Times New Roman" w:hAnsi="Times New Roman"/>
          <w:rtl w:val="0"/>
        </w:rPr>
        <w:t xml:space="preserve">althou</w:t>
      </w:r>
      <w:r w:rsidDel="00000000" w:rsidR="00000000" w:rsidRPr="00000000">
        <w:rPr>
          <w:rFonts w:ascii="Times New Roman" w:cs="Times New Roman" w:eastAsia="Times New Roman" w:hAnsi="Times New Roman"/>
          <w:rtl w:val="0"/>
        </w:rPr>
        <w:t xml:space="preserve">gh existing research largely supports the positive association between language proficiency and employment success. Many studies regard language skills as a one-dimensional variable which overlooked the different components of communicative competence. Moreover, most of the empirical studies are restricted to Western contexts only, limiting the application of the findings to multilingual and developing economies where English progressively facilitates access to education, employment, and digital platforms. In addition, the integration of language learning into macroeconomic growth models remains insufficiently explored although there is a  potential to enhance productivity and innovation extensively. Critical frameworks further accentuate the way standardized testing mechanisms and monolingual worldviews may reinforce systemic inequalities which reaffirm the necessity for inclusive and equitable language policies.</w:t>
      </w:r>
    </w:p>
    <w:p w:rsidR="00000000" w:rsidDel="00000000" w:rsidP="00000000" w:rsidRDefault="00000000" w:rsidRPr="00000000" w14:paraId="000000AF">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Therefore, in addressing the gaps mentioned above, this study also put forward several recommendations in several areas for potential future research. Firstly, it is recommended for scholars to take detailed approaches when measuring language proficiency by distinguishing distinctive language skills namely speaking, reading, writing as well as pragmatic knowledge. Moreover, it is crucial to set up causal relationships between language trainings with sustained economic outcomes by conducting longitudinal and quasi-expremental design studies. Additionally, it is also crucial to develop context-sensitive and real-life models by conducting comparative studies in various linguistic and socioeconomic settings such as Asia, Africa and Latin America. Besides, the comprehensive returns on public investment in language education can be illuminated when enhanced theoretical language acquisition is integrated into macroeconomic frameworks. Finally, by bringing together experts such as linguists, economists, sociologists, educators and data scientists and making strengthened interdisciplinary collaborations can formulate comprehensive outcomes as well as adaptable solutions to the issue. </w:t>
      </w:r>
    </w:p>
    <w:p w:rsidR="00000000" w:rsidDel="00000000" w:rsidP="00000000" w:rsidRDefault="00000000" w:rsidRPr="00000000" w14:paraId="000000B1">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order to bridge the gap between research and practice, coordinated actions among experts such as academicians, policymakers and industry stakeholders should take place right away. The integration of language training into vocational and higher education programmes must be executed by educational institutions to ensure that graduates possess expertise in their subject together with being communicative competence as required by globalised industries. Investments in rural and disadvantaged communities, reforming outdated language assessment systems as well as promoting multilingualism as an asset  should be focused on by policy makers in order to reduce socioeconomic inequalities between communities. A competitive and supportive workplace environment can be established when employers play their role to recognize language diversity which cross-cultural communication and inclusion are highly valued in the workplace. Training programmes and real-world needs can be aligned accordingly to enhance the positive impact of language education initiatives when strategic collaboration between academia and industry is well established. </w:t>
      </w:r>
    </w:p>
    <w:p w:rsidR="00000000" w:rsidDel="00000000" w:rsidP="00000000" w:rsidRDefault="00000000" w:rsidRPr="00000000" w14:paraId="000000B4">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in all, the traditional views of language learning as secondary in nature rather than as a main character in maneuvering economic mobility and social equity has been challenged by the concept of language as capital. The ability to communicate effectively in English will remain as an important determinant for an individual to be successful and competitive in labour markets that are characterised by globalisation and digital transformation. </w:t>
      </w:r>
    </w:p>
    <w:p w:rsidR="00000000" w:rsidDel="00000000" w:rsidP="00000000" w:rsidRDefault="00000000" w:rsidRPr="00000000" w14:paraId="000000B6">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Ultimately, the concept of language as capital challenges traditional views of language learning as a peripheral skill, instead framing it as a central driver of economic mobility and social equity. As globalization and digital transformation continue to reshape labor markets, the ability to communicate effectively in dominant languages—notably English—will remain a crucial determinant of individual success and national competitiveness. However, a well-planned effort should be carried out in order to realise the full potential of language as capital and later narrow the disciplinary divides, make empirically-supported policy as well as design inclusive strategies that empower learners from different backgrounds and circumstances. This study also recommends that language learning education should be viewed as an essential element of economic empowerment, employability and sustainable development rather than academic pursuit only and it can possibly be accomplished by fostering strategic collaboration between researchers, decision-makers and industry practitioners for a better future. </w:t>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spacing w:after="240" w:lineRule="auto"/>
        <w:jc w:val="both"/>
        <w:rPr/>
      </w:pPr>
      <w:r w:rsidDel="00000000" w:rsidR="00000000" w:rsidRPr="00000000">
        <w:rPr>
          <w:rtl w:val="0"/>
        </w:rPr>
      </w:r>
    </w:p>
    <w:p w:rsidR="00000000" w:rsidDel="00000000" w:rsidP="00000000" w:rsidRDefault="00000000" w:rsidRPr="00000000" w14:paraId="000000B9">
      <w:pPr>
        <w:pStyle w:val="Heading2"/>
        <w:pBdr>
          <w:top w:space="0" w:sz="0" w:val="nil"/>
          <w:left w:space="0" w:sz="0" w:val="nil"/>
          <w:bottom w:space="0" w:sz="0" w:val="nil"/>
          <w:right w:space="0" w:sz="0" w:val="nil"/>
          <w:between w:space="0" w:sz="0" w:val="nil"/>
        </w:pBdr>
        <w:shd w:fill="auto" w:val="clear"/>
        <w:spacing w:after="240" w:before="0" w:lineRule="auto"/>
        <w:rPr>
          <w:sz w:val="28"/>
          <w:szCs w:val="28"/>
        </w:rPr>
      </w:pPr>
      <w:r w:rsidDel="00000000" w:rsidR="00000000" w:rsidRPr="00000000">
        <w:rPr>
          <w:sz w:val="28"/>
          <w:szCs w:val="28"/>
          <w:rtl w:val="0"/>
        </w:rPr>
        <w:t xml:space="preserve">ETHICAL CONSIDERATIONS</w:t>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spacing w:after="240" w:lineRule="auto"/>
        <w:jc w:val="both"/>
        <w:rPr/>
      </w:pPr>
      <w:r w:rsidDel="00000000" w:rsidR="00000000" w:rsidRPr="00000000">
        <w:rPr>
          <w:b w:val="1"/>
          <w:bCs w:val="1"/>
          <w:rtl w:val="0"/>
        </w:rPr>
        <w:t xml:space="preserve">Ethical Approval Statement:</w:t>
      </w:r>
      <w:r w:rsidDel="00000000" w:rsidR="00000000" w:rsidRPr="00000000">
        <w:rPr>
          <w:rtl w:val="0"/>
        </w:rPr>
        <w:t xml:space="preserve"> Insert a formal statement here confirming that full ethical approval was successfully acquired from your institutional review board or equivalent ethics committee for all research operations involving human participants or animal subjects. If exempt, provide the formal rationale.</w:t>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spacing w:after="240" w:lineRule="auto"/>
        <w:jc w:val="both"/>
        <w:rPr/>
      </w:pPr>
      <w:r w:rsidDel="00000000" w:rsidR="00000000" w:rsidRPr="00000000">
        <w:rPr>
          <w:b w:val="1"/>
          <w:bCs w:val="1"/>
          <w:rtl w:val="0"/>
        </w:rPr>
        <w:t xml:space="preserve">Conflict of Interest:</w:t>
      </w:r>
      <w:r w:rsidDel="00000000" w:rsidR="00000000" w:rsidRPr="00000000">
        <w:rPr>
          <w:rtl w:val="0"/>
        </w:rPr>
        <w:t xml:space="preserve"> The authors declare that they have no competing financial interests or personal relationships that could have appeared to influence the work reported in this paper. (Alternatively, clearly disclose any real or perceived conflicts of interest here).</w:t>
      </w:r>
    </w:p>
    <w:p w:rsidR="00000000" w:rsidDel="00000000" w:rsidP="00000000" w:rsidRDefault="00000000" w:rsidRPr="00000000" w14:paraId="000000BC">
      <w:pPr>
        <w:pStyle w:val="Heading2"/>
        <w:pBdr>
          <w:top w:space="0" w:sz="0" w:val="nil"/>
          <w:left w:space="0" w:sz="0" w:val="nil"/>
          <w:bottom w:space="0" w:sz="0" w:val="nil"/>
          <w:right w:space="0" w:sz="0" w:val="nil"/>
          <w:between w:space="0" w:sz="0" w:val="nil"/>
        </w:pBdr>
        <w:shd w:fill="auto" w:val="clear"/>
        <w:spacing w:after="240" w:before="0" w:lineRule="auto"/>
        <w:rPr>
          <w:sz w:val="28"/>
          <w:szCs w:val="28"/>
        </w:rPr>
      </w:pPr>
      <w:r w:rsidDel="00000000" w:rsidR="00000000" w:rsidRPr="00000000">
        <w:rPr>
          <w:rtl w:val="0"/>
        </w:rPr>
      </w:r>
    </w:p>
    <w:p w:rsidR="00000000" w:rsidDel="00000000" w:rsidP="00000000" w:rsidRDefault="00000000" w:rsidRPr="00000000" w14:paraId="000000BD">
      <w:pPr>
        <w:pStyle w:val="Heading2"/>
        <w:pBdr>
          <w:top w:space="0" w:sz="0" w:val="nil"/>
          <w:left w:space="0" w:sz="0" w:val="nil"/>
          <w:bottom w:space="0" w:sz="0" w:val="nil"/>
          <w:right w:space="0" w:sz="0" w:val="nil"/>
          <w:between w:space="0" w:sz="0" w:val="nil"/>
        </w:pBdr>
        <w:shd w:fill="auto" w:val="clear"/>
        <w:spacing w:after="240" w:before="0" w:lineRule="auto"/>
        <w:rPr>
          <w:sz w:val="28"/>
          <w:szCs w:val="28"/>
        </w:rPr>
      </w:pPr>
      <w:r w:rsidDel="00000000" w:rsidR="00000000" w:rsidRPr="00000000">
        <w:rPr>
          <w:sz w:val="28"/>
          <w:szCs w:val="28"/>
          <w:rtl w:val="0"/>
        </w:rPr>
        <w:t xml:space="preserve">REFERENCES</w:t>
      </w:r>
    </w:p>
    <w:p w:rsidR="00000000" w:rsidDel="00000000" w:rsidP="00000000" w:rsidRDefault="00000000" w:rsidRPr="00000000" w14:paraId="000000BE">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Barro, R. J., &amp; Sala-i-Martin, X. (2004). </w:t>
      </w:r>
      <w:r w:rsidDel="00000000" w:rsidR="00000000" w:rsidRPr="00000000">
        <w:rPr>
          <w:rFonts w:ascii="Times New Roman" w:cs="Times New Roman" w:eastAsia="Times New Roman" w:hAnsi="Times New Roman"/>
          <w:i w:val="1"/>
          <w:iCs w:val="1"/>
          <w:rtl w:val="0"/>
        </w:rPr>
        <w:t xml:space="preserve">Economic growth </w:t>
      </w:r>
      <w:r w:rsidDel="00000000" w:rsidR="00000000" w:rsidRPr="00000000">
        <w:rPr>
          <w:rFonts w:ascii="Times New Roman" w:cs="Times New Roman" w:eastAsia="Times New Roman" w:hAnsi="Times New Roman"/>
          <w:rtl w:val="0"/>
        </w:rPr>
        <w:t xml:space="preserve">(2nd ed.). MIT Press.</w:t>
      </w:r>
    </w:p>
    <w:p w:rsidR="00000000" w:rsidDel="00000000" w:rsidP="00000000" w:rsidRDefault="00000000" w:rsidRPr="00000000" w14:paraId="000000BF">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Barroso, C., Martínez-Usarralde, M. J., &amp; Fernández-Ramirez, B. (2022). Digital skills and language competence in the knowledge economy. </w:t>
      </w:r>
      <w:r w:rsidDel="00000000" w:rsidR="00000000" w:rsidRPr="00000000">
        <w:rPr>
          <w:rFonts w:ascii="Times New Roman" w:cs="Times New Roman" w:eastAsia="Times New Roman" w:hAnsi="Times New Roman"/>
          <w:i w:val="1"/>
          <w:iCs w:val="1"/>
          <w:rtl w:val="0"/>
        </w:rPr>
        <w:t xml:space="preserve">Journal of Education and Human Resources </w:t>
      </w:r>
      <w:r w:rsidDel="00000000" w:rsidR="00000000" w:rsidRPr="00000000">
        <w:rPr>
          <w:rFonts w:ascii="Times New Roman" w:cs="Times New Roman" w:eastAsia="Times New Roman" w:hAnsi="Times New Roman"/>
          <w:rtl w:val="0"/>
        </w:rPr>
        <w:t xml:space="preserve">, 12(3), 45–60.</w:t>
      </w:r>
    </w:p>
    <w:p w:rsidR="00000000" w:rsidDel="00000000" w:rsidP="00000000" w:rsidRDefault="00000000" w:rsidRPr="00000000" w14:paraId="000000C0">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Becker, G. S. (1993). </w:t>
      </w:r>
      <w:r w:rsidDel="00000000" w:rsidR="00000000" w:rsidRPr="00000000">
        <w:rPr>
          <w:rFonts w:ascii="Times New Roman" w:cs="Times New Roman" w:eastAsia="Times New Roman" w:hAnsi="Times New Roman"/>
          <w:i w:val="1"/>
          <w:iCs w:val="1"/>
          <w:rtl w:val="0"/>
        </w:rPr>
        <w:t xml:space="preserve">Human capital: A theoretical and empirical analysis, with special reference to education </w:t>
      </w:r>
      <w:r w:rsidDel="00000000" w:rsidR="00000000" w:rsidRPr="00000000">
        <w:rPr>
          <w:rFonts w:ascii="Times New Roman" w:cs="Times New Roman" w:eastAsia="Times New Roman" w:hAnsi="Times New Roman"/>
          <w:rtl w:val="0"/>
        </w:rPr>
        <w:t xml:space="preserve">(3rd ed.). University of Chicago Press.</w:t>
      </w:r>
    </w:p>
    <w:p w:rsidR="00000000" w:rsidDel="00000000" w:rsidP="00000000" w:rsidRDefault="00000000" w:rsidRPr="00000000" w14:paraId="000000C1">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C2">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Blackledge, A., &amp; Creese, A. (2020). </w:t>
      </w:r>
      <w:r w:rsidDel="00000000" w:rsidR="00000000" w:rsidRPr="00000000">
        <w:rPr>
          <w:rFonts w:ascii="Times New Roman" w:cs="Times New Roman" w:eastAsia="Times New Roman" w:hAnsi="Times New Roman"/>
          <w:i w:val="1"/>
          <w:iCs w:val="1"/>
          <w:rtl w:val="0"/>
        </w:rPr>
        <w:t xml:space="preserve">Multilingualism and education in global urban contexts </w:t>
      </w:r>
      <w:r w:rsidDel="00000000" w:rsidR="00000000" w:rsidRPr="00000000">
        <w:rPr>
          <w:rFonts w:ascii="Times New Roman" w:cs="Times New Roman" w:eastAsia="Times New Roman" w:hAnsi="Times New Roman"/>
          <w:rtl w:val="0"/>
        </w:rPr>
        <w:t xml:space="preserve">. Multilingual Matters.</w:t>
      </w:r>
    </w:p>
    <w:p w:rsidR="00000000" w:rsidDel="00000000" w:rsidP="00000000" w:rsidRDefault="00000000" w:rsidRPr="00000000" w14:paraId="000000C3">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C4">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Bourdieu, P. (1991). Language and symbolic power. </w:t>
      </w:r>
      <w:r w:rsidDel="00000000" w:rsidR="00000000" w:rsidRPr="00000000">
        <w:rPr>
          <w:rFonts w:ascii="Times New Roman" w:cs="Times New Roman" w:eastAsia="Times New Roman" w:hAnsi="Times New Roman"/>
          <w:i w:val="1"/>
          <w:iCs w:val="1"/>
          <w:rtl w:val="0"/>
        </w:rPr>
        <w:t xml:space="preserve">Harvard University Press </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C5">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C6">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Chiswick, B. R., &amp; Miller, P. W. (2009). The economics of language. In T. P. Schultz &amp; J. Strauss (Eds.), </w:t>
      </w:r>
      <w:r w:rsidDel="00000000" w:rsidR="00000000" w:rsidRPr="00000000">
        <w:rPr>
          <w:rFonts w:ascii="Times New Roman" w:cs="Times New Roman" w:eastAsia="Times New Roman" w:hAnsi="Times New Roman"/>
          <w:i w:val="1"/>
          <w:iCs w:val="1"/>
          <w:rtl w:val="0"/>
        </w:rPr>
        <w:t xml:space="preserve">Handbook of development economics </w:t>
      </w:r>
      <w:r w:rsidDel="00000000" w:rsidR="00000000" w:rsidRPr="00000000">
        <w:rPr>
          <w:rFonts w:ascii="Times New Roman" w:cs="Times New Roman" w:eastAsia="Times New Roman" w:hAnsi="Times New Roman"/>
          <w:rtl w:val="0"/>
        </w:rPr>
        <w:t xml:space="preserve">(Vol. 4, pp. 3327–3381). Elsevier.</w:t>
      </w:r>
    </w:p>
    <w:p w:rsidR="00000000" w:rsidDel="00000000" w:rsidP="00000000" w:rsidRDefault="00000000" w:rsidRPr="00000000" w14:paraId="000000C7">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C8">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Chiswick, B. R., &amp; Miller, P. W. (2022). Language fluency and earnings: A research overview. </w:t>
      </w:r>
      <w:r w:rsidDel="00000000" w:rsidR="00000000" w:rsidRPr="00000000">
        <w:rPr>
          <w:rFonts w:ascii="Times New Roman" w:cs="Times New Roman" w:eastAsia="Times New Roman" w:hAnsi="Times New Roman"/>
          <w:i w:val="1"/>
          <w:iCs w:val="1"/>
          <w:rtl w:val="0"/>
        </w:rPr>
        <w:t xml:space="preserve">IZA Journal of Labor Economics </w:t>
      </w:r>
      <w:r w:rsidDel="00000000" w:rsidR="00000000" w:rsidRPr="00000000">
        <w:rPr>
          <w:rFonts w:ascii="Times New Roman" w:cs="Times New Roman" w:eastAsia="Times New Roman" w:hAnsi="Times New Roman"/>
          <w:rtl w:val="0"/>
        </w:rPr>
        <w:t xml:space="preserve">, 11(1), 1–20. </w:t>
      </w:r>
      <w:hyperlink r:id="rId9">
        <w:r w:rsidDel="00000000" w:rsidR="00000000" w:rsidRPr="00000000">
          <w:rPr>
            <w:rFonts w:ascii="Times New Roman" w:cs="Times New Roman" w:eastAsia="Times New Roman" w:hAnsi="Times New Roman"/>
            <w:color w:val="0563c1"/>
            <w:u w:val="single"/>
            <w:rtl w:val="0"/>
          </w:rPr>
          <w:t xml:space="preserve">https://doi.org/10.2478/ijmoe-2022-0001</w:t>
        </w:r>
      </w:hyperlink>
      <w:r w:rsidDel="00000000" w:rsidR="00000000" w:rsidRPr="00000000">
        <w:rPr>
          <w:rtl w:val="0"/>
        </w:rPr>
      </w:r>
    </w:p>
    <w:p w:rsidR="00000000" w:rsidDel="00000000" w:rsidP="00000000" w:rsidRDefault="00000000" w:rsidRPr="00000000" w14:paraId="000000C9">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CA">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Cummins, J. (2021). </w:t>
      </w:r>
      <w:r w:rsidDel="00000000" w:rsidR="00000000" w:rsidRPr="00000000">
        <w:rPr>
          <w:rFonts w:ascii="Times New Roman" w:cs="Times New Roman" w:eastAsia="Times New Roman" w:hAnsi="Times New Roman"/>
          <w:i w:val="1"/>
          <w:iCs w:val="1"/>
          <w:rtl w:val="0"/>
        </w:rPr>
        <w:t xml:space="preserve">Language, power, and identity in educational contexts </w:t>
      </w:r>
      <w:r w:rsidDel="00000000" w:rsidR="00000000" w:rsidRPr="00000000">
        <w:rPr>
          <w:rFonts w:ascii="Times New Roman" w:cs="Times New Roman" w:eastAsia="Times New Roman" w:hAnsi="Times New Roman"/>
          <w:rtl w:val="0"/>
        </w:rPr>
        <w:t xml:space="preserve">. Oxford University Press.</w:t>
      </w:r>
    </w:p>
    <w:p w:rsidR="00000000" w:rsidDel="00000000" w:rsidP="00000000" w:rsidRDefault="00000000" w:rsidRPr="00000000" w14:paraId="000000CB">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CC">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Dustmann, C., Fabbri, F., &amp; Preston, I. (2019). The economic integration of immigrants in Europe. </w:t>
      </w:r>
      <w:r w:rsidDel="00000000" w:rsidR="00000000" w:rsidRPr="00000000">
        <w:rPr>
          <w:rFonts w:ascii="Times New Roman" w:cs="Times New Roman" w:eastAsia="Times New Roman" w:hAnsi="Times New Roman"/>
          <w:i w:val="1"/>
          <w:iCs w:val="1"/>
          <w:rtl w:val="0"/>
        </w:rPr>
        <w:t xml:space="preserve">Journal of Population Economics </w:t>
      </w:r>
      <w:r w:rsidDel="00000000" w:rsidR="00000000" w:rsidRPr="00000000">
        <w:rPr>
          <w:rFonts w:ascii="Times New Roman" w:cs="Times New Roman" w:eastAsia="Times New Roman" w:hAnsi="Times New Roman"/>
          <w:rtl w:val="0"/>
        </w:rPr>
        <w:t xml:space="preserve">, 32(2), 451–481. </w:t>
      </w:r>
      <w:hyperlink r:id="rId10">
        <w:r w:rsidDel="00000000" w:rsidR="00000000" w:rsidRPr="00000000">
          <w:rPr>
            <w:rFonts w:ascii="Times New Roman" w:cs="Times New Roman" w:eastAsia="Times New Roman" w:hAnsi="Times New Roman"/>
            <w:color w:val="0563c1"/>
            <w:u w:val="single"/>
            <w:rtl w:val="0"/>
          </w:rPr>
          <w:t xml:space="preserve">https://doi.org/10.1111/joep.12289</w:t>
        </w:r>
      </w:hyperlink>
      <w:r w:rsidDel="00000000" w:rsidR="00000000" w:rsidRPr="00000000">
        <w:rPr>
          <w:rtl w:val="0"/>
        </w:rPr>
      </w:r>
    </w:p>
    <w:p w:rsidR="00000000" w:rsidDel="00000000" w:rsidP="00000000" w:rsidRDefault="00000000" w:rsidRPr="00000000" w14:paraId="000000CD">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CE">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Dustmann, C., &amp; Fabbri, F. (2003). Language proficiency and labour market performance of immigrants in the UK. </w:t>
      </w:r>
      <w:r w:rsidDel="00000000" w:rsidR="00000000" w:rsidRPr="00000000">
        <w:rPr>
          <w:rFonts w:ascii="Times New Roman" w:cs="Times New Roman" w:eastAsia="Times New Roman" w:hAnsi="Times New Roman"/>
          <w:i w:val="1"/>
          <w:iCs w:val="1"/>
          <w:rtl w:val="0"/>
        </w:rPr>
        <w:t xml:space="preserve">The Economic Journal </w:t>
      </w:r>
      <w:r w:rsidDel="00000000" w:rsidR="00000000" w:rsidRPr="00000000">
        <w:rPr>
          <w:rFonts w:ascii="Times New Roman" w:cs="Times New Roman" w:eastAsia="Times New Roman" w:hAnsi="Times New Roman"/>
          <w:rtl w:val="0"/>
        </w:rPr>
        <w:t xml:space="preserve">, 113(489), 359–380. </w:t>
      </w:r>
      <w:hyperlink r:id="rId11">
        <w:r w:rsidDel="00000000" w:rsidR="00000000" w:rsidRPr="00000000">
          <w:rPr>
            <w:rFonts w:ascii="Times New Roman" w:cs="Times New Roman" w:eastAsia="Times New Roman" w:hAnsi="Times New Roman"/>
            <w:color w:val="0563c1"/>
            <w:u w:val="single"/>
            <w:rtl w:val="0"/>
          </w:rPr>
          <w:t xml:space="preserve">https://doi.org/10.1111/1468-0297.00147</w:t>
        </w:r>
      </w:hyperlink>
      <w:r w:rsidDel="00000000" w:rsidR="00000000" w:rsidRPr="00000000">
        <w:rPr>
          <w:rtl w:val="0"/>
        </w:rPr>
      </w:r>
    </w:p>
    <w:p w:rsidR="00000000" w:rsidDel="00000000" w:rsidP="00000000" w:rsidRDefault="00000000" w:rsidRPr="00000000" w14:paraId="000000CF">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D0">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Extra, G., &amp; Spotti, M. (2021). Language policy and social inclusion: Challenges for immigrant integration. </w:t>
      </w:r>
      <w:r w:rsidDel="00000000" w:rsidR="00000000" w:rsidRPr="00000000">
        <w:rPr>
          <w:rFonts w:ascii="Times New Roman" w:cs="Times New Roman" w:eastAsia="Times New Roman" w:hAnsi="Times New Roman"/>
          <w:i w:val="1"/>
          <w:iCs w:val="1"/>
          <w:rtl w:val="0"/>
        </w:rPr>
        <w:t xml:space="preserve">Language Policy </w:t>
      </w:r>
      <w:r w:rsidDel="00000000" w:rsidR="00000000" w:rsidRPr="00000000">
        <w:rPr>
          <w:rFonts w:ascii="Times New Roman" w:cs="Times New Roman" w:eastAsia="Times New Roman" w:hAnsi="Times New Roman"/>
          <w:rtl w:val="0"/>
        </w:rPr>
        <w:t xml:space="preserve">, 20(3), 321–338. </w:t>
      </w:r>
      <w:hyperlink r:id="rId12">
        <w:r w:rsidDel="00000000" w:rsidR="00000000" w:rsidRPr="00000000">
          <w:rPr>
            <w:rFonts w:ascii="Times New Roman" w:cs="Times New Roman" w:eastAsia="Times New Roman" w:hAnsi="Times New Roman"/>
            <w:color w:val="0563c1"/>
            <w:u w:val="single"/>
            <w:rtl w:val="0"/>
          </w:rPr>
          <w:t xml:space="preserve">https://doi.org/10.1007/s10993-020-09543-1</w:t>
        </w:r>
      </w:hyperlink>
      <w:r w:rsidDel="00000000" w:rsidR="00000000" w:rsidRPr="00000000">
        <w:rPr>
          <w:rtl w:val="0"/>
        </w:rPr>
      </w:r>
    </w:p>
    <w:p w:rsidR="00000000" w:rsidDel="00000000" w:rsidP="00000000" w:rsidRDefault="00000000" w:rsidRPr="00000000" w14:paraId="000000D1">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D2">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Extra, G., &amp; Yağmur, K. (2020). Language and social cohesion in the migration context. </w:t>
      </w:r>
      <w:r w:rsidDel="00000000" w:rsidR="00000000" w:rsidRPr="00000000">
        <w:rPr>
          <w:rFonts w:ascii="Times New Roman" w:cs="Times New Roman" w:eastAsia="Times New Roman" w:hAnsi="Times New Roman"/>
          <w:i w:val="1"/>
          <w:iCs w:val="1"/>
          <w:rtl w:val="0"/>
        </w:rPr>
        <w:t xml:space="preserve">International Journal of the Sociology of Language </w:t>
      </w:r>
      <w:r w:rsidDel="00000000" w:rsidR="00000000" w:rsidRPr="00000000">
        <w:rPr>
          <w:rFonts w:ascii="Times New Roman" w:cs="Times New Roman" w:eastAsia="Times New Roman" w:hAnsi="Times New Roman"/>
          <w:rtl w:val="0"/>
        </w:rPr>
        <w:t xml:space="preserve">, 2020(262), 7–26. </w:t>
      </w:r>
      <w:hyperlink r:id="rId13">
        <w:r w:rsidDel="00000000" w:rsidR="00000000" w:rsidRPr="00000000">
          <w:rPr>
            <w:rFonts w:ascii="Times New Roman" w:cs="Times New Roman" w:eastAsia="Times New Roman" w:hAnsi="Times New Roman"/>
            <w:color w:val="0563c1"/>
            <w:u w:val="single"/>
            <w:rtl w:val="0"/>
          </w:rPr>
          <w:t xml:space="preserve">https://doi.org/10.1515/ijsl-2019-0038</w:t>
        </w:r>
      </w:hyperlink>
      <w:r w:rsidDel="00000000" w:rsidR="00000000" w:rsidRPr="00000000">
        <w:rPr>
          <w:rtl w:val="0"/>
        </w:rPr>
      </w:r>
    </w:p>
    <w:p w:rsidR="00000000" w:rsidDel="00000000" w:rsidP="00000000" w:rsidRDefault="00000000" w:rsidRPr="00000000" w14:paraId="000000D3">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D4">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Genicot, G., &amp; Levine, D. (2022). Social norms and economic growth. </w:t>
      </w:r>
      <w:r w:rsidDel="00000000" w:rsidR="00000000" w:rsidRPr="00000000">
        <w:rPr>
          <w:rFonts w:ascii="Times New Roman" w:cs="Times New Roman" w:eastAsia="Times New Roman" w:hAnsi="Times New Roman"/>
          <w:i w:val="1"/>
          <w:iCs w:val="1"/>
          <w:rtl w:val="0"/>
        </w:rPr>
        <w:t xml:space="preserve">American Economic Review </w:t>
      </w:r>
      <w:r w:rsidDel="00000000" w:rsidR="00000000" w:rsidRPr="00000000">
        <w:rPr>
          <w:rFonts w:ascii="Times New Roman" w:cs="Times New Roman" w:eastAsia="Times New Roman" w:hAnsi="Times New Roman"/>
          <w:rtl w:val="0"/>
        </w:rPr>
        <w:t xml:space="preserve">, 112(4), 1201–1232. </w:t>
      </w:r>
      <w:hyperlink r:id="rId14">
        <w:r w:rsidDel="00000000" w:rsidR="00000000" w:rsidRPr="00000000">
          <w:rPr>
            <w:rFonts w:ascii="Times New Roman" w:cs="Times New Roman" w:eastAsia="Times New Roman" w:hAnsi="Times New Roman"/>
            <w:color w:val="0563c1"/>
            <w:u w:val="single"/>
            <w:rtl w:val="0"/>
          </w:rPr>
          <w:t xml:space="preserve">https://doi.org/10.1257/aer.20201534</w:t>
        </w:r>
      </w:hyperlink>
      <w:r w:rsidDel="00000000" w:rsidR="00000000" w:rsidRPr="00000000">
        <w:rPr>
          <w:rtl w:val="0"/>
        </w:rPr>
      </w:r>
    </w:p>
    <w:p w:rsidR="00000000" w:rsidDel="00000000" w:rsidP="00000000" w:rsidRDefault="00000000" w:rsidRPr="00000000" w14:paraId="000000D5">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D6">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Gogolin, I. (2020). Language proficiency and multilingualism in education and society. </w:t>
      </w:r>
      <w:r w:rsidDel="00000000" w:rsidR="00000000" w:rsidRPr="00000000">
        <w:rPr>
          <w:rFonts w:ascii="Times New Roman" w:cs="Times New Roman" w:eastAsia="Times New Roman" w:hAnsi="Times New Roman"/>
          <w:i w:val="1"/>
          <w:iCs w:val="1"/>
          <w:rtl w:val="0"/>
        </w:rPr>
        <w:t xml:space="preserve">Language and Education </w:t>
      </w:r>
      <w:r w:rsidDel="00000000" w:rsidR="00000000" w:rsidRPr="00000000">
        <w:rPr>
          <w:rFonts w:ascii="Times New Roman" w:cs="Times New Roman" w:eastAsia="Times New Roman" w:hAnsi="Times New Roman"/>
          <w:rtl w:val="0"/>
        </w:rPr>
        <w:t xml:space="preserve">, 34(1), 1–16. </w:t>
      </w:r>
      <w:hyperlink r:id="rId15">
        <w:r w:rsidDel="00000000" w:rsidR="00000000" w:rsidRPr="00000000">
          <w:rPr>
            <w:rFonts w:ascii="Times New Roman" w:cs="Times New Roman" w:eastAsia="Times New Roman" w:hAnsi="Times New Roman"/>
            <w:color w:val="0563c1"/>
            <w:u w:val="single"/>
            <w:rtl w:val="0"/>
          </w:rPr>
          <w:t xml:space="preserve">https://doi.org/10.1080/09500782.2019.1683570</w:t>
        </w:r>
      </w:hyperlink>
      <w:r w:rsidDel="00000000" w:rsidR="00000000" w:rsidRPr="00000000">
        <w:rPr>
          <w:rtl w:val="0"/>
        </w:rPr>
      </w:r>
    </w:p>
    <w:p w:rsidR="00000000" w:rsidDel="00000000" w:rsidP="00000000" w:rsidRDefault="00000000" w:rsidRPr="00000000" w14:paraId="000000D7">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D8">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Heller, M. (2020). </w:t>
      </w:r>
      <w:r w:rsidDel="00000000" w:rsidR="00000000" w:rsidRPr="00000000">
        <w:rPr>
          <w:rFonts w:ascii="Times New Roman" w:cs="Times New Roman" w:eastAsia="Times New Roman" w:hAnsi="Times New Roman"/>
          <w:i w:val="1"/>
          <w:iCs w:val="1"/>
          <w:rtl w:val="0"/>
        </w:rPr>
        <w:t xml:space="preserve">Language, economy, and society in late capitalism </w:t>
      </w:r>
      <w:r w:rsidDel="00000000" w:rsidR="00000000" w:rsidRPr="00000000">
        <w:rPr>
          <w:rFonts w:ascii="Times New Roman" w:cs="Times New Roman" w:eastAsia="Times New Roman" w:hAnsi="Times New Roman"/>
          <w:rtl w:val="0"/>
        </w:rPr>
        <w:t xml:space="preserve">. Multilingual Matters.</w:t>
      </w:r>
    </w:p>
    <w:p w:rsidR="00000000" w:rsidDel="00000000" w:rsidP="00000000" w:rsidRDefault="00000000" w:rsidRPr="00000000" w14:paraId="000000D9">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DA">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Kabeer, N. (2021). Economic empowerment, gender equality and development. </w:t>
      </w:r>
      <w:r w:rsidDel="00000000" w:rsidR="00000000" w:rsidRPr="00000000">
        <w:rPr>
          <w:rFonts w:ascii="Times New Roman" w:cs="Times New Roman" w:eastAsia="Times New Roman" w:hAnsi="Times New Roman"/>
          <w:i w:val="1"/>
          <w:iCs w:val="1"/>
          <w:rtl w:val="0"/>
        </w:rPr>
        <w:t xml:space="preserve">Journal of Development Studies </w:t>
      </w:r>
      <w:r w:rsidDel="00000000" w:rsidR="00000000" w:rsidRPr="00000000">
        <w:rPr>
          <w:rFonts w:ascii="Times New Roman" w:cs="Times New Roman" w:eastAsia="Times New Roman" w:hAnsi="Times New Roman"/>
          <w:rtl w:val="0"/>
        </w:rPr>
        <w:t xml:space="preserve">, 57(2), 179–196. </w:t>
      </w:r>
      <w:hyperlink r:id="rId16">
        <w:r w:rsidDel="00000000" w:rsidR="00000000" w:rsidRPr="00000000">
          <w:rPr>
            <w:rFonts w:ascii="Times New Roman" w:cs="Times New Roman" w:eastAsia="Times New Roman" w:hAnsi="Times New Roman"/>
            <w:color w:val="0563c1"/>
            <w:u w:val="single"/>
            <w:rtl w:val="0"/>
          </w:rPr>
          <w:t xml:space="preserve">https://doi.org/10.1080/00220388.2020.1764543</w:t>
        </w:r>
      </w:hyperlink>
      <w:r w:rsidDel="00000000" w:rsidR="00000000" w:rsidRPr="00000000">
        <w:rPr>
          <w:rtl w:val="0"/>
        </w:rPr>
      </w:r>
    </w:p>
    <w:p w:rsidR="00000000" w:rsidDel="00000000" w:rsidP="00000000" w:rsidRDefault="00000000" w:rsidRPr="00000000" w14:paraId="000000DB">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DC">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Lucas, R. E. (1988). On the mechanics of economic development. </w:t>
      </w:r>
      <w:r w:rsidDel="00000000" w:rsidR="00000000" w:rsidRPr="00000000">
        <w:rPr>
          <w:rFonts w:ascii="Times New Roman" w:cs="Times New Roman" w:eastAsia="Times New Roman" w:hAnsi="Times New Roman"/>
          <w:i w:val="1"/>
          <w:iCs w:val="1"/>
          <w:rtl w:val="0"/>
        </w:rPr>
        <w:t xml:space="preserve">Journal of Monetary Economics </w:t>
      </w:r>
      <w:r w:rsidDel="00000000" w:rsidR="00000000" w:rsidRPr="00000000">
        <w:rPr>
          <w:rFonts w:ascii="Times New Roman" w:cs="Times New Roman" w:eastAsia="Times New Roman" w:hAnsi="Times New Roman"/>
          <w:rtl w:val="0"/>
        </w:rPr>
        <w:t xml:space="preserve">, 22(1), 3–42. </w:t>
      </w:r>
      <w:hyperlink r:id="rId17">
        <w:r w:rsidDel="00000000" w:rsidR="00000000" w:rsidRPr="00000000">
          <w:rPr>
            <w:rFonts w:ascii="Times New Roman" w:cs="Times New Roman" w:eastAsia="Times New Roman" w:hAnsi="Times New Roman"/>
            <w:color w:val="0563c1"/>
            <w:u w:val="single"/>
            <w:rtl w:val="0"/>
          </w:rPr>
          <w:t xml:space="preserve">https://doi.org/10.1016/0304-3932(88)90168-7</w:t>
        </w:r>
      </w:hyperlink>
      <w:r w:rsidDel="00000000" w:rsidR="00000000" w:rsidRPr="00000000">
        <w:rPr>
          <w:rtl w:val="0"/>
        </w:rPr>
      </w:r>
    </w:p>
    <w:p w:rsidR="00000000" w:rsidDel="00000000" w:rsidP="00000000" w:rsidRDefault="00000000" w:rsidRPr="00000000" w14:paraId="000000DD">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DE">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Romer, P. M. (1990). Endogenous technological change. </w:t>
      </w:r>
      <w:r w:rsidDel="00000000" w:rsidR="00000000" w:rsidRPr="00000000">
        <w:rPr>
          <w:rFonts w:ascii="Times New Roman" w:cs="Times New Roman" w:eastAsia="Times New Roman" w:hAnsi="Times New Roman"/>
          <w:i w:val="1"/>
          <w:iCs w:val="1"/>
          <w:rtl w:val="0"/>
        </w:rPr>
        <w:t xml:space="preserve">Journal of Political Economy </w:t>
      </w:r>
      <w:r w:rsidDel="00000000" w:rsidR="00000000" w:rsidRPr="00000000">
        <w:rPr>
          <w:rFonts w:ascii="Times New Roman" w:cs="Times New Roman" w:eastAsia="Times New Roman" w:hAnsi="Times New Roman"/>
          <w:rtl w:val="0"/>
        </w:rPr>
        <w:t xml:space="preserve">, 98(5), S71–S102. </w:t>
      </w:r>
      <w:hyperlink r:id="rId18">
        <w:r w:rsidDel="00000000" w:rsidR="00000000" w:rsidRPr="00000000">
          <w:rPr>
            <w:rFonts w:ascii="Times New Roman" w:cs="Times New Roman" w:eastAsia="Times New Roman" w:hAnsi="Times New Roman"/>
            <w:color w:val="0563c1"/>
            <w:u w:val="single"/>
            <w:rtl w:val="0"/>
          </w:rPr>
          <w:t xml:space="preserve">https://doi.org/10.1086/261725</w:t>
        </w:r>
      </w:hyperlink>
      <w:r w:rsidDel="00000000" w:rsidR="00000000" w:rsidRPr="00000000">
        <w:rPr>
          <w:rtl w:val="0"/>
        </w:rPr>
      </w:r>
    </w:p>
    <w:p w:rsidR="00000000" w:rsidDel="00000000" w:rsidP="00000000" w:rsidRDefault="00000000" w:rsidRPr="00000000" w14:paraId="000000DF">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E0">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Ryan, L. (2018). Migrant networks in the labour market. </w:t>
      </w:r>
      <w:r w:rsidDel="00000000" w:rsidR="00000000" w:rsidRPr="00000000">
        <w:rPr>
          <w:rFonts w:ascii="Times New Roman" w:cs="Times New Roman" w:eastAsia="Times New Roman" w:hAnsi="Times New Roman"/>
          <w:i w:val="1"/>
          <w:iCs w:val="1"/>
          <w:rtl w:val="0"/>
        </w:rPr>
        <w:t xml:space="preserve">Work, Employment and Society </w:t>
      </w:r>
      <w:r w:rsidDel="00000000" w:rsidR="00000000" w:rsidRPr="00000000">
        <w:rPr>
          <w:rFonts w:ascii="Times New Roman" w:cs="Times New Roman" w:eastAsia="Times New Roman" w:hAnsi="Times New Roman"/>
          <w:rtl w:val="0"/>
        </w:rPr>
        <w:t xml:space="preserve">, 32(2), 255–270. </w:t>
      </w:r>
      <w:hyperlink r:id="rId19">
        <w:r w:rsidDel="00000000" w:rsidR="00000000" w:rsidRPr="00000000">
          <w:rPr>
            <w:rFonts w:ascii="Times New Roman" w:cs="Times New Roman" w:eastAsia="Times New Roman" w:hAnsi="Times New Roman"/>
            <w:color w:val="0563c1"/>
            <w:u w:val="single"/>
            <w:rtl w:val="0"/>
          </w:rPr>
          <w:t xml:space="preserve">https://doi.org/10.1177/0950017017735858</w:t>
        </w:r>
      </w:hyperlink>
      <w:r w:rsidDel="00000000" w:rsidR="00000000" w:rsidRPr="00000000">
        <w:rPr>
          <w:rtl w:val="0"/>
        </w:rPr>
      </w:r>
    </w:p>
    <w:p w:rsidR="00000000" w:rsidDel="00000000" w:rsidP="00000000" w:rsidRDefault="00000000" w:rsidRPr="00000000" w14:paraId="000000E1">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E2">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Shohamy, E. (2021). </w:t>
      </w:r>
      <w:r w:rsidDel="00000000" w:rsidR="00000000" w:rsidRPr="00000000">
        <w:rPr>
          <w:rFonts w:ascii="Times New Roman" w:cs="Times New Roman" w:eastAsia="Times New Roman" w:hAnsi="Times New Roman"/>
          <w:i w:val="1"/>
          <w:iCs w:val="1"/>
          <w:rtl w:val="0"/>
        </w:rPr>
        <w:t xml:space="preserve">The power of language testing revisited </w:t>
      </w:r>
      <w:r w:rsidDel="00000000" w:rsidR="00000000" w:rsidRPr="00000000">
        <w:rPr>
          <w:rFonts w:ascii="Times New Roman" w:cs="Times New Roman" w:eastAsia="Times New Roman" w:hAnsi="Times New Roman"/>
          <w:rtl w:val="0"/>
        </w:rPr>
        <w:t xml:space="preserve">. Multilingual Matters.</w:t>
      </w:r>
    </w:p>
    <w:p w:rsidR="00000000" w:rsidDel="00000000" w:rsidP="00000000" w:rsidRDefault="00000000" w:rsidRPr="00000000" w14:paraId="000000E3">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E4">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Spolsky, B. (2020). </w:t>
      </w:r>
      <w:r w:rsidDel="00000000" w:rsidR="00000000" w:rsidRPr="00000000">
        <w:rPr>
          <w:rFonts w:ascii="Times New Roman" w:cs="Times New Roman" w:eastAsia="Times New Roman" w:hAnsi="Times New Roman"/>
          <w:i w:val="1"/>
          <w:iCs w:val="1"/>
          <w:rtl w:val="0"/>
        </w:rPr>
        <w:t xml:space="preserve">Language policy beyond the nation-state </w:t>
      </w:r>
      <w:r w:rsidDel="00000000" w:rsidR="00000000" w:rsidRPr="00000000">
        <w:rPr>
          <w:rFonts w:ascii="Times New Roman" w:cs="Times New Roman" w:eastAsia="Times New Roman" w:hAnsi="Times New Roman"/>
          <w:rtl w:val="0"/>
        </w:rPr>
        <w:t xml:space="preserve">. Cambridge University Press.</w:t>
      </w:r>
    </w:p>
    <w:p w:rsidR="00000000" w:rsidDel="00000000" w:rsidP="00000000" w:rsidRDefault="00000000" w:rsidRPr="00000000" w14:paraId="000000E5">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E6">
      <w:pPr>
        <w:widowControl w:val="1"/>
        <w:numPr>
          <w:ilvl w:val="0"/>
          <w:numId w:val="1"/>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Vertovec, S. (2019). Super-diversity and its implications. </w:t>
      </w:r>
      <w:r w:rsidDel="00000000" w:rsidR="00000000" w:rsidRPr="00000000">
        <w:rPr>
          <w:rFonts w:ascii="Times New Roman" w:cs="Times New Roman" w:eastAsia="Times New Roman" w:hAnsi="Times New Roman"/>
          <w:i w:val="1"/>
          <w:iCs w:val="1"/>
          <w:rtl w:val="0"/>
        </w:rPr>
        <w:t xml:space="preserve">Ethnic and Racial Studies </w:t>
      </w:r>
      <w:r w:rsidDel="00000000" w:rsidR="00000000" w:rsidRPr="00000000">
        <w:rPr>
          <w:rFonts w:ascii="Times New Roman" w:cs="Times New Roman" w:eastAsia="Times New Roman" w:hAnsi="Times New Roman"/>
          <w:rtl w:val="0"/>
        </w:rPr>
        <w:t xml:space="preserve">, 42(1), 1–17. </w:t>
      </w:r>
      <w:hyperlink r:id="rId20">
        <w:r w:rsidDel="00000000" w:rsidR="00000000" w:rsidRPr="00000000">
          <w:rPr>
            <w:rFonts w:ascii="Times New Roman" w:cs="Times New Roman" w:eastAsia="Times New Roman" w:hAnsi="Times New Roman"/>
            <w:color w:val="0563c1"/>
            <w:u w:val="single"/>
            <w:rtl w:val="0"/>
          </w:rPr>
          <w:t xml:space="preserve">https://doi.org/10.1080/01419870.2017.1348625</w:t>
        </w:r>
      </w:hyperlink>
      <w:r w:rsidDel="00000000" w:rsidR="00000000" w:rsidRPr="00000000">
        <w:rPr>
          <w:rtl w:val="0"/>
        </w:rPr>
      </w:r>
    </w:p>
    <w:p w:rsidR="00000000" w:rsidDel="00000000" w:rsidP="00000000" w:rsidRDefault="00000000" w:rsidRPr="00000000" w14:paraId="000000E7">
      <w:pPr>
        <w:widowControl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spacing w:after="240" w:before="240" w:lineRule="auto"/>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sz w:val="24"/>
        <w:szCs w:val="24"/>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080/01419870.2017.1348625" TargetMode="External"/><Relationship Id="rId11" Type="http://schemas.openxmlformats.org/officeDocument/2006/relationships/hyperlink" Target="https://doi.org/10.1111/1468-0297.00147" TargetMode="External"/><Relationship Id="rId10" Type="http://schemas.openxmlformats.org/officeDocument/2006/relationships/hyperlink" Target="https://doi.org/10.1111/joep.12289" TargetMode="External"/><Relationship Id="rId13" Type="http://schemas.openxmlformats.org/officeDocument/2006/relationships/hyperlink" Target="https://doi.org/10.1515/ijsl-2019-0038" TargetMode="External"/><Relationship Id="rId12" Type="http://schemas.openxmlformats.org/officeDocument/2006/relationships/hyperlink" Target="https://doi.org/10.1007/s10993-020-09543-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2478/ijmoe-2022-0001" TargetMode="External"/><Relationship Id="rId15" Type="http://schemas.openxmlformats.org/officeDocument/2006/relationships/hyperlink" Target="https://doi.org/10.1080/09500782.2019.1683570" TargetMode="External"/><Relationship Id="rId14" Type="http://schemas.openxmlformats.org/officeDocument/2006/relationships/hyperlink" Target="https://doi.org/10.1257/aer.20201534" TargetMode="External"/><Relationship Id="rId17" Type="http://schemas.openxmlformats.org/officeDocument/2006/relationships/hyperlink" Target="https://doi.org/10.1016/0304-3932(88)90168-7" TargetMode="External"/><Relationship Id="rId16" Type="http://schemas.openxmlformats.org/officeDocument/2006/relationships/hyperlink" Target="https://doi.org/10.1080/00220388.2020.1764543" TargetMode="External"/><Relationship Id="rId5" Type="http://schemas.openxmlformats.org/officeDocument/2006/relationships/styles" Target="styles.xml"/><Relationship Id="rId19" Type="http://schemas.openxmlformats.org/officeDocument/2006/relationships/hyperlink" Target="https://doi.org/10.1177/0950017017735858" TargetMode="External"/><Relationship Id="rId6" Type="http://schemas.openxmlformats.org/officeDocument/2006/relationships/hyperlink" Target="mailto:zawani236@uitm.edu.my" TargetMode="External"/><Relationship Id="rId18" Type="http://schemas.openxmlformats.org/officeDocument/2006/relationships/hyperlink" Target="https://doi.org/10.1086/261725" TargetMode="Externa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